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w:t>
      </w:r>
      <w:r w:rsidR="00744151">
        <w:rPr>
          <w:rFonts w:ascii="Times New Roman" w:hAnsi="Times New Roman"/>
        </w:rPr>
        <w:t>的</w:t>
      </w:r>
      <w:r w:rsidRPr="007F013B">
        <w:rPr>
          <w:rFonts w:ascii="Times New Roman" w:hAnsi="Times New Roman" w:hint="eastAsia"/>
        </w:rPr>
        <w:t>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w:t>
      </w:r>
      <w:r w:rsidR="00346BF7">
        <w:rPr>
          <w:rFonts w:ascii="Times New Roman" w:hAnsi="Times New Roman" w:hint="eastAsia"/>
        </w:rPr>
        <w:t>以</w:t>
      </w:r>
      <w:r w:rsidRPr="007F013B">
        <w:rPr>
          <w:rFonts w:ascii="Times New Roman" w:hAnsi="Times New Roman" w:hint="eastAsia"/>
        </w:rPr>
        <w:t>及技术债务累积等关键问题，通过理论创新与实践验证，提出</w:t>
      </w:r>
      <w:r w:rsidR="00D40699">
        <w:rPr>
          <w:rFonts w:ascii="Times New Roman" w:hAnsi="Times New Roman" w:hint="eastAsia"/>
        </w:rPr>
        <w:t>了</w:t>
      </w:r>
      <w:r w:rsidRPr="007F013B">
        <w:rPr>
          <w:rFonts w:ascii="Times New Roman" w:hAnsi="Times New Roman" w:hint="eastAsia"/>
        </w:rPr>
        <w:t>“敏捷</w:t>
      </w:r>
      <w:r w:rsidRPr="007F013B">
        <w:rPr>
          <w:rFonts w:ascii="Times New Roman" w:hAnsi="Times New Roman" w:hint="eastAsia"/>
        </w:rPr>
        <w:t>-DevSecOps</w:t>
      </w:r>
      <w:r w:rsidRPr="007F013B">
        <w:rPr>
          <w:rFonts w:ascii="Times New Roman" w:hAnsi="Times New Roman" w:hint="eastAsia"/>
        </w:rPr>
        <w:t>动态耦合框架”，</w:t>
      </w:r>
      <w:r w:rsidR="00D40699">
        <w:rPr>
          <w:rFonts w:ascii="Times New Roman" w:hAnsi="Times New Roman" w:hint="eastAsia"/>
        </w:rPr>
        <w:t>以及</w:t>
      </w:r>
      <w:r w:rsidRPr="007F013B">
        <w:rPr>
          <w:rFonts w:ascii="Times New Roman" w:hAnsi="Times New Roman" w:hint="eastAsia"/>
        </w:rPr>
        <w:t>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w:t>
      </w:r>
      <w:r w:rsidR="0042422D">
        <w:rPr>
          <w:rFonts w:ascii="Times New Roman" w:hAnsi="Times New Roman" w:hint="eastAsia"/>
        </w:rPr>
        <w:t>性</w:t>
      </w:r>
      <w:r w:rsidRPr="007F013B">
        <w:rPr>
          <w:rFonts w:ascii="Times New Roman" w:hAnsi="Times New Roman" w:hint="eastAsia"/>
        </w:rPr>
        <w:t>创新领域的理论空白，提出</w:t>
      </w:r>
      <w:r w:rsidR="009E479D">
        <w:rPr>
          <w:rFonts w:ascii="Times New Roman" w:hAnsi="Times New Roman" w:hint="eastAsia"/>
        </w:rPr>
        <w:t>了</w:t>
      </w:r>
      <w:r w:rsidRPr="007F013B">
        <w:rPr>
          <w:rFonts w:ascii="Times New Roman" w:hAnsi="Times New Roman" w:hint="eastAsia"/>
        </w:rPr>
        <w:t>三层动态耦合机制：在技术架构层，设计安全左移范式驱动的需求优先级动态调整算法，实现安全策略与敏捷开发的深度嵌入；在过程管理层，构建容器化工具链与智能运维预测系统的集成化平台，形成</w:t>
      </w:r>
      <w:r w:rsidR="00850CEF">
        <w:rPr>
          <w:rFonts w:ascii="Times New Roman" w:hAnsi="Times New Roman" w:hint="eastAsia"/>
        </w:rPr>
        <w:t>了</w:t>
      </w:r>
      <w:r w:rsidRPr="007F013B">
        <w:rPr>
          <w:rFonts w:ascii="Times New Roman" w:hAnsi="Times New Roman" w:hint="eastAsia"/>
        </w:rPr>
        <w:t>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65753F">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65753F">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65753F">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65753F">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65753F">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65753F">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65753F">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65753F">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65753F">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65753F">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65753F">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，提出</w:t>
      </w:r>
      <w:r w:rsidR="006C6CB4">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w:t>
      </w:r>
      <w:r w:rsidR="00787D69">
        <w:rPr>
          <w:rFonts w:ascii="Times New Roman" w:eastAsiaTheme="minorEastAsia" w:hAnsi="Times New Roman" w:hint="eastAsia"/>
          <w:color w:val="333333"/>
          <w:shd w:val="clear" w:color="auto" w:fill="FFFFFF"/>
        </w:rPr>
        <w:t>于</w:t>
      </w:r>
      <w:r w:rsidRPr="00990E80">
        <w:rPr>
          <w:rFonts w:ascii="Times New Roman" w:eastAsiaTheme="minorEastAsia" w:hAnsi="Times New Roman" w:hint="eastAsia"/>
          <w:color w:val="333333"/>
          <w:shd w:val="clear" w:color="auto" w:fill="FFFFFF"/>
        </w:rPr>
        <w:t>单一领域</w:t>
      </w:r>
      <w:r w:rsidR="00787D69">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优化，</w:t>
      </w:r>
      <w:r w:rsidR="00174993">
        <w:rPr>
          <w:rFonts w:ascii="Times New Roman" w:eastAsiaTheme="minorEastAsia" w:hAnsi="Times New Roman" w:hint="eastAsia"/>
          <w:color w:val="333333"/>
          <w:shd w:val="clear" w:color="auto" w:fill="FFFFFF"/>
        </w:rPr>
        <w:t>例如</w:t>
      </w:r>
      <w:r w:rsidRPr="00990E80">
        <w:rPr>
          <w:rFonts w:ascii="Times New Roman" w:eastAsiaTheme="minorEastAsia" w:hAnsi="Times New Roman" w:hint="eastAsia"/>
          <w:color w:val="333333"/>
          <w:shd w:val="clear" w:color="auto" w:fill="FFFFFF"/>
        </w:rPr>
        <w:t>Fitzgerald</w:t>
      </w:r>
      <w:r w:rsidR="00174993">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2021</w:t>
      </w:r>
      <w:r w:rsidR="00174993">
        <w:rPr>
          <w:rFonts w:ascii="Times New Roman" w:eastAsiaTheme="minorEastAsia" w:hAnsi="Times New Roman" w:hint="eastAsia"/>
          <w:color w:val="333333"/>
          <w:shd w:val="clear" w:color="auto" w:fill="FFFFFF"/>
        </w:rPr>
        <w:t>年</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w:t>
      </w:r>
      <w:r w:rsidR="00174993">
        <w:rPr>
          <w:rFonts w:ascii="Times New Roman" w:eastAsiaTheme="minorEastAsia" w:hAnsi="Times New Roman" w:hint="eastAsia"/>
          <w:color w:val="333333"/>
          <w:shd w:val="clear" w:color="auto" w:fill="FFFFFF"/>
        </w:rPr>
        <w:t>，</w:t>
      </w:r>
      <w:r w:rsidR="00DF02DF">
        <w:rPr>
          <w:rFonts w:ascii="Times New Roman" w:eastAsiaTheme="minorEastAsia" w:hAnsi="Times New Roman" w:hint="eastAsia"/>
          <w:color w:val="333333"/>
          <w:shd w:val="clear" w:color="auto" w:fill="FFFFFF"/>
        </w:rPr>
        <w:t>虽然</w:t>
      </w:r>
      <w:r w:rsidRPr="00990E80">
        <w:rPr>
          <w:rFonts w:ascii="Times New Roman" w:eastAsiaTheme="minorEastAsia" w:hAnsi="Times New Roman" w:hint="eastAsia"/>
          <w:color w:val="333333"/>
          <w:shd w:val="clear" w:color="auto" w:fill="FFFFFF"/>
        </w:rPr>
        <w:t>提升</w:t>
      </w:r>
      <w:r w:rsidR="00DF02DF">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安全检测</w:t>
      </w:r>
      <w:r w:rsidR="00DF02DF">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效率，但</w:t>
      </w:r>
      <w:r w:rsidR="00335C94">
        <w:rPr>
          <w:rFonts w:ascii="Times New Roman" w:eastAsiaTheme="minorEastAsia" w:hAnsi="Times New Roman" w:hint="eastAsia"/>
          <w:color w:val="333333"/>
          <w:shd w:val="clear" w:color="auto" w:fill="FFFFFF"/>
        </w:rPr>
        <w:t>是，没有从根本上</w:t>
      </w:r>
      <w:r w:rsidRPr="00990E80">
        <w:rPr>
          <w:rFonts w:ascii="Times New Roman" w:eastAsiaTheme="minorEastAsia" w:hAnsi="Times New Roman" w:hint="eastAsia"/>
          <w:color w:val="333333"/>
          <w:shd w:val="clear" w:color="auto" w:fill="FFFFFF"/>
        </w:rPr>
        <w:t>解决</w:t>
      </w:r>
      <w:r w:rsidR="00335C94">
        <w:rPr>
          <w:rFonts w:ascii="Times New Roman" w:eastAsiaTheme="minorEastAsia" w:hAnsi="Times New Roman" w:hint="eastAsia"/>
          <w:color w:val="333333"/>
          <w:shd w:val="clear" w:color="auto" w:fill="FFFFFF"/>
        </w:rPr>
        <w:t>我国推行的</w:t>
      </w:r>
      <w:r w:rsidRPr="00990E80">
        <w:rPr>
          <w:rFonts w:ascii="Times New Roman" w:eastAsiaTheme="minorEastAsia" w:hAnsi="Times New Roman" w:hint="eastAsia"/>
          <w:color w:val="333333"/>
          <w:shd w:val="clear" w:color="auto" w:fill="FFFFFF"/>
        </w:rPr>
        <w:t>《个人金融信息保护技术规范》</w:t>
      </w:r>
      <w:r w:rsidRPr="00990E80">
        <w:rPr>
          <w:rFonts w:ascii="Times New Roman" w:eastAsiaTheme="minorEastAsia" w:hAnsi="Times New Roman" w:hint="eastAsia"/>
          <w:color w:val="333333"/>
          <w:shd w:val="clear" w:color="auto" w:fill="FFFFFF"/>
        </w:rPr>
        <w:lastRenderedPageBreak/>
        <w:t>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00783302">
        <w:rPr>
          <w:rFonts w:ascii="Times New Roman" w:eastAsiaTheme="minorEastAsia" w:hAnsi="Times New Roman" w:hint="eastAsia"/>
          <w:color w:val="333333"/>
          <w:shd w:val="clear" w:color="auto" w:fill="FFFFFF"/>
        </w:rPr>
        <w:t>再例如，</w:t>
      </w:r>
      <w:r w:rsidRPr="00990E80">
        <w:rPr>
          <w:rFonts w:ascii="Times New Roman" w:eastAsiaTheme="minorEastAsia" w:hAnsi="Times New Roman" w:hint="eastAsia"/>
          <w:color w:val="333333"/>
          <w:shd w:val="clear" w:color="auto" w:fill="FFFFFF"/>
        </w:rPr>
        <w:t>Kim</w:t>
      </w:r>
      <w:r w:rsidR="00783302">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2021</w:t>
      </w:r>
      <w:r w:rsidR="00783302">
        <w:rPr>
          <w:rFonts w:ascii="Times New Roman" w:eastAsiaTheme="minorEastAsia" w:hAnsi="Times New Roman" w:hint="eastAsia"/>
          <w:color w:val="333333"/>
          <w:shd w:val="clear" w:color="auto" w:fill="FFFFFF"/>
        </w:rPr>
        <w:t>年，</w:t>
      </w:r>
      <w:r w:rsidRPr="00990E80">
        <w:rPr>
          <w:rFonts w:ascii="Times New Roman" w:eastAsiaTheme="minorEastAsia" w:hAnsi="Times New Roman" w:hint="eastAsia"/>
          <w:color w:val="333333"/>
          <w:shd w:val="clear" w:color="auto" w:fill="FFFFFF"/>
        </w:rPr>
        <w:t>提出的混合流程优化方案</w:t>
      </w:r>
      <w:r w:rsidR="00783302">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虽</w:t>
      </w:r>
      <w:r w:rsidR="00783302">
        <w:rPr>
          <w:rFonts w:ascii="Times New Roman" w:eastAsiaTheme="minorEastAsia" w:hAnsi="Times New Roman" w:hint="eastAsia"/>
          <w:color w:val="333333"/>
          <w:shd w:val="clear" w:color="auto" w:fill="FFFFFF"/>
        </w:rPr>
        <w:t>然</w:t>
      </w:r>
      <w:r w:rsidRPr="00990E80">
        <w:rPr>
          <w:rFonts w:ascii="Times New Roman" w:eastAsiaTheme="minorEastAsia" w:hAnsi="Times New Roman" w:hint="eastAsia"/>
          <w:color w:val="333333"/>
          <w:shd w:val="clear" w:color="auto" w:fill="FFFFFF"/>
        </w:rPr>
        <w:t>提升</w:t>
      </w:r>
      <w:r w:rsidR="00783302">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交付</w:t>
      </w:r>
      <w:r w:rsidR="00783302">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速度，</w:t>
      </w:r>
      <w:r w:rsidR="004477E3">
        <w:rPr>
          <w:rFonts w:ascii="Times New Roman" w:eastAsiaTheme="minorEastAsia" w:hAnsi="Times New Roman" w:hint="eastAsia"/>
          <w:color w:val="333333"/>
          <w:shd w:val="clear" w:color="auto" w:fill="FFFFFF"/>
        </w:rPr>
        <w:t>但是</w:t>
      </w:r>
      <w:r w:rsidRPr="00990E80">
        <w:rPr>
          <w:rFonts w:ascii="Times New Roman" w:eastAsiaTheme="minorEastAsia" w:hAnsi="Times New Roman" w:hint="eastAsia"/>
          <w:color w:val="333333"/>
          <w:shd w:val="clear" w:color="auto" w:fill="FFFFFF"/>
        </w:rPr>
        <w:t>缺乏</w:t>
      </w:r>
      <w:r w:rsidR="004477E3">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00A365B4">
        <w:rPr>
          <w:rFonts w:ascii="Times New Roman" w:eastAsiaTheme="minorEastAsia" w:hAnsi="Times New Roman" w:hint="eastAsia"/>
          <w:color w:val="333333"/>
          <w:shd w:val="clear" w:color="auto" w:fill="FFFFFF"/>
        </w:rPr>
        <w:t>然而，</w:t>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w:t>
      </w:r>
      <w:r w:rsidR="00A365B4">
        <w:rPr>
          <w:rFonts w:ascii="Times New Roman" w:eastAsiaTheme="minorEastAsia" w:hAnsi="Times New Roman" w:hint="eastAsia"/>
          <w:color w:val="333333"/>
          <w:shd w:val="clear" w:color="auto" w:fill="FFFFFF"/>
        </w:rPr>
        <w:t>从而</w:t>
      </w:r>
      <w:r w:rsidRPr="00990E80">
        <w:rPr>
          <w:rFonts w:ascii="Times New Roman" w:eastAsiaTheme="minorEastAsia" w:hAnsi="Times New Roman" w:hint="eastAsia"/>
          <w:color w:val="333333"/>
          <w:shd w:val="clear" w:color="auto" w:fill="FFFFFF"/>
        </w:rPr>
        <w:t>填补</w:t>
      </w:r>
      <w:r w:rsidR="00A365B4">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w:t>
      </w:r>
      <w:r w:rsidR="003B7C83">
        <w:rPr>
          <w:rFonts w:ascii="Times New Roman" w:eastAsiaTheme="minorEastAsia" w:hAnsi="Times New Roman" w:hint="eastAsia"/>
          <w:color w:val="333333"/>
          <w:shd w:val="clear" w:color="auto" w:fill="FFFFFF"/>
        </w:rPr>
        <w:t>软件开发的</w:t>
      </w:r>
      <w:r w:rsidRPr="00990E80">
        <w:rPr>
          <w:rFonts w:ascii="Times New Roman" w:eastAsiaTheme="minorEastAsia" w:hAnsi="Times New Roman" w:hint="eastAsia"/>
          <w:color w:val="333333"/>
          <w:shd w:val="clear" w:color="auto" w:fill="FFFFFF"/>
        </w:rPr>
        <w:t>真实</w:t>
      </w:r>
      <w:r w:rsidR="005D4C05">
        <w:rPr>
          <w:rFonts w:ascii="Times New Roman" w:eastAsiaTheme="minorEastAsia" w:hAnsi="Times New Roman" w:hint="eastAsia"/>
          <w:color w:val="333333"/>
          <w:shd w:val="clear" w:color="auto" w:fill="FFFFFF"/>
        </w:rPr>
        <w:t>现状，提出切实可行</w:t>
      </w:r>
      <w:r w:rsidRPr="00990E80">
        <w:rPr>
          <w:rFonts w:ascii="Times New Roman" w:eastAsiaTheme="minorEastAsia" w:hAnsi="Times New Roman" w:hint="eastAsia"/>
          <w:color w:val="333333"/>
          <w:shd w:val="clear" w:color="auto" w:fill="FFFFFF"/>
        </w:rPr>
        <w:t>的改进方案</w:t>
      </w:r>
      <w:r w:rsidR="005D4C05">
        <w:rPr>
          <w:rFonts w:ascii="Times New Roman" w:eastAsiaTheme="minorEastAsia" w:hAnsi="Times New Roman" w:hint="eastAsia"/>
          <w:color w:val="333333"/>
          <w:shd w:val="clear" w:color="auto" w:fill="FFFFFF"/>
        </w:rPr>
        <w:t>，</w:t>
      </w:r>
      <w:r w:rsidR="005E6FE3">
        <w:rPr>
          <w:rFonts w:ascii="Times New Roman" w:eastAsiaTheme="minorEastAsia" w:hAnsi="Times New Roman" w:hint="eastAsia"/>
          <w:color w:val="333333"/>
          <w:shd w:val="clear" w:color="auto" w:fill="FFFFFF"/>
        </w:rPr>
        <w:t>从而</w:t>
      </w:r>
      <w:r w:rsidRPr="00990E80">
        <w:rPr>
          <w:rFonts w:ascii="Times New Roman" w:eastAsiaTheme="minorEastAsia" w:hAnsi="Times New Roman" w:hint="eastAsia"/>
          <w:color w:val="333333"/>
          <w:shd w:val="clear" w:color="auto" w:fill="FFFFFF"/>
        </w:rPr>
        <w:t>直接降低技术债务修复成本。</w:t>
      </w:r>
      <w:r w:rsidR="0095256B">
        <w:rPr>
          <w:rFonts w:ascii="Times New Roman" w:eastAsiaTheme="minorEastAsia" w:hAnsi="Times New Roman" w:hint="eastAsia"/>
          <w:color w:val="333333"/>
          <w:shd w:val="clear" w:color="auto" w:fill="FFFFFF"/>
        </w:rPr>
        <w:t>预测</w:t>
      </w:r>
      <w:r w:rsidRPr="00990E80">
        <w:rPr>
          <w:rFonts w:ascii="Times New Roman" w:eastAsiaTheme="minorEastAsia" w:hAnsi="Times New Roman" w:hint="eastAsia"/>
          <w:color w:val="333333"/>
          <w:shd w:val="clear" w:color="auto" w:fill="FFFFFF"/>
        </w:rPr>
        <w:t>数据显示，采用安全即代码（</w:t>
      </w:r>
      <w:r w:rsidRPr="00990E80">
        <w:rPr>
          <w:rFonts w:ascii="Times New Roman" w:eastAsiaTheme="minorEastAsia" w:hAnsi="Times New Roman" w:hint="eastAsia"/>
          <w:color w:val="333333"/>
          <w:shd w:val="clear" w:color="auto" w:fill="FFFFFF"/>
        </w:rPr>
        <w:t>Security as Code</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w:t>
      </w:r>
      <w:r w:rsidR="00A72531">
        <w:rPr>
          <w:rFonts w:ascii="Times New Roman" w:eastAsiaTheme="minorEastAsia" w:hAnsi="Times New Roman" w:hint="eastAsia"/>
          <w:color w:val="333333"/>
          <w:shd w:val="clear" w:color="auto" w:fill="FFFFFF"/>
        </w:rPr>
        <w:t>由此可以看出，</w:t>
      </w:r>
      <w:r w:rsidRPr="00990E80">
        <w:rPr>
          <w:rFonts w:ascii="Times New Roman" w:eastAsiaTheme="minorEastAsia" w:hAnsi="Times New Roman" w:hint="eastAsia"/>
          <w:color w:val="333333"/>
          <w:shd w:val="clear" w:color="auto" w:fill="FFFFFF"/>
        </w:rPr>
        <w:t>对应</w:t>
      </w:r>
      <w:r w:rsidR="00A72531">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成本下降率</w:t>
      </w:r>
      <w:r w:rsidR="00A72531">
        <w:rPr>
          <w:rFonts w:ascii="Times New Roman" w:eastAsiaTheme="minorEastAsia" w:hAnsi="Times New Roman" w:hint="eastAsia"/>
          <w:color w:val="333333"/>
          <w:shd w:val="clear" w:color="auto" w:fill="FFFFFF"/>
        </w:rPr>
        <w:t>高</w:t>
      </w:r>
      <w:r w:rsidRPr="00990E80">
        <w:rPr>
          <w:rFonts w:ascii="Times New Roman" w:eastAsiaTheme="minorEastAsia" w:hAnsi="Times New Roman" w:hint="eastAsia"/>
          <w:color w:val="333333"/>
          <w:shd w:val="clear" w:color="auto" w:fill="FFFFFF"/>
        </w:rPr>
        <w:t>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w:t>
      </w:r>
      <w:r w:rsidR="00BA6235">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w:t>
      </w:r>
      <w:r w:rsidR="006F1A17">
        <w:rPr>
          <w:rFonts w:ascii="Times New Roman" w:eastAsiaTheme="minorEastAsia" w:hAnsi="Times New Roman" w:hint="eastAsia"/>
          <w:color w:val="333333"/>
          <w:shd w:val="clear" w:color="auto" w:fill="FFFFFF"/>
        </w:rPr>
        <w:t>而</w:t>
      </w:r>
      <w:r w:rsidRPr="00990E80">
        <w:rPr>
          <w:rFonts w:ascii="Times New Roman" w:eastAsiaTheme="minorEastAsia" w:hAnsi="Times New Roman" w:hint="eastAsia"/>
          <w:color w:val="333333"/>
          <w:shd w:val="clear" w:color="auto" w:fill="FFFFFF"/>
        </w:rPr>
        <w:t>导致的系统重构</w:t>
      </w:r>
      <w:r w:rsidR="006F1A17">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风险。该成果对同类金融科技企业具有普适性迁移价值，</w:t>
      </w:r>
      <w:r w:rsidR="000E4DB7">
        <w:rPr>
          <w:rFonts w:ascii="Times New Roman" w:eastAsiaTheme="minorEastAsia" w:hAnsi="Times New Roman" w:hint="eastAsia"/>
          <w:color w:val="333333"/>
          <w:shd w:val="clear" w:color="auto" w:fill="FFFFFF"/>
        </w:rPr>
        <w:t>根据</w:t>
      </w:r>
      <w:r w:rsidRPr="00990E80">
        <w:rPr>
          <w:rFonts w:ascii="Times New Roman" w:eastAsiaTheme="minorEastAsia" w:hAnsi="Times New Roman" w:hint="eastAsia"/>
          <w:color w:val="333333"/>
          <w:shd w:val="clear" w:color="auto" w:fill="FFFFFF"/>
        </w:rPr>
        <w:t>Capgemini</w:t>
      </w:r>
      <w:r w:rsidR="000E4DB7">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2024</w:t>
      </w:r>
      <w:r w:rsidR="000E4DB7">
        <w:rPr>
          <w:rFonts w:ascii="Times New Roman" w:eastAsiaTheme="minorEastAsia" w:hAnsi="Times New Roman" w:hint="eastAsia"/>
          <w:color w:val="333333"/>
          <w:shd w:val="clear" w:color="auto" w:fill="FFFFFF"/>
        </w:rPr>
        <w:t>年的</w:t>
      </w:r>
      <w:r w:rsidRPr="00990E80">
        <w:rPr>
          <w:rFonts w:ascii="Times New Roman" w:eastAsiaTheme="minorEastAsia" w:hAnsi="Times New Roman" w:hint="eastAsia"/>
          <w:color w:val="333333"/>
          <w:shd w:val="clear" w:color="auto" w:fill="FFFFFF"/>
        </w:rPr>
        <w:t>预测</w:t>
      </w:r>
      <w:r w:rsidR="000E4DB7">
        <w:rPr>
          <w:rFonts w:ascii="Times New Roman" w:eastAsiaTheme="minorEastAsia" w:hAnsi="Times New Roman" w:hint="eastAsia"/>
          <w:color w:val="333333"/>
          <w:shd w:val="clear" w:color="auto" w:fill="FFFFFF"/>
        </w:rPr>
        <w:t>表明</w:t>
      </w:r>
      <w:r w:rsidRPr="00990E80">
        <w:rPr>
          <w:rFonts w:ascii="Times New Roman" w:eastAsiaTheme="minorEastAsia" w:hAnsi="Times New Roman" w:hint="eastAsia"/>
          <w:color w:val="333333"/>
          <w:shd w:val="clear" w:color="auto" w:fill="FFFFFF"/>
        </w:rPr>
        <w:t>，全球金融科技市场规模将在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w:t>
      </w:r>
      <w:r w:rsidR="007B0883">
        <w:rPr>
          <w:rFonts w:ascii="Times New Roman" w:eastAsiaTheme="minorEastAsia" w:hAnsi="Times New Roman" w:hint="eastAsia"/>
          <w:color w:val="333333"/>
          <w:shd w:val="clear" w:color="auto" w:fill="FFFFFF"/>
        </w:rPr>
        <w:t>而软件开发</w:t>
      </w:r>
      <w:r w:rsidRPr="00990E80">
        <w:rPr>
          <w:rFonts w:ascii="Times New Roman" w:eastAsiaTheme="minorEastAsia" w:hAnsi="Times New Roman" w:hint="eastAsia"/>
          <w:color w:val="333333"/>
          <w:shd w:val="clear" w:color="auto" w:fill="FFFFFF"/>
        </w:rPr>
        <w:t>过程</w:t>
      </w:r>
      <w:r w:rsidR="007B0883">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改进</w:t>
      </w:r>
      <w:r w:rsidR="007B0883">
        <w:rPr>
          <w:rFonts w:ascii="Times New Roman" w:eastAsiaTheme="minorEastAsia" w:hAnsi="Times New Roman" w:hint="eastAsia"/>
          <w:color w:val="333333"/>
          <w:shd w:val="clear" w:color="auto" w:fill="FFFFFF"/>
        </w:rPr>
        <w:t>，其对应</w:t>
      </w:r>
      <w:r w:rsidRPr="00990E80">
        <w:rPr>
          <w:rFonts w:ascii="Times New Roman" w:eastAsiaTheme="minorEastAsia" w:hAnsi="Times New Roman" w:hint="eastAsia"/>
          <w:color w:val="333333"/>
          <w:shd w:val="clear" w:color="auto" w:fill="FFFFFF"/>
        </w:rPr>
        <w:t>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872424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940068"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872425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8724253"/>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872425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w:t>
      </w:r>
      <w:bookmarkStart w:id="51" w:name="_GoBack"/>
      <w:bookmarkEnd w:id="51"/>
      <w:r w:rsidRPr="009B7C33">
        <w:rPr>
          <w:rFonts w:ascii="Times New Roman" w:eastAsiaTheme="minorEastAsia" w:hAnsi="Times New Roman" w:hint="eastAsia"/>
          <w:color w:val="333333"/>
        </w:rPr>
        <w:t>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2"/>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lastRenderedPageBreak/>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3"/>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w:t>
      </w:r>
      <w:r w:rsidRPr="00663D1C">
        <w:rPr>
          <w:rFonts w:ascii="Times New Roman" w:eastAsiaTheme="minorEastAsia" w:hAnsi="Times New Roman" w:hint="eastAsia"/>
          <w:color w:val="333333"/>
        </w:rPr>
        <w:lastRenderedPageBreak/>
        <w:t>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4"/>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5"/>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w:t>
      </w:r>
      <w:r w:rsidRPr="00435381">
        <w:rPr>
          <w:rFonts w:ascii="Times New Roman" w:eastAsiaTheme="minorEastAsia" w:hAnsi="Times New Roman" w:hint="eastAsia"/>
          <w:color w:val="333333"/>
        </w:rPr>
        <w:lastRenderedPageBreak/>
        <w:t>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6"/>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940068"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198724265"/>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198724277"/>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198724288"/>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8724296"/>
      <w:bookmarkStart w:id="93" w:name="OLE_LINK3"/>
      <w:bookmarkStart w:id="94"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8724297"/>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8724300"/>
      <w:r w:rsidRPr="00357FA6">
        <w:rPr>
          <w:rFonts w:hint="eastAsia"/>
        </w:rPr>
        <w:lastRenderedPageBreak/>
        <w:t>第六章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8724303"/>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8724304"/>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068" w:rsidRDefault="00940068">
      <w:r>
        <w:separator/>
      </w:r>
    </w:p>
    <w:p w:rsidR="00940068" w:rsidRDefault="00940068"/>
    <w:p w:rsidR="00940068" w:rsidRDefault="00940068"/>
    <w:p w:rsidR="00940068" w:rsidRDefault="00940068" w:rsidP="00B2295F"/>
    <w:p w:rsidR="00940068" w:rsidRDefault="00940068" w:rsidP="009E7B19"/>
    <w:p w:rsidR="00940068" w:rsidRDefault="00940068" w:rsidP="001F50FA"/>
    <w:p w:rsidR="00940068" w:rsidRDefault="00940068" w:rsidP="001F50FA"/>
    <w:p w:rsidR="00940068" w:rsidRDefault="00940068" w:rsidP="00E760FF"/>
    <w:p w:rsidR="00940068" w:rsidRDefault="00940068" w:rsidP="00E760FF"/>
    <w:p w:rsidR="00940068" w:rsidRDefault="00940068" w:rsidP="00076037"/>
    <w:p w:rsidR="00940068" w:rsidRDefault="00940068"/>
    <w:p w:rsidR="00940068" w:rsidRDefault="00940068" w:rsidP="00C60996"/>
    <w:p w:rsidR="00940068" w:rsidRDefault="00940068" w:rsidP="00C60996"/>
    <w:p w:rsidR="00940068" w:rsidRDefault="00940068" w:rsidP="00C60996"/>
    <w:p w:rsidR="00940068" w:rsidRDefault="00940068" w:rsidP="00990E80"/>
    <w:p w:rsidR="00940068" w:rsidRDefault="00940068"/>
    <w:p w:rsidR="00940068" w:rsidRDefault="00940068" w:rsidP="003E79A4"/>
    <w:p w:rsidR="00940068" w:rsidRDefault="00940068" w:rsidP="00C17D2B"/>
    <w:p w:rsidR="00940068" w:rsidRDefault="00940068" w:rsidP="00E17EA1"/>
    <w:p w:rsidR="00940068" w:rsidRDefault="00940068" w:rsidP="00E40F36"/>
    <w:p w:rsidR="00940068" w:rsidRDefault="00940068" w:rsidP="001B0BB3"/>
  </w:endnote>
  <w:endnote w:type="continuationSeparator" w:id="0">
    <w:p w:rsidR="00940068" w:rsidRDefault="00940068">
      <w:r>
        <w:continuationSeparator/>
      </w:r>
    </w:p>
    <w:p w:rsidR="00940068" w:rsidRDefault="00940068"/>
    <w:p w:rsidR="00940068" w:rsidRDefault="00940068"/>
    <w:p w:rsidR="00940068" w:rsidRDefault="00940068" w:rsidP="00B2295F"/>
    <w:p w:rsidR="00940068" w:rsidRDefault="00940068" w:rsidP="009E7B19"/>
    <w:p w:rsidR="00940068" w:rsidRDefault="00940068" w:rsidP="001F50FA"/>
    <w:p w:rsidR="00940068" w:rsidRDefault="00940068" w:rsidP="001F50FA"/>
    <w:p w:rsidR="00940068" w:rsidRDefault="00940068" w:rsidP="00E760FF"/>
    <w:p w:rsidR="00940068" w:rsidRDefault="00940068" w:rsidP="00E760FF"/>
    <w:p w:rsidR="00940068" w:rsidRDefault="00940068" w:rsidP="00076037"/>
    <w:p w:rsidR="00940068" w:rsidRDefault="00940068"/>
    <w:p w:rsidR="00940068" w:rsidRDefault="00940068" w:rsidP="00C60996"/>
    <w:p w:rsidR="00940068" w:rsidRDefault="00940068" w:rsidP="00C60996"/>
    <w:p w:rsidR="00940068" w:rsidRDefault="00940068" w:rsidP="00C60996"/>
    <w:p w:rsidR="00940068" w:rsidRDefault="00940068" w:rsidP="00990E80"/>
    <w:p w:rsidR="00940068" w:rsidRDefault="00940068"/>
    <w:p w:rsidR="00940068" w:rsidRDefault="00940068" w:rsidP="003E79A4"/>
    <w:p w:rsidR="00940068" w:rsidRDefault="00940068" w:rsidP="00C17D2B"/>
    <w:p w:rsidR="00940068" w:rsidRDefault="00940068" w:rsidP="00E17EA1"/>
    <w:p w:rsidR="00940068" w:rsidRDefault="00940068" w:rsidP="00E40F36"/>
    <w:p w:rsidR="00940068" w:rsidRDefault="00940068"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5753F" w:rsidRDefault="0065753F">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65753F" w:rsidRDefault="0065753F">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65753F" w:rsidRDefault="0065753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65753F" w:rsidRDefault="0065753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65753F" w:rsidRDefault="0065753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65753F" w:rsidRDefault="0065753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5753F" w:rsidRDefault="0065753F">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65753F" w:rsidRDefault="0065753F">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65753F" w:rsidRDefault="0065753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65753F" w:rsidRDefault="0065753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5"/>
      <w:ind w:firstLine="360"/>
      <w:jc w:val="center"/>
    </w:pPr>
  </w:p>
  <w:p w:rsidR="0065753F" w:rsidRDefault="0065753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068" w:rsidRDefault="00940068">
      <w:r>
        <w:separator/>
      </w:r>
    </w:p>
    <w:p w:rsidR="00940068" w:rsidRDefault="00940068"/>
    <w:p w:rsidR="00940068" w:rsidRDefault="00940068"/>
    <w:p w:rsidR="00940068" w:rsidRDefault="00940068" w:rsidP="00B2295F"/>
    <w:p w:rsidR="00940068" w:rsidRDefault="00940068" w:rsidP="009E7B19"/>
    <w:p w:rsidR="00940068" w:rsidRDefault="00940068" w:rsidP="001F50FA"/>
    <w:p w:rsidR="00940068" w:rsidRDefault="00940068" w:rsidP="001F50FA"/>
    <w:p w:rsidR="00940068" w:rsidRDefault="00940068" w:rsidP="00E760FF"/>
    <w:p w:rsidR="00940068" w:rsidRDefault="00940068" w:rsidP="00E760FF"/>
    <w:p w:rsidR="00940068" w:rsidRDefault="00940068" w:rsidP="00076037"/>
    <w:p w:rsidR="00940068" w:rsidRDefault="00940068"/>
    <w:p w:rsidR="00940068" w:rsidRDefault="00940068" w:rsidP="00C60996"/>
    <w:p w:rsidR="00940068" w:rsidRDefault="00940068" w:rsidP="00C60996"/>
    <w:p w:rsidR="00940068" w:rsidRDefault="00940068" w:rsidP="00C60996"/>
    <w:p w:rsidR="00940068" w:rsidRDefault="00940068" w:rsidP="00990E80"/>
    <w:p w:rsidR="00940068" w:rsidRDefault="00940068"/>
    <w:p w:rsidR="00940068" w:rsidRDefault="00940068" w:rsidP="003E79A4"/>
    <w:p w:rsidR="00940068" w:rsidRDefault="00940068" w:rsidP="00C17D2B"/>
    <w:p w:rsidR="00940068" w:rsidRDefault="00940068" w:rsidP="00E17EA1"/>
    <w:p w:rsidR="00940068" w:rsidRDefault="00940068" w:rsidP="00E40F36"/>
    <w:p w:rsidR="00940068" w:rsidRDefault="00940068" w:rsidP="001B0BB3"/>
  </w:footnote>
  <w:footnote w:type="continuationSeparator" w:id="0">
    <w:p w:rsidR="00940068" w:rsidRDefault="00940068">
      <w:r>
        <w:continuationSeparator/>
      </w:r>
    </w:p>
    <w:p w:rsidR="00940068" w:rsidRDefault="00940068"/>
    <w:p w:rsidR="00940068" w:rsidRDefault="00940068"/>
    <w:p w:rsidR="00940068" w:rsidRDefault="00940068" w:rsidP="00B2295F"/>
    <w:p w:rsidR="00940068" w:rsidRDefault="00940068" w:rsidP="009E7B19"/>
    <w:p w:rsidR="00940068" w:rsidRDefault="00940068" w:rsidP="001F50FA"/>
    <w:p w:rsidR="00940068" w:rsidRDefault="00940068" w:rsidP="001F50FA"/>
    <w:p w:rsidR="00940068" w:rsidRDefault="00940068" w:rsidP="00E760FF"/>
    <w:p w:rsidR="00940068" w:rsidRDefault="00940068" w:rsidP="00E760FF"/>
    <w:p w:rsidR="00940068" w:rsidRDefault="00940068" w:rsidP="00076037"/>
    <w:p w:rsidR="00940068" w:rsidRDefault="00940068"/>
    <w:p w:rsidR="00940068" w:rsidRDefault="00940068" w:rsidP="00C60996"/>
    <w:p w:rsidR="00940068" w:rsidRDefault="00940068" w:rsidP="00C60996"/>
    <w:p w:rsidR="00940068" w:rsidRDefault="00940068" w:rsidP="00C60996"/>
    <w:p w:rsidR="00940068" w:rsidRDefault="00940068" w:rsidP="00990E80"/>
    <w:p w:rsidR="00940068" w:rsidRDefault="00940068"/>
    <w:p w:rsidR="00940068" w:rsidRDefault="00940068" w:rsidP="003E79A4"/>
    <w:p w:rsidR="00940068" w:rsidRDefault="00940068" w:rsidP="00C17D2B"/>
    <w:p w:rsidR="00940068" w:rsidRDefault="00940068" w:rsidP="00E17EA1"/>
    <w:p w:rsidR="00940068" w:rsidRDefault="00940068" w:rsidP="00E40F36"/>
    <w:p w:rsidR="00940068" w:rsidRDefault="00940068"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722E3">
      <w:rPr>
        <w:rFonts w:hint="eastAsia"/>
        <w:noProof/>
        <w:sz w:val="18"/>
        <w:szCs w:val="18"/>
      </w:rPr>
      <w:t>目</w:t>
    </w:r>
    <w:r w:rsidR="002722E3">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74FE"/>
    <w:rsid w:val="00022F5B"/>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648EB"/>
    <w:rsid w:val="00265171"/>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36A9"/>
    <w:rsid w:val="00933EE2"/>
    <w:rsid w:val="0093575F"/>
    <w:rsid w:val="00937745"/>
    <w:rsid w:val="00940068"/>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6235"/>
    <w:rsid w:val="00BA790E"/>
    <w:rsid w:val="00BB22A3"/>
    <w:rsid w:val="00BB4E7D"/>
    <w:rsid w:val="00BB5D06"/>
    <w:rsid w:val="00BB7C09"/>
    <w:rsid w:val="00BC4DE9"/>
    <w:rsid w:val="00BD3C75"/>
    <w:rsid w:val="00BD5566"/>
    <w:rsid w:val="00BD72CC"/>
    <w:rsid w:val="00BE31BF"/>
    <w:rsid w:val="00BF169F"/>
    <w:rsid w:val="00BF3F25"/>
    <w:rsid w:val="00BF3FF1"/>
    <w:rsid w:val="00BF4961"/>
    <w:rsid w:val="00BF5CB0"/>
    <w:rsid w:val="00BF74B7"/>
    <w:rsid w:val="00C00181"/>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E9C68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1BF18B-4009-074E-84DC-15879319D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81</Pages>
  <Words>9853</Words>
  <Characters>56166</Characters>
  <Application>Microsoft Office Word</Application>
  <DocSecurity>0</DocSecurity>
  <Lines>468</Lines>
  <Paragraphs>131</Paragraphs>
  <ScaleCrop>false</ScaleCrop>
  <Company>nwpu</Company>
  <LinksUpToDate>false</LinksUpToDate>
  <CharactersWithSpaces>65888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978</cp:revision>
  <cp:lastPrinted>2022-11-15T09:00:00Z</cp:lastPrinted>
  <dcterms:created xsi:type="dcterms:W3CDTF">2018-09-02T20:09:00Z</dcterms:created>
  <dcterms:modified xsi:type="dcterms:W3CDTF">2025-08-11T14:46:00Z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