
<file path=[Content_Types].xml><?xml version="1.0" encoding="utf-8"?>
<Types xmlns="http://schemas.openxmlformats.org/package/2006/content-types">
  <Default Extension="xml" ContentType="application/xml"/>
  <Default Extension="xlsx" ContentType="application/vnd.openxmlformats-officedocument.spreadsheetml.sheet"/>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iagrams/colors1.xml" ContentType="application/vnd.openxmlformats-officedocument.drawingml.diagramColors+xml"/>
  <Override PartName="/word/diagrams/colors10.xml" ContentType="application/vnd.openxmlformats-officedocument.drawingml.diagramColors+xml"/>
  <Override PartName="/word/diagrams/colors11.xml" ContentType="application/vnd.openxmlformats-officedocument.drawingml.diagramColors+xml"/>
  <Override PartName="/word/diagrams/colors12.xml" ContentType="application/vnd.openxmlformats-officedocument.drawingml.diagramColors+xml"/>
  <Override PartName="/word/diagrams/colors13.xml" ContentType="application/vnd.openxmlformats-officedocument.drawingml.diagramColors+xml"/>
  <Override PartName="/word/diagrams/colors14.xml" ContentType="application/vnd.openxmlformats-officedocument.drawingml.diagramColors+xml"/>
  <Override PartName="/word/diagrams/colors15.xml" ContentType="application/vnd.openxmlformats-officedocument.drawingml.diagramColors+xml"/>
  <Override PartName="/word/diagrams/colors16.xml" ContentType="application/vnd.openxmlformats-officedocument.drawingml.diagramColors+xml"/>
  <Override PartName="/word/diagrams/colors17.xml" ContentType="application/vnd.openxmlformats-officedocument.drawingml.diagramColors+xml"/>
  <Override PartName="/word/diagrams/colors18.xml" ContentType="application/vnd.openxmlformats-officedocument.drawingml.diagramColors+xml"/>
  <Override PartName="/word/diagrams/colors19.xml" ContentType="application/vnd.openxmlformats-officedocument.drawingml.diagramColors+xml"/>
  <Override PartName="/word/diagrams/colors2.xml" ContentType="application/vnd.openxmlformats-officedocument.drawingml.diagramColors+xml"/>
  <Override PartName="/word/diagrams/colors20.xml" ContentType="application/vnd.openxmlformats-officedocument.drawingml.diagramColors+xml"/>
  <Override PartName="/word/diagrams/colors21.xml" ContentType="application/vnd.openxmlformats-officedocument.drawingml.diagramColors+xml"/>
  <Override PartName="/word/diagrams/colors22.xml" ContentType="application/vnd.openxmlformats-officedocument.drawingml.diagramColors+xml"/>
  <Override PartName="/word/diagrams/colors23.xml" ContentType="application/vnd.openxmlformats-officedocument.drawingml.diagramColors+xml"/>
  <Override PartName="/word/diagrams/colors24.xml" ContentType="application/vnd.openxmlformats-officedocument.drawingml.diagramColors+xml"/>
  <Override PartName="/word/diagrams/colors25.xml" ContentType="application/vnd.openxmlformats-officedocument.drawingml.diagramColors+xml"/>
  <Override PartName="/word/diagrams/colors26.xml" ContentType="application/vnd.openxmlformats-officedocument.drawingml.diagramColors+xml"/>
  <Override PartName="/word/diagrams/colors27.xml" ContentType="application/vnd.openxmlformats-officedocument.drawingml.diagramColors+xml"/>
  <Override PartName="/word/diagrams/colors28.xml" ContentType="application/vnd.openxmlformats-officedocument.drawingml.diagramColors+xml"/>
  <Override PartName="/word/diagrams/colors29.xml" ContentType="application/vnd.openxmlformats-officedocument.drawingml.diagramColors+xml"/>
  <Override PartName="/word/diagrams/colors3.xml" ContentType="application/vnd.openxmlformats-officedocument.drawingml.diagramColors+xml"/>
  <Override PartName="/word/diagrams/colors30.xml" ContentType="application/vnd.openxmlformats-officedocument.drawingml.diagramColors+xml"/>
  <Override PartName="/word/diagrams/colors31.xml" ContentType="application/vnd.openxmlformats-officedocument.drawingml.diagramColors+xml"/>
  <Override PartName="/word/diagrams/colors4.xml" ContentType="application/vnd.openxmlformats-officedocument.drawingml.diagramColors+xml"/>
  <Override PartName="/word/diagrams/colors5.xml" ContentType="application/vnd.openxmlformats-officedocument.drawingml.diagramColors+xml"/>
  <Override PartName="/word/diagrams/colors6.xml" ContentType="application/vnd.openxmlformats-officedocument.drawingml.diagramColors+xml"/>
  <Override PartName="/word/diagrams/colors7.xml" ContentType="application/vnd.openxmlformats-officedocument.drawingml.diagramColors+xml"/>
  <Override PartName="/word/diagrams/colors8.xml" ContentType="application/vnd.openxmlformats-officedocument.drawingml.diagramColors+xml"/>
  <Override PartName="/word/diagrams/colors9.xml" ContentType="application/vnd.openxmlformats-officedocument.drawingml.diagramColors+xml"/>
  <Override PartName="/word/diagrams/data1.xml" ContentType="application/vnd.openxmlformats-officedocument.drawingml.diagramData+xml"/>
  <Override PartName="/word/diagrams/data10.xml" ContentType="application/vnd.openxmlformats-officedocument.drawingml.diagramData+xml"/>
  <Override PartName="/word/diagrams/data11.xml" ContentType="application/vnd.openxmlformats-officedocument.drawingml.diagramData+xml"/>
  <Override PartName="/word/diagrams/data12.xml" ContentType="application/vnd.openxmlformats-officedocument.drawingml.diagramData+xml"/>
  <Override PartName="/word/diagrams/data13.xml" ContentType="application/vnd.openxmlformats-officedocument.drawingml.diagramData+xml"/>
  <Override PartName="/word/diagrams/data14.xml" ContentType="application/vnd.openxmlformats-officedocument.drawingml.diagramData+xml"/>
  <Override PartName="/word/diagrams/data15.xml" ContentType="application/vnd.openxmlformats-officedocument.drawingml.diagramData+xml"/>
  <Override PartName="/word/diagrams/data16.xml" ContentType="application/vnd.openxmlformats-officedocument.drawingml.diagramData+xml"/>
  <Override PartName="/word/diagrams/data17.xml" ContentType="application/vnd.openxmlformats-officedocument.drawingml.diagramData+xml"/>
  <Override PartName="/word/diagrams/data18.xml" ContentType="application/vnd.openxmlformats-officedocument.drawingml.diagramData+xml"/>
  <Override PartName="/word/diagrams/data19.xml" ContentType="application/vnd.openxmlformats-officedocument.drawingml.diagramData+xml"/>
  <Override PartName="/word/diagrams/data2.xml" ContentType="application/vnd.openxmlformats-officedocument.drawingml.diagramData+xml"/>
  <Override PartName="/word/diagrams/data20.xml" ContentType="application/vnd.openxmlformats-officedocument.drawingml.diagramData+xml"/>
  <Override PartName="/word/diagrams/data21.xml" ContentType="application/vnd.openxmlformats-officedocument.drawingml.diagramData+xml"/>
  <Override PartName="/word/diagrams/data22.xml" ContentType="application/vnd.openxmlformats-officedocument.drawingml.diagramData+xml"/>
  <Override PartName="/word/diagrams/data23.xml" ContentType="application/vnd.openxmlformats-officedocument.drawingml.diagramData+xml"/>
  <Override PartName="/word/diagrams/data24.xml" ContentType="application/vnd.openxmlformats-officedocument.drawingml.diagramData+xml"/>
  <Override PartName="/word/diagrams/data25.xml" ContentType="application/vnd.openxmlformats-officedocument.drawingml.diagramData+xml"/>
  <Override PartName="/word/diagrams/data26.xml" ContentType="application/vnd.openxmlformats-officedocument.drawingml.diagramData+xml"/>
  <Override PartName="/word/diagrams/data27.xml" ContentType="application/vnd.openxmlformats-officedocument.drawingml.diagramData+xml"/>
  <Override PartName="/word/diagrams/data28.xml" ContentType="application/vnd.openxmlformats-officedocument.drawingml.diagramData+xml"/>
  <Override PartName="/word/diagrams/data29.xml" ContentType="application/vnd.openxmlformats-officedocument.drawingml.diagramData+xml"/>
  <Override PartName="/word/diagrams/data3.xml" ContentType="application/vnd.openxmlformats-officedocument.drawingml.diagramData+xml"/>
  <Override PartName="/word/diagrams/data30.xml" ContentType="application/vnd.openxmlformats-officedocument.drawingml.diagramData+xml"/>
  <Override PartName="/word/diagrams/data31.xml" ContentType="application/vnd.openxmlformats-officedocument.drawingml.diagramData+xml"/>
  <Override PartName="/word/diagrams/data4.xml" ContentType="application/vnd.openxmlformats-officedocument.drawingml.diagramData+xml"/>
  <Override PartName="/word/diagrams/data5.xml" ContentType="application/vnd.openxmlformats-officedocument.drawingml.diagramData+xml"/>
  <Override PartName="/word/diagrams/data6.xml" ContentType="application/vnd.openxmlformats-officedocument.drawingml.diagramData+xml"/>
  <Override PartName="/word/diagrams/data7.xml" ContentType="application/vnd.openxmlformats-officedocument.drawingml.diagramData+xml"/>
  <Override PartName="/word/diagrams/data8.xml" ContentType="application/vnd.openxmlformats-officedocument.drawingml.diagramData+xml"/>
  <Override PartName="/word/diagrams/data9.xml" ContentType="application/vnd.openxmlformats-officedocument.drawingml.diagramData+xml"/>
  <Override PartName="/word/diagrams/drawing1.xml" ContentType="application/vnd.ms-office.drawingml.diagramDrawing+xml"/>
  <Override PartName="/word/diagrams/drawing10.xml" ContentType="application/vnd.ms-office.drawingml.diagramDrawing+xml"/>
  <Override PartName="/word/diagrams/drawing11.xml" ContentType="application/vnd.ms-office.drawingml.diagramDrawing+xml"/>
  <Override PartName="/word/diagrams/drawing12.xml" ContentType="application/vnd.ms-office.drawingml.diagramDrawing+xml"/>
  <Override PartName="/word/diagrams/drawing13.xml" ContentType="application/vnd.ms-office.drawingml.diagramDrawing+xml"/>
  <Override PartName="/word/diagrams/drawing14.xml" ContentType="application/vnd.ms-office.drawingml.diagramDrawing+xml"/>
  <Override PartName="/word/diagrams/drawing15.xml" ContentType="application/vnd.ms-office.drawingml.diagramDrawing+xml"/>
  <Override PartName="/word/diagrams/drawing16.xml" ContentType="application/vnd.ms-office.drawingml.diagramDrawing+xml"/>
  <Override PartName="/word/diagrams/drawing17.xml" ContentType="application/vnd.ms-office.drawingml.diagramDrawing+xml"/>
  <Override PartName="/word/diagrams/drawing18.xml" ContentType="application/vnd.ms-office.drawingml.diagramDrawing+xml"/>
  <Override PartName="/word/diagrams/drawing19.xml" ContentType="application/vnd.ms-office.drawingml.diagramDrawing+xml"/>
  <Override PartName="/word/diagrams/drawing2.xml" ContentType="application/vnd.ms-office.drawingml.diagramDrawing+xml"/>
  <Override PartName="/word/diagrams/drawing20.xml" ContentType="application/vnd.ms-office.drawingml.diagramDrawing+xml"/>
  <Override PartName="/word/diagrams/drawing21.xml" ContentType="application/vnd.ms-office.drawingml.diagramDrawing+xml"/>
  <Override PartName="/word/diagrams/drawing22.xml" ContentType="application/vnd.ms-office.drawingml.diagramDrawing+xml"/>
  <Override PartName="/word/diagrams/drawing23.xml" ContentType="application/vnd.ms-office.drawingml.diagramDrawing+xml"/>
  <Override PartName="/word/diagrams/drawing24.xml" ContentType="application/vnd.ms-office.drawingml.diagramDrawing+xml"/>
  <Override PartName="/word/diagrams/drawing25.xml" ContentType="application/vnd.ms-office.drawingml.diagramDrawing+xml"/>
  <Override PartName="/word/diagrams/drawing26.xml" ContentType="application/vnd.ms-office.drawingml.diagramDrawing+xml"/>
  <Override PartName="/word/diagrams/drawing27.xml" ContentType="application/vnd.ms-office.drawingml.diagramDrawing+xml"/>
  <Override PartName="/word/diagrams/drawing28.xml" ContentType="application/vnd.ms-office.drawingml.diagramDrawing+xml"/>
  <Override PartName="/word/diagrams/drawing29.xml" ContentType="application/vnd.ms-office.drawingml.diagramDrawing+xml"/>
  <Override PartName="/word/diagrams/drawing3.xml" ContentType="application/vnd.ms-office.drawingml.diagramDrawing+xml"/>
  <Override PartName="/word/diagrams/drawing30.xml" ContentType="application/vnd.ms-office.drawingml.diagramDrawing+xml"/>
  <Override PartName="/word/diagrams/drawing31.xml" ContentType="application/vnd.ms-office.drawingml.diagramDrawing+xml"/>
  <Override PartName="/word/diagrams/drawing4.xml" ContentType="application/vnd.ms-office.drawingml.diagramDrawing+xml"/>
  <Override PartName="/word/diagrams/drawing5.xml" ContentType="application/vnd.ms-office.drawingml.diagramDrawing+xml"/>
  <Override PartName="/word/diagrams/drawing6.xml" ContentType="application/vnd.ms-office.drawingml.diagramDrawing+xml"/>
  <Override PartName="/word/diagrams/drawing7.xml" ContentType="application/vnd.ms-office.drawingml.diagramDrawing+xml"/>
  <Override PartName="/word/diagrams/drawing8.xml" ContentType="application/vnd.ms-office.drawingml.diagramDrawing+xml"/>
  <Override PartName="/word/diagrams/drawing9.xml" ContentType="application/vnd.ms-office.drawingml.diagramDrawing+xml"/>
  <Override PartName="/word/diagrams/layout1.xml" ContentType="application/vnd.openxmlformats-officedocument.drawingml.diagramLayout+xml"/>
  <Override PartName="/word/diagrams/layout10.xml" ContentType="application/vnd.openxmlformats-officedocument.drawingml.diagramLayout+xml"/>
  <Override PartName="/word/diagrams/layout11.xml" ContentType="application/vnd.openxmlformats-officedocument.drawingml.diagramLayout+xml"/>
  <Override PartName="/word/diagrams/layout12.xml" ContentType="application/vnd.openxmlformats-officedocument.drawingml.diagramLayout+xml"/>
  <Override PartName="/word/diagrams/layout13.xml" ContentType="application/vnd.openxmlformats-officedocument.drawingml.diagramLayout+xml"/>
  <Override PartName="/word/diagrams/layout14.xml" ContentType="application/vnd.openxmlformats-officedocument.drawingml.diagramLayout+xml"/>
  <Override PartName="/word/diagrams/layout15.xml" ContentType="application/vnd.openxmlformats-officedocument.drawingml.diagramLayout+xml"/>
  <Override PartName="/word/diagrams/layout16.xml" ContentType="application/vnd.openxmlformats-officedocument.drawingml.diagramLayout+xml"/>
  <Override PartName="/word/diagrams/layout17.xml" ContentType="application/vnd.openxmlformats-officedocument.drawingml.diagramLayout+xml"/>
  <Override PartName="/word/diagrams/layout18.xml" ContentType="application/vnd.openxmlformats-officedocument.drawingml.diagramLayout+xml"/>
  <Override PartName="/word/diagrams/layout19.xml" ContentType="application/vnd.openxmlformats-officedocument.drawingml.diagramLayout+xml"/>
  <Override PartName="/word/diagrams/layout2.xml" ContentType="application/vnd.openxmlformats-officedocument.drawingml.diagramLayout+xml"/>
  <Override PartName="/word/diagrams/layout20.xml" ContentType="application/vnd.openxmlformats-officedocument.drawingml.diagramLayout+xml"/>
  <Override PartName="/word/diagrams/layout21.xml" ContentType="application/vnd.openxmlformats-officedocument.drawingml.diagramLayout+xml"/>
  <Override PartName="/word/diagrams/layout22.xml" ContentType="application/vnd.openxmlformats-officedocument.drawingml.diagramLayout+xml"/>
  <Override PartName="/word/diagrams/layout23.xml" ContentType="application/vnd.openxmlformats-officedocument.drawingml.diagramLayout+xml"/>
  <Override PartName="/word/diagrams/layout24.xml" ContentType="application/vnd.openxmlformats-officedocument.drawingml.diagramLayout+xml"/>
  <Override PartName="/word/diagrams/layout25.xml" ContentType="application/vnd.openxmlformats-officedocument.drawingml.diagramLayout+xml"/>
  <Override PartName="/word/diagrams/layout26.xml" ContentType="application/vnd.openxmlformats-officedocument.drawingml.diagramLayout+xml"/>
  <Override PartName="/word/diagrams/layout27.xml" ContentType="application/vnd.openxmlformats-officedocument.drawingml.diagramLayout+xml"/>
  <Override PartName="/word/diagrams/layout28.xml" ContentType="application/vnd.openxmlformats-officedocument.drawingml.diagramLayout+xml"/>
  <Override PartName="/word/diagrams/layout29.xml" ContentType="application/vnd.openxmlformats-officedocument.drawingml.diagramLayout+xml"/>
  <Override PartName="/word/diagrams/layout3.xml" ContentType="application/vnd.openxmlformats-officedocument.drawingml.diagramLayout+xml"/>
  <Override PartName="/word/diagrams/layout30.xml" ContentType="application/vnd.openxmlformats-officedocument.drawingml.diagramLayout+xml"/>
  <Override PartName="/word/diagrams/layout31.xml" ContentType="application/vnd.openxmlformats-officedocument.drawingml.diagramLayout+xml"/>
  <Override PartName="/word/diagrams/layout4.xml" ContentType="application/vnd.openxmlformats-officedocument.drawingml.diagramLayout+xml"/>
  <Override PartName="/word/diagrams/layout5.xml" ContentType="application/vnd.openxmlformats-officedocument.drawingml.diagramLayout+xml"/>
  <Override PartName="/word/diagrams/layout6.xml" ContentType="application/vnd.openxmlformats-officedocument.drawingml.diagramLayout+xml"/>
  <Override PartName="/word/diagrams/layout7.xml" ContentType="application/vnd.openxmlformats-officedocument.drawingml.diagramLayout+xml"/>
  <Override PartName="/word/diagrams/layout8.xml" ContentType="application/vnd.openxmlformats-officedocument.drawingml.diagramLayout+xml"/>
  <Override PartName="/word/diagrams/layout9.xml" ContentType="application/vnd.openxmlformats-officedocument.drawingml.diagramLayout+xml"/>
  <Override PartName="/word/diagrams/quickStyle1.xml" ContentType="application/vnd.openxmlformats-officedocument.drawingml.diagramStyle+xml"/>
  <Override PartName="/word/diagrams/quickStyle10.xml" ContentType="application/vnd.openxmlformats-officedocument.drawingml.diagramStyle+xml"/>
  <Override PartName="/word/diagrams/quickStyle11.xml" ContentType="application/vnd.openxmlformats-officedocument.drawingml.diagramStyle+xml"/>
  <Override PartName="/word/diagrams/quickStyle12.xml" ContentType="application/vnd.openxmlformats-officedocument.drawingml.diagramStyle+xml"/>
  <Override PartName="/word/diagrams/quickStyle13.xml" ContentType="application/vnd.openxmlformats-officedocument.drawingml.diagramStyle+xml"/>
  <Override PartName="/word/diagrams/quickStyle14.xml" ContentType="application/vnd.openxmlformats-officedocument.drawingml.diagramStyle+xml"/>
  <Override PartName="/word/diagrams/quickStyle15.xml" ContentType="application/vnd.openxmlformats-officedocument.drawingml.diagramStyle+xml"/>
  <Override PartName="/word/diagrams/quickStyle16.xml" ContentType="application/vnd.openxmlformats-officedocument.drawingml.diagramStyle+xml"/>
  <Override PartName="/word/diagrams/quickStyle17.xml" ContentType="application/vnd.openxmlformats-officedocument.drawingml.diagramStyle+xml"/>
  <Override PartName="/word/diagrams/quickStyle18.xml" ContentType="application/vnd.openxmlformats-officedocument.drawingml.diagramStyle+xml"/>
  <Override PartName="/word/diagrams/quickStyle19.xml" ContentType="application/vnd.openxmlformats-officedocument.drawingml.diagramStyle+xml"/>
  <Override PartName="/word/diagrams/quickStyle2.xml" ContentType="application/vnd.openxmlformats-officedocument.drawingml.diagramStyle+xml"/>
  <Override PartName="/word/diagrams/quickStyle20.xml" ContentType="application/vnd.openxmlformats-officedocument.drawingml.diagramStyle+xml"/>
  <Override PartName="/word/diagrams/quickStyle21.xml" ContentType="application/vnd.openxmlformats-officedocument.drawingml.diagramStyle+xml"/>
  <Override PartName="/word/diagrams/quickStyle22.xml" ContentType="application/vnd.openxmlformats-officedocument.drawingml.diagramStyle+xml"/>
  <Override PartName="/word/diagrams/quickStyle23.xml" ContentType="application/vnd.openxmlformats-officedocument.drawingml.diagramStyle+xml"/>
  <Override PartName="/word/diagrams/quickStyle24.xml" ContentType="application/vnd.openxmlformats-officedocument.drawingml.diagramStyle+xml"/>
  <Override PartName="/word/diagrams/quickStyle25.xml" ContentType="application/vnd.openxmlformats-officedocument.drawingml.diagramStyle+xml"/>
  <Override PartName="/word/diagrams/quickStyle26.xml" ContentType="application/vnd.openxmlformats-officedocument.drawingml.diagramStyle+xml"/>
  <Override PartName="/word/diagrams/quickStyle27.xml" ContentType="application/vnd.openxmlformats-officedocument.drawingml.diagramStyle+xml"/>
  <Override PartName="/word/diagrams/quickStyle28.xml" ContentType="application/vnd.openxmlformats-officedocument.drawingml.diagramStyle+xml"/>
  <Override PartName="/word/diagrams/quickStyle29.xml" ContentType="application/vnd.openxmlformats-officedocument.drawingml.diagramStyle+xml"/>
  <Override PartName="/word/diagrams/quickStyle3.xml" ContentType="application/vnd.openxmlformats-officedocument.drawingml.diagramStyle+xml"/>
  <Override PartName="/word/diagrams/quickStyle30.xml" ContentType="application/vnd.openxmlformats-officedocument.drawingml.diagramStyle+xml"/>
  <Override PartName="/word/diagrams/quickStyle31.xml" ContentType="application/vnd.openxmlformats-officedocument.drawingml.diagramStyle+xml"/>
  <Override PartName="/word/diagrams/quickStyle4.xml" ContentType="application/vnd.openxmlformats-officedocument.drawingml.diagramStyle+xml"/>
  <Override PartName="/word/diagrams/quickStyle5.xml" ContentType="application/vnd.openxmlformats-officedocument.drawingml.diagramStyle+xml"/>
  <Override PartName="/word/diagrams/quickStyle6.xml" ContentType="application/vnd.openxmlformats-officedocument.drawingml.diagramStyle+xml"/>
  <Override PartName="/word/diagrams/quickStyle7.xml" ContentType="application/vnd.openxmlformats-officedocument.drawingml.diagramStyle+xml"/>
  <Override PartName="/word/diagrams/quickStyle8.xml" ContentType="application/vnd.openxmlformats-officedocument.drawingml.diagramStyle+xml"/>
  <Override PartName="/word/diagrams/quickStyle9.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pPr w:leftFromText="180" w:rightFromText="180" w:vertAnchor="text" w:horzAnchor="margin" w:tblpXSpec="right" w:tblpY="3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18"/>
        <w:gridCol w:w="1274"/>
      </w:tblGrid>
      <w:tr w14:paraId="02391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3" w:hRule="atLeast"/>
        </w:trPr>
        <w:tc>
          <w:tcPr>
            <w:tcW w:w="1218" w:type="dxa"/>
            <w:vAlign w:val="bottom"/>
          </w:tcPr>
          <w:p w14:paraId="2259C161">
            <w:pPr>
              <w:widowControl w:val="0"/>
              <w:jc w:val="center"/>
              <w:rPr>
                <w:rFonts w:ascii="Times New Roman" w:hAnsi="Times New Roman" w:eastAsia="黑体" w:cs="Times New Roman"/>
                <w:b/>
                <w:color w:val="auto"/>
                <w:kern w:val="2"/>
                <w:sz w:val="21"/>
                <w:szCs w:val="21"/>
              </w:rPr>
            </w:pPr>
            <w:bookmarkStart w:id="0" w:name="_Toc496791530"/>
            <w:bookmarkStart w:id="1" w:name="_Toc22984842"/>
            <w:bookmarkStart w:id="2" w:name="_Toc500850088"/>
            <w:bookmarkStart w:id="3" w:name="_Toc496389431"/>
            <w:bookmarkStart w:id="4" w:name="_Toc497173826"/>
            <w:bookmarkStart w:id="5" w:name="_Toc497225098"/>
            <w:bookmarkStart w:id="6" w:name="_Toc498722382"/>
            <w:bookmarkStart w:id="362" w:name="_GoBack"/>
            <w:bookmarkEnd w:id="362"/>
            <w:r>
              <w:rPr>
                <w:rFonts w:ascii="Times New Roman" w:hAnsi="Times New Roman" w:eastAsia="黑体" w:cs="Times New Roman"/>
                <w:b/>
                <w:color w:val="auto"/>
                <w:kern w:val="2"/>
                <w:sz w:val="21"/>
                <w:szCs w:val="21"/>
              </w:rPr>
              <w:t>学校代码</w:t>
            </w:r>
          </w:p>
        </w:tc>
        <w:tc>
          <w:tcPr>
            <w:tcW w:w="1274" w:type="dxa"/>
            <w:vAlign w:val="bottom"/>
          </w:tcPr>
          <w:p w14:paraId="41D9FB87">
            <w:pPr>
              <w:widowControl w:val="0"/>
              <w:jc w:val="center"/>
              <w:rPr>
                <w:rFonts w:ascii="Times New Roman" w:hAnsi="Times New Roman" w:eastAsia="黑体" w:cs="Times New Roman"/>
                <w:b/>
                <w:color w:val="auto"/>
                <w:kern w:val="2"/>
                <w:sz w:val="21"/>
                <w:szCs w:val="21"/>
              </w:rPr>
            </w:pPr>
            <w:r>
              <w:rPr>
                <w:rFonts w:ascii="Times New Roman" w:hAnsi="Times New Roman" w:eastAsia="黑体" w:cs="Times New Roman"/>
                <w:b/>
                <w:color w:val="auto"/>
                <w:kern w:val="2"/>
                <w:sz w:val="21"/>
                <w:szCs w:val="21"/>
              </w:rPr>
              <w:t>10699</w:t>
            </w:r>
          </w:p>
        </w:tc>
      </w:tr>
      <w:tr w14:paraId="3F5E3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4" w:hRule="atLeast"/>
        </w:trPr>
        <w:tc>
          <w:tcPr>
            <w:tcW w:w="1218" w:type="dxa"/>
            <w:vAlign w:val="bottom"/>
          </w:tcPr>
          <w:p w14:paraId="4ED97025">
            <w:pPr>
              <w:widowControl w:val="0"/>
              <w:jc w:val="center"/>
              <w:rPr>
                <w:rFonts w:ascii="Times New Roman" w:hAnsi="Times New Roman" w:eastAsia="黑体" w:cs="Times New Roman"/>
                <w:b/>
                <w:color w:val="auto"/>
                <w:kern w:val="2"/>
                <w:sz w:val="21"/>
                <w:szCs w:val="21"/>
              </w:rPr>
            </w:pPr>
            <w:r>
              <w:rPr>
                <w:rFonts w:ascii="Times New Roman" w:hAnsi="Times New Roman" w:eastAsia="黑体" w:cs="Times New Roman"/>
                <w:b/>
                <w:color w:val="auto"/>
                <w:kern w:val="2"/>
                <w:sz w:val="21"/>
                <w:szCs w:val="21"/>
              </w:rPr>
              <w:t>分 类 号</w:t>
            </w:r>
          </w:p>
        </w:tc>
        <w:tc>
          <w:tcPr>
            <w:tcW w:w="1274" w:type="dxa"/>
            <w:vAlign w:val="bottom"/>
          </w:tcPr>
          <w:p w14:paraId="3C807753">
            <w:pPr>
              <w:widowControl w:val="0"/>
              <w:jc w:val="center"/>
              <w:rPr>
                <w:rFonts w:ascii="Times New Roman" w:hAnsi="Times New Roman" w:eastAsia="黑体" w:cs="Times New Roman"/>
                <w:b/>
                <w:color w:val="auto"/>
                <w:kern w:val="2"/>
                <w:sz w:val="21"/>
                <w:szCs w:val="21"/>
              </w:rPr>
            </w:pPr>
            <w:r>
              <w:rPr>
                <w:rFonts w:hint="eastAsia" w:ascii="Times New Roman" w:hAnsi="Times New Roman" w:eastAsia="黑体" w:cs="Times New Roman"/>
                <w:b/>
                <w:color w:val="auto"/>
                <w:kern w:val="2"/>
                <w:sz w:val="21"/>
                <w:szCs w:val="21"/>
              </w:rPr>
              <w:t>F</w:t>
            </w:r>
            <w:r>
              <w:rPr>
                <w:rFonts w:ascii="Times New Roman" w:hAnsi="Times New Roman" w:eastAsia="黑体" w:cs="Times New Roman"/>
                <w:b/>
                <w:color w:val="auto"/>
                <w:kern w:val="2"/>
                <w:sz w:val="21"/>
                <w:szCs w:val="21"/>
              </w:rPr>
              <w:t>272.2</w:t>
            </w:r>
          </w:p>
        </w:tc>
      </w:tr>
      <w:tr w14:paraId="2520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1" w:hRule="atLeast"/>
        </w:trPr>
        <w:tc>
          <w:tcPr>
            <w:tcW w:w="1218" w:type="dxa"/>
            <w:vAlign w:val="bottom"/>
          </w:tcPr>
          <w:p w14:paraId="00213C7F">
            <w:pPr>
              <w:widowControl w:val="0"/>
              <w:jc w:val="center"/>
              <w:rPr>
                <w:rFonts w:ascii="Times New Roman" w:hAnsi="Times New Roman" w:eastAsia="黑体" w:cs="Times New Roman"/>
                <w:b/>
                <w:color w:val="auto"/>
                <w:kern w:val="2"/>
                <w:sz w:val="21"/>
                <w:szCs w:val="21"/>
              </w:rPr>
            </w:pPr>
            <w:r>
              <w:rPr>
                <w:rFonts w:ascii="Times New Roman" w:hAnsi="Times New Roman" w:eastAsia="黑体" w:cs="Times New Roman"/>
                <w:b/>
                <w:color w:val="auto"/>
                <w:kern w:val="2"/>
                <w:sz w:val="21"/>
                <w:szCs w:val="21"/>
              </w:rPr>
              <w:t>密    级</w:t>
            </w:r>
          </w:p>
        </w:tc>
        <w:tc>
          <w:tcPr>
            <w:tcW w:w="1274" w:type="dxa"/>
            <w:vAlign w:val="bottom"/>
          </w:tcPr>
          <w:p w14:paraId="3ECBE4AD">
            <w:pPr>
              <w:widowControl w:val="0"/>
              <w:jc w:val="center"/>
              <w:rPr>
                <w:rFonts w:ascii="Times New Roman" w:hAnsi="Times New Roman" w:eastAsia="黑体" w:cs="Times New Roman"/>
                <w:b/>
                <w:color w:val="auto"/>
                <w:kern w:val="2"/>
                <w:sz w:val="21"/>
                <w:szCs w:val="21"/>
              </w:rPr>
            </w:pPr>
            <w:r>
              <w:rPr>
                <w:rFonts w:hint="eastAsia" w:ascii="Times New Roman" w:hAnsi="Times New Roman" w:eastAsia="黑体" w:cs="Times New Roman"/>
                <w:b/>
                <w:color w:val="auto"/>
                <w:kern w:val="2"/>
                <w:sz w:val="21"/>
                <w:szCs w:val="21"/>
              </w:rPr>
              <w:t>公开</w:t>
            </w:r>
          </w:p>
        </w:tc>
      </w:tr>
      <w:tr w14:paraId="5EBA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6" w:hRule="atLeast"/>
        </w:trPr>
        <w:tc>
          <w:tcPr>
            <w:tcW w:w="1218" w:type="dxa"/>
            <w:vAlign w:val="bottom"/>
          </w:tcPr>
          <w:p w14:paraId="209E6A3B">
            <w:pPr>
              <w:widowControl w:val="0"/>
              <w:jc w:val="center"/>
              <w:rPr>
                <w:rFonts w:ascii="Times New Roman" w:hAnsi="Times New Roman" w:eastAsia="黑体" w:cs="Times New Roman"/>
                <w:b/>
                <w:color w:val="auto"/>
                <w:kern w:val="2"/>
                <w:sz w:val="21"/>
                <w:szCs w:val="21"/>
              </w:rPr>
            </w:pPr>
            <w:r>
              <w:rPr>
                <w:rFonts w:ascii="Times New Roman" w:hAnsi="Times New Roman" w:eastAsia="黑体" w:cs="Times New Roman"/>
                <w:b/>
                <w:color w:val="auto"/>
                <w:kern w:val="2"/>
                <w:sz w:val="21"/>
                <w:szCs w:val="21"/>
              </w:rPr>
              <w:t>学    号</w:t>
            </w:r>
          </w:p>
        </w:tc>
        <w:tc>
          <w:tcPr>
            <w:tcW w:w="1274" w:type="dxa"/>
            <w:vAlign w:val="bottom"/>
          </w:tcPr>
          <w:p w14:paraId="776BDCCB">
            <w:pPr>
              <w:widowControl w:val="0"/>
              <w:jc w:val="center"/>
              <w:rPr>
                <w:rFonts w:ascii="Times New Roman" w:hAnsi="Times New Roman" w:eastAsia="黑体" w:cs="Times New Roman"/>
                <w:b/>
                <w:color w:val="auto"/>
                <w:kern w:val="2"/>
                <w:sz w:val="21"/>
                <w:szCs w:val="21"/>
              </w:rPr>
            </w:pPr>
            <w:r>
              <w:rPr>
                <w:rFonts w:hint="eastAsia" w:ascii="Times New Roman" w:hAnsi="Times New Roman" w:eastAsia="黑体" w:cs="Times New Roman"/>
                <w:b/>
                <w:color w:val="auto"/>
                <w:kern w:val="2"/>
                <w:sz w:val="21"/>
                <w:szCs w:val="21"/>
              </w:rPr>
              <w:t>2</w:t>
            </w:r>
            <w:r>
              <w:rPr>
                <w:rFonts w:ascii="Times New Roman" w:hAnsi="Times New Roman" w:eastAsia="黑体" w:cs="Times New Roman"/>
                <w:b/>
                <w:color w:val="auto"/>
                <w:kern w:val="2"/>
                <w:sz w:val="21"/>
                <w:szCs w:val="21"/>
              </w:rPr>
              <w:t>022213490</w:t>
            </w:r>
          </w:p>
        </w:tc>
      </w:tr>
    </w:tbl>
    <w:p w14:paraId="57F13D4E">
      <w:pPr>
        <w:widowControl w:val="0"/>
        <w:autoSpaceDE w:val="0"/>
        <w:autoSpaceDN w:val="0"/>
        <w:adjustRightInd w:val="0"/>
        <w:spacing w:line="400" w:lineRule="exact"/>
        <w:rPr>
          <w:rFonts w:ascii="Times New Roman" w:hAnsi="Times New Roman" w:cs="Times New Roman"/>
          <w:color w:val="auto"/>
          <w:kern w:val="2"/>
        </w:rPr>
      </w:pPr>
    </w:p>
    <w:p w14:paraId="25711B7F">
      <w:pPr>
        <w:widowControl w:val="0"/>
        <w:autoSpaceDE w:val="0"/>
        <w:autoSpaceDN w:val="0"/>
        <w:adjustRightInd w:val="0"/>
        <w:spacing w:line="400" w:lineRule="exact"/>
        <w:rPr>
          <w:rFonts w:ascii="Times New Roman" w:hAnsi="Times New Roman" w:cs="Times New Roman"/>
          <w:color w:val="auto"/>
          <w:kern w:val="2"/>
        </w:rPr>
      </w:pPr>
    </w:p>
    <w:p w14:paraId="6DD9C3C2">
      <w:pPr>
        <w:widowControl w:val="0"/>
        <w:autoSpaceDE w:val="0"/>
        <w:autoSpaceDN w:val="0"/>
        <w:adjustRightInd w:val="0"/>
        <w:spacing w:line="400" w:lineRule="exact"/>
        <w:rPr>
          <w:rFonts w:ascii="Times New Roman" w:hAnsi="Times New Roman" w:cs="Times New Roman"/>
          <w:color w:val="auto"/>
          <w:kern w:val="2"/>
        </w:rPr>
      </w:pPr>
    </w:p>
    <w:p w14:paraId="252AB8AB">
      <w:pPr>
        <w:widowControl w:val="0"/>
        <w:autoSpaceDE w:val="0"/>
        <w:autoSpaceDN w:val="0"/>
        <w:adjustRightInd w:val="0"/>
        <w:spacing w:line="400" w:lineRule="exact"/>
        <w:rPr>
          <w:rFonts w:ascii="Times New Roman" w:hAnsi="Times New Roman" w:cs="Times New Roman"/>
          <w:color w:val="auto"/>
          <w:kern w:val="2"/>
        </w:rPr>
      </w:pPr>
    </w:p>
    <w:p w14:paraId="108A02C9">
      <w:pPr>
        <w:rPr>
          <w:color w:val="auto"/>
        </w:rPr>
      </w:pPr>
    </w:p>
    <w:p w14:paraId="675FAEC8">
      <w:pPr>
        <w:rPr>
          <w:color w:val="auto"/>
          <w:sz w:val="18"/>
          <w:szCs w:val="18"/>
        </w:rPr>
      </w:pPr>
    </w:p>
    <w:p w14:paraId="7AAA7C54">
      <w:pPr>
        <w:rPr>
          <w:color w:val="auto"/>
          <w:sz w:val="18"/>
          <w:szCs w:val="18"/>
        </w:rPr>
      </w:pPr>
    </w:p>
    <w:p w14:paraId="454486C8">
      <w:pPr>
        <w:rPr>
          <w:color w:val="auto"/>
          <w:sz w:val="18"/>
          <w:szCs w:val="18"/>
        </w:rPr>
      </w:pPr>
    </w:p>
    <w:p w14:paraId="7037B059">
      <w:pPr>
        <w:rPr>
          <w:color w:val="auto"/>
          <w:sz w:val="18"/>
          <w:szCs w:val="18"/>
        </w:rPr>
      </w:pPr>
    </w:p>
    <w:p w14:paraId="1AEE29B5">
      <w:pPr>
        <w:rPr>
          <w:color w:val="auto"/>
          <w:sz w:val="18"/>
          <w:szCs w:val="18"/>
        </w:rPr>
      </w:pPr>
    </w:p>
    <w:p w14:paraId="5F0168B3">
      <w:pPr>
        <w:rPr>
          <w:color w:val="auto"/>
          <w:sz w:val="18"/>
          <w:szCs w:val="18"/>
        </w:rPr>
      </w:pPr>
    </w:p>
    <w:p w14:paraId="2C7F5E01">
      <w:pPr>
        <w:rPr>
          <w:color w:val="auto"/>
          <w:sz w:val="18"/>
          <w:szCs w:val="18"/>
        </w:rPr>
      </w:pPr>
    </w:p>
    <w:p w14:paraId="35B8AD6A">
      <w:pPr>
        <w:rPr>
          <w:color w:val="auto"/>
          <w:sz w:val="18"/>
          <w:szCs w:val="18"/>
        </w:rPr>
      </w:pPr>
    </w:p>
    <w:p w14:paraId="25935D82">
      <w:pPr>
        <w:rPr>
          <w:color w:val="auto"/>
          <w:sz w:val="18"/>
          <w:szCs w:val="18"/>
        </w:rPr>
      </w:pPr>
    </w:p>
    <w:p w14:paraId="27AB7E5C">
      <w:pPr>
        <w:rPr>
          <w:color w:val="auto"/>
          <w:sz w:val="18"/>
          <w:szCs w:val="18"/>
        </w:rPr>
      </w:pPr>
    </w:p>
    <w:p w14:paraId="2BF30C4D">
      <w:pPr>
        <w:rPr>
          <w:color w:val="auto"/>
          <w:sz w:val="18"/>
          <w:szCs w:val="18"/>
        </w:rPr>
      </w:pPr>
    </w:p>
    <w:p w14:paraId="1B5B5922">
      <w:pPr>
        <w:rPr>
          <w:color w:val="auto"/>
          <w:sz w:val="18"/>
          <w:szCs w:val="18"/>
        </w:rPr>
      </w:pPr>
    </w:p>
    <w:p w14:paraId="0B4550A7">
      <w:pPr>
        <w:rPr>
          <w:color w:val="auto"/>
          <w:sz w:val="18"/>
          <w:szCs w:val="18"/>
        </w:rPr>
      </w:pPr>
    </w:p>
    <w:p w14:paraId="73C897B3">
      <w:pPr>
        <w:rPr>
          <w:color w:val="auto"/>
        </w:rPr>
      </w:pPr>
    </w:p>
    <w:p w14:paraId="39F502C4">
      <w:pPr>
        <w:spacing w:line="360" w:lineRule="auto"/>
        <w:rPr>
          <w:color w:val="auto"/>
        </w:rPr>
      </w:pPr>
    </w:p>
    <w:tbl>
      <w:tblPr>
        <w:tblStyle w:val="27"/>
        <w:tblW w:w="4327" w:type="pct"/>
        <w:jc w:val="center"/>
        <w:tblLayout w:type="autofit"/>
        <w:tblCellMar>
          <w:top w:w="0" w:type="dxa"/>
          <w:left w:w="108" w:type="dxa"/>
          <w:bottom w:w="0" w:type="dxa"/>
          <w:right w:w="108" w:type="dxa"/>
        </w:tblCellMar>
      </w:tblPr>
      <w:tblGrid>
        <w:gridCol w:w="1198"/>
        <w:gridCol w:w="6840"/>
      </w:tblGrid>
      <w:tr w14:paraId="79F47260">
        <w:tblPrEx>
          <w:tblCellMar>
            <w:top w:w="0" w:type="dxa"/>
            <w:left w:w="108" w:type="dxa"/>
            <w:bottom w:w="0" w:type="dxa"/>
            <w:right w:w="108" w:type="dxa"/>
          </w:tblCellMar>
        </w:tblPrEx>
        <w:trPr>
          <w:trHeight w:val="1149" w:hRule="atLeast"/>
          <w:jc w:val="center"/>
        </w:trPr>
        <w:tc>
          <w:tcPr>
            <w:tcW w:w="745" w:type="pct"/>
            <w:vAlign w:val="bottom"/>
          </w:tcPr>
          <w:p w14:paraId="11B507D1">
            <w:pPr>
              <w:widowControl w:val="0"/>
              <w:adjustRightInd w:val="0"/>
              <w:snapToGrid w:val="0"/>
              <w:jc w:val="center"/>
              <w:rPr>
                <w:rFonts w:ascii="Times New Roman" w:hAnsi="Times New Roman" w:eastAsia="黑体" w:cs="Times New Roman"/>
                <w:b/>
                <w:color w:val="auto"/>
                <w:kern w:val="2"/>
                <w:sz w:val="44"/>
                <w:szCs w:val="44"/>
              </w:rPr>
            </w:pPr>
            <w:r>
              <w:rPr>
                <w:rFonts w:ascii="Times New Roman" w:hAnsi="Times New Roman" w:eastAsia="黑体" w:cs="Times New Roman"/>
                <w:b/>
                <w:color w:val="auto"/>
                <w:kern w:val="2"/>
                <w:sz w:val="44"/>
                <w:szCs w:val="44"/>
              </w:rPr>
              <w:t>题目</w:t>
            </w:r>
          </w:p>
        </w:tc>
        <w:tc>
          <w:tcPr>
            <w:tcW w:w="4254" w:type="pct"/>
            <w:tcBorders>
              <w:bottom w:val="single" w:color="auto" w:sz="4" w:space="0"/>
            </w:tcBorders>
            <w:vAlign w:val="bottom"/>
          </w:tcPr>
          <w:p w14:paraId="6CF7812D">
            <w:pPr>
              <w:widowControl w:val="0"/>
              <w:adjustRightInd w:val="0"/>
              <w:snapToGrid w:val="0"/>
              <w:jc w:val="center"/>
              <w:textAlignment w:val="bottom"/>
              <w:rPr>
                <w:rFonts w:ascii="Times New Roman" w:hAnsi="Times New Roman" w:eastAsia="黑体" w:cs="Times New Roman"/>
                <w:b/>
                <w:color w:val="auto"/>
                <w:kern w:val="2"/>
                <w:sz w:val="44"/>
                <w:szCs w:val="44"/>
              </w:rPr>
            </w:pPr>
            <w:r>
              <w:rPr>
                <w:rFonts w:ascii="Times New Roman" w:hAnsi="Times New Roman" w:eastAsia="黑体" w:cs="Times New Roman"/>
                <w:b/>
                <w:color w:val="auto"/>
                <w:kern w:val="2"/>
                <w:sz w:val="44"/>
                <w:szCs w:val="44"/>
              </w:rPr>
              <w:t>H</w:t>
            </w:r>
            <w:r>
              <w:rPr>
                <w:rFonts w:hint="eastAsia" w:ascii="Times New Roman" w:hAnsi="Times New Roman" w:eastAsia="黑体" w:cs="Times New Roman"/>
                <w:b/>
                <w:color w:val="auto"/>
                <w:kern w:val="2"/>
                <w:sz w:val="44"/>
                <w:szCs w:val="44"/>
              </w:rPr>
              <w:t>公司软件开发过程的改进研究</w:t>
            </w:r>
          </w:p>
        </w:tc>
      </w:tr>
    </w:tbl>
    <w:p w14:paraId="61B4DAC7">
      <w:pPr>
        <w:widowControl w:val="0"/>
        <w:jc w:val="center"/>
        <w:rPr>
          <w:color w:val="auto"/>
        </w:rPr>
      </w:pPr>
    </w:p>
    <w:p w14:paraId="7DF17596">
      <w:pPr>
        <w:spacing w:line="300" w:lineRule="auto"/>
        <w:jc w:val="center"/>
        <w:rPr>
          <w:color w:val="auto"/>
        </w:rPr>
      </w:pPr>
    </w:p>
    <w:p w14:paraId="779AE467">
      <w:pPr>
        <w:spacing w:line="300" w:lineRule="auto"/>
        <w:jc w:val="center"/>
        <w:rPr>
          <w:color w:val="auto"/>
        </w:rPr>
      </w:pPr>
    </w:p>
    <w:tbl>
      <w:tblPr>
        <w:tblStyle w:val="27"/>
        <w:tblW w:w="0" w:type="auto"/>
        <w:jc w:val="center"/>
        <w:tblLayout w:type="autofit"/>
        <w:tblCellMar>
          <w:top w:w="0" w:type="dxa"/>
          <w:left w:w="108" w:type="dxa"/>
          <w:bottom w:w="0" w:type="dxa"/>
          <w:right w:w="108" w:type="dxa"/>
        </w:tblCellMar>
      </w:tblPr>
      <w:tblGrid>
        <w:gridCol w:w="1134"/>
        <w:gridCol w:w="2517"/>
      </w:tblGrid>
      <w:tr w14:paraId="33F0749D">
        <w:tblPrEx>
          <w:tblCellMar>
            <w:top w:w="0" w:type="dxa"/>
            <w:left w:w="108" w:type="dxa"/>
            <w:bottom w:w="0" w:type="dxa"/>
            <w:right w:w="108" w:type="dxa"/>
          </w:tblCellMar>
        </w:tblPrEx>
        <w:trPr>
          <w:trHeight w:val="885" w:hRule="atLeast"/>
          <w:jc w:val="center"/>
        </w:trPr>
        <w:tc>
          <w:tcPr>
            <w:tcW w:w="1134" w:type="dxa"/>
            <w:vAlign w:val="bottom"/>
          </w:tcPr>
          <w:p w14:paraId="58E35C6A">
            <w:pPr>
              <w:widowControl w:val="0"/>
              <w:jc w:val="center"/>
              <w:rPr>
                <w:rFonts w:ascii="Times New Roman" w:hAnsi="Times New Roman" w:cs="Times New Roman"/>
                <w:b/>
                <w:color w:val="auto"/>
                <w:kern w:val="2"/>
                <w:sz w:val="32"/>
                <w:szCs w:val="32"/>
              </w:rPr>
            </w:pPr>
            <w:r>
              <w:rPr>
                <w:rFonts w:ascii="Times New Roman" w:hAnsi="Times New Roman" w:cs="Times New Roman"/>
                <w:b/>
                <w:color w:val="auto"/>
                <w:kern w:val="2"/>
                <w:sz w:val="32"/>
                <w:szCs w:val="32"/>
              </w:rPr>
              <w:t>作者</w:t>
            </w:r>
          </w:p>
        </w:tc>
        <w:tc>
          <w:tcPr>
            <w:tcW w:w="2517" w:type="dxa"/>
            <w:tcBorders>
              <w:bottom w:val="single" w:color="auto" w:sz="4" w:space="0"/>
            </w:tcBorders>
            <w:vAlign w:val="bottom"/>
          </w:tcPr>
          <w:p w14:paraId="05428204">
            <w:pPr>
              <w:widowControl w:val="0"/>
              <w:jc w:val="center"/>
              <w:rPr>
                <w:rFonts w:ascii="Times New Roman" w:hAnsi="Times New Roman" w:cs="Times New Roman"/>
                <w:b/>
                <w:color w:val="auto"/>
                <w:kern w:val="2"/>
                <w:sz w:val="32"/>
                <w:szCs w:val="32"/>
              </w:rPr>
            </w:pPr>
          </w:p>
        </w:tc>
      </w:tr>
    </w:tbl>
    <w:p w14:paraId="33105215">
      <w:pPr>
        <w:jc w:val="center"/>
        <w:rPr>
          <w:color w:val="auto"/>
        </w:rPr>
      </w:pPr>
    </w:p>
    <w:p w14:paraId="4A35706C">
      <w:pPr>
        <w:jc w:val="center"/>
        <w:rPr>
          <w:color w:val="auto"/>
        </w:rPr>
      </w:pPr>
    </w:p>
    <w:p w14:paraId="04CDD2E9">
      <w:pPr>
        <w:jc w:val="center"/>
        <w:rPr>
          <w:color w:val="auto"/>
        </w:rPr>
      </w:pPr>
    </w:p>
    <w:p w14:paraId="63FA14C4">
      <w:pPr>
        <w:jc w:val="center"/>
        <w:rPr>
          <w:color w:val="auto"/>
        </w:rPr>
      </w:pPr>
    </w:p>
    <w:tbl>
      <w:tblPr>
        <w:tblStyle w:val="27"/>
        <w:tblpPr w:leftFromText="180" w:rightFromText="180" w:vertAnchor="text" w:horzAnchor="page" w:tblpXSpec="center" w:tblpY="298"/>
        <w:tblOverlap w:val="never"/>
        <w:tblW w:w="3736" w:type="pct"/>
        <w:jc w:val="center"/>
        <w:tblLayout w:type="autofit"/>
        <w:tblCellMar>
          <w:top w:w="0" w:type="dxa"/>
          <w:left w:w="108" w:type="dxa"/>
          <w:bottom w:w="0" w:type="dxa"/>
          <w:right w:w="108" w:type="dxa"/>
        </w:tblCellMar>
      </w:tblPr>
      <w:tblGrid>
        <w:gridCol w:w="1981"/>
        <w:gridCol w:w="4959"/>
      </w:tblGrid>
      <w:tr w14:paraId="7E5CD9F1">
        <w:tblPrEx>
          <w:tblCellMar>
            <w:top w:w="0" w:type="dxa"/>
            <w:left w:w="108" w:type="dxa"/>
            <w:bottom w:w="0" w:type="dxa"/>
            <w:right w:w="108" w:type="dxa"/>
          </w:tblCellMar>
        </w:tblPrEx>
        <w:trPr>
          <w:trHeight w:val="567" w:hRule="exact"/>
          <w:jc w:val="center"/>
        </w:trPr>
        <w:tc>
          <w:tcPr>
            <w:tcW w:w="1427" w:type="pct"/>
            <w:vAlign w:val="bottom"/>
          </w:tcPr>
          <w:p w14:paraId="3241F7A0">
            <w:pPr>
              <w:jc w:val="center"/>
              <w:rPr>
                <w:b/>
                <w:color w:val="auto"/>
                <w:sz w:val="32"/>
                <w:szCs w:val="32"/>
              </w:rPr>
            </w:pPr>
            <w:r>
              <w:rPr>
                <w:rFonts w:hint="eastAsia" w:ascii="Times New Roman" w:hAnsi="Times New Roman" w:cs="Times New Roman"/>
                <w:b/>
                <w:color w:val="auto"/>
                <w:sz w:val="32"/>
                <w:szCs w:val="32"/>
              </w:rPr>
              <w:t>专</w:t>
            </w:r>
            <w:r>
              <w:rPr>
                <w:rFonts w:hint="eastAsia" w:ascii="Times New Roman" w:hAnsi="Times New Roman" w:cs="Times New Roman"/>
                <w:b/>
                <w:color w:val="auto"/>
                <w:sz w:val="32"/>
                <w:szCs w:val="32"/>
                <w:lang w:val="en-US" w:eastAsia="zh-CN"/>
              </w:rPr>
              <w:t xml:space="preserve"> </w:t>
            </w:r>
            <w:r>
              <w:rPr>
                <w:rFonts w:hint="eastAsia" w:ascii="Times New Roman" w:hAnsi="Times New Roman" w:cs="Times New Roman"/>
                <w:b/>
                <w:color w:val="auto"/>
                <w:sz w:val="32"/>
                <w:szCs w:val="32"/>
              </w:rPr>
              <w:t>业</w:t>
            </w:r>
            <w:r>
              <w:rPr>
                <w:rFonts w:hint="eastAsia" w:ascii="Times New Roman" w:hAnsi="Times New Roman" w:cs="Times New Roman"/>
                <w:b/>
                <w:color w:val="auto"/>
                <w:sz w:val="32"/>
                <w:szCs w:val="32"/>
                <w:lang w:val="en-US" w:eastAsia="zh-CN"/>
              </w:rPr>
              <w:t xml:space="preserve"> </w:t>
            </w:r>
            <w:r>
              <w:rPr>
                <w:rFonts w:hint="eastAsia" w:ascii="Times New Roman" w:hAnsi="Times New Roman" w:cs="Times New Roman"/>
                <w:b/>
                <w:color w:val="auto"/>
                <w:sz w:val="32"/>
                <w:szCs w:val="32"/>
              </w:rPr>
              <w:t>领</w:t>
            </w:r>
            <w:r>
              <w:rPr>
                <w:rFonts w:hint="eastAsia" w:ascii="Times New Roman" w:hAnsi="Times New Roman" w:cs="Times New Roman"/>
                <w:b/>
                <w:color w:val="auto"/>
                <w:sz w:val="32"/>
                <w:szCs w:val="32"/>
                <w:lang w:val="en-US" w:eastAsia="zh-CN"/>
              </w:rPr>
              <w:t xml:space="preserve"> </w:t>
            </w:r>
            <w:r>
              <w:rPr>
                <w:rFonts w:hint="eastAsia" w:ascii="Times New Roman" w:hAnsi="Times New Roman" w:cs="Times New Roman"/>
                <w:b/>
                <w:color w:val="auto"/>
                <w:sz w:val="32"/>
                <w:szCs w:val="32"/>
              </w:rPr>
              <w:t>域</w:t>
            </w:r>
          </w:p>
        </w:tc>
        <w:tc>
          <w:tcPr>
            <w:tcW w:w="3572" w:type="pct"/>
            <w:tcBorders>
              <w:bottom w:val="single" w:color="auto" w:sz="4" w:space="0"/>
            </w:tcBorders>
            <w:vAlign w:val="bottom"/>
          </w:tcPr>
          <w:p w14:paraId="250088CF">
            <w:pPr>
              <w:widowControl w:val="0"/>
              <w:adjustRightInd w:val="0"/>
              <w:snapToGrid w:val="0"/>
              <w:jc w:val="center"/>
              <w:rPr>
                <w:b/>
                <w:color w:val="auto"/>
                <w:sz w:val="32"/>
                <w:szCs w:val="32"/>
              </w:rPr>
            </w:pPr>
            <w:r>
              <w:rPr>
                <w:rFonts w:hint="eastAsia" w:ascii="Times New Roman" w:hAnsi="Times New Roman" w:cs="Times New Roman"/>
                <w:b/>
                <w:color w:val="auto"/>
                <w:kern w:val="2"/>
                <w:sz w:val="32"/>
                <w:szCs w:val="32"/>
              </w:rPr>
              <w:t>工程管理硕士</w:t>
            </w:r>
          </w:p>
        </w:tc>
      </w:tr>
      <w:tr w14:paraId="2F954364">
        <w:tblPrEx>
          <w:tblCellMar>
            <w:top w:w="0" w:type="dxa"/>
            <w:left w:w="108" w:type="dxa"/>
            <w:bottom w:w="0" w:type="dxa"/>
            <w:right w:w="108" w:type="dxa"/>
          </w:tblCellMar>
        </w:tblPrEx>
        <w:trPr>
          <w:trHeight w:val="567" w:hRule="exact"/>
          <w:jc w:val="center"/>
        </w:trPr>
        <w:tc>
          <w:tcPr>
            <w:tcW w:w="1427" w:type="pct"/>
            <w:vAlign w:val="bottom"/>
          </w:tcPr>
          <w:p w14:paraId="5CABDB6A">
            <w:pPr>
              <w:jc w:val="center"/>
              <w:rPr>
                <w:b/>
                <w:color w:val="auto"/>
                <w:sz w:val="32"/>
                <w:szCs w:val="32"/>
              </w:rPr>
            </w:pPr>
            <w:r>
              <w:rPr>
                <w:rFonts w:hint="eastAsia" w:ascii="Times New Roman" w:hAnsi="Times New Roman" w:cs="Times New Roman"/>
                <w:b/>
                <w:color w:val="auto"/>
                <w:sz w:val="32"/>
                <w:szCs w:val="32"/>
              </w:rPr>
              <w:t>指</w:t>
            </w:r>
            <w:r>
              <w:rPr>
                <w:rFonts w:hint="eastAsia" w:ascii="Times New Roman" w:hAnsi="Times New Roman" w:cs="Times New Roman"/>
                <w:b/>
                <w:color w:val="auto"/>
                <w:sz w:val="32"/>
                <w:szCs w:val="32"/>
                <w:lang w:val="en-US" w:eastAsia="zh-CN"/>
              </w:rPr>
              <w:t xml:space="preserve"> </w:t>
            </w:r>
            <w:r>
              <w:rPr>
                <w:rFonts w:hint="eastAsia" w:ascii="Times New Roman" w:hAnsi="Times New Roman" w:cs="Times New Roman"/>
                <w:b/>
                <w:color w:val="auto"/>
                <w:sz w:val="32"/>
                <w:szCs w:val="32"/>
              </w:rPr>
              <w:t>导</w:t>
            </w:r>
            <w:r>
              <w:rPr>
                <w:rFonts w:hint="eastAsia" w:ascii="Times New Roman" w:hAnsi="Times New Roman" w:cs="Times New Roman"/>
                <w:b/>
                <w:color w:val="auto"/>
                <w:sz w:val="32"/>
                <w:szCs w:val="32"/>
                <w:lang w:val="en-US" w:eastAsia="zh-CN"/>
              </w:rPr>
              <w:t xml:space="preserve"> </w:t>
            </w:r>
            <w:r>
              <w:rPr>
                <w:rFonts w:hint="eastAsia" w:ascii="Times New Roman" w:hAnsi="Times New Roman" w:cs="Times New Roman"/>
                <w:b/>
                <w:color w:val="auto"/>
                <w:sz w:val="32"/>
                <w:szCs w:val="32"/>
              </w:rPr>
              <w:t>教</w:t>
            </w:r>
            <w:r>
              <w:rPr>
                <w:rFonts w:hint="eastAsia" w:ascii="Times New Roman" w:hAnsi="Times New Roman" w:cs="Times New Roman"/>
                <w:b/>
                <w:color w:val="auto"/>
                <w:sz w:val="32"/>
                <w:szCs w:val="32"/>
                <w:lang w:val="en-US" w:eastAsia="zh-CN"/>
              </w:rPr>
              <w:t xml:space="preserve"> </w:t>
            </w:r>
            <w:r>
              <w:rPr>
                <w:rFonts w:hint="eastAsia" w:ascii="Times New Roman" w:hAnsi="Times New Roman" w:cs="Times New Roman"/>
                <w:b/>
                <w:color w:val="auto"/>
                <w:sz w:val="32"/>
                <w:szCs w:val="32"/>
              </w:rPr>
              <w:t>师</w:t>
            </w:r>
          </w:p>
        </w:tc>
        <w:tc>
          <w:tcPr>
            <w:tcW w:w="3572" w:type="pct"/>
            <w:tcBorders>
              <w:top w:val="single" w:color="auto" w:sz="4" w:space="0"/>
              <w:bottom w:val="single" w:color="auto" w:sz="4" w:space="0"/>
            </w:tcBorders>
            <w:vAlign w:val="bottom"/>
          </w:tcPr>
          <w:p w14:paraId="1B26F964">
            <w:pPr>
              <w:widowControl w:val="0"/>
              <w:adjustRightInd w:val="0"/>
              <w:snapToGrid w:val="0"/>
              <w:jc w:val="center"/>
              <w:rPr>
                <w:b/>
                <w:color w:val="auto"/>
                <w:sz w:val="32"/>
                <w:szCs w:val="32"/>
              </w:rPr>
            </w:pPr>
          </w:p>
        </w:tc>
      </w:tr>
      <w:tr w14:paraId="7C3FB46F">
        <w:tblPrEx>
          <w:tblCellMar>
            <w:top w:w="0" w:type="dxa"/>
            <w:left w:w="108" w:type="dxa"/>
            <w:bottom w:w="0" w:type="dxa"/>
            <w:right w:w="108" w:type="dxa"/>
          </w:tblCellMar>
        </w:tblPrEx>
        <w:trPr>
          <w:trHeight w:val="567" w:hRule="exact"/>
          <w:jc w:val="center"/>
        </w:trPr>
        <w:tc>
          <w:tcPr>
            <w:tcW w:w="1427" w:type="pct"/>
            <w:vAlign w:val="bottom"/>
          </w:tcPr>
          <w:p w14:paraId="63012DF7">
            <w:pPr>
              <w:jc w:val="center"/>
              <w:rPr>
                <w:b/>
                <w:color w:val="auto"/>
                <w:sz w:val="32"/>
                <w:szCs w:val="32"/>
              </w:rPr>
            </w:pPr>
            <w:r>
              <w:rPr>
                <w:rFonts w:hint="eastAsia" w:ascii="Times New Roman" w:hAnsi="Times New Roman" w:cs="Times New Roman"/>
                <w:b/>
                <w:color w:val="auto"/>
                <w:sz w:val="32"/>
                <w:szCs w:val="32"/>
              </w:rPr>
              <w:t>培</w:t>
            </w:r>
            <w:r>
              <w:rPr>
                <w:rFonts w:hint="eastAsia" w:ascii="Times New Roman" w:hAnsi="Times New Roman" w:cs="Times New Roman"/>
                <w:b/>
                <w:color w:val="auto"/>
                <w:sz w:val="32"/>
                <w:szCs w:val="32"/>
                <w:lang w:val="en-US" w:eastAsia="zh-CN"/>
              </w:rPr>
              <w:t xml:space="preserve"> </w:t>
            </w:r>
            <w:r>
              <w:rPr>
                <w:rFonts w:hint="eastAsia" w:ascii="Times New Roman" w:hAnsi="Times New Roman" w:cs="Times New Roman"/>
                <w:b/>
                <w:color w:val="auto"/>
                <w:sz w:val="32"/>
                <w:szCs w:val="32"/>
              </w:rPr>
              <w:t>养</w:t>
            </w:r>
            <w:r>
              <w:rPr>
                <w:rFonts w:hint="eastAsia" w:ascii="Times New Roman" w:hAnsi="Times New Roman" w:cs="Times New Roman"/>
                <w:b/>
                <w:color w:val="auto"/>
                <w:sz w:val="32"/>
                <w:szCs w:val="32"/>
                <w:lang w:val="en-US" w:eastAsia="zh-CN"/>
              </w:rPr>
              <w:t xml:space="preserve"> </w:t>
            </w:r>
            <w:r>
              <w:rPr>
                <w:rFonts w:hint="eastAsia" w:ascii="Times New Roman" w:hAnsi="Times New Roman" w:cs="Times New Roman"/>
                <w:b/>
                <w:color w:val="auto"/>
                <w:sz w:val="32"/>
                <w:szCs w:val="32"/>
              </w:rPr>
              <w:t>单</w:t>
            </w:r>
            <w:r>
              <w:rPr>
                <w:rFonts w:hint="eastAsia" w:ascii="Times New Roman" w:hAnsi="Times New Roman" w:cs="Times New Roman"/>
                <w:b/>
                <w:color w:val="auto"/>
                <w:sz w:val="32"/>
                <w:szCs w:val="32"/>
                <w:lang w:val="en-US" w:eastAsia="zh-CN"/>
              </w:rPr>
              <w:t xml:space="preserve"> </w:t>
            </w:r>
            <w:r>
              <w:rPr>
                <w:rFonts w:hint="eastAsia" w:ascii="Times New Roman" w:hAnsi="Times New Roman" w:cs="Times New Roman"/>
                <w:b/>
                <w:color w:val="auto"/>
                <w:sz w:val="32"/>
                <w:szCs w:val="32"/>
              </w:rPr>
              <w:t>位</w:t>
            </w:r>
          </w:p>
        </w:tc>
        <w:tc>
          <w:tcPr>
            <w:tcW w:w="3572" w:type="pct"/>
            <w:tcBorders>
              <w:top w:val="single" w:color="auto" w:sz="4" w:space="0"/>
              <w:bottom w:val="single" w:color="auto" w:sz="4" w:space="0"/>
            </w:tcBorders>
            <w:vAlign w:val="bottom"/>
          </w:tcPr>
          <w:p w14:paraId="7B91CB9B">
            <w:pPr>
              <w:widowControl w:val="0"/>
              <w:adjustRightInd w:val="0"/>
              <w:snapToGrid w:val="0"/>
              <w:jc w:val="center"/>
              <w:rPr>
                <w:b/>
                <w:color w:val="auto"/>
                <w:sz w:val="32"/>
                <w:szCs w:val="32"/>
              </w:rPr>
            </w:pPr>
            <w:r>
              <w:rPr>
                <w:rFonts w:hint="eastAsia" w:ascii="Times New Roman" w:hAnsi="Times New Roman" w:cs="Times New Roman"/>
                <w:b/>
                <w:color w:val="auto"/>
                <w:kern w:val="2"/>
                <w:sz w:val="32"/>
                <w:szCs w:val="32"/>
              </w:rPr>
              <w:t>管理学院</w:t>
            </w:r>
          </w:p>
        </w:tc>
      </w:tr>
      <w:tr w14:paraId="67125C4E">
        <w:tblPrEx>
          <w:tblCellMar>
            <w:top w:w="0" w:type="dxa"/>
            <w:left w:w="108" w:type="dxa"/>
            <w:bottom w:w="0" w:type="dxa"/>
            <w:right w:w="108" w:type="dxa"/>
          </w:tblCellMar>
        </w:tblPrEx>
        <w:trPr>
          <w:trHeight w:val="567" w:hRule="exact"/>
          <w:jc w:val="center"/>
        </w:trPr>
        <w:tc>
          <w:tcPr>
            <w:tcW w:w="1427" w:type="pct"/>
            <w:vAlign w:val="bottom"/>
          </w:tcPr>
          <w:p w14:paraId="1FD67776">
            <w:pPr>
              <w:jc w:val="center"/>
              <w:rPr>
                <w:b/>
                <w:color w:val="auto"/>
                <w:sz w:val="32"/>
                <w:szCs w:val="32"/>
              </w:rPr>
            </w:pPr>
            <w:r>
              <w:rPr>
                <w:rFonts w:hint="eastAsia" w:ascii="Times New Roman" w:hAnsi="Times New Roman" w:cs="Times New Roman"/>
                <w:b/>
                <w:color w:val="auto"/>
                <w:sz w:val="32"/>
                <w:szCs w:val="32"/>
              </w:rPr>
              <w:t>申</w:t>
            </w:r>
            <w:r>
              <w:rPr>
                <w:rFonts w:hint="eastAsia" w:ascii="Times New Roman" w:hAnsi="Times New Roman" w:cs="Times New Roman"/>
                <w:b/>
                <w:color w:val="auto"/>
                <w:sz w:val="32"/>
                <w:szCs w:val="32"/>
                <w:lang w:val="en-US" w:eastAsia="zh-CN"/>
              </w:rPr>
              <w:t xml:space="preserve"> </w:t>
            </w:r>
            <w:r>
              <w:rPr>
                <w:rFonts w:hint="eastAsia" w:ascii="Times New Roman" w:hAnsi="Times New Roman" w:cs="Times New Roman"/>
                <w:b/>
                <w:color w:val="auto"/>
                <w:sz w:val="32"/>
                <w:szCs w:val="32"/>
              </w:rPr>
              <w:t>请</w:t>
            </w:r>
            <w:r>
              <w:rPr>
                <w:rFonts w:hint="eastAsia" w:ascii="Times New Roman" w:hAnsi="Times New Roman" w:cs="Times New Roman"/>
                <w:b/>
                <w:color w:val="auto"/>
                <w:sz w:val="32"/>
                <w:szCs w:val="32"/>
                <w:lang w:val="en-US" w:eastAsia="zh-CN"/>
              </w:rPr>
              <w:t xml:space="preserve"> </w:t>
            </w:r>
            <w:r>
              <w:rPr>
                <w:rFonts w:hint="eastAsia" w:ascii="Times New Roman" w:hAnsi="Times New Roman" w:cs="Times New Roman"/>
                <w:b/>
                <w:color w:val="auto"/>
                <w:sz w:val="32"/>
                <w:szCs w:val="32"/>
              </w:rPr>
              <w:t>日</w:t>
            </w:r>
            <w:r>
              <w:rPr>
                <w:rFonts w:hint="eastAsia" w:ascii="Times New Roman" w:hAnsi="Times New Roman" w:cs="Times New Roman"/>
                <w:b/>
                <w:color w:val="auto"/>
                <w:sz w:val="32"/>
                <w:szCs w:val="32"/>
                <w:lang w:val="en-US" w:eastAsia="zh-CN"/>
              </w:rPr>
              <w:t xml:space="preserve"> </w:t>
            </w:r>
            <w:r>
              <w:rPr>
                <w:rFonts w:hint="eastAsia" w:ascii="Times New Roman" w:hAnsi="Times New Roman" w:cs="Times New Roman"/>
                <w:b/>
                <w:color w:val="auto"/>
                <w:sz w:val="32"/>
                <w:szCs w:val="32"/>
              </w:rPr>
              <w:t>期</w:t>
            </w:r>
          </w:p>
        </w:tc>
        <w:tc>
          <w:tcPr>
            <w:tcW w:w="3572" w:type="pct"/>
            <w:tcBorders>
              <w:top w:val="single" w:color="auto" w:sz="4" w:space="0"/>
              <w:bottom w:val="single" w:color="auto" w:sz="4" w:space="0"/>
            </w:tcBorders>
            <w:vAlign w:val="bottom"/>
          </w:tcPr>
          <w:p w14:paraId="69DE9966">
            <w:pPr>
              <w:widowControl w:val="0"/>
              <w:jc w:val="center"/>
              <w:rPr>
                <w:b/>
                <w:color w:val="auto"/>
                <w:sz w:val="32"/>
                <w:szCs w:val="32"/>
              </w:rPr>
            </w:pPr>
            <w:r>
              <w:rPr>
                <w:rFonts w:ascii="Times New Roman" w:hAnsi="Times New Roman" w:cs="Times New Roman"/>
                <w:b/>
                <w:color w:val="auto"/>
                <w:kern w:val="2"/>
                <w:sz w:val="32"/>
                <w:szCs w:val="32"/>
              </w:rPr>
              <w:t>202</w:t>
            </w:r>
            <w:r>
              <w:rPr>
                <w:rFonts w:hint="eastAsia" w:ascii="Times New Roman" w:hAnsi="Times New Roman" w:cs="Times New Roman"/>
                <w:b/>
                <w:color w:val="auto"/>
                <w:kern w:val="2"/>
                <w:sz w:val="32"/>
                <w:szCs w:val="32"/>
                <w:lang w:val="en-US" w:eastAsia="zh-CN"/>
              </w:rPr>
              <w:t>5</w:t>
            </w:r>
            <w:r>
              <w:rPr>
                <w:rFonts w:hint="eastAsia" w:ascii="Times New Roman" w:hAnsi="Times New Roman" w:cs="Times New Roman"/>
                <w:b/>
                <w:color w:val="auto"/>
                <w:kern w:val="2"/>
                <w:sz w:val="32"/>
                <w:szCs w:val="32"/>
              </w:rPr>
              <w:t>年1</w:t>
            </w:r>
            <w:r>
              <w:rPr>
                <w:rFonts w:ascii="Times New Roman" w:hAnsi="Times New Roman" w:cs="Times New Roman"/>
                <w:b/>
                <w:color w:val="auto"/>
                <w:kern w:val="2"/>
                <w:sz w:val="32"/>
                <w:szCs w:val="32"/>
              </w:rPr>
              <w:t>1</w:t>
            </w:r>
            <w:r>
              <w:rPr>
                <w:rFonts w:hint="eastAsia" w:ascii="Times New Roman" w:hAnsi="Times New Roman" w:cs="Times New Roman"/>
                <w:b/>
                <w:color w:val="auto"/>
                <w:kern w:val="2"/>
                <w:sz w:val="32"/>
                <w:szCs w:val="32"/>
              </w:rPr>
              <w:t>月</w:t>
            </w:r>
          </w:p>
        </w:tc>
      </w:tr>
    </w:tbl>
    <w:p w14:paraId="33601FAC">
      <w:pPr>
        <w:rPr>
          <w:color w:val="auto"/>
        </w:rPr>
      </w:pPr>
    </w:p>
    <w:p w14:paraId="66C31D3F">
      <w:pPr>
        <w:rPr>
          <w:color w:val="auto"/>
        </w:rPr>
      </w:pPr>
    </w:p>
    <w:p w14:paraId="071D6385">
      <w:pPr>
        <w:rPr>
          <w:color w:val="auto"/>
        </w:rPr>
      </w:pPr>
    </w:p>
    <w:p w14:paraId="6309954F">
      <w:pPr>
        <w:rPr>
          <w:color w:val="auto"/>
        </w:rPr>
      </w:pPr>
    </w:p>
    <w:p w14:paraId="1B094841">
      <w:pPr>
        <w:rPr>
          <w:color w:val="auto"/>
        </w:rPr>
      </w:pPr>
    </w:p>
    <w:p w14:paraId="586236F3">
      <w:pPr>
        <w:rPr>
          <w:color w:val="auto"/>
        </w:rPr>
      </w:pPr>
    </w:p>
    <w:p w14:paraId="152E6E4D">
      <w:pPr>
        <w:rPr>
          <w:color w:val="auto"/>
        </w:rPr>
      </w:pPr>
    </w:p>
    <w:p w14:paraId="79E0B5EC">
      <w:pPr>
        <w:rPr>
          <w:color w:val="auto"/>
        </w:rPr>
      </w:pPr>
    </w:p>
    <w:p w14:paraId="6D47DA57">
      <w:pPr>
        <w:rPr>
          <w:color w:val="auto"/>
        </w:rPr>
      </w:pPr>
    </w:p>
    <w:p w14:paraId="574A3F3D">
      <w:pPr>
        <w:rPr>
          <w:color w:val="auto"/>
        </w:rPr>
      </w:pPr>
    </w:p>
    <w:p w14:paraId="43A72F7F">
      <w:pPr>
        <w:rPr>
          <w:color w:val="auto"/>
        </w:rPr>
      </w:pPr>
    </w:p>
    <w:p w14:paraId="47A9C959">
      <w:pPr>
        <w:rPr>
          <w:color w:val="auto"/>
        </w:rPr>
      </w:pPr>
    </w:p>
    <w:p w14:paraId="65DE0087">
      <w:pPr>
        <w:rPr>
          <w:color w:val="auto"/>
        </w:rPr>
      </w:pPr>
    </w:p>
    <w:p w14:paraId="1A13EF81">
      <w:pPr>
        <w:rPr>
          <w:color w:val="auto"/>
        </w:rPr>
      </w:pPr>
    </w:p>
    <w:p w14:paraId="22035AF3">
      <w:pPr>
        <w:rPr>
          <w:color w:val="auto"/>
        </w:rPr>
      </w:pPr>
    </w:p>
    <w:p w14:paraId="1ABB0832">
      <w:pPr>
        <w:ind w:firstLine="480"/>
        <w:rPr>
          <w:color w:val="auto"/>
        </w:rPr>
        <w:sectPr>
          <w:headerReference r:id="rId3" w:type="default"/>
          <w:footerReference r:id="rId5" w:type="default"/>
          <w:headerReference r:id="rId4" w:type="even"/>
          <w:footerReference r:id="rId6" w:type="even"/>
          <w:pgSz w:w="11906" w:h="16838"/>
          <w:pgMar w:top="1440" w:right="1417" w:bottom="1440" w:left="1417" w:header="850" w:footer="992" w:gutter="0"/>
          <w:cols w:space="0" w:num="1"/>
          <w:docGrid w:type="lines" w:linePitch="312" w:charSpace="0"/>
        </w:sectPr>
      </w:pPr>
    </w:p>
    <w:p w14:paraId="43B0B89B">
      <w:pPr>
        <w:ind w:firstLine="480"/>
        <w:rPr>
          <w:color w:val="auto"/>
        </w:rPr>
      </w:pPr>
    </w:p>
    <w:p w14:paraId="5F81324C">
      <w:pPr>
        <w:ind w:firstLine="480"/>
        <w:rPr>
          <w:color w:val="auto"/>
        </w:rPr>
      </w:pPr>
    </w:p>
    <w:p w14:paraId="365B4DE2">
      <w:pPr>
        <w:widowControl w:val="0"/>
        <w:spacing w:line="360" w:lineRule="auto"/>
        <w:jc w:val="center"/>
        <w:rPr>
          <w:rFonts w:ascii="Times New Roman" w:hAnsi="Times New Roman" w:cs="Times New Roman"/>
          <w:bCs/>
          <w:color w:val="auto"/>
          <w:kern w:val="2"/>
          <w:sz w:val="32"/>
        </w:rPr>
      </w:pPr>
      <w:r>
        <w:rPr>
          <w:rFonts w:hint="eastAsia" w:ascii="Times New Roman" w:hAnsi="Times New Roman" w:cs="Times New Roman"/>
          <w:bCs/>
          <w:color w:val="auto"/>
          <w:kern w:val="2"/>
          <w:sz w:val="32"/>
        </w:rPr>
        <w:t>西 北 工 业 大 学</w:t>
      </w:r>
    </w:p>
    <w:p w14:paraId="780BE418">
      <w:pPr>
        <w:widowControl w:val="0"/>
        <w:spacing w:line="360" w:lineRule="auto"/>
        <w:jc w:val="center"/>
        <w:rPr>
          <w:rFonts w:ascii="Times New Roman" w:hAnsi="Times New Roman" w:cs="Times New Roman"/>
          <w:bCs/>
          <w:color w:val="auto"/>
          <w:kern w:val="2"/>
          <w:sz w:val="52"/>
          <w:szCs w:val="52"/>
        </w:rPr>
      </w:pPr>
      <w:r>
        <w:rPr>
          <w:rFonts w:hint="eastAsia" w:ascii="Times New Roman" w:hAnsi="Times New Roman" w:cs="Times New Roman"/>
          <w:bCs/>
          <w:color w:val="auto"/>
          <w:kern w:val="2"/>
          <w:sz w:val="52"/>
          <w:szCs w:val="52"/>
        </w:rPr>
        <w:t>硕 士 学 位 论 文</w:t>
      </w:r>
    </w:p>
    <w:p w14:paraId="6DDFED36">
      <w:pPr>
        <w:widowControl w:val="0"/>
        <w:spacing w:line="360" w:lineRule="auto"/>
        <w:ind w:firstLine="420"/>
        <w:jc w:val="center"/>
        <w:rPr>
          <w:rFonts w:ascii="Times New Roman" w:hAnsi="Times New Roman" w:cs="Times New Roman"/>
          <w:bCs/>
          <w:color w:val="auto"/>
          <w:kern w:val="2"/>
          <w:sz w:val="21"/>
        </w:rPr>
      </w:pPr>
    </w:p>
    <w:p w14:paraId="1C0BEDD2">
      <w:pPr>
        <w:widowControl w:val="0"/>
        <w:spacing w:line="360" w:lineRule="auto"/>
        <w:ind w:firstLine="420"/>
        <w:jc w:val="center"/>
        <w:rPr>
          <w:rFonts w:ascii="Times New Roman" w:hAnsi="Times New Roman" w:cs="Times New Roman"/>
          <w:bCs/>
          <w:color w:val="auto"/>
          <w:kern w:val="2"/>
          <w:sz w:val="21"/>
        </w:rPr>
      </w:pPr>
    </w:p>
    <w:p w14:paraId="3A8C5ED8">
      <w:pPr>
        <w:spacing w:line="360" w:lineRule="auto"/>
        <w:ind w:left="480" w:leftChars="200"/>
        <w:rPr>
          <w:rFonts w:hint="eastAsia" w:ascii="Times New Roman" w:hAnsi="Times New Roman" w:cs="Times New Roman"/>
          <w:bCs/>
          <w:color w:val="auto"/>
          <w:kern w:val="2"/>
          <w:sz w:val="44"/>
          <w:u w:val="single"/>
        </w:rPr>
      </w:pPr>
      <w:r>
        <w:rPr>
          <w:rFonts w:hint="eastAsia" w:ascii="Times New Roman" w:hAnsi="Times New Roman" w:cs="Times New Roman"/>
          <w:bCs/>
          <w:color w:val="auto"/>
          <w:kern w:val="2"/>
          <w:sz w:val="44"/>
        </w:rPr>
        <w:t>题目：</w:t>
      </w:r>
      <w:r>
        <w:rPr>
          <w:rFonts w:hint="eastAsia" w:ascii="Times New Roman" w:hAnsi="Times New Roman" w:cs="Times New Roman"/>
          <w:bCs/>
          <w:color w:val="auto"/>
          <w:kern w:val="2"/>
          <w:sz w:val="44"/>
          <w:u w:val="single"/>
        </w:rPr>
        <w:t>H公司软件开发过程的改进研究</w:t>
      </w:r>
    </w:p>
    <w:p w14:paraId="6316E873">
      <w:pPr>
        <w:spacing w:line="360" w:lineRule="auto"/>
        <w:ind w:left="960" w:leftChars="200" w:hanging="480" w:hangingChars="200"/>
        <w:rPr>
          <w:bCs/>
          <w:color w:val="auto"/>
        </w:rPr>
      </w:pPr>
    </w:p>
    <w:p w14:paraId="7DBC77D4">
      <w:pPr>
        <w:spacing w:line="360" w:lineRule="auto"/>
        <w:ind w:left="960" w:leftChars="200" w:hanging="480" w:hangingChars="200"/>
        <w:rPr>
          <w:bCs/>
          <w:color w:val="auto"/>
        </w:rPr>
      </w:pPr>
    </w:p>
    <w:p w14:paraId="715A2304">
      <w:pPr>
        <w:spacing w:line="360" w:lineRule="auto"/>
        <w:ind w:left="960" w:leftChars="200" w:hanging="480" w:hangingChars="200"/>
        <w:rPr>
          <w:bCs/>
          <w:color w:val="auto"/>
        </w:rPr>
      </w:pPr>
    </w:p>
    <w:p w14:paraId="301E5965">
      <w:pPr>
        <w:spacing w:line="360" w:lineRule="auto"/>
        <w:ind w:left="960" w:leftChars="200" w:hanging="480" w:hangingChars="200"/>
        <w:rPr>
          <w:bCs/>
          <w:color w:val="auto"/>
        </w:rPr>
      </w:pPr>
    </w:p>
    <w:p w14:paraId="296746E0">
      <w:pPr>
        <w:spacing w:line="360" w:lineRule="auto"/>
        <w:ind w:left="960" w:leftChars="200" w:hanging="480" w:hangingChars="200"/>
        <w:rPr>
          <w:bCs/>
          <w:color w:val="auto"/>
        </w:rPr>
      </w:pPr>
    </w:p>
    <w:p w14:paraId="5D40628A">
      <w:pPr>
        <w:spacing w:line="360" w:lineRule="auto"/>
        <w:ind w:left="960" w:leftChars="200" w:hanging="480" w:hangingChars="200"/>
        <w:rPr>
          <w:bCs/>
          <w:color w:val="auto"/>
        </w:rPr>
      </w:pPr>
    </w:p>
    <w:p w14:paraId="75C6FCB2">
      <w:pPr>
        <w:spacing w:line="360" w:lineRule="auto"/>
        <w:ind w:left="960" w:leftChars="200" w:hanging="480" w:hangingChars="200"/>
        <w:rPr>
          <w:bCs/>
          <w:color w:val="auto"/>
        </w:rPr>
      </w:pPr>
    </w:p>
    <w:p w14:paraId="67423724">
      <w:pPr>
        <w:spacing w:line="360" w:lineRule="auto"/>
        <w:ind w:left="960" w:leftChars="200" w:hanging="480" w:hangingChars="200"/>
        <w:rPr>
          <w:bCs/>
          <w:color w:val="auto"/>
        </w:rPr>
      </w:pPr>
    </w:p>
    <w:p w14:paraId="3BA23A0F">
      <w:pPr>
        <w:spacing w:line="360" w:lineRule="auto"/>
        <w:ind w:left="960" w:leftChars="200" w:hanging="480" w:hangingChars="200"/>
        <w:rPr>
          <w:bCs/>
          <w:color w:val="auto"/>
        </w:rPr>
      </w:pPr>
    </w:p>
    <w:p w14:paraId="6E353F2F">
      <w:pPr>
        <w:spacing w:line="360" w:lineRule="auto"/>
        <w:ind w:left="475" w:leftChars="198" w:firstLine="1600" w:firstLineChars="500"/>
        <w:rPr>
          <w:bCs/>
          <w:color w:val="auto"/>
          <w:sz w:val="32"/>
          <w:u w:val="single"/>
        </w:rPr>
      </w:pPr>
      <w:r>
        <w:rPr>
          <w:rFonts w:hint="eastAsia"/>
          <w:bCs/>
          <w:color w:val="auto"/>
          <w:sz w:val="32"/>
        </w:rPr>
        <w:t>专业领域：</w:t>
      </w:r>
      <w:r>
        <w:rPr>
          <w:rFonts w:hint="eastAsia"/>
          <w:bCs/>
          <w:color w:val="auto"/>
          <w:sz w:val="32"/>
          <w:u w:val="single"/>
        </w:rPr>
        <w:t xml:space="preserve">   工程管理硕士   </w:t>
      </w:r>
    </w:p>
    <w:p w14:paraId="566F921B">
      <w:pPr>
        <w:spacing w:line="360" w:lineRule="auto"/>
        <w:ind w:left="475" w:leftChars="198" w:firstLine="1600" w:firstLineChars="500"/>
        <w:rPr>
          <w:bCs/>
          <w:color w:val="auto"/>
          <w:sz w:val="32"/>
          <w:u w:val="single"/>
        </w:rPr>
      </w:pPr>
      <w:r>
        <w:rPr>
          <w:rFonts w:hint="eastAsia"/>
          <w:bCs/>
          <w:color w:val="auto"/>
          <w:sz w:val="32"/>
        </w:rPr>
        <w:t>作    者：</w:t>
      </w:r>
      <w:r>
        <w:rPr>
          <w:rFonts w:hint="eastAsia"/>
          <w:bCs/>
          <w:color w:val="auto"/>
          <w:sz w:val="32"/>
          <w:u w:val="single"/>
        </w:rPr>
        <w:t xml:space="preserve">    </w:t>
      </w:r>
      <w:r>
        <w:rPr>
          <w:bCs/>
          <w:color w:val="auto"/>
          <w:sz w:val="32"/>
          <w:u w:val="single"/>
        </w:rPr>
        <w:t xml:space="preserve">   </w:t>
      </w:r>
      <w:r>
        <w:rPr>
          <w:rFonts w:hint="eastAsia"/>
          <w:bCs/>
          <w:color w:val="auto"/>
          <w:sz w:val="32"/>
          <w:u w:val="single"/>
          <w:lang w:val="en-US" w:eastAsia="zh-CN"/>
        </w:rPr>
        <w:t xml:space="preserve">    </w:t>
      </w:r>
      <w:r>
        <w:rPr>
          <w:rFonts w:hint="eastAsia"/>
          <w:bCs/>
          <w:color w:val="auto"/>
          <w:sz w:val="32"/>
          <w:u w:val="single"/>
        </w:rPr>
        <w:t xml:space="preserve"> </w:t>
      </w:r>
      <w:r>
        <w:rPr>
          <w:bCs/>
          <w:color w:val="auto"/>
          <w:sz w:val="32"/>
          <w:u w:val="single"/>
        </w:rPr>
        <w:t xml:space="preserve"> </w:t>
      </w:r>
      <w:r>
        <w:rPr>
          <w:rFonts w:hint="eastAsia"/>
          <w:bCs/>
          <w:color w:val="auto"/>
          <w:sz w:val="32"/>
          <w:u w:val="single"/>
        </w:rPr>
        <w:t xml:space="preserve">  </w:t>
      </w:r>
      <w:r>
        <w:rPr>
          <w:bCs/>
          <w:color w:val="auto"/>
          <w:sz w:val="32"/>
          <w:u w:val="single"/>
        </w:rPr>
        <w:t xml:space="preserve">   </w:t>
      </w:r>
    </w:p>
    <w:p w14:paraId="67DE12B0">
      <w:pPr>
        <w:spacing w:line="360" w:lineRule="auto"/>
        <w:ind w:left="475" w:leftChars="198" w:firstLine="1600" w:firstLineChars="500"/>
        <w:rPr>
          <w:bCs/>
          <w:color w:val="auto"/>
          <w:sz w:val="32"/>
        </w:rPr>
      </w:pPr>
      <w:r>
        <w:rPr>
          <w:rFonts w:hint="eastAsia"/>
          <w:bCs/>
          <w:color w:val="auto"/>
          <w:sz w:val="32"/>
        </w:rPr>
        <w:t>指导教师：</w:t>
      </w:r>
      <w:r>
        <w:rPr>
          <w:rFonts w:hint="eastAsia"/>
          <w:bCs/>
          <w:color w:val="auto"/>
          <w:sz w:val="32"/>
          <w:u w:val="single"/>
        </w:rPr>
        <w:t xml:space="preserve">     </w:t>
      </w:r>
      <w:r>
        <w:rPr>
          <w:bCs/>
          <w:color w:val="auto"/>
          <w:sz w:val="32"/>
          <w:u w:val="single"/>
        </w:rPr>
        <w:t xml:space="preserve"> </w:t>
      </w:r>
      <w:r>
        <w:rPr>
          <w:rFonts w:hint="eastAsia"/>
          <w:bCs/>
          <w:color w:val="auto"/>
          <w:sz w:val="32"/>
          <w:u w:val="single"/>
          <w:lang w:val="en-US" w:eastAsia="zh-CN"/>
        </w:rPr>
        <w:t xml:space="preserve">      </w:t>
      </w:r>
      <w:r>
        <w:rPr>
          <w:rFonts w:hint="eastAsia"/>
          <w:bCs/>
          <w:color w:val="auto"/>
          <w:sz w:val="32"/>
          <w:u w:val="single"/>
        </w:rPr>
        <w:t xml:space="preserve">     </w:t>
      </w:r>
      <w:r>
        <w:rPr>
          <w:bCs/>
          <w:color w:val="auto"/>
          <w:sz w:val="32"/>
          <w:u w:val="single"/>
        </w:rPr>
        <w:t xml:space="preserve"> </w:t>
      </w:r>
    </w:p>
    <w:p w14:paraId="55D33AE8">
      <w:pPr>
        <w:spacing w:line="360" w:lineRule="auto"/>
        <w:ind w:left="960" w:leftChars="200" w:hanging="480" w:hangingChars="200"/>
        <w:rPr>
          <w:bCs/>
          <w:color w:val="auto"/>
        </w:rPr>
      </w:pPr>
    </w:p>
    <w:p w14:paraId="0BCE20C5">
      <w:pPr>
        <w:spacing w:line="360" w:lineRule="auto"/>
        <w:ind w:left="960" w:leftChars="200" w:hanging="480" w:hangingChars="200"/>
        <w:rPr>
          <w:bCs/>
          <w:color w:val="auto"/>
        </w:rPr>
      </w:pPr>
    </w:p>
    <w:p w14:paraId="7189E98E">
      <w:pPr>
        <w:spacing w:line="360" w:lineRule="auto"/>
        <w:ind w:left="960" w:leftChars="200" w:hanging="480" w:hangingChars="200"/>
        <w:rPr>
          <w:bCs/>
          <w:color w:val="auto"/>
        </w:rPr>
      </w:pPr>
    </w:p>
    <w:p w14:paraId="324CD449">
      <w:pPr>
        <w:spacing w:line="360" w:lineRule="auto"/>
        <w:ind w:left="1120" w:leftChars="200" w:hanging="640" w:hangingChars="200"/>
        <w:jc w:val="center"/>
        <w:rPr>
          <w:color w:val="auto"/>
          <w:sz w:val="32"/>
        </w:rPr>
      </w:pPr>
      <w:r>
        <w:rPr>
          <w:rFonts w:ascii="Times New Roman" w:hAnsi="Times New Roman" w:cs="Times New Roman"/>
          <w:color w:val="auto"/>
          <w:sz w:val="32"/>
        </w:rPr>
        <w:t>202</w:t>
      </w:r>
      <w:r>
        <w:rPr>
          <w:rFonts w:hint="eastAsia" w:ascii="Times New Roman" w:hAnsi="Times New Roman" w:cs="Times New Roman"/>
          <w:color w:val="auto"/>
          <w:sz w:val="32"/>
          <w:lang w:val="en-US" w:eastAsia="zh-CN"/>
        </w:rPr>
        <w:t>5</w:t>
      </w:r>
      <w:r>
        <w:rPr>
          <w:rFonts w:hint="eastAsia"/>
          <w:color w:val="auto"/>
          <w:sz w:val="32"/>
        </w:rPr>
        <w:t>年</w:t>
      </w:r>
      <w:r>
        <w:rPr>
          <w:rFonts w:ascii="Times New Roman" w:hAnsi="Times New Roman" w:cs="Times New Roman"/>
          <w:color w:val="auto"/>
          <w:sz w:val="32"/>
        </w:rPr>
        <w:t>11</w:t>
      </w:r>
      <w:r>
        <w:rPr>
          <w:rFonts w:hint="eastAsia"/>
          <w:color w:val="auto"/>
          <w:sz w:val="32"/>
        </w:rPr>
        <w:t>月</w:t>
      </w:r>
    </w:p>
    <w:p w14:paraId="64878F73">
      <w:pPr>
        <w:widowControl w:val="0"/>
        <w:jc w:val="both"/>
        <w:rPr>
          <w:rFonts w:ascii="Times New Roman" w:hAnsi="Times New Roman" w:cs="Times New Roman"/>
          <w:color w:val="auto"/>
          <w:kern w:val="2"/>
          <w:sz w:val="21"/>
        </w:rPr>
      </w:pPr>
    </w:p>
    <w:p w14:paraId="0185190C">
      <w:pPr>
        <w:widowControl w:val="0"/>
        <w:jc w:val="both"/>
        <w:rPr>
          <w:rFonts w:ascii="Times New Roman" w:hAnsi="Times New Roman" w:cs="Times New Roman"/>
          <w:color w:val="auto"/>
          <w:kern w:val="2"/>
          <w:sz w:val="21"/>
        </w:rPr>
      </w:pPr>
    </w:p>
    <w:p w14:paraId="4FDEDC7F">
      <w:pPr>
        <w:widowControl w:val="0"/>
        <w:jc w:val="both"/>
        <w:rPr>
          <w:rFonts w:ascii="Times New Roman" w:hAnsi="Times New Roman" w:cs="Times New Roman"/>
          <w:color w:val="auto"/>
          <w:kern w:val="2"/>
          <w:sz w:val="21"/>
        </w:rPr>
      </w:pPr>
    </w:p>
    <w:p w14:paraId="31D44D91">
      <w:pPr>
        <w:widowControl w:val="0"/>
        <w:jc w:val="both"/>
        <w:rPr>
          <w:rFonts w:ascii="Times New Roman" w:hAnsi="Times New Roman" w:cs="Times New Roman"/>
          <w:color w:val="auto"/>
          <w:kern w:val="2"/>
          <w:sz w:val="21"/>
        </w:rPr>
      </w:pPr>
    </w:p>
    <w:p w14:paraId="6BA7843D">
      <w:pPr>
        <w:widowControl w:val="0"/>
        <w:jc w:val="both"/>
        <w:rPr>
          <w:rFonts w:ascii="Times New Roman" w:hAnsi="Times New Roman" w:cs="Times New Roman"/>
          <w:color w:val="auto"/>
          <w:kern w:val="2"/>
          <w:sz w:val="21"/>
        </w:rPr>
      </w:pPr>
    </w:p>
    <w:p w14:paraId="178431CA">
      <w:pPr>
        <w:widowControl w:val="0"/>
        <w:jc w:val="both"/>
        <w:rPr>
          <w:rFonts w:ascii="Times New Roman" w:hAnsi="Times New Roman" w:cs="Times New Roman"/>
          <w:color w:val="auto"/>
          <w:kern w:val="2"/>
          <w:sz w:val="21"/>
        </w:rPr>
      </w:pPr>
    </w:p>
    <w:p w14:paraId="0BD04FA0">
      <w:pPr>
        <w:widowControl w:val="0"/>
        <w:jc w:val="both"/>
        <w:rPr>
          <w:rFonts w:ascii="Times New Roman" w:hAnsi="Times New Roman" w:cs="Times New Roman"/>
          <w:color w:val="auto"/>
          <w:kern w:val="2"/>
          <w:sz w:val="21"/>
        </w:rPr>
      </w:pPr>
    </w:p>
    <w:p w14:paraId="20656220">
      <w:pPr>
        <w:widowControl w:val="0"/>
        <w:jc w:val="both"/>
        <w:rPr>
          <w:rFonts w:ascii="Times New Roman" w:hAnsi="Times New Roman" w:cs="Times New Roman"/>
          <w:color w:val="auto"/>
          <w:kern w:val="2"/>
          <w:sz w:val="21"/>
        </w:rPr>
      </w:pPr>
    </w:p>
    <w:p w14:paraId="4193F4C2">
      <w:pPr>
        <w:widowControl w:val="0"/>
        <w:jc w:val="both"/>
        <w:rPr>
          <w:rFonts w:ascii="Times New Roman" w:hAnsi="Times New Roman" w:cs="Times New Roman"/>
          <w:color w:val="auto"/>
          <w:kern w:val="2"/>
          <w:sz w:val="21"/>
        </w:rPr>
      </w:pPr>
    </w:p>
    <w:p w14:paraId="3C9397BB">
      <w:pPr>
        <w:widowControl w:val="0"/>
        <w:jc w:val="both"/>
        <w:rPr>
          <w:rFonts w:ascii="Times New Roman" w:hAnsi="Times New Roman" w:cs="Times New Roman"/>
          <w:color w:val="auto"/>
          <w:kern w:val="2"/>
          <w:sz w:val="21"/>
        </w:rPr>
      </w:pPr>
    </w:p>
    <w:p w14:paraId="1FF95C09">
      <w:pPr>
        <w:widowControl w:val="0"/>
        <w:jc w:val="both"/>
        <w:rPr>
          <w:rFonts w:ascii="Times New Roman" w:hAnsi="Times New Roman" w:cs="Times New Roman"/>
          <w:color w:val="auto"/>
          <w:kern w:val="2"/>
          <w:sz w:val="21"/>
        </w:rPr>
      </w:pPr>
    </w:p>
    <w:p w14:paraId="35973E1E">
      <w:pPr>
        <w:widowControl w:val="0"/>
        <w:jc w:val="both"/>
        <w:rPr>
          <w:rFonts w:ascii="Times New Roman" w:hAnsi="Times New Roman" w:cs="Times New Roman"/>
          <w:color w:val="auto"/>
          <w:kern w:val="2"/>
          <w:sz w:val="21"/>
        </w:rPr>
      </w:pPr>
    </w:p>
    <w:p w14:paraId="6A5E2FCC">
      <w:pPr>
        <w:spacing w:line="360" w:lineRule="auto"/>
        <w:rPr>
          <w:color w:val="auto"/>
          <w:sz w:val="32"/>
        </w:rPr>
        <w:sectPr>
          <w:type w:val="oddPage"/>
          <w:pgSz w:w="11906" w:h="16838"/>
          <w:pgMar w:top="1440" w:right="1417" w:bottom="1440" w:left="1417" w:header="850" w:footer="992" w:gutter="0"/>
          <w:cols w:space="0" w:num="1"/>
          <w:docGrid w:type="lines" w:linePitch="312" w:charSpace="0"/>
        </w:sectPr>
      </w:pPr>
    </w:p>
    <w:p w14:paraId="7686BE06">
      <w:pPr>
        <w:widowControl w:val="0"/>
        <w:adjustRightInd w:val="0"/>
        <w:snapToGrid w:val="0"/>
        <w:spacing w:line="288" w:lineRule="auto"/>
        <w:jc w:val="center"/>
        <w:rPr>
          <w:rFonts w:ascii="Times New Roman" w:hAnsi="Times New Roman" w:cs="Times New Roman"/>
          <w:b/>
          <w:color w:val="auto"/>
          <w:kern w:val="2"/>
          <w:sz w:val="36"/>
          <w:szCs w:val="36"/>
        </w:rPr>
      </w:pPr>
    </w:p>
    <w:p w14:paraId="450E5FE2">
      <w:pPr>
        <w:adjustRightInd w:val="0"/>
        <w:snapToGrid w:val="0"/>
        <w:spacing w:line="288" w:lineRule="auto"/>
        <w:ind w:left="1234" w:hanging="1234" w:hangingChars="282"/>
        <w:rPr>
          <w:rFonts w:ascii="Times New Roman" w:hAnsi="Times New Roman" w:cs="Times New Roman"/>
          <w:b/>
          <w:color w:val="auto"/>
          <w:sz w:val="44"/>
          <w:szCs w:val="44"/>
        </w:rPr>
      </w:pPr>
      <w:r>
        <w:rPr>
          <w:rFonts w:ascii="Times New Roman" w:hAnsi="Times New Roman" w:cs="Times New Roman"/>
          <w:b/>
          <w:color w:val="auto"/>
          <w:spacing w:val="-2"/>
          <w:kern w:val="2"/>
          <w:sz w:val="44"/>
          <w:szCs w:val="44"/>
        </w:rPr>
        <w:t xml:space="preserve">Title: </w:t>
      </w:r>
      <w:r>
        <w:rPr>
          <w:rFonts w:ascii="Times New Roman" w:hAnsi="Times New Roman" w:cs="Times New Roman"/>
          <w:b/>
          <w:color w:val="auto"/>
          <w:spacing w:val="-2"/>
          <w:kern w:val="2"/>
          <w:sz w:val="32"/>
          <w:szCs w:val="32"/>
        </w:rPr>
        <w:t>Research on Improving Software Development Process of H Company</w:t>
      </w:r>
    </w:p>
    <w:p w14:paraId="779C4458">
      <w:pPr>
        <w:widowControl w:val="0"/>
        <w:adjustRightInd w:val="0"/>
        <w:snapToGrid w:val="0"/>
        <w:spacing w:line="288" w:lineRule="auto"/>
        <w:jc w:val="center"/>
        <w:rPr>
          <w:rFonts w:ascii="Times New Roman" w:hAnsi="Times New Roman" w:cs="Times New Roman"/>
          <w:b/>
          <w:color w:val="auto"/>
          <w:kern w:val="2"/>
          <w:sz w:val="30"/>
          <w:szCs w:val="30"/>
        </w:rPr>
      </w:pPr>
    </w:p>
    <w:p w14:paraId="7F6E7996">
      <w:pPr>
        <w:widowControl w:val="0"/>
        <w:adjustRightInd w:val="0"/>
        <w:snapToGrid w:val="0"/>
        <w:spacing w:line="288" w:lineRule="auto"/>
        <w:jc w:val="center"/>
        <w:rPr>
          <w:rFonts w:ascii="Times New Roman" w:hAnsi="Times New Roman" w:cs="Times New Roman"/>
          <w:b/>
          <w:color w:val="auto"/>
          <w:kern w:val="2"/>
          <w:sz w:val="30"/>
          <w:szCs w:val="30"/>
        </w:rPr>
      </w:pPr>
    </w:p>
    <w:p w14:paraId="721F3A28">
      <w:pPr>
        <w:widowControl w:val="0"/>
        <w:adjustRightInd w:val="0"/>
        <w:snapToGrid w:val="0"/>
        <w:spacing w:line="288" w:lineRule="auto"/>
        <w:jc w:val="center"/>
        <w:rPr>
          <w:rFonts w:ascii="Times New Roman" w:hAnsi="Times New Roman" w:cs="Times New Roman"/>
          <w:b/>
          <w:color w:val="auto"/>
          <w:kern w:val="2"/>
          <w:sz w:val="30"/>
          <w:szCs w:val="30"/>
        </w:rPr>
      </w:pPr>
    </w:p>
    <w:p w14:paraId="360E916B">
      <w:pPr>
        <w:widowControl w:val="0"/>
        <w:adjustRightInd w:val="0"/>
        <w:snapToGrid w:val="0"/>
        <w:spacing w:line="288" w:lineRule="auto"/>
        <w:jc w:val="center"/>
        <w:rPr>
          <w:rFonts w:ascii="Times New Roman" w:hAnsi="Times New Roman" w:cs="Times New Roman"/>
          <w:b/>
          <w:color w:val="auto"/>
          <w:kern w:val="2"/>
          <w:sz w:val="30"/>
          <w:szCs w:val="30"/>
        </w:rPr>
      </w:pPr>
      <w:r>
        <w:rPr>
          <w:rFonts w:ascii="Times New Roman" w:hAnsi="Times New Roman" w:cs="Times New Roman"/>
          <w:b/>
          <w:color w:val="auto"/>
          <w:kern w:val="2"/>
          <w:sz w:val="30"/>
          <w:szCs w:val="30"/>
        </w:rPr>
        <w:t>By</w:t>
      </w:r>
    </w:p>
    <w:p w14:paraId="5205B976">
      <w:pPr>
        <w:widowControl w:val="0"/>
        <w:adjustRightInd w:val="0"/>
        <w:snapToGrid w:val="0"/>
        <w:spacing w:line="288" w:lineRule="auto"/>
        <w:jc w:val="center"/>
        <w:rPr>
          <w:rFonts w:ascii="Times New Roman" w:hAnsi="Times New Roman" w:cs="Times New Roman"/>
          <w:b/>
          <w:color w:val="auto"/>
          <w:kern w:val="2"/>
          <w:sz w:val="30"/>
          <w:szCs w:val="30"/>
        </w:rPr>
      </w:pPr>
    </w:p>
    <w:p w14:paraId="052B62C0">
      <w:pPr>
        <w:widowControl w:val="0"/>
        <w:adjustRightInd w:val="0"/>
        <w:snapToGrid w:val="0"/>
        <w:spacing w:line="288" w:lineRule="auto"/>
        <w:jc w:val="center"/>
        <w:rPr>
          <w:rFonts w:ascii="Times New Roman" w:hAnsi="Times New Roman" w:cs="Times New Roman"/>
          <w:b/>
          <w:color w:val="auto"/>
          <w:kern w:val="2"/>
          <w:sz w:val="30"/>
          <w:szCs w:val="30"/>
        </w:rPr>
      </w:pPr>
    </w:p>
    <w:p w14:paraId="7F91FF36">
      <w:pPr>
        <w:widowControl w:val="0"/>
        <w:adjustRightInd w:val="0"/>
        <w:snapToGrid w:val="0"/>
        <w:spacing w:line="288" w:lineRule="auto"/>
        <w:jc w:val="center"/>
        <w:rPr>
          <w:rFonts w:ascii="Times New Roman" w:hAnsi="Times New Roman" w:cs="Times New Roman"/>
          <w:b/>
          <w:color w:val="auto"/>
          <w:kern w:val="2"/>
          <w:sz w:val="30"/>
          <w:szCs w:val="30"/>
        </w:rPr>
      </w:pPr>
    </w:p>
    <w:p w14:paraId="4E1EDC01">
      <w:pPr>
        <w:widowControl w:val="0"/>
        <w:adjustRightInd w:val="0"/>
        <w:snapToGrid w:val="0"/>
        <w:spacing w:line="288" w:lineRule="auto"/>
        <w:jc w:val="center"/>
        <w:rPr>
          <w:rFonts w:ascii="Times New Roman" w:hAnsi="Times New Roman" w:cs="Times New Roman"/>
          <w:b/>
          <w:color w:val="auto"/>
          <w:kern w:val="2"/>
          <w:sz w:val="30"/>
          <w:szCs w:val="30"/>
        </w:rPr>
      </w:pPr>
    </w:p>
    <w:p w14:paraId="354478A5">
      <w:pPr>
        <w:widowControl w:val="0"/>
        <w:adjustRightInd w:val="0"/>
        <w:snapToGrid w:val="0"/>
        <w:spacing w:line="288" w:lineRule="auto"/>
        <w:jc w:val="center"/>
        <w:rPr>
          <w:rFonts w:ascii="Times New Roman" w:hAnsi="Times New Roman" w:cs="Times New Roman"/>
          <w:b/>
          <w:color w:val="auto"/>
          <w:kern w:val="2"/>
          <w:sz w:val="30"/>
          <w:szCs w:val="30"/>
        </w:rPr>
      </w:pPr>
      <w:r>
        <w:rPr>
          <w:rFonts w:ascii="Times New Roman" w:hAnsi="Times New Roman" w:cs="Times New Roman"/>
          <w:b/>
          <w:color w:val="auto"/>
          <w:kern w:val="2"/>
          <w:sz w:val="30"/>
          <w:szCs w:val="30"/>
        </w:rPr>
        <w:t>Under the Supervision of Professor</w:t>
      </w:r>
    </w:p>
    <w:p w14:paraId="5FA7C7DE">
      <w:pPr>
        <w:widowControl w:val="0"/>
        <w:adjustRightInd w:val="0"/>
        <w:snapToGrid w:val="0"/>
        <w:spacing w:line="288" w:lineRule="auto"/>
        <w:jc w:val="center"/>
        <w:rPr>
          <w:rFonts w:ascii="Times New Roman" w:hAnsi="Times New Roman" w:cs="Times New Roman"/>
          <w:b/>
          <w:color w:val="auto"/>
          <w:kern w:val="2"/>
          <w:sz w:val="30"/>
          <w:szCs w:val="30"/>
        </w:rPr>
      </w:pPr>
    </w:p>
    <w:p w14:paraId="6AE99858">
      <w:pPr>
        <w:widowControl w:val="0"/>
        <w:adjustRightInd w:val="0"/>
        <w:snapToGrid w:val="0"/>
        <w:spacing w:line="288" w:lineRule="auto"/>
        <w:jc w:val="center"/>
        <w:rPr>
          <w:rFonts w:ascii="Times New Roman" w:hAnsi="Times New Roman" w:cs="Times New Roman"/>
          <w:b/>
          <w:color w:val="auto"/>
          <w:kern w:val="2"/>
          <w:sz w:val="30"/>
          <w:szCs w:val="30"/>
        </w:rPr>
      </w:pPr>
    </w:p>
    <w:p w14:paraId="2A5A0B3F">
      <w:pPr>
        <w:widowControl w:val="0"/>
        <w:autoSpaceDE w:val="0"/>
        <w:autoSpaceDN w:val="0"/>
        <w:adjustRightInd w:val="0"/>
        <w:snapToGrid w:val="0"/>
        <w:spacing w:line="288" w:lineRule="auto"/>
        <w:jc w:val="center"/>
        <w:rPr>
          <w:rFonts w:ascii="Times New Roman" w:hAnsi="Times New Roman" w:cs="Times New Roman"/>
          <w:color w:val="auto"/>
          <w:kern w:val="2"/>
          <w:sz w:val="30"/>
          <w:szCs w:val="30"/>
        </w:rPr>
      </w:pPr>
    </w:p>
    <w:p w14:paraId="7C1010F9">
      <w:pPr>
        <w:widowControl w:val="0"/>
        <w:autoSpaceDE w:val="0"/>
        <w:autoSpaceDN w:val="0"/>
        <w:adjustRightInd w:val="0"/>
        <w:snapToGrid w:val="0"/>
        <w:spacing w:line="288" w:lineRule="auto"/>
        <w:jc w:val="center"/>
        <w:rPr>
          <w:rFonts w:ascii="Times New Roman" w:hAnsi="Times New Roman" w:cs="Times New Roman"/>
          <w:color w:val="auto"/>
          <w:kern w:val="2"/>
          <w:sz w:val="30"/>
          <w:szCs w:val="30"/>
        </w:rPr>
      </w:pPr>
    </w:p>
    <w:p w14:paraId="1A06E73B">
      <w:pPr>
        <w:widowControl w:val="0"/>
        <w:autoSpaceDE w:val="0"/>
        <w:autoSpaceDN w:val="0"/>
        <w:adjustRightInd w:val="0"/>
        <w:snapToGrid w:val="0"/>
        <w:spacing w:line="288" w:lineRule="auto"/>
        <w:jc w:val="center"/>
        <w:rPr>
          <w:rFonts w:ascii="Times New Roman" w:hAnsi="Times New Roman" w:cs="Times New Roman"/>
          <w:color w:val="auto"/>
          <w:kern w:val="2"/>
          <w:sz w:val="30"/>
          <w:szCs w:val="30"/>
        </w:rPr>
      </w:pPr>
    </w:p>
    <w:p w14:paraId="66E951D7">
      <w:pPr>
        <w:widowControl w:val="0"/>
        <w:adjustRightInd w:val="0"/>
        <w:snapToGrid w:val="0"/>
        <w:spacing w:line="288" w:lineRule="auto"/>
        <w:jc w:val="center"/>
        <w:rPr>
          <w:rFonts w:ascii="Times New Roman" w:hAnsi="Times New Roman" w:cs="Times New Roman"/>
          <w:color w:val="auto"/>
          <w:kern w:val="2"/>
          <w:sz w:val="30"/>
          <w:szCs w:val="30"/>
        </w:rPr>
      </w:pPr>
      <w:r>
        <w:rPr>
          <w:rFonts w:ascii="Times New Roman" w:hAnsi="Times New Roman" w:cs="Times New Roman"/>
          <w:color w:val="auto"/>
          <w:kern w:val="2"/>
          <w:sz w:val="30"/>
          <w:szCs w:val="30"/>
        </w:rPr>
        <w:t>A Dissertation Submitted to</w:t>
      </w:r>
    </w:p>
    <w:p w14:paraId="4CEE3773">
      <w:pPr>
        <w:widowControl w:val="0"/>
        <w:adjustRightInd w:val="0"/>
        <w:snapToGrid w:val="0"/>
        <w:spacing w:line="288" w:lineRule="auto"/>
        <w:jc w:val="center"/>
        <w:rPr>
          <w:rFonts w:ascii="Times New Roman" w:hAnsi="Times New Roman" w:cs="Times New Roman"/>
          <w:color w:val="auto"/>
          <w:kern w:val="2"/>
          <w:sz w:val="30"/>
          <w:szCs w:val="30"/>
        </w:rPr>
      </w:pPr>
      <w:r>
        <w:rPr>
          <w:rFonts w:ascii="Times New Roman" w:hAnsi="Times New Roman" w:cs="Times New Roman"/>
          <w:color w:val="auto"/>
          <w:kern w:val="2"/>
          <w:sz w:val="30"/>
          <w:szCs w:val="30"/>
        </w:rPr>
        <w:t>Northwestern Polytechnical University</w:t>
      </w:r>
    </w:p>
    <w:p w14:paraId="1AA7B693">
      <w:pPr>
        <w:widowControl w:val="0"/>
        <w:adjustRightInd w:val="0"/>
        <w:snapToGrid w:val="0"/>
        <w:spacing w:line="288" w:lineRule="auto"/>
        <w:jc w:val="center"/>
        <w:rPr>
          <w:rFonts w:ascii="Times New Roman" w:hAnsi="Times New Roman" w:cs="Times New Roman"/>
          <w:color w:val="auto"/>
          <w:kern w:val="2"/>
          <w:sz w:val="30"/>
          <w:szCs w:val="30"/>
        </w:rPr>
      </w:pPr>
    </w:p>
    <w:p w14:paraId="4CCF9EA1">
      <w:pPr>
        <w:widowControl w:val="0"/>
        <w:adjustRightInd w:val="0"/>
        <w:snapToGrid w:val="0"/>
        <w:spacing w:line="288" w:lineRule="auto"/>
        <w:jc w:val="center"/>
        <w:rPr>
          <w:rFonts w:ascii="Times New Roman" w:hAnsi="Times New Roman" w:cs="Times New Roman"/>
          <w:color w:val="auto"/>
          <w:kern w:val="2"/>
          <w:sz w:val="30"/>
          <w:szCs w:val="30"/>
        </w:rPr>
      </w:pPr>
      <w:r>
        <w:rPr>
          <w:rFonts w:ascii="Times New Roman" w:hAnsi="Times New Roman" w:cs="Times New Roman"/>
          <w:color w:val="auto"/>
          <w:kern w:val="2"/>
          <w:sz w:val="30"/>
          <w:szCs w:val="30"/>
        </w:rPr>
        <w:t>In Partial Fulfillment of The Requirement</w:t>
      </w:r>
    </w:p>
    <w:p w14:paraId="42A5DB6A">
      <w:pPr>
        <w:widowControl w:val="0"/>
        <w:adjustRightInd w:val="0"/>
        <w:snapToGrid w:val="0"/>
        <w:spacing w:line="288" w:lineRule="auto"/>
        <w:jc w:val="center"/>
        <w:rPr>
          <w:rFonts w:ascii="Times New Roman" w:hAnsi="Times New Roman" w:cs="Times New Roman"/>
          <w:color w:val="auto"/>
          <w:kern w:val="2"/>
          <w:sz w:val="30"/>
          <w:szCs w:val="30"/>
        </w:rPr>
      </w:pPr>
      <w:r>
        <w:rPr>
          <w:rFonts w:ascii="Times New Roman" w:hAnsi="Times New Roman" w:cs="Times New Roman"/>
          <w:color w:val="auto"/>
          <w:kern w:val="2"/>
          <w:sz w:val="30"/>
          <w:szCs w:val="30"/>
        </w:rPr>
        <w:t xml:space="preserve">For </w:t>
      </w:r>
      <w:r>
        <w:rPr>
          <w:rFonts w:hint="eastAsia" w:ascii="Times New Roman" w:hAnsi="Times New Roman" w:cs="Times New Roman"/>
          <w:color w:val="auto"/>
          <w:kern w:val="2"/>
          <w:sz w:val="30"/>
          <w:szCs w:val="30"/>
        </w:rPr>
        <w:t>t</w:t>
      </w:r>
      <w:r>
        <w:rPr>
          <w:rFonts w:ascii="Times New Roman" w:hAnsi="Times New Roman" w:cs="Times New Roman"/>
          <w:color w:val="auto"/>
          <w:kern w:val="2"/>
          <w:sz w:val="30"/>
          <w:szCs w:val="30"/>
        </w:rPr>
        <w:t>he Degree of</w:t>
      </w:r>
    </w:p>
    <w:p w14:paraId="6D3472D0">
      <w:pPr>
        <w:widowControl w:val="0"/>
        <w:adjustRightInd w:val="0"/>
        <w:snapToGrid w:val="0"/>
        <w:spacing w:line="288" w:lineRule="auto"/>
        <w:jc w:val="center"/>
        <w:rPr>
          <w:rFonts w:ascii="Times New Roman" w:hAnsi="Times New Roman" w:cs="Times New Roman"/>
          <w:color w:val="auto"/>
          <w:kern w:val="2"/>
          <w:sz w:val="30"/>
          <w:szCs w:val="30"/>
        </w:rPr>
      </w:pPr>
      <w:r>
        <w:rPr>
          <w:rFonts w:ascii="Times New Roman" w:hAnsi="Times New Roman" w:cs="Times New Roman"/>
          <w:color w:val="auto"/>
          <w:kern w:val="2"/>
          <w:sz w:val="30"/>
          <w:szCs w:val="30"/>
        </w:rPr>
        <w:t>Master of Engineering Management</w:t>
      </w:r>
    </w:p>
    <w:p w14:paraId="0080417B">
      <w:pPr>
        <w:widowControl w:val="0"/>
        <w:adjustRightInd w:val="0"/>
        <w:snapToGrid w:val="0"/>
        <w:spacing w:line="288" w:lineRule="auto"/>
        <w:jc w:val="center"/>
        <w:rPr>
          <w:rFonts w:ascii="Times New Roman" w:hAnsi="Times New Roman" w:cs="Times New Roman"/>
          <w:color w:val="auto"/>
          <w:kern w:val="2"/>
          <w:sz w:val="30"/>
          <w:szCs w:val="30"/>
        </w:rPr>
      </w:pPr>
    </w:p>
    <w:p w14:paraId="20467CE3">
      <w:pPr>
        <w:widowControl w:val="0"/>
        <w:adjustRightInd w:val="0"/>
        <w:snapToGrid w:val="0"/>
        <w:spacing w:line="288" w:lineRule="auto"/>
        <w:jc w:val="center"/>
        <w:rPr>
          <w:rFonts w:ascii="Times New Roman" w:hAnsi="Times New Roman" w:cs="Times New Roman"/>
          <w:color w:val="auto"/>
          <w:kern w:val="2"/>
          <w:sz w:val="30"/>
          <w:szCs w:val="30"/>
        </w:rPr>
      </w:pPr>
    </w:p>
    <w:p w14:paraId="4F2FD4AD">
      <w:pPr>
        <w:widowControl w:val="0"/>
        <w:adjustRightInd w:val="0"/>
        <w:snapToGrid w:val="0"/>
        <w:spacing w:line="288" w:lineRule="auto"/>
        <w:jc w:val="center"/>
        <w:rPr>
          <w:rFonts w:ascii="Times New Roman" w:hAnsi="Times New Roman" w:cs="Times New Roman"/>
          <w:color w:val="auto"/>
          <w:kern w:val="2"/>
          <w:sz w:val="30"/>
          <w:szCs w:val="30"/>
        </w:rPr>
      </w:pPr>
    </w:p>
    <w:p w14:paraId="27B165F7">
      <w:pPr>
        <w:widowControl w:val="0"/>
        <w:spacing w:line="500" w:lineRule="exact"/>
        <w:jc w:val="center"/>
        <w:rPr>
          <w:rFonts w:ascii="Times New Roman" w:hAnsi="Times New Roman" w:cs="Times New Roman"/>
          <w:color w:val="auto"/>
          <w:kern w:val="2"/>
          <w:sz w:val="30"/>
          <w:szCs w:val="30"/>
        </w:rPr>
      </w:pPr>
      <w:r>
        <w:rPr>
          <w:rFonts w:ascii="Times New Roman" w:hAnsi="Times New Roman" w:cs="Times New Roman"/>
          <w:color w:val="auto"/>
          <w:kern w:val="2"/>
          <w:sz w:val="30"/>
          <w:szCs w:val="30"/>
        </w:rPr>
        <w:t>Xi’an P. R. China</w:t>
      </w:r>
    </w:p>
    <w:p w14:paraId="0C39FBD5">
      <w:pPr>
        <w:widowControl w:val="0"/>
        <w:spacing w:line="500" w:lineRule="exact"/>
        <w:jc w:val="center"/>
        <w:rPr>
          <w:rFonts w:hint="eastAsia" w:ascii="Times New Roman" w:hAnsi="Times New Roman" w:eastAsia="宋体" w:cs="Times New Roman"/>
          <w:color w:val="auto"/>
          <w:kern w:val="2"/>
          <w:sz w:val="30"/>
          <w:szCs w:val="30"/>
          <w:lang w:val="en-US" w:eastAsia="zh-CN"/>
        </w:rPr>
      </w:pPr>
      <w:r>
        <w:rPr>
          <w:rFonts w:ascii="Times New Roman" w:hAnsi="Times New Roman" w:cs="Times New Roman"/>
          <w:color w:val="auto"/>
          <w:kern w:val="2"/>
          <w:sz w:val="30"/>
          <w:szCs w:val="30"/>
        </w:rPr>
        <w:t>November</w:t>
      </w:r>
      <w:r>
        <w:rPr>
          <w:rFonts w:hint="eastAsia" w:ascii="Times New Roman" w:hAnsi="Times New Roman" w:cs="Times New Roman"/>
          <w:color w:val="auto"/>
          <w:kern w:val="2"/>
          <w:sz w:val="30"/>
          <w:szCs w:val="30"/>
          <w:lang w:val="en-US" w:eastAsia="zh-CN"/>
        </w:rPr>
        <w:t xml:space="preserve"> /</w:t>
      </w:r>
      <w:r>
        <w:rPr>
          <w:rFonts w:ascii="Times New Roman" w:hAnsi="Times New Roman" w:cs="Times New Roman"/>
          <w:color w:val="auto"/>
          <w:kern w:val="2"/>
          <w:sz w:val="30"/>
          <w:szCs w:val="30"/>
        </w:rPr>
        <w:t xml:space="preserve"> 202</w:t>
      </w:r>
      <w:r>
        <w:rPr>
          <w:rFonts w:hint="eastAsia" w:ascii="Times New Roman" w:hAnsi="Times New Roman" w:cs="Times New Roman"/>
          <w:color w:val="auto"/>
          <w:kern w:val="2"/>
          <w:sz w:val="30"/>
          <w:szCs w:val="30"/>
          <w:lang w:val="en-US" w:eastAsia="zh-CN"/>
        </w:rPr>
        <w:t>5</w:t>
      </w:r>
    </w:p>
    <w:p w14:paraId="752DBCF3">
      <w:pPr>
        <w:widowControl w:val="0"/>
        <w:spacing w:line="400" w:lineRule="exact"/>
        <w:ind w:firstLine="420" w:firstLineChars="200"/>
        <w:rPr>
          <w:rFonts w:ascii="Times New Roman" w:hAnsi="Times New Roman" w:cs="Times New Roman"/>
          <w:color w:val="auto"/>
          <w:kern w:val="2"/>
          <w:sz w:val="21"/>
        </w:rPr>
      </w:pPr>
    </w:p>
    <w:p w14:paraId="682F08E5">
      <w:pPr>
        <w:widowControl w:val="0"/>
        <w:spacing w:line="400" w:lineRule="exact"/>
        <w:ind w:firstLine="420" w:firstLineChars="200"/>
        <w:rPr>
          <w:rFonts w:ascii="Times New Roman" w:hAnsi="Times New Roman" w:cs="Times New Roman"/>
          <w:color w:val="auto"/>
          <w:kern w:val="2"/>
          <w:sz w:val="21"/>
        </w:rPr>
      </w:pPr>
    </w:p>
    <w:p w14:paraId="47522AC1">
      <w:pPr>
        <w:widowControl w:val="0"/>
        <w:spacing w:line="400" w:lineRule="exact"/>
        <w:ind w:firstLine="420" w:firstLineChars="200"/>
        <w:rPr>
          <w:rFonts w:ascii="Times New Roman" w:hAnsi="Times New Roman" w:cs="Times New Roman"/>
          <w:color w:val="auto"/>
          <w:kern w:val="2"/>
          <w:sz w:val="21"/>
        </w:rPr>
      </w:pPr>
    </w:p>
    <w:p w14:paraId="44C14B25">
      <w:pPr>
        <w:widowControl w:val="0"/>
        <w:spacing w:line="400" w:lineRule="exact"/>
        <w:ind w:firstLine="420" w:firstLineChars="200"/>
        <w:rPr>
          <w:rFonts w:ascii="Times New Roman" w:hAnsi="Times New Roman" w:cs="Times New Roman"/>
          <w:color w:val="auto"/>
          <w:kern w:val="2"/>
          <w:sz w:val="21"/>
        </w:rPr>
      </w:pPr>
    </w:p>
    <w:p w14:paraId="703E138A">
      <w:pPr>
        <w:widowControl w:val="0"/>
        <w:spacing w:line="400" w:lineRule="exact"/>
        <w:ind w:firstLine="420" w:firstLineChars="200"/>
        <w:rPr>
          <w:rFonts w:ascii="Times New Roman" w:hAnsi="Times New Roman" w:cs="Times New Roman"/>
          <w:color w:val="auto"/>
          <w:kern w:val="2"/>
          <w:sz w:val="21"/>
        </w:rPr>
      </w:pPr>
    </w:p>
    <w:p w14:paraId="384B19D9">
      <w:pPr>
        <w:widowControl w:val="0"/>
        <w:spacing w:line="400" w:lineRule="exact"/>
        <w:ind w:firstLine="420" w:firstLineChars="200"/>
        <w:rPr>
          <w:rFonts w:ascii="Times New Roman" w:hAnsi="Times New Roman" w:cs="Times New Roman"/>
          <w:color w:val="auto"/>
          <w:kern w:val="2"/>
          <w:sz w:val="21"/>
        </w:rPr>
      </w:pPr>
    </w:p>
    <w:p w14:paraId="2F181767">
      <w:pPr>
        <w:widowControl w:val="0"/>
        <w:spacing w:line="400" w:lineRule="exact"/>
        <w:ind w:firstLine="420" w:firstLineChars="200"/>
        <w:rPr>
          <w:rFonts w:ascii="Times New Roman" w:hAnsi="Times New Roman" w:cs="Times New Roman"/>
          <w:color w:val="auto"/>
          <w:kern w:val="2"/>
          <w:sz w:val="21"/>
        </w:rPr>
      </w:pPr>
    </w:p>
    <w:p w14:paraId="2E061FBD">
      <w:pPr>
        <w:rPr>
          <w:color w:val="auto"/>
          <w:sz w:val="30"/>
          <w:szCs w:val="30"/>
        </w:rPr>
        <w:sectPr>
          <w:type w:val="oddPage"/>
          <w:pgSz w:w="11906" w:h="16838"/>
          <w:pgMar w:top="1440" w:right="1417" w:bottom="1440" w:left="1417" w:header="850" w:footer="992" w:gutter="0"/>
          <w:cols w:space="0" w:num="1"/>
          <w:docGrid w:type="lines" w:linePitch="312" w:charSpace="0"/>
        </w:sectPr>
      </w:pPr>
    </w:p>
    <w:p w14:paraId="62208BE4">
      <w:pPr>
        <w:spacing w:line="360" w:lineRule="auto"/>
        <w:ind w:left="1060" w:firstLine="640"/>
        <w:jc w:val="center"/>
        <w:rPr>
          <w:rFonts w:eastAsia="黑体"/>
          <w:color w:val="auto"/>
          <w:sz w:val="32"/>
          <w:szCs w:val="32"/>
        </w:rPr>
      </w:pPr>
    </w:p>
    <w:p w14:paraId="67AF9A46">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rFonts w:eastAsia="黑体"/>
          <w:color w:val="auto"/>
          <w:sz w:val="32"/>
          <w:szCs w:val="32"/>
        </w:rPr>
      </w:pPr>
      <w:r>
        <w:rPr>
          <w:rFonts w:hint="eastAsia" w:eastAsia="黑体"/>
          <w:color w:val="auto"/>
          <w:sz w:val="32"/>
          <w:szCs w:val="32"/>
        </w:rPr>
        <w:t>学位论文评阅人和答辩委员会名单</w:t>
      </w:r>
    </w:p>
    <w:p w14:paraId="16909342">
      <w:pPr>
        <w:keepNext w:val="0"/>
        <w:keepLines w:val="0"/>
        <w:pageBreakBefore w:val="0"/>
        <w:widowControl/>
        <w:kinsoku/>
        <w:wordWrap/>
        <w:overflowPunct/>
        <w:topLinePunct w:val="0"/>
        <w:autoSpaceDE/>
        <w:autoSpaceDN/>
        <w:bidi w:val="0"/>
        <w:adjustRightInd/>
        <w:snapToGrid/>
        <w:spacing w:line="400" w:lineRule="exact"/>
        <w:ind w:firstLine="0"/>
        <w:textAlignment w:val="auto"/>
        <w:rPr>
          <w:rFonts w:eastAsia="黑体" w:cs="黑体"/>
          <w:color w:val="auto"/>
          <w:sz w:val="28"/>
          <w:szCs w:val="28"/>
        </w:rPr>
      </w:pPr>
      <w:r>
        <w:rPr>
          <w:rFonts w:hint="eastAsia" w:eastAsia="黑体" w:cs="黑体"/>
          <w:color w:val="auto"/>
          <w:sz w:val="28"/>
          <w:szCs w:val="28"/>
        </w:rPr>
        <w:t xml:space="preserve">                 </w:t>
      </w:r>
    </w:p>
    <w:p w14:paraId="3D7C41B2">
      <w:pPr>
        <w:keepNext w:val="0"/>
        <w:keepLines w:val="0"/>
        <w:pageBreakBefore w:val="0"/>
        <w:widowControl/>
        <w:kinsoku/>
        <w:wordWrap/>
        <w:overflowPunct/>
        <w:topLinePunct w:val="0"/>
        <w:autoSpaceDE/>
        <w:autoSpaceDN/>
        <w:bidi w:val="0"/>
        <w:adjustRightInd/>
        <w:snapToGrid/>
        <w:spacing w:before="156" w:beforeLines="50" w:line="400" w:lineRule="exact"/>
        <w:ind w:firstLine="0"/>
        <w:jc w:val="center"/>
        <w:textAlignment w:val="auto"/>
        <w:rPr>
          <w:rFonts w:eastAsia="黑体" w:cs="黑体"/>
          <w:b/>
          <w:bCs/>
          <w:color w:val="auto"/>
          <w:sz w:val="28"/>
          <w:szCs w:val="28"/>
        </w:rPr>
      </w:pPr>
      <w:r>
        <w:rPr>
          <w:rFonts w:hint="eastAsia" w:eastAsia="黑体" w:cs="黑体"/>
          <w:color w:val="auto"/>
          <w:sz w:val="28"/>
          <w:szCs w:val="28"/>
        </w:rPr>
        <w:t>学位论文评阅人名单</w:t>
      </w:r>
    </w:p>
    <w:tbl>
      <w:tblPr>
        <w:tblStyle w:val="27"/>
        <w:tblW w:w="8656" w:type="dxa"/>
        <w:jc w:val="center"/>
        <w:tblLayout w:type="autofit"/>
        <w:tblCellMar>
          <w:top w:w="0" w:type="dxa"/>
          <w:left w:w="108" w:type="dxa"/>
          <w:bottom w:w="0" w:type="dxa"/>
          <w:right w:w="108" w:type="dxa"/>
        </w:tblCellMar>
      </w:tblPr>
      <w:tblGrid>
        <w:gridCol w:w="2101"/>
        <w:gridCol w:w="1606"/>
        <w:gridCol w:w="4949"/>
      </w:tblGrid>
      <w:tr w14:paraId="77D226BF">
        <w:tblPrEx>
          <w:tblCellMar>
            <w:top w:w="0" w:type="dxa"/>
            <w:left w:w="108" w:type="dxa"/>
            <w:bottom w:w="0" w:type="dxa"/>
            <w:right w:w="108" w:type="dxa"/>
          </w:tblCellMar>
        </w:tblPrEx>
        <w:trPr>
          <w:trHeight w:val="505" w:hRule="exact"/>
          <w:jc w:val="center"/>
        </w:trPr>
        <w:tc>
          <w:tcPr>
            <w:tcW w:w="2101" w:type="dxa"/>
            <w:vAlign w:val="center"/>
          </w:tcPr>
          <w:p w14:paraId="498BF15A">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姓名</w:t>
            </w:r>
          </w:p>
        </w:tc>
        <w:tc>
          <w:tcPr>
            <w:tcW w:w="1606" w:type="dxa"/>
            <w:vAlign w:val="center"/>
          </w:tcPr>
          <w:p w14:paraId="78755EF6">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职称</w:t>
            </w:r>
          </w:p>
        </w:tc>
        <w:tc>
          <w:tcPr>
            <w:tcW w:w="4949" w:type="dxa"/>
            <w:vAlign w:val="center"/>
          </w:tcPr>
          <w:p w14:paraId="7530EEA1">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工作单位</w:t>
            </w:r>
          </w:p>
        </w:tc>
      </w:tr>
      <w:tr w14:paraId="5BD44A70">
        <w:tblPrEx>
          <w:tblCellMar>
            <w:top w:w="0" w:type="dxa"/>
            <w:left w:w="108" w:type="dxa"/>
            <w:bottom w:w="0" w:type="dxa"/>
            <w:right w:w="108" w:type="dxa"/>
          </w:tblCellMar>
        </w:tblPrEx>
        <w:trPr>
          <w:trHeight w:val="505" w:hRule="exact"/>
          <w:jc w:val="center"/>
        </w:trPr>
        <w:tc>
          <w:tcPr>
            <w:tcW w:w="2101" w:type="dxa"/>
            <w:vAlign w:val="center"/>
          </w:tcPr>
          <w:p w14:paraId="15155AEE">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全盲评阅</w:t>
            </w:r>
          </w:p>
        </w:tc>
        <w:tc>
          <w:tcPr>
            <w:tcW w:w="1606" w:type="dxa"/>
            <w:vAlign w:val="center"/>
          </w:tcPr>
          <w:p w14:paraId="47C8A6D0">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无</w:t>
            </w:r>
          </w:p>
        </w:tc>
        <w:tc>
          <w:tcPr>
            <w:tcW w:w="4949" w:type="dxa"/>
            <w:vAlign w:val="center"/>
          </w:tcPr>
          <w:p w14:paraId="2048890F">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无</w:t>
            </w:r>
          </w:p>
        </w:tc>
      </w:tr>
      <w:tr w14:paraId="262EABA8">
        <w:tblPrEx>
          <w:tblCellMar>
            <w:top w:w="0" w:type="dxa"/>
            <w:left w:w="108" w:type="dxa"/>
            <w:bottom w:w="0" w:type="dxa"/>
            <w:right w:w="108" w:type="dxa"/>
          </w:tblCellMar>
        </w:tblPrEx>
        <w:trPr>
          <w:trHeight w:val="505" w:hRule="exact"/>
          <w:jc w:val="center"/>
        </w:trPr>
        <w:tc>
          <w:tcPr>
            <w:tcW w:w="2101" w:type="dxa"/>
            <w:vAlign w:val="center"/>
          </w:tcPr>
          <w:p w14:paraId="54F5C3D8">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1606" w:type="dxa"/>
            <w:vAlign w:val="center"/>
          </w:tcPr>
          <w:p w14:paraId="16D36C30">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4949" w:type="dxa"/>
            <w:vAlign w:val="center"/>
          </w:tcPr>
          <w:p w14:paraId="491C6A90">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r>
      <w:tr w14:paraId="76EE1A25">
        <w:tblPrEx>
          <w:tblCellMar>
            <w:top w:w="0" w:type="dxa"/>
            <w:left w:w="108" w:type="dxa"/>
            <w:bottom w:w="0" w:type="dxa"/>
            <w:right w:w="108" w:type="dxa"/>
          </w:tblCellMar>
        </w:tblPrEx>
        <w:trPr>
          <w:trHeight w:val="505" w:hRule="exact"/>
          <w:jc w:val="center"/>
        </w:trPr>
        <w:tc>
          <w:tcPr>
            <w:tcW w:w="2101" w:type="dxa"/>
            <w:vAlign w:val="center"/>
          </w:tcPr>
          <w:p w14:paraId="1691D2EC">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1606" w:type="dxa"/>
            <w:vAlign w:val="center"/>
          </w:tcPr>
          <w:p w14:paraId="58CFEAE6">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4949" w:type="dxa"/>
            <w:vAlign w:val="center"/>
          </w:tcPr>
          <w:p w14:paraId="64E667C7">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r>
      <w:tr w14:paraId="486B3E28">
        <w:tblPrEx>
          <w:tblCellMar>
            <w:top w:w="0" w:type="dxa"/>
            <w:left w:w="108" w:type="dxa"/>
            <w:bottom w:w="0" w:type="dxa"/>
            <w:right w:w="108" w:type="dxa"/>
          </w:tblCellMar>
        </w:tblPrEx>
        <w:trPr>
          <w:trHeight w:val="505" w:hRule="exact"/>
          <w:jc w:val="center"/>
        </w:trPr>
        <w:tc>
          <w:tcPr>
            <w:tcW w:w="2101" w:type="dxa"/>
            <w:vAlign w:val="center"/>
          </w:tcPr>
          <w:p w14:paraId="7DFB9C86">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1606" w:type="dxa"/>
            <w:vAlign w:val="center"/>
          </w:tcPr>
          <w:p w14:paraId="09554FF2">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4949" w:type="dxa"/>
            <w:vAlign w:val="center"/>
          </w:tcPr>
          <w:p w14:paraId="1132B22A">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r>
      <w:tr w14:paraId="6159DBF8">
        <w:tblPrEx>
          <w:tblCellMar>
            <w:top w:w="0" w:type="dxa"/>
            <w:left w:w="108" w:type="dxa"/>
            <w:bottom w:w="0" w:type="dxa"/>
            <w:right w:w="108" w:type="dxa"/>
          </w:tblCellMar>
        </w:tblPrEx>
        <w:trPr>
          <w:trHeight w:val="505" w:hRule="exact"/>
          <w:jc w:val="center"/>
        </w:trPr>
        <w:tc>
          <w:tcPr>
            <w:tcW w:w="2101" w:type="dxa"/>
            <w:vAlign w:val="center"/>
          </w:tcPr>
          <w:p w14:paraId="44BF6E83">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1606" w:type="dxa"/>
            <w:vAlign w:val="center"/>
          </w:tcPr>
          <w:p w14:paraId="1E225620">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4949" w:type="dxa"/>
            <w:vAlign w:val="center"/>
          </w:tcPr>
          <w:p w14:paraId="624A782D">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r>
    </w:tbl>
    <w:p w14:paraId="75422C9C">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color w:val="auto"/>
        </w:rPr>
      </w:pPr>
    </w:p>
    <w:p w14:paraId="2A740032">
      <w:pPr>
        <w:keepNext w:val="0"/>
        <w:keepLines w:val="0"/>
        <w:pageBreakBefore w:val="0"/>
        <w:widowControl/>
        <w:kinsoku/>
        <w:wordWrap/>
        <w:overflowPunct/>
        <w:topLinePunct w:val="0"/>
        <w:autoSpaceDE/>
        <w:autoSpaceDN/>
        <w:bidi w:val="0"/>
        <w:adjustRightInd/>
        <w:snapToGrid/>
        <w:spacing w:before="156" w:beforeLines="50" w:line="400" w:lineRule="exact"/>
        <w:ind w:firstLine="0"/>
        <w:jc w:val="center"/>
        <w:textAlignment w:val="auto"/>
        <w:rPr>
          <w:rFonts w:eastAsia="黑体" w:cs="黑体"/>
          <w:color w:val="auto"/>
          <w:sz w:val="28"/>
          <w:szCs w:val="28"/>
        </w:rPr>
      </w:pPr>
      <w:r>
        <w:rPr>
          <w:rFonts w:hint="eastAsia" w:eastAsia="黑体" w:cs="黑体"/>
          <w:color w:val="auto"/>
          <w:sz w:val="28"/>
          <w:szCs w:val="28"/>
        </w:rPr>
        <w:t>答辩委员会名单</w:t>
      </w:r>
    </w:p>
    <w:tbl>
      <w:tblPr>
        <w:tblStyle w:val="27"/>
        <w:tblW w:w="8755" w:type="dxa"/>
        <w:jc w:val="center"/>
        <w:tblLayout w:type="autofit"/>
        <w:tblCellMar>
          <w:top w:w="0" w:type="dxa"/>
          <w:left w:w="108" w:type="dxa"/>
          <w:bottom w:w="0" w:type="dxa"/>
          <w:right w:w="108" w:type="dxa"/>
        </w:tblCellMar>
      </w:tblPr>
      <w:tblGrid>
        <w:gridCol w:w="2132"/>
        <w:gridCol w:w="1520"/>
        <w:gridCol w:w="1276"/>
        <w:gridCol w:w="3827"/>
      </w:tblGrid>
      <w:tr w14:paraId="3E862C7D">
        <w:tblPrEx>
          <w:tblCellMar>
            <w:top w:w="0" w:type="dxa"/>
            <w:left w:w="108" w:type="dxa"/>
            <w:bottom w:w="0" w:type="dxa"/>
            <w:right w:w="108" w:type="dxa"/>
          </w:tblCellMar>
        </w:tblPrEx>
        <w:trPr>
          <w:trHeight w:val="510" w:hRule="exact"/>
          <w:jc w:val="center"/>
        </w:trPr>
        <w:tc>
          <w:tcPr>
            <w:tcW w:w="2132" w:type="dxa"/>
            <w:vAlign w:val="center"/>
          </w:tcPr>
          <w:p w14:paraId="7838B7A4">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答辩日期</w:t>
            </w:r>
          </w:p>
        </w:tc>
        <w:tc>
          <w:tcPr>
            <w:tcW w:w="6623" w:type="dxa"/>
            <w:gridSpan w:val="3"/>
            <w:vAlign w:val="center"/>
          </w:tcPr>
          <w:p w14:paraId="276B44AD">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r>
              <w:rPr>
                <w:rFonts w:hint="eastAsia"/>
                <w:bCs/>
                <w:color w:val="auto"/>
              </w:rPr>
              <w:t>20</w:t>
            </w:r>
            <w:r>
              <w:rPr>
                <w:bCs/>
                <w:color w:val="auto"/>
              </w:rPr>
              <w:t xml:space="preserve">   </w:t>
            </w:r>
            <w:r>
              <w:rPr>
                <w:rFonts w:hint="eastAsia"/>
                <w:bCs/>
                <w:color w:val="auto"/>
              </w:rPr>
              <w:t xml:space="preserve">年 </w:t>
            </w:r>
            <w:r>
              <w:rPr>
                <w:bCs/>
                <w:color w:val="auto"/>
              </w:rPr>
              <w:t xml:space="preserve">  </w:t>
            </w:r>
            <w:r>
              <w:rPr>
                <w:rFonts w:hint="eastAsia"/>
                <w:bCs/>
                <w:color w:val="auto"/>
              </w:rPr>
              <w:t xml:space="preserve">月 </w:t>
            </w:r>
            <w:r>
              <w:rPr>
                <w:bCs/>
                <w:color w:val="auto"/>
              </w:rPr>
              <w:t xml:space="preserve">  </w:t>
            </w:r>
            <w:r>
              <w:rPr>
                <w:rFonts w:hint="eastAsia"/>
                <w:bCs/>
                <w:color w:val="auto"/>
              </w:rPr>
              <w:t>日</w:t>
            </w:r>
          </w:p>
        </w:tc>
      </w:tr>
      <w:tr w14:paraId="26BD79EA">
        <w:tblPrEx>
          <w:tblCellMar>
            <w:top w:w="0" w:type="dxa"/>
            <w:left w:w="108" w:type="dxa"/>
            <w:bottom w:w="0" w:type="dxa"/>
            <w:right w:w="108" w:type="dxa"/>
          </w:tblCellMar>
        </w:tblPrEx>
        <w:trPr>
          <w:trHeight w:val="510" w:hRule="exact"/>
          <w:jc w:val="center"/>
        </w:trPr>
        <w:tc>
          <w:tcPr>
            <w:tcW w:w="2132" w:type="dxa"/>
            <w:vAlign w:val="center"/>
          </w:tcPr>
          <w:p w14:paraId="37F84E84">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答辩委员会</w:t>
            </w:r>
          </w:p>
        </w:tc>
        <w:tc>
          <w:tcPr>
            <w:tcW w:w="1520" w:type="dxa"/>
            <w:vAlign w:val="center"/>
          </w:tcPr>
          <w:p w14:paraId="1F2CFBDC">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姓名</w:t>
            </w:r>
          </w:p>
        </w:tc>
        <w:tc>
          <w:tcPr>
            <w:tcW w:w="1276" w:type="dxa"/>
            <w:vAlign w:val="center"/>
          </w:tcPr>
          <w:p w14:paraId="2F5F8C20">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职称</w:t>
            </w:r>
          </w:p>
        </w:tc>
        <w:tc>
          <w:tcPr>
            <w:tcW w:w="3827" w:type="dxa"/>
            <w:vAlign w:val="center"/>
          </w:tcPr>
          <w:p w14:paraId="5346DEE8">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工作单位</w:t>
            </w:r>
          </w:p>
        </w:tc>
      </w:tr>
      <w:tr w14:paraId="47A862E7">
        <w:tblPrEx>
          <w:tblCellMar>
            <w:top w:w="0" w:type="dxa"/>
            <w:left w:w="108" w:type="dxa"/>
            <w:bottom w:w="0" w:type="dxa"/>
            <w:right w:w="108" w:type="dxa"/>
          </w:tblCellMar>
        </w:tblPrEx>
        <w:trPr>
          <w:trHeight w:val="510" w:hRule="exact"/>
          <w:jc w:val="center"/>
        </w:trPr>
        <w:tc>
          <w:tcPr>
            <w:tcW w:w="2132" w:type="dxa"/>
            <w:vAlign w:val="center"/>
          </w:tcPr>
          <w:p w14:paraId="4170D65B">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主席</w:t>
            </w:r>
          </w:p>
        </w:tc>
        <w:tc>
          <w:tcPr>
            <w:tcW w:w="1520" w:type="dxa"/>
            <w:vAlign w:val="center"/>
          </w:tcPr>
          <w:p w14:paraId="797327B4">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1276" w:type="dxa"/>
            <w:vAlign w:val="center"/>
          </w:tcPr>
          <w:p w14:paraId="2084F829">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3827" w:type="dxa"/>
            <w:vAlign w:val="center"/>
          </w:tcPr>
          <w:p w14:paraId="37B73715">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r>
      <w:tr w14:paraId="1608478F">
        <w:tblPrEx>
          <w:tblCellMar>
            <w:top w:w="0" w:type="dxa"/>
            <w:left w:w="108" w:type="dxa"/>
            <w:bottom w:w="0" w:type="dxa"/>
            <w:right w:w="108" w:type="dxa"/>
          </w:tblCellMar>
        </w:tblPrEx>
        <w:trPr>
          <w:trHeight w:val="510" w:hRule="exact"/>
          <w:jc w:val="center"/>
        </w:trPr>
        <w:tc>
          <w:tcPr>
            <w:tcW w:w="2132" w:type="dxa"/>
            <w:vAlign w:val="center"/>
          </w:tcPr>
          <w:p w14:paraId="41CFDE71">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委员</w:t>
            </w:r>
          </w:p>
        </w:tc>
        <w:tc>
          <w:tcPr>
            <w:tcW w:w="1520" w:type="dxa"/>
            <w:vAlign w:val="center"/>
          </w:tcPr>
          <w:p w14:paraId="3FCD9831">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1276" w:type="dxa"/>
            <w:vAlign w:val="center"/>
          </w:tcPr>
          <w:p w14:paraId="128A108C">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3827" w:type="dxa"/>
            <w:vAlign w:val="center"/>
          </w:tcPr>
          <w:p w14:paraId="66A4EF8B">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r>
      <w:tr w14:paraId="7CDAB9D2">
        <w:tblPrEx>
          <w:tblCellMar>
            <w:top w:w="0" w:type="dxa"/>
            <w:left w:w="108" w:type="dxa"/>
            <w:bottom w:w="0" w:type="dxa"/>
            <w:right w:w="108" w:type="dxa"/>
          </w:tblCellMar>
        </w:tblPrEx>
        <w:trPr>
          <w:trHeight w:val="510" w:hRule="exact"/>
          <w:jc w:val="center"/>
        </w:trPr>
        <w:tc>
          <w:tcPr>
            <w:tcW w:w="2132" w:type="dxa"/>
            <w:vAlign w:val="center"/>
          </w:tcPr>
          <w:p w14:paraId="105C700D">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委员</w:t>
            </w:r>
          </w:p>
        </w:tc>
        <w:tc>
          <w:tcPr>
            <w:tcW w:w="1520" w:type="dxa"/>
            <w:vAlign w:val="center"/>
          </w:tcPr>
          <w:p w14:paraId="0223542A">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1276" w:type="dxa"/>
            <w:vAlign w:val="center"/>
          </w:tcPr>
          <w:p w14:paraId="3555FE59">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3827" w:type="dxa"/>
            <w:vAlign w:val="center"/>
          </w:tcPr>
          <w:p w14:paraId="3198ED4E">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r>
      <w:tr w14:paraId="79447589">
        <w:tblPrEx>
          <w:tblCellMar>
            <w:top w:w="0" w:type="dxa"/>
            <w:left w:w="108" w:type="dxa"/>
            <w:bottom w:w="0" w:type="dxa"/>
            <w:right w:w="108" w:type="dxa"/>
          </w:tblCellMar>
        </w:tblPrEx>
        <w:trPr>
          <w:trHeight w:val="510" w:hRule="exact"/>
          <w:jc w:val="center"/>
        </w:trPr>
        <w:tc>
          <w:tcPr>
            <w:tcW w:w="2132" w:type="dxa"/>
            <w:vAlign w:val="center"/>
          </w:tcPr>
          <w:p w14:paraId="52F81D35">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委员</w:t>
            </w:r>
          </w:p>
        </w:tc>
        <w:tc>
          <w:tcPr>
            <w:tcW w:w="1520" w:type="dxa"/>
            <w:vAlign w:val="center"/>
          </w:tcPr>
          <w:p w14:paraId="3505CD7A">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1276" w:type="dxa"/>
            <w:vAlign w:val="center"/>
          </w:tcPr>
          <w:p w14:paraId="6AAEB6D9">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3827" w:type="dxa"/>
            <w:vAlign w:val="center"/>
          </w:tcPr>
          <w:p w14:paraId="776EEDF8">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r>
      <w:tr w14:paraId="6C09061B">
        <w:tblPrEx>
          <w:tblCellMar>
            <w:top w:w="0" w:type="dxa"/>
            <w:left w:w="108" w:type="dxa"/>
            <w:bottom w:w="0" w:type="dxa"/>
            <w:right w:w="108" w:type="dxa"/>
          </w:tblCellMar>
        </w:tblPrEx>
        <w:trPr>
          <w:trHeight w:val="510" w:hRule="exact"/>
          <w:jc w:val="center"/>
        </w:trPr>
        <w:tc>
          <w:tcPr>
            <w:tcW w:w="2132" w:type="dxa"/>
            <w:vAlign w:val="center"/>
          </w:tcPr>
          <w:p w14:paraId="15C148F9">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委员</w:t>
            </w:r>
          </w:p>
        </w:tc>
        <w:tc>
          <w:tcPr>
            <w:tcW w:w="1520" w:type="dxa"/>
            <w:vAlign w:val="center"/>
          </w:tcPr>
          <w:p w14:paraId="7C8CC3B3">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1276" w:type="dxa"/>
            <w:vAlign w:val="center"/>
          </w:tcPr>
          <w:p w14:paraId="6CEEB838">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3827" w:type="dxa"/>
            <w:vAlign w:val="center"/>
          </w:tcPr>
          <w:p w14:paraId="2CF7CA63">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r>
      <w:tr w14:paraId="1C51DF5B">
        <w:tblPrEx>
          <w:tblCellMar>
            <w:top w:w="0" w:type="dxa"/>
            <w:left w:w="108" w:type="dxa"/>
            <w:bottom w:w="0" w:type="dxa"/>
            <w:right w:w="108" w:type="dxa"/>
          </w:tblCellMar>
        </w:tblPrEx>
        <w:trPr>
          <w:trHeight w:val="510" w:hRule="exact"/>
          <w:jc w:val="center"/>
        </w:trPr>
        <w:tc>
          <w:tcPr>
            <w:tcW w:w="2132" w:type="dxa"/>
            <w:vAlign w:val="center"/>
          </w:tcPr>
          <w:p w14:paraId="03A5E23D">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委员</w:t>
            </w:r>
          </w:p>
        </w:tc>
        <w:tc>
          <w:tcPr>
            <w:tcW w:w="1520" w:type="dxa"/>
            <w:vAlign w:val="center"/>
          </w:tcPr>
          <w:p w14:paraId="2FA588C3">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1276" w:type="dxa"/>
            <w:vAlign w:val="center"/>
          </w:tcPr>
          <w:p w14:paraId="0B59CA5A">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3827" w:type="dxa"/>
            <w:vAlign w:val="center"/>
          </w:tcPr>
          <w:p w14:paraId="372A40B5">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r>
      <w:tr w14:paraId="6E9D1677">
        <w:tblPrEx>
          <w:tblCellMar>
            <w:top w:w="0" w:type="dxa"/>
            <w:left w:w="108" w:type="dxa"/>
            <w:bottom w:w="0" w:type="dxa"/>
            <w:right w:w="108" w:type="dxa"/>
          </w:tblCellMar>
        </w:tblPrEx>
        <w:trPr>
          <w:trHeight w:val="510" w:hRule="exact"/>
          <w:jc w:val="center"/>
        </w:trPr>
        <w:tc>
          <w:tcPr>
            <w:tcW w:w="2132" w:type="dxa"/>
            <w:vAlign w:val="center"/>
          </w:tcPr>
          <w:p w14:paraId="430891CC">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委员</w:t>
            </w:r>
          </w:p>
        </w:tc>
        <w:tc>
          <w:tcPr>
            <w:tcW w:w="1520" w:type="dxa"/>
            <w:vAlign w:val="center"/>
          </w:tcPr>
          <w:p w14:paraId="49BC5388">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1276" w:type="dxa"/>
            <w:vAlign w:val="center"/>
          </w:tcPr>
          <w:p w14:paraId="2401F746">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3827" w:type="dxa"/>
            <w:vAlign w:val="center"/>
          </w:tcPr>
          <w:p w14:paraId="6AB1E5AA">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r>
      <w:tr w14:paraId="41C6E2C0">
        <w:tblPrEx>
          <w:tblCellMar>
            <w:top w:w="0" w:type="dxa"/>
            <w:left w:w="108" w:type="dxa"/>
            <w:bottom w:w="0" w:type="dxa"/>
            <w:right w:w="108" w:type="dxa"/>
          </w:tblCellMar>
        </w:tblPrEx>
        <w:trPr>
          <w:trHeight w:val="510" w:hRule="exact"/>
          <w:jc w:val="center"/>
        </w:trPr>
        <w:tc>
          <w:tcPr>
            <w:tcW w:w="2132" w:type="dxa"/>
            <w:vAlign w:val="center"/>
          </w:tcPr>
          <w:p w14:paraId="30C8542A">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
                <w:bCs/>
                <w:color w:val="auto"/>
              </w:rPr>
            </w:pPr>
            <w:r>
              <w:rPr>
                <w:rFonts w:hint="eastAsia"/>
                <w:b/>
                <w:bCs/>
                <w:color w:val="auto"/>
              </w:rPr>
              <w:t>秘书</w:t>
            </w:r>
          </w:p>
        </w:tc>
        <w:tc>
          <w:tcPr>
            <w:tcW w:w="1520" w:type="dxa"/>
            <w:vAlign w:val="center"/>
          </w:tcPr>
          <w:p w14:paraId="290418BF">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1276" w:type="dxa"/>
            <w:vAlign w:val="center"/>
          </w:tcPr>
          <w:p w14:paraId="66FBE632">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c>
          <w:tcPr>
            <w:tcW w:w="3827" w:type="dxa"/>
            <w:vAlign w:val="center"/>
          </w:tcPr>
          <w:p w14:paraId="4B060C70">
            <w:pPr>
              <w:keepNext w:val="0"/>
              <w:keepLines w:val="0"/>
              <w:pageBreakBefore w:val="0"/>
              <w:widowControl/>
              <w:kinsoku/>
              <w:wordWrap/>
              <w:overflowPunct/>
              <w:topLinePunct w:val="0"/>
              <w:autoSpaceDE/>
              <w:autoSpaceDN/>
              <w:bidi w:val="0"/>
              <w:adjustRightInd/>
              <w:snapToGrid/>
              <w:spacing w:line="400" w:lineRule="exact"/>
              <w:ind w:firstLine="0"/>
              <w:jc w:val="center"/>
              <w:textAlignment w:val="auto"/>
              <w:rPr>
                <w:bCs/>
                <w:color w:val="auto"/>
              </w:rPr>
            </w:pPr>
          </w:p>
        </w:tc>
      </w:tr>
    </w:tbl>
    <w:p w14:paraId="33F4C956">
      <w:pPr>
        <w:autoSpaceDE w:val="0"/>
        <w:autoSpaceDN w:val="0"/>
        <w:adjustRightInd w:val="0"/>
        <w:snapToGrid w:val="0"/>
        <w:spacing w:line="400" w:lineRule="exact"/>
        <w:ind w:firstLine="600"/>
        <w:jc w:val="center"/>
        <w:rPr>
          <w:color w:val="auto"/>
          <w:sz w:val="30"/>
          <w:szCs w:val="30"/>
        </w:rPr>
      </w:pPr>
    </w:p>
    <w:p w14:paraId="2ECF737A">
      <w:pPr>
        <w:autoSpaceDE w:val="0"/>
        <w:autoSpaceDN w:val="0"/>
        <w:adjustRightInd w:val="0"/>
        <w:snapToGrid w:val="0"/>
        <w:spacing w:line="287" w:lineRule="auto"/>
        <w:ind w:firstLine="600"/>
        <w:jc w:val="center"/>
        <w:rPr>
          <w:color w:val="auto"/>
          <w:sz w:val="30"/>
          <w:szCs w:val="30"/>
        </w:rPr>
      </w:pPr>
    </w:p>
    <w:p w14:paraId="2BEB18A9">
      <w:pPr>
        <w:autoSpaceDE w:val="0"/>
        <w:autoSpaceDN w:val="0"/>
        <w:adjustRightInd w:val="0"/>
        <w:snapToGrid w:val="0"/>
        <w:spacing w:line="287" w:lineRule="auto"/>
        <w:ind w:firstLine="600"/>
        <w:jc w:val="center"/>
        <w:rPr>
          <w:color w:val="auto"/>
          <w:sz w:val="30"/>
          <w:szCs w:val="30"/>
        </w:rPr>
      </w:pPr>
    </w:p>
    <w:p w14:paraId="04E5C0D1">
      <w:pPr>
        <w:autoSpaceDE w:val="0"/>
        <w:autoSpaceDN w:val="0"/>
        <w:adjustRightInd w:val="0"/>
        <w:snapToGrid w:val="0"/>
        <w:spacing w:line="287" w:lineRule="auto"/>
        <w:ind w:firstLine="600"/>
        <w:jc w:val="center"/>
        <w:rPr>
          <w:color w:val="auto"/>
          <w:sz w:val="30"/>
          <w:szCs w:val="30"/>
        </w:rPr>
      </w:pPr>
    </w:p>
    <w:p w14:paraId="3E660969">
      <w:pPr>
        <w:autoSpaceDE w:val="0"/>
        <w:autoSpaceDN w:val="0"/>
        <w:adjustRightInd w:val="0"/>
        <w:snapToGrid w:val="0"/>
        <w:spacing w:line="287" w:lineRule="auto"/>
        <w:ind w:firstLine="600"/>
        <w:jc w:val="center"/>
        <w:rPr>
          <w:color w:val="auto"/>
          <w:sz w:val="30"/>
          <w:szCs w:val="30"/>
        </w:rPr>
      </w:pPr>
    </w:p>
    <w:p w14:paraId="4250C80C">
      <w:pPr>
        <w:autoSpaceDE w:val="0"/>
        <w:autoSpaceDN w:val="0"/>
        <w:adjustRightInd w:val="0"/>
        <w:snapToGrid w:val="0"/>
        <w:spacing w:line="287" w:lineRule="auto"/>
        <w:ind w:firstLine="600"/>
        <w:jc w:val="center"/>
        <w:rPr>
          <w:color w:val="auto"/>
          <w:sz w:val="30"/>
          <w:szCs w:val="30"/>
        </w:rPr>
      </w:pPr>
    </w:p>
    <w:p w14:paraId="0C4E01B2">
      <w:pPr>
        <w:autoSpaceDE w:val="0"/>
        <w:autoSpaceDN w:val="0"/>
        <w:adjustRightInd w:val="0"/>
        <w:snapToGrid w:val="0"/>
        <w:spacing w:line="287" w:lineRule="auto"/>
        <w:ind w:firstLine="600"/>
        <w:jc w:val="center"/>
        <w:rPr>
          <w:color w:val="auto"/>
          <w:sz w:val="30"/>
          <w:szCs w:val="30"/>
        </w:rPr>
      </w:pPr>
    </w:p>
    <w:p w14:paraId="68A4F37E">
      <w:pPr>
        <w:autoSpaceDE w:val="0"/>
        <w:autoSpaceDN w:val="0"/>
        <w:adjustRightInd w:val="0"/>
        <w:snapToGrid w:val="0"/>
        <w:spacing w:line="287" w:lineRule="auto"/>
        <w:ind w:firstLine="600"/>
        <w:jc w:val="center"/>
        <w:rPr>
          <w:color w:val="auto"/>
          <w:sz w:val="30"/>
          <w:szCs w:val="30"/>
        </w:rPr>
      </w:pPr>
    </w:p>
    <w:p w14:paraId="174A28E9">
      <w:pPr>
        <w:autoSpaceDE w:val="0"/>
        <w:autoSpaceDN w:val="0"/>
        <w:adjustRightInd w:val="0"/>
        <w:snapToGrid w:val="0"/>
        <w:spacing w:line="287" w:lineRule="auto"/>
        <w:ind w:firstLine="600"/>
        <w:jc w:val="center"/>
        <w:rPr>
          <w:color w:val="auto"/>
          <w:sz w:val="30"/>
          <w:szCs w:val="30"/>
        </w:rPr>
      </w:pPr>
    </w:p>
    <w:p w14:paraId="22549AAC">
      <w:pPr>
        <w:autoSpaceDE w:val="0"/>
        <w:autoSpaceDN w:val="0"/>
        <w:adjustRightInd w:val="0"/>
        <w:snapToGrid w:val="0"/>
        <w:spacing w:line="287" w:lineRule="auto"/>
        <w:ind w:firstLine="600"/>
        <w:jc w:val="center"/>
        <w:rPr>
          <w:color w:val="auto"/>
          <w:sz w:val="30"/>
          <w:szCs w:val="30"/>
        </w:rPr>
        <w:sectPr>
          <w:headerReference r:id="rId7" w:type="default"/>
          <w:footerReference r:id="rId9" w:type="default"/>
          <w:headerReference r:id="rId8" w:type="even"/>
          <w:footerReference r:id="rId10" w:type="even"/>
          <w:type w:val="evenPage"/>
          <w:pgSz w:w="11906" w:h="16838"/>
          <w:pgMar w:top="1440" w:right="1417" w:bottom="1440" w:left="1417" w:header="850" w:footer="992" w:gutter="0"/>
          <w:pgNumType w:fmt="upperRoman" w:start="1"/>
          <w:cols w:space="0" w:num="1"/>
          <w:docGrid w:type="lines" w:linePitch="312" w:charSpace="0"/>
        </w:sectPr>
      </w:pPr>
    </w:p>
    <w:bookmarkEnd w:id="0"/>
    <w:bookmarkEnd w:id="1"/>
    <w:bookmarkEnd w:id="2"/>
    <w:bookmarkEnd w:id="3"/>
    <w:bookmarkEnd w:id="4"/>
    <w:bookmarkEnd w:id="5"/>
    <w:bookmarkEnd w:id="6"/>
    <w:p w14:paraId="0200F5FA">
      <w:pPr>
        <w:pStyle w:val="2"/>
        <w:spacing w:before="468" w:beforeLines="150" w:after="312" w:afterLines="100"/>
        <w:rPr>
          <w:color w:val="auto"/>
        </w:rPr>
      </w:pPr>
      <w:bookmarkStart w:id="7" w:name="_Toc31573"/>
      <w:bookmarkStart w:id="8" w:name="_Toc7265"/>
      <w:bookmarkStart w:id="9" w:name="_Toc213192783"/>
      <w:bookmarkStart w:id="10" w:name="_Toc18436"/>
      <w:bookmarkStart w:id="11" w:name="_Toc32269"/>
      <w:bookmarkStart w:id="12" w:name="_Toc538"/>
      <w:bookmarkStart w:id="13" w:name="_Toc20761"/>
      <w:bookmarkStart w:id="14" w:name="_Toc213190767"/>
      <w:bookmarkStart w:id="15" w:name="_Toc213192475"/>
      <w:bookmarkStart w:id="16" w:name="_Toc9471"/>
      <w:r>
        <w:rPr>
          <w:rFonts w:hint="eastAsia"/>
          <w:color w:val="auto"/>
        </w:rPr>
        <w:t>摘 要</w:t>
      </w:r>
      <w:bookmarkEnd w:id="7"/>
      <w:bookmarkEnd w:id="8"/>
      <w:bookmarkEnd w:id="9"/>
      <w:bookmarkEnd w:id="10"/>
      <w:bookmarkEnd w:id="11"/>
      <w:bookmarkEnd w:id="12"/>
      <w:bookmarkEnd w:id="13"/>
      <w:bookmarkEnd w:id="14"/>
      <w:bookmarkEnd w:id="15"/>
      <w:bookmarkEnd w:id="16"/>
    </w:p>
    <w:p w14:paraId="4D21768C">
      <w:pPr>
        <w:pStyle w:val="57"/>
        <w:ind w:firstLine="480"/>
        <w:jc w:val="both"/>
        <w:rPr>
          <w:color w:val="auto"/>
        </w:rPr>
      </w:pPr>
      <w:r>
        <w:rPr>
          <w:color w:val="auto"/>
        </w:rPr>
        <w:t>近年来，随着金融科技行业在高合规、高复杂度与快速演进的环境中持续扩张，软件系统已成为企业竞争力的重要支撑。H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14:paraId="6349F91E">
      <w:pPr>
        <w:pStyle w:val="57"/>
        <w:ind w:firstLine="480"/>
        <w:jc w:val="both"/>
        <w:rPr>
          <w:color w:val="auto"/>
        </w:rPr>
      </w:pPr>
      <w:r>
        <w:rPr>
          <w:color w:val="auto"/>
        </w:rPr>
        <w:t>在理论研究方面，本文系统整合了软件过程改进（SPI）、价值流管理（VSM）、Dev</w:t>
      </w:r>
      <w:r>
        <w:rPr>
          <w:rFonts w:hint="eastAsia"/>
          <w:color w:val="auto"/>
          <w:lang w:val="en-US" w:eastAsia="zh-CN"/>
        </w:rPr>
        <w:t xml:space="preserve"> </w:t>
      </w:r>
      <w:r>
        <w:rPr>
          <w:color w:val="auto"/>
        </w:rPr>
        <w:t>Sec</w:t>
      </w:r>
      <w:r>
        <w:rPr>
          <w:rFonts w:hint="eastAsia"/>
          <w:color w:val="auto"/>
          <w:lang w:val="en-US" w:eastAsia="zh-CN"/>
        </w:rPr>
        <w:t xml:space="preserve"> </w:t>
      </w:r>
      <w:r>
        <w:rPr>
          <w:color w:val="auto"/>
        </w:rPr>
        <w:t>Ops、技术债务治理、合规即代码（Compliance-as-Code）、AIOps与SRE智能运维等关键理论，形成过程规范化</w:t>
      </w:r>
      <w:r>
        <w:rPr>
          <w:rFonts w:hint="eastAsia"/>
          <w:color w:val="auto"/>
        </w:rPr>
        <w:t>、</w:t>
      </w:r>
      <w:r>
        <w:rPr>
          <w:color w:val="auto"/>
        </w:rPr>
        <w:t>技术自动化</w:t>
      </w:r>
      <w:r>
        <w:rPr>
          <w:rFonts w:hint="eastAsia"/>
          <w:color w:val="auto"/>
        </w:rPr>
        <w:t>、</w:t>
      </w:r>
      <w:r>
        <w:rPr>
          <w:color w:val="auto"/>
        </w:rPr>
        <w:t>组织协同化的分析框架。通过问卷调查、专家访谈与过程数据采集，对H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14:paraId="771FE0FD">
      <w:pPr>
        <w:pStyle w:val="57"/>
        <w:ind w:firstLine="480"/>
        <w:jc w:val="both"/>
        <w:rPr>
          <w:color w:val="auto"/>
        </w:rPr>
      </w:pPr>
      <w:r>
        <w:rPr>
          <w:color w:val="auto"/>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14:paraId="22529F7F">
      <w:pPr>
        <w:widowControl w:val="0"/>
        <w:spacing w:line="400" w:lineRule="exact"/>
        <w:ind w:firstLine="480" w:firstLineChars="200"/>
        <w:jc w:val="both"/>
        <w:rPr>
          <w:rFonts w:ascii="Times New Roman" w:hAnsi="Times New Roman" w:cs="Times New Roman"/>
          <w:color w:val="auto"/>
          <w:kern w:val="2"/>
        </w:rPr>
      </w:pPr>
    </w:p>
    <w:p w14:paraId="264648E3">
      <w:pPr>
        <w:spacing w:line="400" w:lineRule="exact"/>
        <w:ind w:left="960" w:hanging="960" w:hangingChars="400"/>
        <w:rPr>
          <w:rFonts w:ascii="Times New Roman" w:hAnsi="Times New Roman" w:cs="Times New Roman"/>
          <w:color w:val="auto"/>
          <w:kern w:val="2"/>
        </w:rPr>
      </w:pPr>
      <w:r>
        <w:rPr>
          <w:rFonts w:ascii="Times New Roman" w:hAnsi="Times New Roman" w:eastAsia="黑体" w:cs="Times New Roman"/>
          <w:color w:val="auto"/>
          <w:kern w:val="2"/>
        </w:rPr>
        <w:t>关键词</w:t>
      </w:r>
      <w:r>
        <w:rPr>
          <w:color w:val="auto"/>
        </w:rPr>
        <w:t>：</w:t>
      </w:r>
      <w:r>
        <w:rPr>
          <w:rFonts w:ascii="Times New Roman" w:hAnsi="Times New Roman" w:cs="Times New Roman"/>
          <w:color w:val="auto"/>
          <w:kern w:val="2"/>
        </w:rPr>
        <w:t>软件过程改进；DevSecOps；价值流管理；技术债务治理；智能运维；工程效能</w:t>
      </w:r>
    </w:p>
    <w:p w14:paraId="75B2F397">
      <w:pPr>
        <w:pStyle w:val="57"/>
        <w:ind w:firstLine="480"/>
        <w:jc w:val="both"/>
        <w:rPr>
          <w:color w:val="auto"/>
        </w:rPr>
      </w:pPr>
    </w:p>
    <w:p w14:paraId="507F09D2">
      <w:pPr>
        <w:pStyle w:val="57"/>
        <w:ind w:firstLine="480"/>
        <w:jc w:val="both"/>
        <w:rPr>
          <w:color w:val="auto"/>
        </w:rPr>
      </w:pPr>
    </w:p>
    <w:p w14:paraId="5EA21803">
      <w:pPr>
        <w:pStyle w:val="57"/>
        <w:ind w:firstLine="480"/>
        <w:jc w:val="both"/>
        <w:rPr>
          <w:color w:val="auto"/>
        </w:rPr>
      </w:pPr>
    </w:p>
    <w:p w14:paraId="66EF70C9">
      <w:pPr>
        <w:pStyle w:val="57"/>
        <w:ind w:firstLine="480"/>
        <w:jc w:val="both"/>
        <w:rPr>
          <w:color w:val="auto"/>
        </w:rPr>
      </w:pPr>
    </w:p>
    <w:p w14:paraId="4370C03E">
      <w:pPr>
        <w:pStyle w:val="57"/>
        <w:ind w:firstLine="480"/>
        <w:jc w:val="both"/>
        <w:rPr>
          <w:color w:val="auto"/>
        </w:rPr>
      </w:pPr>
    </w:p>
    <w:p w14:paraId="5B321841">
      <w:pPr>
        <w:pStyle w:val="57"/>
        <w:ind w:firstLine="480"/>
        <w:jc w:val="both"/>
        <w:rPr>
          <w:color w:val="auto"/>
        </w:rPr>
      </w:pPr>
    </w:p>
    <w:p w14:paraId="7F6FC230">
      <w:pPr>
        <w:pStyle w:val="57"/>
        <w:ind w:firstLine="480"/>
        <w:jc w:val="both"/>
        <w:rPr>
          <w:color w:val="auto"/>
        </w:rPr>
      </w:pPr>
    </w:p>
    <w:p w14:paraId="24430A29">
      <w:pPr>
        <w:pStyle w:val="57"/>
        <w:ind w:firstLine="480"/>
        <w:jc w:val="both"/>
        <w:rPr>
          <w:color w:val="auto"/>
        </w:rPr>
      </w:pPr>
    </w:p>
    <w:p w14:paraId="71D3D127">
      <w:pPr>
        <w:pStyle w:val="57"/>
        <w:ind w:firstLine="480"/>
        <w:jc w:val="both"/>
        <w:rPr>
          <w:color w:val="auto"/>
        </w:rPr>
      </w:pPr>
    </w:p>
    <w:p w14:paraId="33E8A53A">
      <w:pPr>
        <w:pStyle w:val="57"/>
        <w:ind w:firstLine="480"/>
        <w:jc w:val="both"/>
        <w:rPr>
          <w:color w:val="auto"/>
        </w:rPr>
      </w:pPr>
    </w:p>
    <w:p w14:paraId="72064824">
      <w:pPr>
        <w:pStyle w:val="57"/>
        <w:ind w:firstLine="480"/>
        <w:jc w:val="both"/>
        <w:rPr>
          <w:color w:val="auto"/>
        </w:rPr>
      </w:pPr>
    </w:p>
    <w:p w14:paraId="5311E853">
      <w:pPr>
        <w:pStyle w:val="57"/>
        <w:ind w:firstLine="480"/>
        <w:jc w:val="both"/>
        <w:rPr>
          <w:color w:val="auto"/>
        </w:rPr>
      </w:pPr>
    </w:p>
    <w:p w14:paraId="0426E0BD">
      <w:pPr>
        <w:pStyle w:val="57"/>
        <w:ind w:firstLine="480"/>
        <w:jc w:val="both"/>
        <w:rPr>
          <w:color w:val="auto"/>
        </w:rPr>
      </w:pPr>
    </w:p>
    <w:p w14:paraId="2ED76A24">
      <w:pPr>
        <w:pStyle w:val="57"/>
        <w:ind w:firstLine="480"/>
        <w:jc w:val="both"/>
        <w:rPr>
          <w:color w:val="auto"/>
        </w:rPr>
      </w:pPr>
    </w:p>
    <w:p w14:paraId="164E0747">
      <w:pPr>
        <w:pStyle w:val="57"/>
        <w:ind w:firstLine="480"/>
        <w:jc w:val="both"/>
        <w:rPr>
          <w:color w:val="auto"/>
        </w:rPr>
      </w:pPr>
    </w:p>
    <w:p w14:paraId="58EF16B6">
      <w:pPr>
        <w:pStyle w:val="57"/>
        <w:ind w:firstLine="480"/>
        <w:jc w:val="both"/>
        <w:rPr>
          <w:color w:val="auto"/>
        </w:rPr>
      </w:pPr>
    </w:p>
    <w:p w14:paraId="6AB6244C">
      <w:pPr>
        <w:pStyle w:val="57"/>
        <w:ind w:firstLine="0" w:firstLineChars="0"/>
        <w:jc w:val="both"/>
        <w:rPr>
          <w:color w:val="auto"/>
        </w:rPr>
        <w:sectPr>
          <w:headerReference r:id="rId11" w:type="default"/>
          <w:footerReference r:id="rId13" w:type="default"/>
          <w:headerReference r:id="rId12" w:type="even"/>
          <w:footerReference r:id="rId14" w:type="even"/>
          <w:pgSz w:w="11906" w:h="16838"/>
          <w:pgMar w:top="1440" w:right="1417" w:bottom="1440" w:left="1417" w:header="850" w:footer="992" w:gutter="0"/>
          <w:pgNumType w:fmt="upperRoman" w:start="1"/>
          <w:cols w:space="0" w:num="1"/>
          <w:docGrid w:type="lines" w:linePitch="312" w:charSpace="0"/>
        </w:sectPr>
      </w:pPr>
    </w:p>
    <w:p w14:paraId="678CCB50">
      <w:pPr>
        <w:pStyle w:val="2"/>
        <w:spacing w:before="468" w:beforeLines="150" w:after="312" w:afterLines="100"/>
        <w:rPr>
          <w:b/>
          <w:color w:val="auto"/>
          <w:szCs w:val="20"/>
        </w:rPr>
      </w:pPr>
      <w:bookmarkStart w:id="17" w:name="_Toc4068"/>
      <w:bookmarkStart w:id="18" w:name="_Toc7158"/>
      <w:bookmarkStart w:id="19" w:name="_Toc5425"/>
      <w:bookmarkStart w:id="20" w:name="_Toc213190768"/>
      <w:bookmarkStart w:id="21" w:name="_Toc213192784"/>
      <w:bookmarkStart w:id="22" w:name="_Toc213192476"/>
      <w:bookmarkStart w:id="23" w:name="_Toc10932"/>
      <w:bookmarkStart w:id="24" w:name="_Toc23981"/>
      <w:bookmarkStart w:id="25" w:name="_Toc10361"/>
      <w:bookmarkStart w:id="26" w:name="_Toc7247"/>
      <w:r>
        <w:rPr>
          <w:rFonts w:hint="eastAsia"/>
          <w:b/>
          <w:color w:val="auto"/>
          <w:szCs w:val="20"/>
        </w:rPr>
        <w:t>Abstract</w:t>
      </w:r>
      <w:bookmarkEnd w:id="17"/>
      <w:bookmarkEnd w:id="18"/>
      <w:bookmarkEnd w:id="19"/>
      <w:bookmarkEnd w:id="20"/>
      <w:bookmarkEnd w:id="21"/>
      <w:bookmarkEnd w:id="22"/>
      <w:bookmarkEnd w:id="23"/>
      <w:bookmarkEnd w:id="24"/>
      <w:bookmarkEnd w:id="25"/>
      <w:bookmarkEnd w:id="26"/>
    </w:p>
    <w:p w14:paraId="61A97F3D">
      <w:pPr>
        <w:pStyle w:val="57"/>
        <w:ind w:firstLine="480"/>
        <w:jc w:val="both"/>
        <w:rPr>
          <w:color w:val="auto"/>
        </w:rPr>
      </w:pPr>
      <w:r>
        <w:rPr>
          <w:color w:val="auto"/>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14:paraId="1DE02E25">
      <w:pPr>
        <w:pStyle w:val="57"/>
        <w:ind w:firstLine="480"/>
        <w:jc w:val="both"/>
        <w:rPr>
          <w:color w:val="auto"/>
        </w:rPr>
      </w:pPr>
      <w:r>
        <w:rPr>
          <w:color w:val="auto"/>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 and 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14:paraId="69271C52">
      <w:pPr>
        <w:pStyle w:val="57"/>
        <w:ind w:firstLine="480"/>
        <w:jc w:val="both"/>
        <w:rPr>
          <w:color w:val="auto"/>
        </w:rPr>
      </w:pPr>
      <w:r>
        <w:rPr>
          <w:color w:val="auto"/>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14:paraId="35389398">
      <w:pPr>
        <w:pStyle w:val="57"/>
        <w:keepNext w:val="0"/>
        <w:keepLines w:val="0"/>
        <w:pageBreakBefore w:val="0"/>
        <w:widowControl/>
        <w:kinsoku/>
        <w:wordWrap/>
        <w:overflowPunct/>
        <w:topLinePunct w:val="0"/>
        <w:autoSpaceDE/>
        <w:autoSpaceDN/>
        <w:bidi w:val="0"/>
        <w:adjustRightInd w:val="0"/>
        <w:snapToGrid w:val="0"/>
        <w:ind w:left="1325" w:hanging="1325" w:hangingChars="550"/>
        <w:jc w:val="both"/>
        <w:textAlignment w:val="auto"/>
        <w:rPr>
          <w:rFonts w:ascii="Times New Roman" w:hAnsi="Times New Roman" w:cs="Times New Roman"/>
          <w:b/>
          <w:bCs/>
          <w:color w:val="auto"/>
          <w:kern w:val="2"/>
        </w:rPr>
      </w:pPr>
    </w:p>
    <w:p w14:paraId="2F3F1850">
      <w:pPr>
        <w:pStyle w:val="57"/>
        <w:keepNext w:val="0"/>
        <w:keepLines w:val="0"/>
        <w:pageBreakBefore w:val="0"/>
        <w:widowControl/>
        <w:kinsoku/>
        <w:wordWrap/>
        <w:overflowPunct/>
        <w:topLinePunct w:val="0"/>
        <w:autoSpaceDE/>
        <w:autoSpaceDN/>
        <w:bidi w:val="0"/>
        <w:adjustRightInd w:val="0"/>
        <w:snapToGrid w:val="0"/>
        <w:ind w:left="1371" w:hanging="1371" w:hangingChars="569"/>
        <w:jc w:val="both"/>
        <w:textAlignment w:val="auto"/>
        <w:rPr>
          <w:rFonts w:ascii="Times New Roman" w:hAnsi="Times New Roman" w:cstheme="majorBidi"/>
          <w:bCs/>
          <w:color w:val="auto"/>
          <w:kern w:val="2"/>
          <w:szCs w:val="32"/>
        </w:rPr>
      </w:pPr>
      <w:r>
        <w:rPr>
          <w:rFonts w:ascii="Times New Roman" w:hAnsi="Times New Roman" w:cs="Times New Roman"/>
          <w:b/>
          <w:bCs/>
          <w:color w:val="auto"/>
          <w:kern w:val="2"/>
        </w:rPr>
        <w:t>Key</w:t>
      </w:r>
      <w:r>
        <w:rPr>
          <w:rFonts w:hint="eastAsia" w:cs="Times New Roman"/>
          <w:b/>
          <w:bCs/>
          <w:color w:val="auto"/>
          <w:kern w:val="2"/>
          <w:lang w:val="en-US" w:eastAsia="zh-CN"/>
        </w:rPr>
        <w:t xml:space="preserve"> </w:t>
      </w:r>
      <w:r>
        <w:rPr>
          <w:rFonts w:ascii="Times New Roman" w:hAnsi="Times New Roman" w:cs="Times New Roman"/>
          <w:b/>
          <w:bCs/>
          <w:color w:val="auto"/>
          <w:kern w:val="2"/>
        </w:rPr>
        <w:t xml:space="preserve">words: </w:t>
      </w:r>
      <w:r>
        <w:rPr>
          <w:rFonts w:ascii="Times New Roman" w:hAnsi="Times New Roman" w:cs="Times New Roman"/>
          <w:bCs/>
          <w:color w:val="auto"/>
          <w:kern w:val="2"/>
          <w:szCs w:val="32"/>
        </w:rPr>
        <w:t>S</w:t>
      </w:r>
      <w:r>
        <w:rPr>
          <w:rFonts w:ascii="Times New Roman" w:hAnsi="Times New Roman" w:cstheme="majorBidi"/>
          <w:bCs/>
          <w:color w:val="auto"/>
          <w:kern w:val="2"/>
          <w:szCs w:val="32"/>
        </w:rPr>
        <w:t>oftware Process Improvement; DevSecOps; Value Stream Management; Technical Debt Governance; Intelligent Operations; Engineering Performance</w:t>
      </w:r>
    </w:p>
    <w:p w14:paraId="2A2AC575">
      <w:pPr>
        <w:pStyle w:val="57"/>
        <w:ind w:firstLine="480"/>
        <w:jc w:val="both"/>
        <w:rPr>
          <w:color w:val="auto"/>
        </w:rPr>
      </w:pPr>
    </w:p>
    <w:p w14:paraId="2307176C">
      <w:pPr>
        <w:pStyle w:val="57"/>
        <w:ind w:firstLine="480"/>
        <w:jc w:val="both"/>
        <w:rPr>
          <w:color w:val="auto"/>
        </w:rPr>
      </w:pPr>
    </w:p>
    <w:p w14:paraId="2FF1D5CE">
      <w:pPr>
        <w:pStyle w:val="57"/>
        <w:ind w:firstLine="480"/>
        <w:jc w:val="both"/>
        <w:rPr>
          <w:color w:val="auto"/>
        </w:rPr>
      </w:pPr>
    </w:p>
    <w:p w14:paraId="35D90CA5">
      <w:pPr>
        <w:pStyle w:val="57"/>
        <w:ind w:firstLine="480"/>
        <w:jc w:val="both"/>
        <w:rPr>
          <w:color w:val="auto"/>
        </w:rPr>
      </w:pPr>
    </w:p>
    <w:p w14:paraId="18A9F2F5">
      <w:pPr>
        <w:pStyle w:val="57"/>
        <w:ind w:firstLine="480"/>
        <w:jc w:val="both"/>
        <w:rPr>
          <w:color w:val="auto"/>
        </w:rPr>
      </w:pPr>
    </w:p>
    <w:p w14:paraId="43512861">
      <w:pPr>
        <w:pStyle w:val="57"/>
        <w:ind w:firstLine="480"/>
        <w:jc w:val="both"/>
        <w:rPr>
          <w:color w:val="auto"/>
        </w:rPr>
      </w:pPr>
    </w:p>
    <w:p w14:paraId="628800D1">
      <w:pPr>
        <w:pStyle w:val="57"/>
        <w:ind w:firstLine="480"/>
        <w:jc w:val="both"/>
        <w:rPr>
          <w:color w:val="auto"/>
        </w:rPr>
      </w:pPr>
    </w:p>
    <w:p w14:paraId="0A34F805">
      <w:pPr>
        <w:pStyle w:val="57"/>
        <w:ind w:firstLine="480"/>
        <w:jc w:val="both"/>
        <w:rPr>
          <w:color w:val="auto"/>
        </w:rPr>
      </w:pPr>
    </w:p>
    <w:p w14:paraId="0FF01E96">
      <w:pPr>
        <w:pStyle w:val="57"/>
        <w:ind w:firstLine="480"/>
        <w:jc w:val="both"/>
        <w:rPr>
          <w:color w:val="auto"/>
        </w:rPr>
      </w:pPr>
    </w:p>
    <w:p w14:paraId="51C33DC7">
      <w:pPr>
        <w:spacing w:line="400" w:lineRule="exact"/>
        <w:rPr>
          <w:rFonts w:ascii="Times New Roman" w:hAnsi="Times New Roman" w:cstheme="majorBidi"/>
          <w:bCs/>
          <w:color w:val="auto"/>
          <w:kern w:val="2"/>
          <w:szCs w:val="32"/>
        </w:rPr>
        <w:sectPr>
          <w:pgSz w:w="11906" w:h="16838"/>
          <w:pgMar w:top="1440" w:right="1417" w:bottom="1440" w:left="1417" w:header="850" w:footer="992" w:gutter="0"/>
          <w:pgNumType w:fmt="upperRoman"/>
          <w:cols w:space="0" w:num="1"/>
          <w:docGrid w:type="lines" w:linePitch="312" w:charSpace="0"/>
        </w:sectPr>
      </w:pPr>
    </w:p>
    <w:p w14:paraId="4EE68F72">
      <w:pPr>
        <w:pStyle w:val="2"/>
        <w:spacing w:before="468" w:beforeLines="150" w:after="312" w:afterLines="100"/>
        <w:rPr>
          <w:color w:val="auto"/>
          <w:lang w:val="zh-CN"/>
        </w:rPr>
      </w:pPr>
      <w:bookmarkStart w:id="27" w:name="_Toc213192785"/>
      <w:bookmarkStart w:id="28" w:name="_Toc6772"/>
      <w:bookmarkStart w:id="29" w:name="_Toc213190769"/>
      <w:bookmarkStart w:id="30" w:name="_Toc31189"/>
      <w:bookmarkStart w:id="31" w:name="_Toc213192477"/>
      <w:bookmarkStart w:id="32" w:name="_Toc21801"/>
      <w:r>
        <w:rPr>
          <w:rFonts w:hint="eastAsia"/>
          <w:color w:val="auto"/>
          <w:lang w:val="zh-CN"/>
        </w:rPr>
        <w:t>目 录</w:t>
      </w:r>
      <w:bookmarkEnd w:id="27"/>
      <w:bookmarkEnd w:id="28"/>
      <w:bookmarkEnd w:id="29"/>
      <w:bookmarkEnd w:id="30"/>
      <w:bookmarkEnd w:id="31"/>
      <w:bookmarkEnd w:id="32"/>
    </w:p>
    <w:p w14:paraId="14216488">
      <w:pPr>
        <w:pStyle w:val="17"/>
        <w:keepNext w:val="0"/>
        <w:keepLines w:val="0"/>
        <w:pageBreakBefore w:val="0"/>
        <w:widowControl w:val="0"/>
        <w:tabs>
          <w:tab w:val="right" w:leader="dot" w:pos="9072"/>
          <w:tab w:val="clear" w:pos="9061"/>
        </w:tabs>
        <w:kinsoku/>
        <w:wordWrap/>
        <w:overflowPunct/>
        <w:topLinePunct w:val="0"/>
        <w:autoSpaceDE/>
        <w:autoSpaceDN/>
        <w:bidi w:val="0"/>
        <w:adjustRightInd/>
        <w:snapToGrid/>
        <w:spacing w:before="120" w:after="120"/>
        <w:textAlignment w:val="auto"/>
        <w:rPr>
          <w:rFonts w:hint="default" w:ascii="Times New Roman" w:hAnsi="Times New Roman" w:eastAsia="宋体" w:cs="Times New Roman"/>
          <w:b/>
          <w:bCs w:val="0"/>
          <w:sz w:val="24"/>
          <w:szCs w:val="24"/>
        </w:rPr>
      </w:pPr>
      <w:r>
        <w:rPr>
          <w:rFonts w:hint="default" w:ascii="Times New Roman" w:hAnsi="Times New Roman" w:eastAsia="宋体" w:cs="Times New Roman"/>
          <w:caps/>
          <w:color w:val="auto"/>
          <w:kern w:val="2"/>
          <w:sz w:val="24"/>
          <w:szCs w:val="24"/>
        </w:rPr>
        <w:fldChar w:fldCharType="begin"/>
      </w:r>
      <w:r>
        <w:rPr>
          <w:rFonts w:hint="default" w:ascii="Times New Roman" w:hAnsi="Times New Roman" w:eastAsia="宋体" w:cs="Times New Roman"/>
          <w:caps/>
          <w:color w:val="auto"/>
          <w:kern w:val="2"/>
          <w:sz w:val="24"/>
          <w:szCs w:val="24"/>
        </w:rPr>
        <w:instrText xml:space="preserve"> TOC \o "1-3" \u </w:instrText>
      </w:r>
      <w:r>
        <w:rPr>
          <w:rFonts w:hint="default" w:ascii="Times New Roman" w:hAnsi="Times New Roman" w:eastAsia="宋体" w:cs="Times New Roman"/>
          <w:caps/>
          <w:color w:val="auto"/>
          <w:kern w:val="2"/>
          <w:sz w:val="24"/>
          <w:szCs w:val="24"/>
        </w:rPr>
        <w:fldChar w:fldCharType="separate"/>
      </w:r>
      <w:r>
        <w:rPr>
          <w:rFonts w:hint="default" w:ascii="Times New Roman" w:hAnsi="Times New Roman" w:eastAsia="宋体" w:cs="Times New Roman"/>
          <w:b/>
          <w:bCs w:val="0"/>
          <w:color w:val="auto"/>
          <w:sz w:val="24"/>
          <w:szCs w:val="24"/>
        </w:rPr>
        <w:t>摘 要</w:t>
      </w:r>
      <w:r>
        <w:rPr>
          <w:rFonts w:hint="default" w:ascii="Times New Roman" w:hAnsi="Times New Roman" w:eastAsia="宋体" w:cs="Times New Roman"/>
          <w:b/>
          <w:bCs w:val="0"/>
          <w:sz w:val="24"/>
          <w:szCs w:val="24"/>
        </w:rPr>
        <w:tab/>
      </w:r>
      <w:r>
        <w:rPr>
          <w:rFonts w:hint="default" w:ascii="Times New Roman" w:hAnsi="Times New Roman" w:eastAsia="宋体" w:cs="Times New Roman"/>
          <w:b/>
          <w:bCs w:val="0"/>
          <w:sz w:val="24"/>
          <w:szCs w:val="24"/>
        </w:rPr>
        <w:fldChar w:fldCharType="begin"/>
      </w:r>
      <w:r>
        <w:rPr>
          <w:rFonts w:hint="default" w:ascii="Times New Roman" w:hAnsi="Times New Roman" w:eastAsia="宋体" w:cs="Times New Roman"/>
          <w:b/>
          <w:bCs w:val="0"/>
          <w:sz w:val="24"/>
          <w:szCs w:val="24"/>
        </w:rPr>
        <w:instrText xml:space="preserve"> PAGEREF _Toc9471 \h </w:instrText>
      </w:r>
      <w:r>
        <w:rPr>
          <w:rFonts w:hint="default" w:ascii="Times New Roman" w:hAnsi="Times New Roman" w:eastAsia="宋体" w:cs="Times New Roman"/>
          <w:b/>
          <w:bCs w:val="0"/>
          <w:sz w:val="24"/>
          <w:szCs w:val="24"/>
        </w:rPr>
        <w:fldChar w:fldCharType="separate"/>
      </w:r>
      <w:r>
        <w:rPr>
          <w:rFonts w:hint="default" w:ascii="Times New Roman" w:hAnsi="Times New Roman" w:eastAsia="宋体" w:cs="Times New Roman"/>
          <w:b/>
          <w:bCs w:val="0"/>
          <w:sz w:val="24"/>
          <w:szCs w:val="24"/>
        </w:rPr>
        <w:t>I</w:t>
      </w:r>
      <w:r>
        <w:rPr>
          <w:rFonts w:hint="default" w:ascii="Times New Roman" w:hAnsi="Times New Roman" w:eastAsia="宋体" w:cs="Times New Roman"/>
          <w:b/>
          <w:bCs w:val="0"/>
          <w:sz w:val="24"/>
          <w:szCs w:val="24"/>
        </w:rPr>
        <w:fldChar w:fldCharType="end"/>
      </w:r>
    </w:p>
    <w:p w14:paraId="65EF9F9E">
      <w:pPr>
        <w:pStyle w:val="17"/>
        <w:keepNext w:val="0"/>
        <w:keepLines w:val="0"/>
        <w:pageBreakBefore w:val="0"/>
        <w:widowControl w:val="0"/>
        <w:tabs>
          <w:tab w:val="right" w:leader="dot" w:pos="9072"/>
          <w:tab w:val="clear" w:pos="9061"/>
        </w:tabs>
        <w:kinsoku/>
        <w:wordWrap/>
        <w:overflowPunct/>
        <w:topLinePunct w:val="0"/>
        <w:autoSpaceDE/>
        <w:autoSpaceDN/>
        <w:bidi w:val="0"/>
        <w:adjustRightInd/>
        <w:snapToGrid/>
        <w:spacing w:before="120" w:after="120"/>
        <w:textAlignment w:val="auto"/>
        <w:rPr>
          <w:rFonts w:hint="default" w:ascii="Times New Roman" w:hAnsi="Times New Roman" w:eastAsia="宋体" w:cs="Times New Roman"/>
          <w:b/>
          <w:bCs w:val="0"/>
          <w:sz w:val="24"/>
          <w:szCs w:val="24"/>
        </w:rPr>
      </w:pPr>
      <w:r>
        <w:rPr>
          <w:rFonts w:hint="default" w:ascii="Times New Roman" w:hAnsi="Times New Roman" w:eastAsia="宋体" w:cs="Times New Roman"/>
          <w:b/>
          <w:bCs w:val="0"/>
          <w:color w:val="auto"/>
          <w:sz w:val="24"/>
          <w:szCs w:val="24"/>
        </w:rPr>
        <w:t>ABSTRACT</w:t>
      </w:r>
      <w:r>
        <w:rPr>
          <w:rFonts w:hint="default" w:ascii="Times New Roman" w:hAnsi="Times New Roman" w:eastAsia="宋体" w:cs="Times New Roman"/>
          <w:b/>
          <w:bCs w:val="0"/>
          <w:sz w:val="24"/>
          <w:szCs w:val="24"/>
        </w:rPr>
        <w:tab/>
      </w:r>
      <w:r>
        <w:rPr>
          <w:rFonts w:hint="default" w:ascii="Times New Roman" w:hAnsi="Times New Roman" w:eastAsia="宋体" w:cs="Times New Roman"/>
          <w:b/>
          <w:bCs w:val="0"/>
          <w:sz w:val="24"/>
          <w:szCs w:val="24"/>
        </w:rPr>
        <w:fldChar w:fldCharType="begin"/>
      </w:r>
      <w:r>
        <w:rPr>
          <w:rFonts w:hint="default" w:ascii="Times New Roman" w:hAnsi="Times New Roman" w:eastAsia="宋体" w:cs="Times New Roman"/>
          <w:b/>
          <w:bCs w:val="0"/>
          <w:sz w:val="24"/>
          <w:szCs w:val="24"/>
        </w:rPr>
        <w:instrText xml:space="preserve"> PAGEREF _Toc7247 \h </w:instrText>
      </w:r>
      <w:r>
        <w:rPr>
          <w:rFonts w:hint="default" w:ascii="Times New Roman" w:hAnsi="Times New Roman" w:eastAsia="宋体" w:cs="Times New Roman"/>
          <w:b/>
          <w:bCs w:val="0"/>
          <w:sz w:val="24"/>
          <w:szCs w:val="24"/>
        </w:rPr>
        <w:fldChar w:fldCharType="separate"/>
      </w:r>
      <w:r>
        <w:rPr>
          <w:rFonts w:hint="default" w:ascii="Times New Roman" w:hAnsi="Times New Roman" w:eastAsia="宋体" w:cs="Times New Roman"/>
          <w:b/>
          <w:bCs w:val="0"/>
          <w:sz w:val="24"/>
          <w:szCs w:val="24"/>
        </w:rPr>
        <w:t>III</w:t>
      </w:r>
      <w:r>
        <w:rPr>
          <w:rFonts w:hint="default" w:ascii="Times New Roman" w:hAnsi="Times New Roman" w:eastAsia="宋体" w:cs="Times New Roman"/>
          <w:b/>
          <w:bCs w:val="0"/>
          <w:sz w:val="24"/>
          <w:szCs w:val="24"/>
        </w:rPr>
        <w:fldChar w:fldCharType="end"/>
      </w:r>
    </w:p>
    <w:p w14:paraId="1788B2F2">
      <w:pPr>
        <w:pStyle w:val="17"/>
        <w:keepNext w:val="0"/>
        <w:keepLines w:val="0"/>
        <w:pageBreakBefore w:val="0"/>
        <w:widowControl w:val="0"/>
        <w:tabs>
          <w:tab w:val="right" w:leader="dot" w:pos="9072"/>
          <w:tab w:val="clear" w:pos="9061"/>
        </w:tabs>
        <w:kinsoku/>
        <w:wordWrap/>
        <w:overflowPunct/>
        <w:topLinePunct w:val="0"/>
        <w:autoSpaceDE/>
        <w:autoSpaceDN/>
        <w:bidi w:val="0"/>
        <w:adjustRightInd/>
        <w:snapToGrid/>
        <w:spacing w:before="120" w:after="120"/>
        <w:textAlignment w:val="auto"/>
        <w:rPr>
          <w:rFonts w:hint="default" w:ascii="Times New Roman" w:hAnsi="Times New Roman" w:eastAsia="宋体" w:cs="Times New Roman"/>
          <w:b/>
          <w:bCs w:val="0"/>
          <w:sz w:val="24"/>
          <w:szCs w:val="24"/>
        </w:rPr>
      </w:pPr>
      <w:r>
        <w:rPr>
          <w:rFonts w:hint="default" w:ascii="Times New Roman" w:hAnsi="Times New Roman" w:eastAsia="宋体" w:cs="Times New Roman"/>
          <w:b/>
          <w:bCs w:val="0"/>
          <w:color w:val="auto"/>
          <w:sz w:val="24"/>
          <w:szCs w:val="24"/>
        </w:rPr>
        <w:t>第1章 绪论</w:t>
      </w:r>
      <w:r>
        <w:rPr>
          <w:rFonts w:hint="default" w:ascii="Times New Roman" w:hAnsi="Times New Roman" w:eastAsia="宋体" w:cs="Times New Roman"/>
          <w:b/>
          <w:bCs w:val="0"/>
          <w:sz w:val="24"/>
          <w:szCs w:val="24"/>
        </w:rPr>
        <w:tab/>
      </w:r>
      <w:r>
        <w:rPr>
          <w:rFonts w:hint="default" w:ascii="Times New Roman" w:hAnsi="Times New Roman" w:eastAsia="宋体" w:cs="Times New Roman"/>
          <w:b/>
          <w:bCs w:val="0"/>
          <w:sz w:val="24"/>
          <w:szCs w:val="24"/>
        </w:rPr>
        <w:fldChar w:fldCharType="begin"/>
      </w:r>
      <w:r>
        <w:rPr>
          <w:rFonts w:hint="default" w:ascii="Times New Roman" w:hAnsi="Times New Roman" w:eastAsia="宋体" w:cs="Times New Roman"/>
          <w:b/>
          <w:bCs w:val="0"/>
          <w:sz w:val="24"/>
          <w:szCs w:val="24"/>
        </w:rPr>
        <w:instrText xml:space="preserve"> PAGEREF _Toc17577 \h </w:instrText>
      </w:r>
      <w:r>
        <w:rPr>
          <w:rFonts w:hint="default" w:ascii="Times New Roman" w:hAnsi="Times New Roman" w:eastAsia="宋体" w:cs="Times New Roman"/>
          <w:b/>
          <w:bCs w:val="0"/>
          <w:sz w:val="24"/>
          <w:szCs w:val="24"/>
        </w:rPr>
        <w:fldChar w:fldCharType="separate"/>
      </w:r>
      <w:r>
        <w:rPr>
          <w:rFonts w:hint="default" w:ascii="Times New Roman" w:hAnsi="Times New Roman" w:eastAsia="宋体" w:cs="Times New Roman"/>
          <w:b/>
          <w:bCs w:val="0"/>
          <w:sz w:val="24"/>
          <w:szCs w:val="24"/>
        </w:rPr>
        <w:t>1</w:t>
      </w:r>
      <w:r>
        <w:rPr>
          <w:rFonts w:hint="default" w:ascii="Times New Roman" w:hAnsi="Times New Roman" w:eastAsia="宋体" w:cs="Times New Roman"/>
          <w:b/>
          <w:bCs w:val="0"/>
          <w:sz w:val="24"/>
          <w:szCs w:val="24"/>
        </w:rPr>
        <w:fldChar w:fldCharType="end"/>
      </w:r>
    </w:p>
    <w:p w14:paraId="2B228323">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color w:val="auto"/>
          <w:kern w:val="0"/>
          <w:sz w:val="24"/>
          <w:szCs w:val="24"/>
          <w:lang w:val="zh-CN"/>
        </w:rPr>
        <w:t>1.1 研究背景与意义</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_Toc1195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w:t>
      </w:r>
      <w:r>
        <w:rPr>
          <w:rFonts w:hint="default" w:ascii="Times New Roman" w:hAnsi="Times New Roman" w:eastAsia="宋体" w:cs="Times New Roman"/>
          <w:sz w:val="24"/>
          <w:szCs w:val="24"/>
        </w:rPr>
        <w:fldChar w:fldCharType="end"/>
      </w:r>
    </w:p>
    <w:p w14:paraId="5C2DBBFA">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1.1.1 研究背景</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_Toc17168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w:t>
      </w:r>
      <w:r>
        <w:rPr>
          <w:rFonts w:hint="default" w:ascii="Times New Roman" w:hAnsi="Times New Roman" w:eastAsia="宋体" w:cs="Times New Roman"/>
          <w:sz w:val="24"/>
          <w:szCs w:val="24"/>
        </w:rPr>
        <w:fldChar w:fldCharType="end"/>
      </w:r>
    </w:p>
    <w:p w14:paraId="50678C8C">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1.1.2 研究意义</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_Toc20178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2</w:t>
      </w:r>
      <w:r>
        <w:rPr>
          <w:rFonts w:hint="default" w:ascii="Times New Roman" w:hAnsi="Times New Roman" w:eastAsia="宋体" w:cs="Times New Roman"/>
          <w:sz w:val="24"/>
          <w:szCs w:val="24"/>
        </w:rPr>
        <w:fldChar w:fldCharType="end"/>
      </w:r>
    </w:p>
    <w:p w14:paraId="792AC0AA">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kern w:val="0"/>
          <w:sz w:val="24"/>
          <w:szCs w:val="24"/>
        </w:rPr>
        <w:t>1.2 国内外研究现状</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_Toc20524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3</w:t>
      </w:r>
      <w:r>
        <w:rPr>
          <w:rFonts w:hint="default" w:ascii="Times New Roman" w:hAnsi="Times New Roman" w:eastAsia="宋体" w:cs="Times New Roman"/>
          <w:sz w:val="24"/>
          <w:szCs w:val="24"/>
        </w:rPr>
        <w:fldChar w:fldCharType="end"/>
      </w:r>
    </w:p>
    <w:p w14:paraId="095704FF">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1.3 研究内容与方法</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_Toc12779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4</w:t>
      </w:r>
      <w:r>
        <w:rPr>
          <w:rFonts w:hint="default" w:ascii="Times New Roman" w:hAnsi="Times New Roman" w:eastAsia="宋体" w:cs="Times New Roman"/>
          <w:sz w:val="24"/>
          <w:szCs w:val="24"/>
        </w:rPr>
        <w:fldChar w:fldCharType="end"/>
      </w:r>
    </w:p>
    <w:p w14:paraId="316E6291">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1.3.1 研究内容</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_Toc8248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4</w:t>
      </w:r>
      <w:r>
        <w:rPr>
          <w:rFonts w:hint="default" w:ascii="Times New Roman" w:hAnsi="Times New Roman" w:eastAsia="宋体" w:cs="Times New Roman"/>
          <w:sz w:val="24"/>
          <w:szCs w:val="24"/>
        </w:rPr>
        <w:fldChar w:fldCharType="end"/>
      </w:r>
    </w:p>
    <w:p w14:paraId="1DE822B5">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1.3.2 研究方法</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_Toc3043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6</w:t>
      </w:r>
      <w:r>
        <w:rPr>
          <w:rFonts w:hint="default" w:ascii="Times New Roman" w:hAnsi="Times New Roman" w:eastAsia="宋体" w:cs="Times New Roman"/>
          <w:sz w:val="24"/>
          <w:szCs w:val="24"/>
        </w:rPr>
        <w:fldChar w:fldCharType="end"/>
      </w:r>
    </w:p>
    <w:p w14:paraId="030F2BE6">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kern w:val="0"/>
          <w:sz w:val="24"/>
          <w:szCs w:val="24"/>
        </w:rPr>
        <w:t>1.4 研究思路与论文框架</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_Toc4512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7</w:t>
      </w:r>
      <w:r>
        <w:rPr>
          <w:rFonts w:hint="default" w:ascii="Times New Roman" w:hAnsi="Times New Roman" w:eastAsia="宋体" w:cs="Times New Roman"/>
          <w:sz w:val="24"/>
          <w:szCs w:val="24"/>
        </w:rPr>
        <w:fldChar w:fldCharType="end"/>
      </w:r>
    </w:p>
    <w:p w14:paraId="2903D137">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1.4.1 研究思路</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_Toc8413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7</w:t>
      </w:r>
      <w:r>
        <w:rPr>
          <w:rFonts w:hint="default" w:ascii="Times New Roman" w:hAnsi="Times New Roman" w:eastAsia="宋体" w:cs="Times New Roman"/>
          <w:sz w:val="24"/>
          <w:szCs w:val="24"/>
        </w:rPr>
        <w:fldChar w:fldCharType="end"/>
      </w:r>
    </w:p>
    <w:p w14:paraId="5889F5B6">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1.4.2 论文框架</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_Toc25020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8</w:t>
      </w:r>
      <w:r>
        <w:rPr>
          <w:rFonts w:hint="default" w:ascii="Times New Roman" w:hAnsi="Times New Roman" w:eastAsia="宋体" w:cs="Times New Roman"/>
          <w:sz w:val="24"/>
          <w:szCs w:val="24"/>
        </w:rPr>
        <w:fldChar w:fldCharType="end"/>
      </w:r>
    </w:p>
    <w:p w14:paraId="0A2B986B">
      <w:pPr>
        <w:pStyle w:val="17"/>
        <w:keepNext w:val="0"/>
        <w:keepLines w:val="0"/>
        <w:pageBreakBefore w:val="0"/>
        <w:widowControl w:val="0"/>
        <w:tabs>
          <w:tab w:val="right" w:leader="dot" w:pos="9072"/>
          <w:tab w:val="clear" w:pos="9061"/>
        </w:tabs>
        <w:kinsoku/>
        <w:wordWrap/>
        <w:overflowPunct/>
        <w:topLinePunct w:val="0"/>
        <w:autoSpaceDE/>
        <w:autoSpaceDN/>
        <w:bidi w:val="0"/>
        <w:adjustRightInd/>
        <w:snapToGrid/>
        <w:spacing w:before="120" w:after="120"/>
        <w:textAlignment w:val="auto"/>
        <w:rPr>
          <w:rFonts w:hint="default" w:ascii="Times New Roman" w:hAnsi="Times New Roman" w:eastAsia="宋体" w:cs="Times New Roman"/>
          <w:b/>
          <w:bCs w:val="0"/>
          <w:color w:val="auto"/>
          <w:sz w:val="24"/>
          <w:szCs w:val="24"/>
        </w:rPr>
      </w:pPr>
      <w:r>
        <w:rPr>
          <w:rFonts w:hint="default" w:ascii="Times New Roman" w:hAnsi="Times New Roman" w:eastAsia="宋体" w:cs="Times New Roman"/>
          <w:b/>
          <w:bCs w:val="0"/>
          <w:color w:val="auto"/>
          <w:sz w:val="24"/>
          <w:szCs w:val="24"/>
        </w:rPr>
        <w:t>第2章 相关理论方法与文献综述</w:t>
      </w:r>
      <w:r>
        <w:rPr>
          <w:rFonts w:hint="default" w:ascii="Times New Roman" w:hAnsi="Times New Roman" w:eastAsia="宋体" w:cs="Times New Roman"/>
          <w:b/>
          <w:bCs w:val="0"/>
          <w:color w:val="auto"/>
          <w:sz w:val="24"/>
          <w:szCs w:val="24"/>
        </w:rPr>
        <w:tab/>
      </w:r>
      <w:r>
        <w:rPr>
          <w:rFonts w:hint="default" w:ascii="Times New Roman" w:hAnsi="Times New Roman" w:eastAsia="宋体" w:cs="Times New Roman"/>
          <w:b/>
          <w:bCs w:val="0"/>
          <w:color w:val="auto"/>
          <w:sz w:val="24"/>
          <w:szCs w:val="24"/>
        </w:rPr>
        <w:fldChar w:fldCharType="begin"/>
      </w:r>
      <w:r>
        <w:rPr>
          <w:rFonts w:hint="default" w:ascii="Times New Roman" w:hAnsi="Times New Roman" w:eastAsia="宋体" w:cs="Times New Roman"/>
          <w:b/>
          <w:bCs w:val="0"/>
          <w:color w:val="auto"/>
          <w:sz w:val="24"/>
          <w:szCs w:val="24"/>
        </w:rPr>
        <w:instrText xml:space="preserve"> PAGEREF _Toc9101 \h </w:instrText>
      </w:r>
      <w:r>
        <w:rPr>
          <w:rFonts w:hint="default" w:ascii="Times New Roman" w:hAnsi="Times New Roman" w:eastAsia="宋体" w:cs="Times New Roman"/>
          <w:b/>
          <w:bCs w:val="0"/>
          <w:color w:val="auto"/>
          <w:sz w:val="24"/>
          <w:szCs w:val="24"/>
        </w:rPr>
        <w:fldChar w:fldCharType="separate"/>
      </w:r>
      <w:r>
        <w:rPr>
          <w:rFonts w:hint="default" w:ascii="Times New Roman" w:hAnsi="Times New Roman" w:eastAsia="宋体" w:cs="Times New Roman"/>
          <w:b/>
          <w:bCs w:val="0"/>
          <w:color w:val="auto"/>
          <w:sz w:val="24"/>
          <w:szCs w:val="24"/>
        </w:rPr>
        <w:t>11</w:t>
      </w:r>
      <w:r>
        <w:rPr>
          <w:rFonts w:hint="default" w:ascii="Times New Roman" w:hAnsi="Times New Roman" w:eastAsia="宋体" w:cs="Times New Roman"/>
          <w:b/>
          <w:bCs w:val="0"/>
          <w:color w:val="auto"/>
          <w:sz w:val="24"/>
          <w:szCs w:val="24"/>
        </w:rPr>
        <w:fldChar w:fldCharType="end"/>
      </w:r>
    </w:p>
    <w:p w14:paraId="489C4F54">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kern w:val="0"/>
          <w:sz w:val="24"/>
          <w:szCs w:val="24"/>
        </w:rPr>
        <w:t>2.1 软件开发过程管理理论基础</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_Toc8258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11</w:t>
      </w:r>
      <w:r>
        <w:rPr>
          <w:rFonts w:hint="default" w:ascii="Times New Roman" w:hAnsi="Times New Roman" w:eastAsia="宋体" w:cs="Times New Roman"/>
          <w:sz w:val="24"/>
          <w:szCs w:val="24"/>
        </w:rPr>
        <w:fldChar w:fldCharType="end"/>
      </w:r>
    </w:p>
    <w:p w14:paraId="59414EF9">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2.1.1 软件过程改进（SPI）与成熟度模型理论</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_Toc13657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11</w:t>
      </w:r>
      <w:r>
        <w:rPr>
          <w:rFonts w:hint="default" w:ascii="Times New Roman" w:hAnsi="Times New Roman" w:eastAsia="宋体" w:cs="Times New Roman"/>
          <w:sz w:val="24"/>
          <w:szCs w:val="24"/>
        </w:rPr>
        <w:fldChar w:fldCharType="end"/>
      </w:r>
    </w:p>
    <w:p w14:paraId="64BBA6BA">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2.1.2 敏捷开发与精益价值流映射（VSM）理论</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_Toc8034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11</w:t>
      </w:r>
      <w:r>
        <w:rPr>
          <w:rFonts w:hint="default" w:ascii="Times New Roman" w:hAnsi="Times New Roman" w:eastAsia="宋体" w:cs="Times New Roman"/>
          <w:sz w:val="24"/>
          <w:szCs w:val="24"/>
        </w:rPr>
        <w:fldChar w:fldCharType="end"/>
      </w:r>
    </w:p>
    <w:p w14:paraId="2941581F">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2.1.3 工程效能度量与持续改进机制</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_Toc17549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12</w:t>
      </w:r>
      <w:r>
        <w:rPr>
          <w:rFonts w:hint="default" w:ascii="Times New Roman" w:hAnsi="Times New Roman" w:eastAsia="宋体" w:cs="Times New Roman"/>
          <w:sz w:val="24"/>
          <w:szCs w:val="24"/>
        </w:rPr>
        <w:fldChar w:fldCharType="end"/>
      </w:r>
    </w:p>
    <w:p w14:paraId="5AA00B12">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2.2 安全与合规治理理论基础</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_Toc19883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13</w:t>
      </w:r>
      <w:r>
        <w:rPr>
          <w:rFonts w:hint="default" w:ascii="Times New Roman" w:hAnsi="Times New Roman" w:eastAsia="宋体" w:cs="Times New Roman"/>
          <w:sz w:val="24"/>
          <w:szCs w:val="24"/>
        </w:rPr>
        <w:fldChar w:fldCharType="end"/>
      </w:r>
    </w:p>
    <w:p w14:paraId="2F830B1F">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2.2.1 信息安全管理体系（ISMS）与风险控制理论</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_Toc8486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13</w:t>
      </w:r>
      <w:r>
        <w:rPr>
          <w:rFonts w:hint="default" w:ascii="Times New Roman" w:hAnsi="Times New Roman" w:eastAsia="宋体" w:cs="Times New Roman"/>
          <w:sz w:val="24"/>
          <w:szCs w:val="24"/>
        </w:rPr>
        <w:fldChar w:fldCharType="end"/>
      </w:r>
    </w:p>
    <w:p w14:paraId="139DA08F">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2.2.2 DevSecOps 与安全即代码（Security-as-Code）理念</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_Toc4134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14</w:t>
      </w:r>
      <w:r>
        <w:rPr>
          <w:rFonts w:hint="default" w:ascii="Times New Roman" w:hAnsi="Times New Roman" w:eastAsia="宋体" w:cs="Times New Roman"/>
          <w:sz w:val="24"/>
          <w:szCs w:val="24"/>
        </w:rPr>
        <w:fldChar w:fldCharType="end"/>
      </w:r>
    </w:p>
    <w:p w14:paraId="78A15790">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2.2.3 合规即代码（Compliance-as-Code）与监管科技（RegTech）框架</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_Toc9472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15</w:t>
      </w:r>
      <w:r>
        <w:rPr>
          <w:rFonts w:hint="default" w:ascii="Times New Roman" w:hAnsi="Times New Roman" w:eastAsia="宋体" w:cs="Times New Roman"/>
          <w:sz w:val="24"/>
          <w:szCs w:val="24"/>
        </w:rPr>
        <w:fldChar w:fldCharType="end"/>
      </w:r>
    </w:p>
    <w:p w14:paraId="52D66511">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2.3 技术债务与架构演化理论基础</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_Toc9810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16</w:t>
      </w:r>
      <w:r>
        <w:rPr>
          <w:rFonts w:hint="default" w:ascii="Times New Roman" w:hAnsi="Times New Roman" w:eastAsia="宋体" w:cs="Times New Roman"/>
          <w:sz w:val="24"/>
          <w:szCs w:val="24"/>
        </w:rPr>
        <w:fldChar w:fldCharType="end"/>
      </w:r>
    </w:p>
    <w:p w14:paraId="57488162">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2.3.1 技术债务的概念、类型与形成机理</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_Toc29293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16</w:t>
      </w:r>
      <w:r>
        <w:rPr>
          <w:rFonts w:hint="default" w:ascii="Times New Roman" w:hAnsi="Times New Roman" w:eastAsia="宋体" w:cs="Times New Roman"/>
          <w:sz w:val="24"/>
          <w:szCs w:val="24"/>
        </w:rPr>
        <w:fldChar w:fldCharType="end"/>
      </w:r>
    </w:p>
    <w:p w14:paraId="55E645A4">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2.3.2 可维护性与架构演化理论</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_Toc11996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16</w:t>
      </w:r>
      <w:r>
        <w:rPr>
          <w:rFonts w:hint="default" w:ascii="Times New Roman" w:hAnsi="Times New Roman" w:eastAsia="宋体" w:cs="Times New Roman"/>
          <w:sz w:val="24"/>
          <w:szCs w:val="24"/>
        </w:rPr>
        <w:fldChar w:fldCharType="end"/>
      </w:r>
    </w:p>
    <w:p w14:paraId="1E734DE6">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2.3.3 技术债务治理模型与度量体系</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_Toc9337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17</w:t>
      </w:r>
      <w:r>
        <w:rPr>
          <w:rFonts w:hint="default" w:ascii="Times New Roman" w:hAnsi="Times New Roman" w:eastAsia="宋体" w:cs="Times New Roman"/>
          <w:sz w:val="24"/>
          <w:szCs w:val="24"/>
        </w:rPr>
        <w:fldChar w:fldCharType="end"/>
      </w:r>
    </w:p>
    <w:p w14:paraId="1DD930E5">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2.4 智能运维与可靠性工程理论基础</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_Toc23378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18</w:t>
      </w:r>
      <w:r>
        <w:rPr>
          <w:rFonts w:hint="default" w:ascii="Times New Roman" w:hAnsi="Times New Roman" w:eastAsia="宋体" w:cs="Times New Roman"/>
          <w:sz w:val="24"/>
          <w:szCs w:val="24"/>
        </w:rPr>
        <w:fldChar w:fldCharType="end"/>
      </w:r>
    </w:p>
    <w:p w14:paraId="12FF2673">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2.4.1 站点可靠性工程（SRE）与错误预算模型</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_Toc26221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18</w:t>
      </w:r>
      <w:r>
        <w:rPr>
          <w:rFonts w:hint="default" w:ascii="Times New Roman" w:hAnsi="Times New Roman" w:eastAsia="宋体" w:cs="Times New Roman"/>
          <w:sz w:val="24"/>
          <w:szCs w:val="24"/>
        </w:rPr>
        <w:fldChar w:fldCharType="end"/>
      </w:r>
    </w:p>
    <w:p w14:paraId="04A665B1">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2.4.2 AIOps 架构与智能决策机制</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_Toc4632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19</w:t>
      </w:r>
      <w:r>
        <w:rPr>
          <w:rFonts w:hint="default" w:ascii="Times New Roman" w:hAnsi="Times New Roman" w:eastAsia="宋体" w:cs="Times New Roman"/>
          <w:sz w:val="24"/>
          <w:szCs w:val="24"/>
        </w:rPr>
        <w:fldChar w:fldCharType="end"/>
      </w:r>
    </w:p>
    <w:p w14:paraId="59E6D44B">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2.4.3 智能运维的可解释性与金融科技适配路径</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_Toc21585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19</w:t>
      </w:r>
      <w:r>
        <w:rPr>
          <w:rFonts w:hint="default" w:ascii="Times New Roman" w:hAnsi="Times New Roman" w:eastAsia="宋体" w:cs="Times New Roman"/>
          <w:sz w:val="24"/>
          <w:szCs w:val="24"/>
        </w:rPr>
        <w:fldChar w:fldCharType="end"/>
      </w:r>
    </w:p>
    <w:p w14:paraId="355982E5">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2.5 跨职能协作与组织管理理论基础</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_Toc31085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20</w:t>
      </w:r>
      <w:r>
        <w:rPr>
          <w:rFonts w:hint="default" w:ascii="Times New Roman" w:hAnsi="Times New Roman" w:eastAsia="宋体" w:cs="Times New Roman"/>
          <w:sz w:val="24"/>
          <w:szCs w:val="24"/>
        </w:rPr>
        <w:fldChar w:fldCharType="end"/>
      </w:r>
    </w:p>
    <w:p w14:paraId="0D2C613A">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2.5.1 跨职能团队理论与组织学习机制</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_Toc21617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20</w:t>
      </w:r>
      <w:r>
        <w:rPr>
          <w:rFonts w:hint="default" w:ascii="Times New Roman" w:hAnsi="Times New Roman" w:eastAsia="宋体" w:cs="Times New Roman"/>
          <w:sz w:val="24"/>
          <w:szCs w:val="24"/>
        </w:rPr>
        <w:fldChar w:fldCharType="end"/>
      </w:r>
    </w:p>
    <w:p w14:paraId="13ABF885">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2.5.2 DevOps文化与变革管理理论</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_Toc31563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21</w:t>
      </w:r>
      <w:r>
        <w:rPr>
          <w:rFonts w:hint="default" w:ascii="Times New Roman" w:hAnsi="Times New Roman" w:eastAsia="宋体" w:cs="Times New Roman"/>
          <w:sz w:val="24"/>
          <w:szCs w:val="24"/>
        </w:rPr>
        <w:fldChar w:fldCharType="end"/>
      </w:r>
    </w:p>
    <w:p w14:paraId="6735C3B7">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2.5.3 能力矩阵与团队绩效形成机制</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_Toc23102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21</w:t>
      </w:r>
      <w:r>
        <w:rPr>
          <w:rFonts w:hint="default" w:ascii="Times New Roman" w:hAnsi="Times New Roman" w:eastAsia="宋体" w:cs="Times New Roman"/>
          <w:sz w:val="24"/>
          <w:szCs w:val="24"/>
        </w:rPr>
        <w:fldChar w:fldCharType="end"/>
      </w:r>
    </w:p>
    <w:p w14:paraId="64DDA3CB">
      <w:pPr>
        <w:pStyle w:val="17"/>
        <w:keepNext w:val="0"/>
        <w:keepLines w:val="0"/>
        <w:pageBreakBefore w:val="0"/>
        <w:widowControl w:val="0"/>
        <w:tabs>
          <w:tab w:val="right" w:leader="dot" w:pos="9072"/>
          <w:tab w:val="clear" w:pos="9061"/>
        </w:tabs>
        <w:kinsoku/>
        <w:wordWrap/>
        <w:overflowPunct/>
        <w:topLinePunct w:val="0"/>
        <w:autoSpaceDE/>
        <w:autoSpaceDN/>
        <w:bidi w:val="0"/>
        <w:adjustRightInd/>
        <w:snapToGrid/>
        <w:spacing w:before="120" w:after="120"/>
        <w:textAlignment w:val="auto"/>
        <w:rPr>
          <w:rFonts w:hint="default" w:ascii="Times New Roman" w:hAnsi="Times New Roman" w:eastAsia="宋体" w:cs="Times New Roman"/>
          <w:b/>
          <w:bCs w:val="0"/>
          <w:color w:val="auto"/>
          <w:sz w:val="24"/>
          <w:szCs w:val="24"/>
        </w:rPr>
      </w:pPr>
      <w:r>
        <w:rPr>
          <w:rFonts w:hint="default" w:ascii="Times New Roman" w:hAnsi="Times New Roman" w:eastAsia="宋体" w:cs="Times New Roman"/>
          <w:b/>
          <w:bCs w:val="0"/>
          <w:color w:val="auto"/>
          <w:sz w:val="24"/>
          <w:szCs w:val="24"/>
        </w:rPr>
        <w:t>第3章 H公司软件开发过程现状与主要问题</w:t>
      </w:r>
      <w:r>
        <w:rPr>
          <w:rFonts w:hint="default" w:ascii="Times New Roman" w:hAnsi="Times New Roman" w:eastAsia="宋体" w:cs="Times New Roman"/>
          <w:b/>
          <w:bCs w:val="0"/>
          <w:color w:val="auto"/>
          <w:sz w:val="24"/>
          <w:szCs w:val="24"/>
        </w:rPr>
        <w:tab/>
      </w:r>
      <w:r>
        <w:rPr>
          <w:rFonts w:hint="default" w:ascii="Times New Roman" w:hAnsi="Times New Roman" w:eastAsia="宋体" w:cs="Times New Roman"/>
          <w:b/>
          <w:bCs w:val="0"/>
          <w:color w:val="auto"/>
          <w:sz w:val="24"/>
          <w:szCs w:val="24"/>
        </w:rPr>
        <w:fldChar w:fldCharType="begin"/>
      </w:r>
      <w:r>
        <w:rPr>
          <w:rFonts w:hint="default" w:ascii="Times New Roman" w:hAnsi="Times New Roman" w:eastAsia="宋体" w:cs="Times New Roman"/>
          <w:b/>
          <w:bCs w:val="0"/>
          <w:color w:val="auto"/>
          <w:sz w:val="24"/>
          <w:szCs w:val="24"/>
        </w:rPr>
        <w:instrText xml:space="preserve"> PAGEREF _Toc4433 \h </w:instrText>
      </w:r>
      <w:r>
        <w:rPr>
          <w:rFonts w:hint="default" w:ascii="Times New Roman" w:hAnsi="Times New Roman" w:eastAsia="宋体" w:cs="Times New Roman"/>
          <w:b/>
          <w:bCs w:val="0"/>
          <w:color w:val="auto"/>
          <w:sz w:val="24"/>
          <w:szCs w:val="24"/>
        </w:rPr>
        <w:fldChar w:fldCharType="separate"/>
      </w:r>
      <w:r>
        <w:rPr>
          <w:rFonts w:hint="default" w:ascii="Times New Roman" w:hAnsi="Times New Roman" w:eastAsia="宋体" w:cs="Times New Roman"/>
          <w:b/>
          <w:bCs w:val="0"/>
          <w:color w:val="auto"/>
          <w:sz w:val="24"/>
          <w:szCs w:val="24"/>
        </w:rPr>
        <w:t>23</w:t>
      </w:r>
      <w:r>
        <w:rPr>
          <w:rFonts w:hint="default" w:ascii="Times New Roman" w:hAnsi="Times New Roman" w:eastAsia="宋体" w:cs="Times New Roman"/>
          <w:b/>
          <w:bCs w:val="0"/>
          <w:color w:val="auto"/>
          <w:sz w:val="24"/>
          <w:szCs w:val="24"/>
        </w:rPr>
        <w:fldChar w:fldCharType="end"/>
      </w:r>
    </w:p>
    <w:p w14:paraId="214AE9E1">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3.1 企业背景与行业特征</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_Toc17663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23</w:t>
      </w:r>
      <w:r>
        <w:rPr>
          <w:rFonts w:hint="default" w:ascii="Times New Roman" w:hAnsi="Times New Roman" w:eastAsia="宋体" w:cs="Times New Roman"/>
          <w:sz w:val="24"/>
          <w:szCs w:val="24"/>
        </w:rPr>
        <w:fldChar w:fldCharType="end"/>
      </w:r>
    </w:p>
    <w:p w14:paraId="5F14A908">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3.1.1 H公司的组织架构</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_Toc24878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23</w:t>
      </w:r>
      <w:r>
        <w:rPr>
          <w:rFonts w:hint="default" w:ascii="Times New Roman" w:hAnsi="Times New Roman" w:eastAsia="宋体" w:cs="Times New Roman"/>
          <w:sz w:val="24"/>
          <w:szCs w:val="24"/>
        </w:rPr>
        <w:fldChar w:fldCharType="end"/>
      </w:r>
    </w:p>
    <w:p w14:paraId="01638416">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3.1.2 H公司业务定位与技术生态</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_Toc24871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25</w:t>
      </w:r>
      <w:r>
        <w:rPr>
          <w:rFonts w:hint="default" w:ascii="Times New Roman" w:hAnsi="Times New Roman" w:eastAsia="宋体" w:cs="Times New Roman"/>
          <w:sz w:val="24"/>
          <w:szCs w:val="24"/>
        </w:rPr>
        <w:fldChar w:fldCharType="end"/>
      </w:r>
    </w:p>
    <w:p w14:paraId="1147DBFD">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3.1.3 金融科技产品线布局特征</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_Toc13595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26</w:t>
      </w:r>
      <w:r>
        <w:rPr>
          <w:rFonts w:hint="default" w:ascii="Times New Roman" w:hAnsi="Times New Roman" w:eastAsia="宋体" w:cs="Times New Roman"/>
          <w:sz w:val="24"/>
          <w:szCs w:val="24"/>
        </w:rPr>
        <w:fldChar w:fldCharType="end"/>
      </w:r>
    </w:p>
    <w:p w14:paraId="3FC9F788">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3.1.4 H公司软件开发过程的现状</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_Toc2387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27</w:t>
      </w:r>
      <w:r>
        <w:rPr>
          <w:rFonts w:hint="default" w:ascii="Times New Roman" w:hAnsi="Times New Roman" w:eastAsia="宋体" w:cs="Times New Roman"/>
          <w:sz w:val="24"/>
          <w:szCs w:val="24"/>
        </w:rPr>
        <w:fldChar w:fldCharType="end"/>
      </w:r>
    </w:p>
    <w:p w14:paraId="77547649">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3.2 H公司软件开发过程能力评估方法与结果概述</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_Toc31076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30</w:t>
      </w:r>
      <w:r>
        <w:rPr>
          <w:rFonts w:hint="default" w:ascii="Times New Roman" w:hAnsi="Times New Roman" w:eastAsia="宋体" w:cs="Times New Roman"/>
          <w:sz w:val="24"/>
          <w:szCs w:val="24"/>
        </w:rPr>
        <w:fldChar w:fldCharType="end"/>
      </w:r>
    </w:p>
    <w:p w14:paraId="7A200C56">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3.3 H公司软件开发过程的主要问题</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_Toc3127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32</w:t>
      </w:r>
      <w:r>
        <w:rPr>
          <w:rFonts w:hint="default" w:ascii="Times New Roman" w:hAnsi="Times New Roman" w:eastAsia="宋体" w:cs="Times New Roman"/>
          <w:sz w:val="24"/>
          <w:szCs w:val="24"/>
        </w:rPr>
        <w:fldChar w:fldCharType="end"/>
      </w:r>
    </w:p>
    <w:p w14:paraId="23E2D21D">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3.3.1 需求变更频繁与追踪机制不完善</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_Toc28442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32</w:t>
      </w:r>
      <w:r>
        <w:rPr>
          <w:rFonts w:hint="default" w:ascii="Times New Roman" w:hAnsi="Times New Roman" w:eastAsia="宋体" w:cs="Times New Roman"/>
          <w:sz w:val="24"/>
          <w:szCs w:val="24"/>
        </w:rPr>
        <w:fldChar w:fldCharType="end"/>
      </w:r>
    </w:p>
    <w:p w14:paraId="0A475C6A">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3.3.2 安全检测后置与合规风险积累</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_Toc26380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33</w:t>
      </w:r>
      <w:r>
        <w:rPr>
          <w:rFonts w:hint="default" w:ascii="Times New Roman" w:hAnsi="Times New Roman" w:eastAsia="宋体" w:cs="Times New Roman"/>
          <w:sz w:val="24"/>
          <w:szCs w:val="24"/>
        </w:rPr>
        <w:fldChar w:fldCharType="end"/>
      </w:r>
    </w:p>
    <w:p w14:paraId="4DDB5BDA">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3.3.3 技术债务累积与自动化转型受阻</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_Toc1371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34</w:t>
      </w:r>
      <w:r>
        <w:rPr>
          <w:rFonts w:hint="default" w:ascii="Times New Roman" w:hAnsi="Times New Roman" w:eastAsia="宋体" w:cs="Times New Roman"/>
          <w:sz w:val="24"/>
          <w:szCs w:val="24"/>
        </w:rPr>
        <w:fldChar w:fldCharType="end"/>
      </w:r>
    </w:p>
    <w:p w14:paraId="3153CE9D">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3.3.4 运维智能化不足与系统稳定性风险</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_Toc8241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36</w:t>
      </w:r>
      <w:r>
        <w:rPr>
          <w:rFonts w:hint="default" w:ascii="Times New Roman" w:hAnsi="Times New Roman" w:eastAsia="宋体" w:cs="Times New Roman"/>
          <w:sz w:val="24"/>
          <w:szCs w:val="24"/>
        </w:rPr>
        <w:fldChar w:fldCharType="end"/>
      </w:r>
    </w:p>
    <w:p w14:paraId="491D2FB3">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3.3.5 跨职能协作效率不足与流程弹性受限</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_Toc5589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38</w:t>
      </w:r>
      <w:r>
        <w:rPr>
          <w:rFonts w:hint="default" w:ascii="Times New Roman" w:hAnsi="Times New Roman" w:eastAsia="宋体" w:cs="Times New Roman"/>
          <w:sz w:val="24"/>
          <w:szCs w:val="24"/>
        </w:rPr>
        <w:fldChar w:fldCharType="end"/>
      </w:r>
    </w:p>
    <w:p w14:paraId="51C6568A">
      <w:pPr>
        <w:pStyle w:val="17"/>
        <w:keepNext w:val="0"/>
        <w:keepLines w:val="0"/>
        <w:pageBreakBefore w:val="0"/>
        <w:widowControl w:val="0"/>
        <w:tabs>
          <w:tab w:val="right" w:leader="dot" w:pos="9072"/>
          <w:tab w:val="clear" w:pos="9061"/>
        </w:tabs>
        <w:kinsoku/>
        <w:wordWrap/>
        <w:overflowPunct/>
        <w:topLinePunct w:val="0"/>
        <w:autoSpaceDE/>
        <w:autoSpaceDN/>
        <w:bidi w:val="0"/>
        <w:adjustRightInd/>
        <w:snapToGrid/>
        <w:spacing w:before="120" w:after="120"/>
        <w:textAlignment w:val="auto"/>
        <w:rPr>
          <w:rFonts w:hint="default" w:ascii="Times New Roman" w:hAnsi="Times New Roman" w:eastAsia="宋体" w:cs="Times New Roman"/>
          <w:b/>
          <w:bCs w:val="0"/>
          <w:color w:val="auto"/>
          <w:sz w:val="24"/>
          <w:szCs w:val="24"/>
        </w:rPr>
      </w:pPr>
      <w:r>
        <w:rPr>
          <w:rFonts w:hint="default" w:ascii="Times New Roman" w:hAnsi="Times New Roman" w:eastAsia="宋体" w:cs="Times New Roman"/>
          <w:b/>
          <w:bCs w:val="0"/>
          <w:color w:val="auto"/>
          <w:sz w:val="24"/>
          <w:szCs w:val="24"/>
        </w:rPr>
        <w:t>第4章 H公司软件开发过程的改进方案</w:t>
      </w:r>
      <w:r>
        <w:rPr>
          <w:rFonts w:hint="default" w:ascii="Times New Roman" w:hAnsi="Times New Roman" w:eastAsia="宋体" w:cs="Times New Roman"/>
          <w:b/>
          <w:bCs w:val="0"/>
          <w:color w:val="auto"/>
          <w:sz w:val="24"/>
          <w:szCs w:val="24"/>
        </w:rPr>
        <w:tab/>
      </w:r>
      <w:r>
        <w:rPr>
          <w:rFonts w:hint="default" w:ascii="Times New Roman" w:hAnsi="Times New Roman" w:eastAsia="宋体" w:cs="Times New Roman"/>
          <w:b/>
          <w:bCs w:val="0"/>
          <w:color w:val="auto"/>
          <w:sz w:val="24"/>
          <w:szCs w:val="24"/>
        </w:rPr>
        <w:fldChar w:fldCharType="begin"/>
      </w:r>
      <w:r>
        <w:rPr>
          <w:rFonts w:hint="default" w:ascii="Times New Roman" w:hAnsi="Times New Roman" w:eastAsia="宋体" w:cs="Times New Roman"/>
          <w:b/>
          <w:bCs w:val="0"/>
          <w:color w:val="auto"/>
          <w:sz w:val="24"/>
          <w:szCs w:val="24"/>
        </w:rPr>
        <w:instrText xml:space="preserve"> PAGEREF _Toc11300 \h </w:instrText>
      </w:r>
      <w:r>
        <w:rPr>
          <w:rFonts w:hint="default" w:ascii="Times New Roman" w:hAnsi="Times New Roman" w:eastAsia="宋体" w:cs="Times New Roman"/>
          <w:b/>
          <w:bCs w:val="0"/>
          <w:color w:val="auto"/>
          <w:sz w:val="24"/>
          <w:szCs w:val="24"/>
        </w:rPr>
        <w:fldChar w:fldCharType="separate"/>
      </w:r>
      <w:r>
        <w:rPr>
          <w:rFonts w:hint="default" w:ascii="Times New Roman" w:hAnsi="Times New Roman" w:eastAsia="宋体" w:cs="Times New Roman"/>
          <w:b/>
          <w:bCs w:val="0"/>
          <w:color w:val="auto"/>
          <w:sz w:val="24"/>
          <w:szCs w:val="24"/>
        </w:rPr>
        <w:t>41</w:t>
      </w:r>
      <w:r>
        <w:rPr>
          <w:rFonts w:hint="default" w:ascii="Times New Roman" w:hAnsi="Times New Roman" w:eastAsia="宋体" w:cs="Times New Roman"/>
          <w:b/>
          <w:bCs w:val="0"/>
          <w:color w:val="auto"/>
          <w:sz w:val="24"/>
          <w:szCs w:val="24"/>
        </w:rPr>
        <w:fldChar w:fldCharType="end"/>
      </w:r>
    </w:p>
    <w:p w14:paraId="0FA0BB4A">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4.1 改进总体思路与总体方案设计</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_Toc26227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41</w:t>
      </w:r>
      <w:r>
        <w:rPr>
          <w:rFonts w:hint="default" w:ascii="Times New Roman" w:hAnsi="Times New Roman" w:eastAsia="宋体" w:cs="Times New Roman"/>
          <w:sz w:val="24"/>
          <w:szCs w:val="24"/>
        </w:rPr>
        <w:fldChar w:fldCharType="end"/>
      </w:r>
    </w:p>
    <w:p w14:paraId="12128898">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4.2 针对主要问题的改进方案</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_Toc22275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42</w:t>
      </w:r>
      <w:r>
        <w:rPr>
          <w:rFonts w:hint="default" w:ascii="Times New Roman" w:hAnsi="Times New Roman" w:eastAsia="宋体" w:cs="Times New Roman"/>
          <w:sz w:val="24"/>
          <w:szCs w:val="24"/>
        </w:rPr>
        <w:fldChar w:fldCharType="end"/>
      </w:r>
    </w:p>
    <w:p w14:paraId="7D9F4E1C">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4.2.1 需求管理混乱与变更频繁问题的改进方案</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_Toc8527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42</w:t>
      </w:r>
      <w:r>
        <w:rPr>
          <w:rFonts w:hint="default" w:ascii="Times New Roman" w:hAnsi="Times New Roman" w:eastAsia="宋体" w:cs="Times New Roman"/>
          <w:sz w:val="24"/>
          <w:szCs w:val="24"/>
        </w:rPr>
        <w:fldChar w:fldCharType="end"/>
      </w:r>
    </w:p>
    <w:p w14:paraId="1D913B22">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4.2.2 开发过程标准不统一与协同效率低问题的改进方案</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_Toc16165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42</w:t>
      </w:r>
      <w:r>
        <w:rPr>
          <w:rFonts w:hint="default" w:ascii="Times New Roman" w:hAnsi="Times New Roman" w:eastAsia="宋体" w:cs="Times New Roman"/>
          <w:sz w:val="24"/>
          <w:szCs w:val="24"/>
        </w:rPr>
        <w:fldChar w:fldCharType="end"/>
      </w:r>
    </w:p>
    <w:p w14:paraId="463C7167">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4.2.3 测试滞后与质量保障薄弱问题的改进方案</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_Toc15714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44</w:t>
      </w:r>
      <w:r>
        <w:rPr>
          <w:rFonts w:hint="default" w:ascii="Times New Roman" w:hAnsi="Times New Roman" w:eastAsia="宋体" w:cs="Times New Roman"/>
          <w:sz w:val="24"/>
          <w:szCs w:val="24"/>
        </w:rPr>
        <w:fldChar w:fldCharType="end"/>
      </w:r>
    </w:p>
    <w:p w14:paraId="5E386254">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4.2.4 发布流程手工化与交付风险高问题的改进方案</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_Toc4509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46</w:t>
      </w:r>
      <w:r>
        <w:rPr>
          <w:rFonts w:hint="default" w:ascii="Times New Roman" w:hAnsi="Times New Roman" w:eastAsia="宋体" w:cs="Times New Roman"/>
          <w:sz w:val="24"/>
          <w:szCs w:val="24"/>
        </w:rPr>
        <w:fldChar w:fldCharType="end"/>
      </w:r>
    </w:p>
    <w:p w14:paraId="369687A8">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4.2.5 缺乏过程度量与持续改进机制问题的改进方案</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_Toc25993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47</w:t>
      </w:r>
      <w:r>
        <w:rPr>
          <w:rFonts w:hint="default" w:ascii="Times New Roman" w:hAnsi="Times New Roman" w:eastAsia="宋体" w:cs="Times New Roman"/>
          <w:sz w:val="24"/>
          <w:szCs w:val="24"/>
        </w:rPr>
        <w:fldChar w:fldCharType="end"/>
      </w:r>
    </w:p>
    <w:p w14:paraId="6FF2242B">
      <w:pPr>
        <w:pStyle w:val="17"/>
        <w:keepNext w:val="0"/>
        <w:keepLines w:val="0"/>
        <w:pageBreakBefore w:val="0"/>
        <w:widowControl w:val="0"/>
        <w:tabs>
          <w:tab w:val="right" w:leader="dot" w:pos="9072"/>
          <w:tab w:val="clear" w:pos="9061"/>
        </w:tabs>
        <w:kinsoku/>
        <w:wordWrap/>
        <w:overflowPunct/>
        <w:topLinePunct w:val="0"/>
        <w:autoSpaceDE/>
        <w:autoSpaceDN/>
        <w:bidi w:val="0"/>
        <w:adjustRightInd/>
        <w:snapToGrid/>
        <w:spacing w:before="120" w:after="120"/>
        <w:textAlignment w:val="auto"/>
        <w:rPr>
          <w:rFonts w:hint="default" w:ascii="Times New Roman" w:hAnsi="Times New Roman" w:eastAsia="宋体" w:cs="Times New Roman"/>
          <w:b/>
          <w:bCs w:val="0"/>
          <w:color w:val="auto"/>
          <w:sz w:val="24"/>
          <w:szCs w:val="24"/>
        </w:rPr>
      </w:pPr>
      <w:r>
        <w:rPr>
          <w:rFonts w:hint="default" w:ascii="Times New Roman" w:hAnsi="Times New Roman" w:eastAsia="宋体" w:cs="Times New Roman"/>
          <w:b/>
          <w:bCs w:val="0"/>
          <w:color w:val="auto"/>
          <w:sz w:val="24"/>
          <w:szCs w:val="24"/>
        </w:rPr>
        <w:t>第5章 H公司软件开发过程改进方案的实施保障与预期效果</w:t>
      </w:r>
      <w:r>
        <w:rPr>
          <w:rFonts w:hint="default" w:ascii="Times New Roman" w:hAnsi="Times New Roman" w:eastAsia="宋体" w:cs="Times New Roman"/>
          <w:b/>
          <w:bCs w:val="0"/>
          <w:color w:val="auto"/>
          <w:sz w:val="24"/>
          <w:szCs w:val="24"/>
        </w:rPr>
        <w:tab/>
      </w:r>
      <w:r>
        <w:rPr>
          <w:rFonts w:hint="default" w:ascii="Times New Roman" w:hAnsi="Times New Roman" w:eastAsia="宋体" w:cs="Times New Roman"/>
          <w:b/>
          <w:bCs w:val="0"/>
          <w:color w:val="auto"/>
          <w:sz w:val="24"/>
          <w:szCs w:val="24"/>
        </w:rPr>
        <w:fldChar w:fldCharType="begin"/>
      </w:r>
      <w:r>
        <w:rPr>
          <w:rFonts w:hint="default" w:ascii="Times New Roman" w:hAnsi="Times New Roman" w:eastAsia="宋体" w:cs="Times New Roman"/>
          <w:b/>
          <w:bCs w:val="0"/>
          <w:color w:val="auto"/>
          <w:sz w:val="24"/>
          <w:szCs w:val="24"/>
        </w:rPr>
        <w:instrText xml:space="preserve"> PAGEREF _Toc32666 \h </w:instrText>
      </w:r>
      <w:r>
        <w:rPr>
          <w:rFonts w:hint="default" w:ascii="Times New Roman" w:hAnsi="Times New Roman" w:eastAsia="宋体" w:cs="Times New Roman"/>
          <w:b/>
          <w:bCs w:val="0"/>
          <w:color w:val="auto"/>
          <w:sz w:val="24"/>
          <w:szCs w:val="24"/>
        </w:rPr>
        <w:fldChar w:fldCharType="separate"/>
      </w:r>
      <w:r>
        <w:rPr>
          <w:rFonts w:hint="default" w:ascii="Times New Roman" w:hAnsi="Times New Roman" w:eastAsia="宋体" w:cs="Times New Roman"/>
          <w:b/>
          <w:bCs w:val="0"/>
          <w:color w:val="auto"/>
          <w:sz w:val="24"/>
          <w:szCs w:val="24"/>
        </w:rPr>
        <w:t>49</w:t>
      </w:r>
      <w:r>
        <w:rPr>
          <w:rFonts w:hint="default" w:ascii="Times New Roman" w:hAnsi="Times New Roman" w:eastAsia="宋体" w:cs="Times New Roman"/>
          <w:b/>
          <w:bCs w:val="0"/>
          <w:color w:val="auto"/>
          <w:sz w:val="24"/>
          <w:szCs w:val="24"/>
        </w:rPr>
        <w:fldChar w:fldCharType="end"/>
      </w:r>
    </w:p>
    <w:p w14:paraId="7E183E3C">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5.1 实施路径与组织分工</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_Toc6359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49</w:t>
      </w:r>
      <w:r>
        <w:rPr>
          <w:rFonts w:hint="default" w:ascii="Times New Roman" w:hAnsi="Times New Roman" w:eastAsia="宋体" w:cs="Times New Roman"/>
          <w:sz w:val="24"/>
          <w:szCs w:val="24"/>
        </w:rPr>
        <w:fldChar w:fldCharType="end"/>
      </w:r>
    </w:p>
    <w:p w14:paraId="2CE3926D">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5.1.1 实施目标与总体原则</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_Toc23555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49</w:t>
      </w:r>
      <w:r>
        <w:rPr>
          <w:rFonts w:hint="default" w:ascii="Times New Roman" w:hAnsi="Times New Roman" w:eastAsia="宋体" w:cs="Times New Roman"/>
          <w:sz w:val="24"/>
          <w:szCs w:val="24"/>
        </w:rPr>
        <w:fldChar w:fldCharType="end"/>
      </w:r>
    </w:p>
    <w:p w14:paraId="01B5774C">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5.1.2 组织结构与职责划分</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_Toc22089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50</w:t>
      </w:r>
      <w:r>
        <w:rPr>
          <w:rFonts w:hint="default" w:ascii="Times New Roman" w:hAnsi="Times New Roman" w:eastAsia="宋体" w:cs="Times New Roman"/>
          <w:sz w:val="24"/>
          <w:szCs w:val="24"/>
        </w:rPr>
        <w:fldChar w:fldCharType="end"/>
      </w:r>
    </w:p>
    <w:p w14:paraId="3E0AC5C3">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5.1.3 实施阶段与里程碑规划</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_Toc2756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51</w:t>
      </w:r>
      <w:r>
        <w:rPr>
          <w:rFonts w:hint="default" w:ascii="Times New Roman" w:hAnsi="Times New Roman" w:eastAsia="宋体" w:cs="Times New Roman"/>
          <w:sz w:val="24"/>
          <w:szCs w:val="24"/>
        </w:rPr>
        <w:fldChar w:fldCharType="end"/>
      </w:r>
    </w:p>
    <w:p w14:paraId="68246837">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5.2 保障机制设计</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_Toc30557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53</w:t>
      </w:r>
      <w:r>
        <w:rPr>
          <w:rFonts w:hint="default" w:ascii="Times New Roman" w:hAnsi="Times New Roman" w:eastAsia="宋体" w:cs="Times New Roman"/>
          <w:sz w:val="24"/>
          <w:szCs w:val="24"/>
        </w:rPr>
        <w:fldChar w:fldCharType="end"/>
      </w:r>
    </w:p>
    <w:p w14:paraId="2C35E68D">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5.2.1 制度固化与流程标准化</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_Toc30625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53</w:t>
      </w:r>
      <w:r>
        <w:rPr>
          <w:rFonts w:hint="default" w:ascii="Times New Roman" w:hAnsi="Times New Roman" w:eastAsia="宋体" w:cs="Times New Roman"/>
          <w:sz w:val="24"/>
          <w:szCs w:val="24"/>
        </w:rPr>
        <w:fldChar w:fldCharType="end"/>
      </w:r>
    </w:p>
    <w:p w14:paraId="001CE3C2">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5.2.2 资源配置与技术支撑</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_Toc14362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54</w:t>
      </w:r>
      <w:r>
        <w:rPr>
          <w:rFonts w:hint="default" w:ascii="Times New Roman" w:hAnsi="Times New Roman" w:eastAsia="宋体" w:cs="Times New Roman"/>
          <w:sz w:val="24"/>
          <w:szCs w:val="24"/>
        </w:rPr>
        <w:fldChar w:fldCharType="end"/>
      </w:r>
    </w:p>
    <w:p w14:paraId="1C650861">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5.2.3 组织协同与文化驱动</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_Toc14479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56</w:t>
      </w:r>
      <w:r>
        <w:rPr>
          <w:rFonts w:hint="default" w:ascii="Times New Roman" w:hAnsi="Times New Roman" w:eastAsia="宋体" w:cs="Times New Roman"/>
          <w:sz w:val="24"/>
          <w:szCs w:val="24"/>
        </w:rPr>
        <w:fldChar w:fldCharType="end"/>
      </w:r>
    </w:p>
    <w:p w14:paraId="4E341F4A">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5.2.4 风险识别与应对策略</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_Toc8322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57</w:t>
      </w:r>
      <w:r>
        <w:rPr>
          <w:rFonts w:hint="default" w:ascii="Times New Roman" w:hAnsi="Times New Roman" w:eastAsia="宋体" w:cs="Times New Roman"/>
          <w:sz w:val="24"/>
          <w:szCs w:val="24"/>
        </w:rPr>
        <w:fldChar w:fldCharType="end"/>
      </w:r>
    </w:p>
    <w:p w14:paraId="3A4C9DAC">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5.3 效果评估与持续改进机制</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_Toc24544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58</w:t>
      </w:r>
      <w:r>
        <w:rPr>
          <w:rFonts w:hint="default" w:ascii="Times New Roman" w:hAnsi="Times New Roman" w:eastAsia="宋体" w:cs="Times New Roman"/>
          <w:sz w:val="24"/>
          <w:szCs w:val="24"/>
        </w:rPr>
        <w:fldChar w:fldCharType="end"/>
      </w:r>
    </w:p>
    <w:p w14:paraId="48D38568">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5.3.1 关键过程绩效指标体系</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_Toc25236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58</w:t>
      </w:r>
      <w:r>
        <w:rPr>
          <w:rFonts w:hint="default" w:ascii="Times New Roman" w:hAnsi="Times New Roman" w:eastAsia="宋体" w:cs="Times New Roman"/>
          <w:sz w:val="24"/>
          <w:szCs w:val="24"/>
        </w:rPr>
        <w:fldChar w:fldCharType="end"/>
      </w:r>
    </w:p>
    <w:p w14:paraId="2E74D748">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5.3.2 过程运行可视化与决策支持</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_Toc25796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60</w:t>
      </w:r>
      <w:r>
        <w:rPr>
          <w:rFonts w:hint="default" w:ascii="Times New Roman" w:hAnsi="Times New Roman" w:eastAsia="宋体" w:cs="Times New Roman"/>
          <w:sz w:val="24"/>
          <w:szCs w:val="24"/>
        </w:rPr>
        <w:fldChar w:fldCharType="end"/>
      </w:r>
    </w:p>
    <w:p w14:paraId="11590697">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5.3.3 持续改进闭环（PDCA与CAPA机制）</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_Toc6457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62</w:t>
      </w:r>
      <w:r>
        <w:rPr>
          <w:rFonts w:hint="default" w:ascii="Times New Roman" w:hAnsi="Times New Roman" w:eastAsia="宋体" w:cs="Times New Roman"/>
          <w:sz w:val="24"/>
          <w:szCs w:val="24"/>
        </w:rPr>
        <w:fldChar w:fldCharType="end"/>
      </w:r>
    </w:p>
    <w:p w14:paraId="160F3380">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5.3.4 实施效果与适用边界</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_Toc31990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63</w:t>
      </w:r>
      <w:r>
        <w:rPr>
          <w:rFonts w:hint="default" w:ascii="Times New Roman" w:hAnsi="Times New Roman" w:eastAsia="宋体" w:cs="Times New Roman"/>
          <w:sz w:val="24"/>
          <w:szCs w:val="24"/>
        </w:rPr>
        <w:fldChar w:fldCharType="end"/>
      </w:r>
    </w:p>
    <w:p w14:paraId="772F6B44">
      <w:pPr>
        <w:pStyle w:val="11"/>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sz w:val="24"/>
          <w:szCs w:val="24"/>
        </w:rPr>
        <w:t>5.3.5 项目应用与验证分析</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_Toc30685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65</w:t>
      </w:r>
      <w:r>
        <w:rPr>
          <w:rFonts w:hint="default" w:ascii="Times New Roman" w:hAnsi="Times New Roman" w:eastAsia="宋体" w:cs="Times New Roman"/>
          <w:sz w:val="24"/>
          <w:szCs w:val="24"/>
        </w:rPr>
        <w:fldChar w:fldCharType="end"/>
      </w:r>
    </w:p>
    <w:p w14:paraId="6927C025">
      <w:pPr>
        <w:pStyle w:val="17"/>
        <w:keepNext w:val="0"/>
        <w:keepLines w:val="0"/>
        <w:pageBreakBefore w:val="0"/>
        <w:widowControl w:val="0"/>
        <w:tabs>
          <w:tab w:val="right" w:leader="dot" w:pos="9072"/>
          <w:tab w:val="clear" w:pos="9061"/>
        </w:tabs>
        <w:kinsoku/>
        <w:wordWrap/>
        <w:overflowPunct/>
        <w:topLinePunct w:val="0"/>
        <w:autoSpaceDE/>
        <w:autoSpaceDN/>
        <w:bidi w:val="0"/>
        <w:adjustRightInd/>
        <w:snapToGrid/>
        <w:spacing w:before="120" w:after="120"/>
        <w:textAlignment w:val="auto"/>
        <w:rPr>
          <w:rFonts w:hint="default" w:ascii="Times New Roman" w:hAnsi="Times New Roman" w:eastAsia="宋体" w:cs="Times New Roman"/>
          <w:b/>
          <w:bCs w:val="0"/>
          <w:color w:val="auto"/>
          <w:sz w:val="24"/>
          <w:szCs w:val="24"/>
        </w:rPr>
      </w:pPr>
      <w:r>
        <w:rPr>
          <w:rFonts w:hint="default" w:ascii="Times New Roman" w:hAnsi="Times New Roman" w:eastAsia="宋体" w:cs="Times New Roman"/>
          <w:b/>
          <w:bCs w:val="0"/>
          <w:color w:val="auto"/>
          <w:sz w:val="24"/>
          <w:szCs w:val="24"/>
        </w:rPr>
        <w:t>第6章 研究结论与展望</w:t>
      </w:r>
      <w:r>
        <w:rPr>
          <w:rFonts w:hint="default" w:ascii="Times New Roman" w:hAnsi="Times New Roman" w:eastAsia="宋体" w:cs="Times New Roman"/>
          <w:b/>
          <w:bCs w:val="0"/>
          <w:color w:val="auto"/>
          <w:sz w:val="24"/>
          <w:szCs w:val="24"/>
        </w:rPr>
        <w:tab/>
      </w:r>
      <w:r>
        <w:rPr>
          <w:rFonts w:hint="default" w:ascii="Times New Roman" w:hAnsi="Times New Roman" w:eastAsia="宋体" w:cs="Times New Roman"/>
          <w:b/>
          <w:bCs w:val="0"/>
          <w:color w:val="auto"/>
          <w:sz w:val="24"/>
          <w:szCs w:val="24"/>
        </w:rPr>
        <w:fldChar w:fldCharType="begin"/>
      </w:r>
      <w:r>
        <w:rPr>
          <w:rFonts w:hint="default" w:ascii="Times New Roman" w:hAnsi="Times New Roman" w:eastAsia="宋体" w:cs="Times New Roman"/>
          <w:b/>
          <w:bCs w:val="0"/>
          <w:color w:val="auto"/>
          <w:sz w:val="24"/>
          <w:szCs w:val="24"/>
        </w:rPr>
        <w:instrText xml:space="preserve"> PAGEREF _Toc22656 \h </w:instrText>
      </w:r>
      <w:r>
        <w:rPr>
          <w:rFonts w:hint="default" w:ascii="Times New Roman" w:hAnsi="Times New Roman" w:eastAsia="宋体" w:cs="Times New Roman"/>
          <w:b/>
          <w:bCs w:val="0"/>
          <w:color w:val="auto"/>
          <w:sz w:val="24"/>
          <w:szCs w:val="24"/>
        </w:rPr>
        <w:fldChar w:fldCharType="separate"/>
      </w:r>
      <w:r>
        <w:rPr>
          <w:rFonts w:hint="default" w:ascii="Times New Roman" w:hAnsi="Times New Roman" w:eastAsia="宋体" w:cs="Times New Roman"/>
          <w:b/>
          <w:bCs w:val="0"/>
          <w:color w:val="auto"/>
          <w:sz w:val="24"/>
          <w:szCs w:val="24"/>
        </w:rPr>
        <w:t>69</w:t>
      </w:r>
      <w:r>
        <w:rPr>
          <w:rFonts w:hint="default" w:ascii="Times New Roman" w:hAnsi="Times New Roman" w:eastAsia="宋体" w:cs="Times New Roman"/>
          <w:b/>
          <w:bCs w:val="0"/>
          <w:color w:val="auto"/>
          <w:sz w:val="24"/>
          <w:szCs w:val="24"/>
        </w:rPr>
        <w:fldChar w:fldCharType="end"/>
      </w:r>
    </w:p>
    <w:p w14:paraId="7CE69950">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6.1 研究结论</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_Toc14206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69</w:t>
      </w:r>
      <w:r>
        <w:rPr>
          <w:rFonts w:hint="default" w:ascii="Times New Roman" w:hAnsi="Times New Roman" w:eastAsia="宋体" w:cs="Times New Roman"/>
          <w:sz w:val="24"/>
          <w:szCs w:val="24"/>
        </w:rPr>
        <w:fldChar w:fldCharType="end"/>
      </w:r>
    </w:p>
    <w:p w14:paraId="0D38DDB2">
      <w:pPr>
        <w:pStyle w:val="22"/>
        <w:keepNext w:val="0"/>
        <w:keepLines w:val="0"/>
        <w:pageBreakBefore w:val="0"/>
        <w:tabs>
          <w:tab w:val="right" w:leader="dot" w:pos="9072"/>
        </w:tabs>
        <w:kinsoku/>
        <w:wordWrap/>
        <w:overflowPunct/>
        <w:topLinePunct w:val="0"/>
        <w:autoSpaceDE/>
        <w:autoSpaceDN/>
        <w:bidi w:val="0"/>
        <w:adjustRightInd/>
        <w:snapToGrid/>
        <w:textAlignment w:val="auto"/>
        <w:rPr>
          <w:rFonts w:hint="default" w:ascii="Times New Roman" w:hAnsi="Times New Roman" w:eastAsia="宋体" w:cs="Times New Roman"/>
          <w:sz w:val="24"/>
          <w:szCs w:val="24"/>
        </w:rPr>
      </w:pPr>
      <w:r>
        <w:rPr>
          <w:rFonts w:hint="default" w:ascii="Times New Roman" w:hAnsi="Times New Roman" w:eastAsia="宋体" w:cs="Times New Roman"/>
          <w:bCs/>
          <w:color w:val="auto"/>
          <w:sz w:val="24"/>
          <w:szCs w:val="24"/>
        </w:rPr>
        <w:t>6.2 未来展望</w:t>
      </w:r>
      <w:r>
        <w:rPr>
          <w:rFonts w:hint="default" w:ascii="Times New Roman" w:hAnsi="Times New Roman" w:eastAsia="宋体" w:cs="Times New Roman"/>
          <w:sz w:val="24"/>
          <w:szCs w:val="24"/>
        </w:rPr>
        <w:tab/>
      </w:r>
      <w:r>
        <w:rPr>
          <w:rFonts w:hint="default" w:ascii="Times New Roman" w:hAnsi="Times New Roman" w:eastAsia="宋体" w:cs="Times New Roman"/>
          <w:sz w:val="24"/>
          <w:szCs w:val="24"/>
        </w:rPr>
        <w:fldChar w:fldCharType="begin"/>
      </w:r>
      <w:r>
        <w:rPr>
          <w:rFonts w:hint="default" w:ascii="Times New Roman" w:hAnsi="Times New Roman" w:eastAsia="宋体" w:cs="Times New Roman"/>
          <w:sz w:val="24"/>
          <w:szCs w:val="24"/>
        </w:rPr>
        <w:instrText xml:space="preserve"> PAGEREF _Toc30978 \h </w:instrText>
      </w:r>
      <w:r>
        <w:rPr>
          <w:rFonts w:hint="default" w:ascii="Times New Roman" w:hAnsi="Times New Roman" w:eastAsia="宋体" w:cs="Times New Roman"/>
          <w:sz w:val="24"/>
          <w:szCs w:val="24"/>
        </w:rPr>
        <w:fldChar w:fldCharType="separate"/>
      </w:r>
      <w:r>
        <w:rPr>
          <w:rFonts w:hint="default" w:ascii="Times New Roman" w:hAnsi="Times New Roman" w:eastAsia="宋体" w:cs="Times New Roman"/>
          <w:sz w:val="24"/>
          <w:szCs w:val="24"/>
        </w:rPr>
        <w:t>70</w:t>
      </w:r>
      <w:r>
        <w:rPr>
          <w:rFonts w:hint="default" w:ascii="Times New Roman" w:hAnsi="Times New Roman" w:eastAsia="宋体" w:cs="Times New Roman"/>
          <w:sz w:val="24"/>
          <w:szCs w:val="24"/>
        </w:rPr>
        <w:fldChar w:fldCharType="end"/>
      </w:r>
    </w:p>
    <w:p w14:paraId="20ECB00F">
      <w:pPr>
        <w:pStyle w:val="17"/>
        <w:keepNext w:val="0"/>
        <w:keepLines w:val="0"/>
        <w:pageBreakBefore w:val="0"/>
        <w:widowControl w:val="0"/>
        <w:tabs>
          <w:tab w:val="right" w:leader="dot" w:pos="9072"/>
          <w:tab w:val="clear" w:pos="9061"/>
        </w:tabs>
        <w:kinsoku/>
        <w:wordWrap/>
        <w:overflowPunct/>
        <w:topLinePunct w:val="0"/>
        <w:autoSpaceDE/>
        <w:autoSpaceDN/>
        <w:bidi w:val="0"/>
        <w:adjustRightInd/>
        <w:snapToGrid/>
        <w:spacing w:before="120" w:after="120"/>
        <w:textAlignment w:val="auto"/>
        <w:rPr>
          <w:rFonts w:hint="default" w:ascii="Times New Roman" w:hAnsi="Times New Roman" w:eastAsia="宋体" w:cs="Times New Roman"/>
          <w:b/>
          <w:bCs w:val="0"/>
          <w:color w:val="auto"/>
          <w:sz w:val="24"/>
          <w:szCs w:val="24"/>
        </w:rPr>
      </w:pPr>
      <w:r>
        <w:rPr>
          <w:rFonts w:hint="default" w:ascii="Times New Roman" w:hAnsi="Times New Roman" w:eastAsia="宋体" w:cs="Times New Roman"/>
          <w:b/>
          <w:bCs w:val="0"/>
          <w:color w:val="auto"/>
          <w:sz w:val="24"/>
          <w:szCs w:val="24"/>
        </w:rPr>
        <w:t>参考文献</w:t>
      </w:r>
      <w:r>
        <w:rPr>
          <w:rFonts w:hint="default" w:ascii="Times New Roman" w:hAnsi="Times New Roman" w:eastAsia="宋体" w:cs="Times New Roman"/>
          <w:b/>
          <w:bCs w:val="0"/>
          <w:color w:val="auto"/>
          <w:sz w:val="24"/>
          <w:szCs w:val="24"/>
        </w:rPr>
        <w:tab/>
      </w:r>
      <w:r>
        <w:rPr>
          <w:rFonts w:hint="default" w:ascii="Times New Roman" w:hAnsi="Times New Roman" w:eastAsia="宋体" w:cs="Times New Roman"/>
          <w:b/>
          <w:bCs w:val="0"/>
          <w:color w:val="auto"/>
          <w:sz w:val="24"/>
          <w:szCs w:val="24"/>
        </w:rPr>
        <w:fldChar w:fldCharType="begin"/>
      </w:r>
      <w:r>
        <w:rPr>
          <w:rFonts w:hint="default" w:ascii="Times New Roman" w:hAnsi="Times New Roman" w:eastAsia="宋体" w:cs="Times New Roman"/>
          <w:b/>
          <w:bCs w:val="0"/>
          <w:color w:val="auto"/>
          <w:sz w:val="24"/>
          <w:szCs w:val="24"/>
        </w:rPr>
        <w:instrText xml:space="preserve"> PAGEREF _Toc13680 \h </w:instrText>
      </w:r>
      <w:r>
        <w:rPr>
          <w:rFonts w:hint="default" w:ascii="Times New Roman" w:hAnsi="Times New Roman" w:eastAsia="宋体" w:cs="Times New Roman"/>
          <w:b/>
          <w:bCs w:val="0"/>
          <w:color w:val="auto"/>
          <w:sz w:val="24"/>
          <w:szCs w:val="24"/>
        </w:rPr>
        <w:fldChar w:fldCharType="separate"/>
      </w:r>
      <w:r>
        <w:rPr>
          <w:rFonts w:hint="default" w:ascii="Times New Roman" w:hAnsi="Times New Roman" w:eastAsia="宋体" w:cs="Times New Roman"/>
          <w:b/>
          <w:bCs w:val="0"/>
          <w:color w:val="auto"/>
          <w:sz w:val="24"/>
          <w:szCs w:val="24"/>
        </w:rPr>
        <w:t>73</w:t>
      </w:r>
      <w:r>
        <w:rPr>
          <w:rFonts w:hint="default" w:ascii="Times New Roman" w:hAnsi="Times New Roman" w:eastAsia="宋体" w:cs="Times New Roman"/>
          <w:b/>
          <w:bCs w:val="0"/>
          <w:color w:val="auto"/>
          <w:sz w:val="24"/>
          <w:szCs w:val="24"/>
        </w:rPr>
        <w:fldChar w:fldCharType="end"/>
      </w:r>
    </w:p>
    <w:p w14:paraId="06D33C81">
      <w:pPr>
        <w:pStyle w:val="17"/>
        <w:keepNext w:val="0"/>
        <w:keepLines w:val="0"/>
        <w:pageBreakBefore w:val="0"/>
        <w:widowControl w:val="0"/>
        <w:tabs>
          <w:tab w:val="right" w:leader="dot" w:pos="9072"/>
          <w:tab w:val="clear" w:pos="9061"/>
        </w:tabs>
        <w:kinsoku/>
        <w:wordWrap/>
        <w:overflowPunct/>
        <w:topLinePunct w:val="0"/>
        <w:autoSpaceDE/>
        <w:autoSpaceDN/>
        <w:bidi w:val="0"/>
        <w:adjustRightInd/>
        <w:snapToGrid/>
        <w:spacing w:before="120" w:after="120"/>
        <w:textAlignment w:val="auto"/>
        <w:rPr>
          <w:rFonts w:hint="default" w:ascii="Times New Roman" w:hAnsi="Times New Roman" w:eastAsia="宋体" w:cs="Times New Roman"/>
          <w:b/>
          <w:bCs w:val="0"/>
          <w:color w:val="auto"/>
          <w:sz w:val="24"/>
          <w:szCs w:val="24"/>
        </w:rPr>
      </w:pPr>
      <w:r>
        <w:rPr>
          <w:rFonts w:hint="default" w:ascii="Times New Roman" w:hAnsi="Times New Roman" w:eastAsia="宋体" w:cs="Times New Roman"/>
          <w:b/>
          <w:bCs w:val="0"/>
          <w:color w:val="auto"/>
          <w:sz w:val="24"/>
          <w:szCs w:val="24"/>
        </w:rPr>
        <w:t>致 谢</w:t>
      </w:r>
      <w:r>
        <w:rPr>
          <w:rFonts w:hint="default" w:ascii="Times New Roman" w:hAnsi="Times New Roman" w:eastAsia="宋体" w:cs="Times New Roman"/>
          <w:b/>
          <w:bCs w:val="0"/>
          <w:color w:val="auto"/>
          <w:sz w:val="24"/>
          <w:szCs w:val="24"/>
        </w:rPr>
        <w:tab/>
      </w:r>
      <w:r>
        <w:rPr>
          <w:rFonts w:hint="default" w:ascii="Times New Roman" w:hAnsi="Times New Roman" w:eastAsia="宋体" w:cs="Times New Roman"/>
          <w:b/>
          <w:bCs w:val="0"/>
          <w:color w:val="auto"/>
          <w:sz w:val="24"/>
          <w:szCs w:val="24"/>
        </w:rPr>
        <w:fldChar w:fldCharType="begin"/>
      </w:r>
      <w:r>
        <w:rPr>
          <w:rFonts w:hint="default" w:ascii="Times New Roman" w:hAnsi="Times New Roman" w:eastAsia="宋体" w:cs="Times New Roman"/>
          <w:b/>
          <w:bCs w:val="0"/>
          <w:color w:val="auto"/>
          <w:sz w:val="24"/>
          <w:szCs w:val="24"/>
        </w:rPr>
        <w:instrText xml:space="preserve"> PAGEREF _Toc26597 \h </w:instrText>
      </w:r>
      <w:r>
        <w:rPr>
          <w:rFonts w:hint="default" w:ascii="Times New Roman" w:hAnsi="Times New Roman" w:eastAsia="宋体" w:cs="Times New Roman"/>
          <w:b/>
          <w:bCs w:val="0"/>
          <w:color w:val="auto"/>
          <w:sz w:val="24"/>
          <w:szCs w:val="24"/>
        </w:rPr>
        <w:fldChar w:fldCharType="separate"/>
      </w:r>
      <w:r>
        <w:rPr>
          <w:rFonts w:hint="default" w:ascii="Times New Roman" w:hAnsi="Times New Roman" w:eastAsia="宋体" w:cs="Times New Roman"/>
          <w:b/>
          <w:bCs w:val="0"/>
          <w:color w:val="auto"/>
          <w:sz w:val="24"/>
          <w:szCs w:val="24"/>
        </w:rPr>
        <w:t>79</w:t>
      </w:r>
      <w:r>
        <w:rPr>
          <w:rFonts w:hint="default" w:ascii="Times New Roman" w:hAnsi="Times New Roman" w:eastAsia="宋体" w:cs="Times New Roman"/>
          <w:b/>
          <w:bCs w:val="0"/>
          <w:color w:val="auto"/>
          <w:sz w:val="24"/>
          <w:szCs w:val="24"/>
        </w:rPr>
        <w:fldChar w:fldCharType="end"/>
      </w:r>
    </w:p>
    <w:p w14:paraId="0819354B">
      <w:pPr>
        <w:keepNext w:val="0"/>
        <w:keepLines w:val="0"/>
        <w:pageBreakBefore w:val="0"/>
        <w:kinsoku/>
        <w:wordWrap/>
        <w:overflowPunct/>
        <w:topLinePunct w:val="0"/>
        <w:autoSpaceDE/>
        <w:autoSpaceDN/>
        <w:bidi w:val="0"/>
        <w:adjustRightInd/>
        <w:snapToGrid/>
        <w:spacing w:line="400" w:lineRule="exact"/>
        <w:ind w:firstLine="480"/>
        <w:textAlignment w:val="auto"/>
        <w:rPr>
          <w:rFonts w:hint="default" w:ascii="Times New Roman" w:hAnsi="Times New Roman" w:eastAsia="宋体" w:cs="Times New Roman"/>
          <w:color w:val="auto"/>
          <w:sz w:val="24"/>
          <w:szCs w:val="24"/>
        </w:rPr>
      </w:pPr>
      <w:r>
        <w:rPr>
          <w:rFonts w:hint="default" w:ascii="Times New Roman" w:hAnsi="Times New Roman" w:eastAsia="宋体" w:cs="Times New Roman"/>
          <w:caps/>
          <w:color w:val="auto"/>
          <w:kern w:val="2"/>
          <w:sz w:val="24"/>
          <w:szCs w:val="24"/>
        </w:rPr>
        <w:fldChar w:fldCharType="end"/>
      </w:r>
    </w:p>
    <w:p w14:paraId="266C01AB">
      <w:pPr>
        <w:keepNext w:val="0"/>
        <w:keepLines w:val="0"/>
        <w:pageBreakBefore w:val="0"/>
        <w:kinsoku/>
        <w:wordWrap/>
        <w:overflowPunct/>
        <w:topLinePunct w:val="0"/>
        <w:autoSpaceDE/>
        <w:autoSpaceDN/>
        <w:bidi w:val="0"/>
        <w:adjustRightInd/>
        <w:snapToGrid/>
        <w:spacing w:line="400" w:lineRule="exact"/>
        <w:ind w:firstLine="480"/>
        <w:textAlignment w:val="auto"/>
        <w:rPr>
          <w:rFonts w:hint="default" w:ascii="Times New Roman" w:hAnsi="Times New Roman" w:eastAsia="宋体" w:cs="Times New Roman"/>
          <w:color w:val="auto"/>
          <w:sz w:val="24"/>
          <w:szCs w:val="24"/>
        </w:rPr>
      </w:pPr>
    </w:p>
    <w:p w14:paraId="6E1D46DD">
      <w:pPr>
        <w:keepNext w:val="0"/>
        <w:keepLines w:val="0"/>
        <w:pageBreakBefore w:val="0"/>
        <w:kinsoku/>
        <w:wordWrap/>
        <w:overflowPunct/>
        <w:topLinePunct w:val="0"/>
        <w:autoSpaceDE/>
        <w:autoSpaceDN/>
        <w:bidi w:val="0"/>
        <w:adjustRightInd/>
        <w:snapToGrid/>
        <w:spacing w:line="400" w:lineRule="exact"/>
        <w:ind w:firstLine="480"/>
        <w:textAlignment w:val="auto"/>
        <w:rPr>
          <w:rFonts w:hint="default" w:ascii="Times New Roman" w:hAnsi="Times New Roman" w:eastAsia="宋体" w:cs="Times New Roman"/>
          <w:color w:val="auto"/>
          <w:sz w:val="24"/>
          <w:szCs w:val="24"/>
        </w:rPr>
      </w:pPr>
    </w:p>
    <w:p w14:paraId="3A127BE0">
      <w:pPr>
        <w:keepNext w:val="0"/>
        <w:keepLines w:val="0"/>
        <w:pageBreakBefore w:val="0"/>
        <w:kinsoku/>
        <w:wordWrap/>
        <w:overflowPunct/>
        <w:topLinePunct w:val="0"/>
        <w:autoSpaceDE/>
        <w:autoSpaceDN/>
        <w:bidi w:val="0"/>
        <w:adjustRightInd/>
        <w:snapToGrid/>
        <w:spacing w:line="400" w:lineRule="exact"/>
        <w:ind w:firstLine="480"/>
        <w:textAlignment w:val="auto"/>
        <w:rPr>
          <w:rFonts w:hint="default" w:ascii="Times New Roman" w:hAnsi="Times New Roman" w:eastAsia="宋体" w:cs="Times New Roman"/>
          <w:color w:val="auto"/>
          <w:sz w:val="24"/>
          <w:szCs w:val="24"/>
        </w:rPr>
      </w:pPr>
    </w:p>
    <w:p w14:paraId="63FF7C4B">
      <w:pPr>
        <w:keepNext w:val="0"/>
        <w:keepLines w:val="0"/>
        <w:pageBreakBefore w:val="0"/>
        <w:kinsoku/>
        <w:wordWrap/>
        <w:overflowPunct/>
        <w:topLinePunct w:val="0"/>
        <w:autoSpaceDE/>
        <w:autoSpaceDN/>
        <w:bidi w:val="0"/>
        <w:adjustRightInd/>
        <w:snapToGrid/>
        <w:spacing w:line="400" w:lineRule="exact"/>
        <w:ind w:firstLine="480"/>
        <w:textAlignment w:val="auto"/>
        <w:rPr>
          <w:rFonts w:hint="default" w:ascii="Times New Roman" w:hAnsi="Times New Roman" w:eastAsia="宋体" w:cs="Times New Roman"/>
          <w:color w:val="auto"/>
          <w:sz w:val="24"/>
          <w:szCs w:val="24"/>
        </w:rPr>
      </w:pPr>
    </w:p>
    <w:p w14:paraId="50439E97">
      <w:pPr>
        <w:spacing w:line="400" w:lineRule="exact"/>
        <w:ind w:firstLine="480"/>
        <w:rPr>
          <w:color w:val="auto"/>
        </w:rPr>
      </w:pPr>
    </w:p>
    <w:p w14:paraId="6800F169">
      <w:pPr>
        <w:spacing w:line="400" w:lineRule="exact"/>
        <w:ind w:firstLine="480"/>
        <w:rPr>
          <w:color w:val="auto"/>
        </w:rPr>
      </w:pPr>
    </w:p>
    <w:p w14:paraId="01D6C481">
      <w:pPr>
        <w:spacing w:line="400" w:lineRule="exact"/>
        <w:ind w:firstLine="480"/>
        <w:rPr>
          <w:color w:val="auto"/>
        </w:rPr>
      </w:pPr>
    </w:p>
    <w:p w14:paraId="6C0F9F6E">
      <w:pPr>
        <w:spacing w:line="400" w:lineRule="exact"/>
        <w:ind w:firstLine="480"/>
        <w:rPr>
          <w:color w:val="auto"/>
        </w:rPr>
      </w:pPr>
    </w:p>
    <w:p w14:paraId="31A4B384">
      <w:pPr>
        <w:spacing w:line="400" w:lineRule="exact"/>
        <w:ind w:firstLine="480"/>
        <w:rPr>
          <w:color w:val="auto"/>
        </w:rPr>
      </w:pPr>
    </w:p>
    <w:p w14:paraId="3BF35FDA">
      <w:pPr>
        <w:spacing w:line="400" w:lineRule="exact"/>
        <w:ind w:firstLine="480"/>
        <w:rPr>
          <w:color w:val="auto"/>
        </w:rPr>
      </w:pPr>
    </w:p>
    <w:p w14:paraId="0A5E7E6A">
      <w:pPr>
        <w:spacing w:line="400" w:lineRule="exact"/>
        <w:ind w:firstLine="480"/>
        <w:rPr>
          <w:color w:val="auto"/>
        </w:rPr>
      </w:pPr>
    </w:p>
    <w:p w14:paraId="6A0F4941">
      <w:pPr>
        <w:spacing w:line="400" w:lineRule="exact"/>
        <w:ind w:firstLine="480"/>
        <w:rPr>
          <w:color w:val="auto"/>
        </w:rPr>
      </w:pPr>
    </w:p>
    <w:p w14:paraId="77527691">
      <w:pPr>
        <w:spacing w:line="400" w:lineRule="exact"/>
        <w:ind w:firstLine="480"/>
        <w:rPr>
          <w:color w:val="auto"/>
        </w:rPr>
      </w:pPr>
    </w:p>
    <w:p w14:paraId="5A52692A">
      <w:pPr>
        <w:spacing w:line="400" w:lineRule="exact"/>
        <w:ind w:firstLine="480"/>
        <w:rPr>
          <w:color w:val="auto"/>
        </w:rPr>
      </w:pPr>
    </w:p>
    <w:p w14:paraId="6841E145">
      <w:pPr>
        <w:spacing w:line="400" w:lineRule="exact"/>
        <w:ind w:firstLine="480"/>
        <w:rPr>
          <w:color w:val="auto"/>
        </w:rPr>
      </w:pPr>
    </w:p>
    <w:p w14:paraId="48F08C97">
      <w:pPr>
        <w:spacing w:line="400" w:lineRule="exact"/>
        <w:ind w:firstLine="480"/>
        <w:rPr>
          <w:color w:val="auto"/>
        </w:rPr>
      </w:pPr>
    </w:p>
    <w:p w14:paraId="35F8039E">
      <w:pPr>
        <w:spacing w:line="400" w:lineRule="exact"/>
        <w:ind w:firstLine="480"/>
        <w:rPr>
          <w:color w:val="auto"/>
        </w:rPr>
      </w:pPr>
    </w:p>
    <w:p w14:paraId="22AC166E">
      <w:pPr>
        <w:spacing w:line="400" w:lineRule="exact"/>
        <w:ind w:firstLine="480"/>
        <w:rPr>
          <w:color w:val="auto"/>
        </w:rPr>
      </w:pPr>
    </w:p>
    <w:p w14:paraId="4125FD44">
      <w:pPr>
        <w:spacing w:line="400" w:lineRule="exact"/>
        <w:ind w:firstLine="480"/>
        <w:rPr>
          <w:color w:val="auto"/>
        </w:rPr>
      </w:pPr>
    </w:p>
    <w:p w14:paraId="5414FC82">
      <w:pPr>
        <w:spacing w:line="400" w:lineRule="exact"/>
        <w:ind w:firstLine="480"/>
        <w:rPr>
          <w:color w:val="auto"/>
        </w:rPr>
      </w:pPr>
    </w:p>
    <w:p w14:paraId="34D1F7ED">
      <w:pPr>
        <w:spacing w:line="400" w:lineRule="exact"/>
        <w:ind w:firstLine="480"/>
        <w:rPr>
          <w:color w:val="auto"/>
        </w:rPr>
      </w:pPr>
    </w:p>
    <w:p w14:paraId="44BB7692">
      <w:pPr>
        <w:spacing w:line="400" w:lineRule="exact"/>
        <w:ind w:firstLine="480"/>
        <w:rPr>
          <w:color w:val="auto"/>
        </w:rPr>
      </w:pPr>
    </w:p>
    <w:p w14:paraId="34F798D8">
      <w:pPr>
        <w:spacing w:line="400" w:lineRule="exact"/>
        <w:ind w:firstLine="480"/>
        <w:rPr>
          <w:color w:val="auto"/>
        </w:rPr>
      </w:pPr>
    </w:p>
    <w:p w14:paraId="3D1A135C">
      <w:pPr>
        <w:spacing w:line="400" w:lineRule="exact"/>
        <w:ind w:firstLine="480"/>
        <w:rPr>
          <w:color w:val="auto"/>
        </w:rPr>
      </w:pPr>
    </w:p>
    <w:p w14:paraId="04799C3D">
      <w:pPr>
        <w:spacing w:line="400" w:lineRule="exact"/>
        <w:ind w:firstLine="480"/>
        <w:rPr>
          <w:color w:val="auto"/>
        </w:rPr>
      </w:pPr>
    </w:p>
    <w:p w14:paraId="2A4D91D6">
      <w:pPr>
        <w:spacing w:line="400" w:lineRule="exact"/>
        <w:ind w:firstLine="480"/>
        <w:rPr>
          <w:color w:val="auto"/>
        </w:rPr>
      </w:pPr>
    </w:p>
    <w:p w14:paraId="75FADDD5">
      <w:pPr>
        <w:spacing w:line="400" w:lineRule="exact"/>
        <w:ind w:firstLine="480"/>
        <w:rPr>
          <w:color w:val="auto"/>
        </w:rPr>
      </w:pPr>
    </w:p>
    <w:p w14:paraId="1D37BE7F">
      <w:pPr>
        <w:spacing w:line="400" w:lineRule="exact"/>
        <w:ind w:firstLine="480"/>
        <w:rPr>
          <w:color w:val="auto"/>
        </w:rPr>
      </w:pPr>
    </w:p>
    <w:p w14:paraId="7321AB46">
      <w:pPr>
        <w:spacing w:line="400" w:lineRule="exact"/>
        <w:ind w:firstLine="480"/>
        <w:rPr>
          <w:color w:val="auto"/>
        </w:rPr>
      </w:pPr>
    </w:p>
    <w:p w14:paraId="58B2411F">
      <w:pPr>
        <w:spacing w:line="400" w:lineRule="exact"/>
        <w:ind w:firstLine="480"/>
        <w:rPr>
          <w:color w:val="auto"/>
        </w:rPr>
      </w:pPr>
    </w:p>
    <w:p w14:paraId="3FBF8A97">
      <w:pPr>
        <w:spacing w:line="400" w:lineRule="exact"/>
        <w:ind w:firstLine="480"/>
        <w:rPr>
          <w:color w:val="auto"/>
        </w:rPr>
      </w:pPr>
    </w:p>
    <w:p w14:paraId="6A5CAEEE">
      <w:pPr>
        <w:spacing w:line="400" w:lineRule="exact"/>
        <w:ind w:firstLine="480"/>
        <w:rPr>
          <w:color w:val="auto"/>
        </w:rPr>
      </w:pPr>
    </w:p>
    <w:p w14:paraId="6CB8716A">
      <w:pPr>
        <w:spacing w:line="400" w:lineRule="exact"/>
        <w:ind w:firstLine="480"/>
        <w:rPr>
          <w:color w:val="auto"/>
        </w:rPr>
      </w:pPr>
    </w:p>
    <w:p w14:paraId="4382501A">
      <w:pPr>
        <w:spacing w:line="400" w:lineRule="exact"/>
        <w:ind w:firstLine="480"/>
        <w:rPr>
          <w:color w:val="auto"/>
        </w:rPr>
      </w:pPr>
    </w:p>
    <w:p w14:paraId="59A0BF81">
      <w:pPr>
        <w:spacing w:line="400" w:lineRule="exact"/>
        <w:ind w:firstLine="480"/>
        <w:rPr>
          <w:color w:val="auto"/>
        </w:rPr>
        <w:sectPr>
          <w:pgSz w:w="11906" w:h="16838"/>
          <w:pgMar w:top="1440" w:right="1417" w:bottom="1440" w:left="1417" w:header="850" w:footer="992" w:gutter="0"/>
          <w:pgNumType w:fmt="upperRoman"/>
          <w:cols w:space="0" w:num="1"/>
          <w:docGrid w:type="lines" w:linePitch="312" w:charSpace="0"/>
        </w:sectPr>
      </w:pPr>
    </w:p>
    <w:p w14:paraId="2C8EC4A6">
      <w:pPr>
        <w:pStyle w:val="2"/>
        <w:spacing w:before="468" w:beforeLines="150" w:after="312" w:afterLines="100"/>
        <w:rPr>
          <w:bCs w:val="0"/>
          <w:color w:val="auto"/>
          <w:szCs w:val="20"/>
        </w:rPr>
      </w:pPr>
      <w:bookmarkStart w:id="33" w:name="_Toc522322362"/>
      <w:bookmarkStart w:id="34" w:name="_Toc522322490"/>
      <w:bookmarkStart w:id="35" w:name="_Toc4453"/>
      <w:bookmarkStart w:id="36" w:name="_Toc16392"/>
      <w:bookmarkStart w:id="37" w:name="_Toc8114"/>
      <w:bookmarkStart w:id="38" w:name="_Toc213190770"/>
      <w:bookmarkStart w:id="39" w:name="_Toc14252"/>
      <w:bookmarkStart w:id="40" w:name="_Toc498878239"/>
      <w:bookmarkStart w:id="41" w:name="_Toc498878076"/>
      <w:bookmarkStart w:id="42" w:name="_Toc213192478"/>
      <w:bookmarkStart w:id="43" w:name="_Toc498763714"/>
      <w:bookmarkStart w:id="44" w:name="_Toc22390"/>
      <w:bookmarkStart w:id="45" w:name="_Toc213192786"/>
      <w:bookmarkStart w:id="46" w:name="_Toc16913"/>
      <w:bookmarkStart w:id="47" w:name="_Toc17577"/>
      <w:r>
        <w:rPr>
          <w:rFonts w:hint="eastAsia"/>
          <w:bCs w:val="0"/>
          <w:color w:val="auto"/>
          <w:szCs w:val="20"/>
        </w:rPr>
        <w:t>第1章 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4ED04FED">
      <w:pPr>
        <w:pStyle w:val="3"/>
        <w:keepNext/>
        <w:widowControl/>
        <w:numPr>
          <w:ilvl w:val="1"/>
          <w:numId w:val="0"/>
        </w:numPr>
        <w:overflowPunct w:val="0"/>
        <w:adjustRightInd/>
        <w:snapToGrid/>
        <w:jc w:val="both"/>
        <w:rPr>
          <w:rFonts w:ascii="Times New Roman" w:hAnsi="Times New Roman"/>
          <w:color w:val="auto"/>
          <w:kern w:val="0"/>
          <w:szCs w:val="28"/>
          <w:lang w:val="zh-CN"/>
        </w:rPr>
      </w:pPr>
      <w:bookmarkStart w:id="48" w:name="_Toc213192479"/>
      <w:bookmarkStart w:id="49" w:name="_Toc213190771"/>
      <w:bookmarkStart w:id="50" w:name="_Toc213192787"/>
      <w:bookmarkStart w:id="51" w:name="_Toc1195"/>
      <w:r>
        <w:rPr>
          <w:rFonts w:hint="eastAsia" w:ascii="Times New Roman" w:hAnsi="Times New Roman"/>
          <w:color w:val="auto"/>
          <w:kern w:val="0"/>
          <w:szCs w:val="28"/>
          <w:lang w:val="zh-CN"/>
        </w:rPr>
        <w:t>1.1 研究背景与意义</w:t>
      </w:r>
      <w:bookmarkEnd w:id="48"/>
      <w:bookmarkEnd w:id="49"/>
      <w:bookmarkEnd w:id="50"/>
      <w:bookmarkEnd w:id="51"/>
    </w:p>
    <w:p w14:paraId="0B53B4A5">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52" w:name="_Toc213190772"/>
      <w:bookmarkStart w:id="53" w:name="_Toc213192480"/>
      <w:bookmarkStart w:id="54" w:name="_Toc213192788"/>
      <w:bookmarkStart w:id="55" w:name="_Toc17168"/>
      <w:r>
        <w:rPr>
          <w:rFonts w:hint="eastAsia" w:ascii="Times New Roman" w:hAnsi="Times New Roman" w:eastAsia="黑体" w:cs="Times New Roman"/>
          <w:bCs/>
          <w:sz w:val="24"/>
          <w:szCs w:val="24"/>
        </w:rPr>
        <w:t>1.1.1 研究背景</w:t>
      </w:r>
      <w:bookmarkEnd w:id="52"/>
      <w:bookmarkEnd w:id="53"/>
      <w:bookmarkEnd w:id="54"/>
      <w:bookmarkEnd w:id="55"/>
    </w:p>
    <w:p w14:paraId="634361D0">
      <w:pPr>
        <w:pStyle w:val="57"/>
        <w:ind w:firstLine="480"/>
        <w:jc w:val="both"/>
        <w:rPr>
          <w:color w:val="auto"/>
        </w:rPr>
      </w:pPr>
      <w:r>
        <w:rPr>
          <w:color w:val="auto"/>
        </w:rPr>
        <w:t>近年来，金融科技（FinTech）已成为推动全球金融业数字化转型的重要力量</w:t>
      </w:r>
      <w:r>
        <w:rPr>
          <w:color w:val="auto"/>
        </w:rPr>
        <w:fldChar w:fldCharType="begin"/>
      </w:r>
      <w:r>
        <w:rPr>
          <w:color w:val="auto"/>
        </w:rPr>
        <w:instrText xml:space="preserve"> ADDIN ZOTERO_ITEM CSL_CITATION {"citationID":"IHUqXoOB","properties":{"formattedCitation":"\\super [1]\\nosupersub{}","plainCitation":"[1]","noteIndex":0},"citationItems":[{"id":189,"uris":["http://zotero.org/users/18743979/items/QRDGYST9"],"itemData":{"</w:instrText>
      </w:r>
      <w:r>
        <w:rPr>
          <w:rFonts w:hint="eastAsia"/>
          <w:color w:val="auto"/>
        </w:rPr>
        <w:instrText xml:space="preserve">id":189,"type":"article-journal","container-title":"财经科学","issue":"02","journalAbbreviation":"财经科学","page":"17-32","title":"金融科技与企业数字化转型——基于企业生命周期视角","author":[{"literal":"唐松"},{"literal":"苏雪莎"},{"literal":"赵丹妮"}],"issued":{"date-parts":[["2022"]]},"citat</w:instrText>
      </w:r>
      <w:r>
        <w:rPr>
          <w:color w:val="auto"/>
        </w:rPr>
        <w:instrText xml:space="preserve">ion-key":"TangSongJinRongKeJiYuQiYeShuZiHuaZhuanXingJiYuQiYeShengMingZhouQiShiJiao2022"}}],"schema":"https://github.com/citation-style-language/schema/raw/master/csl-citation.json"} </w:instrText>
      </w:r>
      <w:r>
        <w:rPr>
          <w:color w:val="auto"/>
        </w:rPr>
        <w:fldChar w:fldCharType="separate"/>
      </w:r>
      <w:r>
        <w:rPr>
          <w:rFonts w:cs="Times New Roman"/>
          <w:color w:val="auto"/>
          <w:vertAlign w:val="superscript"/>
        </w:rPr>
        <w:t>[1]</w:t>
      </w:r>
      <w:r>
        <w:rPr>
          <w:color w:val="auto"/>
        </w:rPr>
        <w:fldChar w:fldCharType="end"/>
      </w:r>
      <w:r>
        <w:rPr>
          <w:color w:val="auto"/>
        </w:rPr>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Pr>
          <w:color w:val="auto"/>
        </w:rPr>
        <w:fldChar w:fldCharType="begin"/>
      </w:r>
      <w:r>
        <w:rPr>
          <w:color w:val="auto"/>
        </w:rPr>
        <w:instrText xml:space="preserve"> ADDIN ZOTERO_ITEM CSL_CITATION {"citationID":"N5PnFDXz","properties":{"formattedCitation":"\\super [2]\\nosupersub{}","plainCitation":"[2]","noteIndex":0},"citationItems":[{"id":191,"uris":["http://zotero.org/users/18743979/items/AG7HHZXZ"],"itemData":{"id":191,"type":"article-journal","container-title":"Modern Economics &amp; Management Forum","DOI":"10.32629/MEMF.V6I2.3952","journalAbbreviation":"Modern Economics &amp; Management Forum","page":"10","title":"The Development and Challenges of Bank Intelligent Customer Service Systems Driven by Financial Technology","author":[{"literal":"Guo Y"},{"literal":"Li H"},{"literal":"Zhang H"},{"literal":"et al"}],"issued":{"date-parts":[["2025"]]},"citation-key":"guoyDevelopmentChallengesBank2025"}}],"schema":"https://github.com/citation-style-language/schema/raw/master/csl-citation.json"} </w:instrText>
      </w:r>
      <w:r>
        <w:rPr>
          <w:color w:val="auto"/>
        </w:rPr>
        <w:fldChar w:fldCharType="separate"/>
      </w:r>
      <w:r>
        <w:rPr>
          <w:rFonts w:cs="Times New Roman"/>
          <w:color w:val="auto"/>
          <w:vertAlign w:val="superscript"/>
        </w:rPr>
        <w:t>[2]</w:t>
      </w:r>
      <w:r>
        <w:rPr>
          <w:color w:val="auto"/>
        </w:rPr>
        <w:fldChar w:fldCharType="end"/>
      </w:r>
      <w:r>
        <w:rPr>
          <w:color w:val="auto"/>
        </w:rPr>
        <w:t>。</w:t>
      </w:r>
    </w:p>
    <w:p w14:paraId="0A62AFF0">
      <w:pPr>
        <w:pStyle w:val="57"/>
        <w:ind w:firstLine="480"/>
        <w:jc w:val="both"/>
        <w:rPr>
          <w:color w:val="auto"/>
        </w:rPr>
      </w:pPr>
      <w:r>
        <w:rPr>
          <w:rFonts w:eastAsiaTheme="minorEastAsia"/>
          <w:color w:val="auto"/>
        </w:rPr>
        <w:t>（</w:t>
      </w:r>
      <w:r>
        <w:rPr>
          <w:color w:val="auto"/>
        </w:rPr>
        <w:t>1）金融科技行业的软件研发特征与挑战</w:t>
      </w:r>
    </w:p>
    <w:p w14:paraId="5FAA5136">
      <w:pPr>
        <w:pStyle w:val="57"/>
        <w:ind w:firstLine="480"/>
        <w:jc w:val="both"/>
        <w:rPr>
          <w:color w:val="auto"/>
        </w:rPr>
      </w:pPr>
      <w:r>
        <w:rPr>
          <w:color w:val="auto"/>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Pr>
          <w:color w:val="auto"/>
        </w:rPr>
        <w:fldChar w:fldCharType="begin"/>
      </w:r>
      <w:r>
        <w:rPr>
          <w:color w:val="auto"/>
        </w:rPr>
        <w:instrText xml:space="preserve"> ADDIN ZOTERO_ITEM CSL_CITATION {"citationID":"Natgqq97","properties":{"formattedCitation":"\\super [3]\\nosupersub{}","plainCitation":"[3]","noteIndex":0},"citationItems":[{"id":193,"uris":["http://zotero.org/users/18743979/items/VHHGIMGY"],"itemData":{"</w:instrText>
      </w:r>
      <w:r>
        <w:rPr>
          <w:rFonts w:hint="eastAsia"/>
          <w:color w:val="auto"/>
        </w:rPr>
        <w:instrText xml:space="preserve">id":193,"type":"article-journal","container-title":"技术经济与管理研究","issue":"09","journalAbbreviation":"技术经济与管理研究","page":"63-69","title":"FinTech背景下的金融监管变革——基于监管科技的分析维度","author":[{"literal":"范云朋"},{"literal":"尹振涛"}],"issued":{"date-parts":[["2020"]]},"citati</w:instrText>
      </w:r>
      <w:r>
        <w:rPr>
          <w:color w:val="auto"/>
        </w:rPr>
        <w:instrText xml:space="preserve">on-key":"FanYunPengFinTechBeiJingXiaDeJinRongJianGuanBianGeJiYuJianGuanKeJiDeFenXiWeiDu2020"}}],"schema":"https://github.com/citation-style-language/schema/raw/master/csl-citation.json"} </w:instrText>
      </w:r>
      <w:r>
        <w:rPr>
          <w:color w:val="auto"/>
        </w:rPr>
        <w:fldChar w:fldCharType="separate"/>
      </w:r>
      <w:r>
        <w:rPr>
          <w:rFonts w:cs="Times New Roman"/>
          <w:color w:val="auto"/>
          <w:vertAlign w:val="superscript"/>
        </w:rPr>
        <w:t>[3]</w:t>
      </w:r>
      <w:r>
        <w:rPr>
          <w:color w:val="auto"/>
        </w:rPr>
        <w:fldChar w:fldCharType="end"/>
      </w:r>
      <w:r>
        <w:rPr>
          <w:color w:val="auto"/>
        </w:rPr>
        <w:t>。</w:t>
      </w:r>
    </w:p>
    <w:p w14:paraId="3AC93DA2">
      <w:pPr>
        <w:pStyle w:val="57"/>
        <w:ind w:firstLine="480"/>
        <w:jc w:val="both"/>
        <w:rPr>
          <w:color w:val="auto"/>
        </w:rPr>
      </w:pPr>
      <w:r>
        <w:rPr>
          <w:color w:val="auto"/>
        </w:rPr>
        <w:t>（2）传统软件过程模式的局限与方法演进</w:t>
      </w:r>
    </w:p>
    <w:p w14:paraId="24E378B4">
      <w:pPr>
        <w:pStyle w:val="57"/>
        <w:ind w:firstLine="480"/>
        <w:jc w:val="both"/>
        <w:rPr>
          <w:color w:val="auto"/>
        </w:rPr>
      </w:pPr>
      <w:r>
        <w:rPr>
          <w:color w:val="auto"/>
        </w:rPr>
        <w:t>传统的软件工程体系以过程规范化为核心（如CMMI），在质量与合规性方面具备优势，但在应对快速变化的业务需求时往往缺乏灵活性。相对而言，DevOps体系强调持续交付与自动化协作，能够提升开发效率，却易弱化安全与审计环节。金融科技企业普遍处于两种模式并行但衔接不足的状态，造成效率与稳定性难以兼顾。近年来，融合安全与合规理念的DevSecOps模式逐渐兴起，通过将安全检测与治理前移、强化价值流度量，为高合规行业的软件过程改进提供了新的理论方向</w:t>
      </w:r>
      <w:r>
        <w:rPr>
          <w:color w:val="auto"/>
        </w:rPr>
        <w:fldChar w:fldCharType="begin"/>
      </w:r>
      <w:r>
        <w:rPr>
          <w:color w:val="auto"/>
        </w:rPr>
        <w:instrText xml:space="preserve"> ADDIN ZOTERO_ITEM CSL_CITATION {"citationID":"Jpf2A4XY","properties":{"formattedCitation":"\\super [4]\\nosupersub{}","plainCitation":"[4]","noteIndex":0},"citationItems":[{"id":195,"uris":["http://zotero.org/users/18743979/items/NMNGLR43"],"itemData":{"id":195,"type":"article-journal","container-title":"Applied Sciences","DOI":"10.3390/APP15158163","issue":"15","journalAbbreviation":"Applied Sciences","page":"8163-8163","title":"Enhancing Secure Software Development with AZTRM-D: An AI-Integrated Approach Combining DevSecOps,Risk Management,and Zero Trust","volume":"15","author":[{"literal":"Coston I"},{"literal":"Hezel D K"},{"literal":"Plotnizky E"},{"literal":"et al"}],"issued":{"date-parts":[["2025"]]},"citation-key":"costoniEnhancingSecureSoftware2025"}}],"schema":"https://github.com/citation-style-language/schema/raw/master/csl-citation.json"} </w:instrText>
      </w:r>
      <w:r>
        <w:rPr>
          <w:color w:val="auto"/>
        </w:rPr>
        <w:fldChar w:fldCharType="separate"/>
      </w:r>
      <w:r>
        <w:rPr>
          <w:rFonts w:cs="Times New Roman"/>
          <w:color w:val="auto"/>
          <w:vertAlign w:val="superscript"/>
        </w:rPr>
        <w:t>[4]</w:t>
      </w:r>
      <w:r>
        <w:rPr>
          <w:color w:val="auto"/>
        </w:rPr>
        <w:fldChar w:fldCharType="end"/>
      </w:r>
      <w:r>
        <w:rPr>
          <w:color w:val="auto"/>
        </w:rPr>
        <w:t>。</w:t>
      </w:r>
    </w:p>
    <w:p w14:paraId="5F6BE78C">
      <w:pPr>
        <w:pStyle w:val="57"/>
        <w:ind w:firstLine="480"/>
        <w:jc w:val="both"/>
        <w:rPr>
          <w:color w:val="auto"/>
        </w:rPr>
      </w:pPr>
      <w:r>
        <w:rPr>
          <w:color w:val="auto"/>
        </w:rPr>
        <w:t>（3）H公司软件开发过程的现实困境</w:t>
      </w:r>
    </w:p>
    <w:p w14:paraId="598665E1">
      <w:pPr>
        <w:pStyle w:val="57"/>
        <w:ind w:firstLine="480"/>
        <w:jc w:val="both"/>
        <w:rPr>
          <w:color w:val="auto"/>
        </w:rPr>
      </w:pPr>
      <w:r>
        <w:rPr>
          <w:color w:val="auto"/>
        </w:rPr>
        <w:t>H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14:paraId="6E6D10ED">
      <w:pPr>
        <w:pStyle w:val="57"/>
        <w:ind w:firstLine="480"/>
        <w:jc w:val="both"/>
        <w:rPr>
          <w:color w:val="auto"/>
        </w:rPr>
      </w:pPr>
      <w:r>
        <w:rPr>
          <w:color w:val="auto"/>
        </w:rPr>
        <w:t>（4）研究的现实必要性</w:t>
      </w:r>
    </w:p>
    <w:p w14:paraId="6C59128D">
      <w:pPr>
        <w:pStyle w:val="57"/>
        <w:ind w:firstLine="480"/>
        <w:jc w:val="both"/>
        <w:rPr>
          <w:color w:val="auto"/>
        </w:rPr>
      </w:pPr>
      <w:r>
        <w:rPr>
          <w:color w:val="auto"/>
        </w:rPr>
        <w:t>在金融科技行业监管持续强化与技术快速演进的背景下，构建适应高复杂性与高合规要求的软件开发过程改进体系已成为企业发展的必然需求。针对H公司所面临的典型问题，开展基于工程管理理论与DevSecOps实践的过程改进研究，不仅有助于企业实现研发效率与过程质量的双重提升，也对金融科技行业在数字化治理与智能监管背景下的工程实践具有示范意义。</w:t>
      </w:r>
    </w:p>
    <w:p w14:paraId="0FFB5B3A">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56" w:name="_Toc213190773"/>
      <w:bookmarkStart w:id="57" w:name="_Toc213192789"/>
      <w:bookmarkStart w:id="58" w:name="_Toc213192481"/>
      <w:bookmarkStart w:id="59" w:name="_Toc20178"/>
      <w:r>
        <w:rPr>
          <w:rFonts w:hint="eastAsia" w:ascii="Times New Roman" w:hAnsi="Times New Roman" w:eastAsia="黑体" w:cs="Times New Roman"/>
          <w:bCs/>
          <w:sz w:val="24"/>
          <w:szCs w:val="24"/>
        </w:rPr>
        <w:t>1.1.2 研究意义</w:t>
      </w:r>
      <w:bookmarkEnd w:id="56"/>
      <w:bookmarkEnd w:id="57"/>
      <w:bookmarkEnd w:id="58"/>
      <w:bookmarkEnd w:id="59"/>
    </w:p>
    <w:p w14:paraId="5CF2B1BD">
      <w:pPr>
        <w:pStyle w:val="57"/>
        <w:ind w:firstLine="480"/>
        <w:jc w:val="both"/>
        <w:rPr>
          <w:color w:val="auto"/>
        </w:rPr>
      </w:pPr>
      <w:r>
        <w:rPr>
          <w:color w:val="auto"/>
        </w:rPr>
        <w:t>本研究以金融科技行业的高合规研发场景为背景，围绕H公司软件开发过程的系统性改进展开。研究不仅针对特定企业的管理难题提供了实证解决方案，更在理论建构、方法创新与行业推广等方面具有重要意义。</w:t>
      </w:r>
    </w:p>
    <w:p w14:paraId="0A09064D">
      <w:pPr>
        <w:pStyle w:val="57"/>
        <w:ind w:firstLine="480"/>
        <w:jc w:val="both"/>
        <w:rPr>
          <w:color w:val="auto"/>
        </w:rPr>
      </w:pPr>
      <w:r>
        <w:rPr>
          <w:color w:val="auto"/>
        </w:rPr>
        <w:t>（1）理论层面的意义</w:t>
      </w:r>
    </w:p>
    <w:p w14:paraId="7C94EEB8">
      <w:pPr>
        <w:pStyle w:val="57"/>
        <w:ind w:firstLine="480"/>
        <w:jc w:val="both"/>
        <w:rPr>
          <w:color w:val="auto"/>
        </w:rPr>
      </w:pPr>
      <w:r>
        <w:rPr>
          <w:color w:val="auto"/>
        </w:rPr>
        <w:t>本研究从工程管理与软件工程融合的角度出发，构建了面向高合规行业的软件开发过程改进理论框架。通过整合软件过程改进（SPI）理论、DevSecOps理念与系统工程方法，提出了以过程规范化</w:t>
      </w:r>
      <w:r>
        <w:rPr>
          <w:rFonts w:hint="eastAsia"/>
          <w:color w:val="auto"/>
        </w:rPr>
        <w:t>、</w:t>
      </w:r>
      <w:r>
        <w:rPr>
          <w:color w:val="auto"/>
        </w:rPr>
        <w:t>技术自动化</w:t>
      </w:r>
      <w:r>
        <w:rPr>
          <w:rFonts w:hint="eastAsia"/>
          <w:color w:val="auto"/>
        </w:rPr>
        <w:t>、</w:t>
      </w:r>
      <w:r>
        <w:rPr>
          <w:color w:val="auto"/>
        </w:rPr>
        <w:t>组织协同化为核心的分析体系。研究在能力成熟度模型（CMMI 2.0）与工程效能指标（DORA）之间建立了理论关联，揭示了过程能力与组织绩效之间的动态耦合关系。该框架拓展了传统SPI的静态评价思路，为软件过程治理提供了可度量、可反馈、可演化的理论模型，对工程管理学科中度量驱动改进与系统优化决策的研究具有拓展价值。</w:t>
      </w:r>
    </w:p>
    <w:p w14:paraId="00CCF7F2">
      <w:pPr>
        <w:pStyle w:val="57"/>
        <w:ind w:firstLine="480"/>
        <w:jc w:val="both"/>
        <w:rPr>
          <w:color w:val="auto"/>
        </w:rPr>
      </w:pPr>
      <w:r>
        <w:rPr>
          <w:color w:val="auto"/>
        </w:rPr>
        <w:t>（2）方法与模型层面的意义</w:t>
      </w:r>
    </w:p>
    <w:p w14:paraId="40B31B0A">
      <w:pPr>
        <w:pStyle w:val="57"/>
        <w:ind w:firstLine="480"/>
        <w:jc w:val="both"/>
        <w:rPr>
          <w:color w:val="auto"/>
        </w:rPr>
      </w:pPr>
      <w:r>
        <w:rPr>
          <w:color w:val="auto"/>
        </w:rPr>
        <w:t>论文提出了结合定性诊断与定量度量的综合研究路径，形成了从问题识别</w:t>
      </w:r>
      <w:r>
        <w:rPr>
          <w:rFonts w:hint="eastAsia"/>
          <w:color w:val="auto"/>
        </w:rPr>
        <w:t>、</w:t>
      </w:r>
      <w:r>
        <w:rPr>
          <w:color w:val="auto"/>
        </w:rPr>
        <w:t>指标建模</w:t>
      </w:r>
      <w:r>
        <w:rPr>
          <w:rFonts w:hint="eastAsia"/>
          <w:color w:val="auto"/>
        </w:rPr>
        <w:t>、</w:t>
      </w:r>
      <w:r>
        <w:rPr>
          <w:color w:val="auto"/>
        </w:rPr>
        <w:t>实证验证</w:t>
      </w:r>
      <w:r>
        <w:rPr>
          <w:rFonts w:hint="eastAsia"/>
          <w:color w:val="auto"/>
        </w:rPr>
        <w:t>、</w:t>
      </w:r>
      <w:r>
        <w:rPr>
          <w:color w:val="auto"/>
        </w:rPr>
        <w:t>反馈改进的闭环体系。通过引入价值流管理（VSM）与系统动力学模型，对软件开发过程中的关键瓶颈进行了机制化解释，并建立了可复用的改进路径。研究在方法论层面实现了CMMI体系的结构性整合与DevSecOps框架的本地化适配，为复杂环境下的软件过程评估与改进提供了新的研究范式。</w:t>
      </w:r>
    </w:p>
    <w:p w14:paraId="69B7CA5D">
      <w:pPr>
        <w:pStyle w:val="57"/>
        <w:ind w:firstLine="480"/>
        <w:jc w:val="both"/>
        <w:rPr>
          <w:color w:val="auto"/>
        </w:rPr>
      </w:pPr>
      <w:r>
        <w:rPr>
          <w:color w:val="auto"/>
        </w:rPr>
        <w:t>（3）实践与管理层面的意义</w:t>
      </w:r>
    </w:p>
    <w:p w14:paraId="65C1B496">
      <w:pPr>
        <w:pStyle w:val="57"/>
        <w:ind w:firstLine="480"/>
        <w:jc w:val="both"/>
        <w:rPr>
          <w:color w:val="auto"/>
        </w:rPr>
      </w:pPr>
      <w:r>
        <w:rPr>
          <w:color w:val="auto"/>
        </w:rPr>
        <w:t>研究以H公司为典型案例，结合</w:t>
      </w:r>
      <w:r>
        <w:rPr>
          <w:rFonts w:hint="eastAsia"/>
          <w:color w:val="auto"/>
        </w:rPr>
        <w:t>最近几年</w:t>
      </w:r>
      <w:r>
        <w:rPr>
          <w:color w:val="auto"/>
        </w:rPr>
        <w:t>的</w:t>
      </w:r>
      <w:r>
        <w:rPr>
          <w:rFonts w:hint="eastAsia"/>
          <w:color w:val="auto"/>
        </w:rPr>
        <w:t>软件开发</w:t>
      </w:r>
      <w:r>
        <w:rPr>
          <w:color w:val="auto"/>
        </w:rPr>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H公司建立了数据驱动的持续改进机制，为金融科技企业在高合规环境下提升研发成熟度提供了可复制的管理模式。</w:t>
      </w:r>
    </w:p>
    <w:p w14:paraId="4B2344EF">
      <w:pPr>
        <w:pStyle w:val="57"/>
        <w:ind w:firstLine="480"/>
        <w:jc w:val="both"/>
        <w:rPr>
          <w:color w:val="auto"/>
        </w:rPr>
      </w:pPr>
      <w:r>
        <w:rPr>
          <w:color w:val="auto"/>
        </w:rPr>
        <w:t>（4）行业与政策层面的意义</w:t>
      </w:r>
    </w:p>
    <w:p w14:paraId="74A85B0D">
      <w:pPr>
        <w:pStyle w:val="57"/>
        <w:ind w:firstLine="480"/>
        <w:jc w:val="both"/>
        <w:rPr>
          <w:color w:val="auto"/>
        </w:rPr>
      </w:pPr>
      <w:r>
        <w:rPr>
          <w:color w:val="auto"/>
        </w:rPr>
        <w:t>在金融科技强监管与数字化治理并行的背景下，研究成果对行业发展具有广泛参考价值。通过将安全与合规嵌入软件生命周期，论文提出的改进框架为实现安全即代码</w:t>
      </w:r>
      <w:r>
        <w:rPr>
          <w:rFonts w:hint="eastAsia"/>
          <w:color w:val="auto"/>
        </w:rPr>
        <w:t>、</w:t>
      </w:r>
      <w:r>
        <w:rPr>
          <w:color w:val="auto"/>
        </w:rPr>
        <w:t>合规即代码提供了实践路径，有助于推动监管科技（RegTech）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14:paraId="624155B1">
      <w:pPr>
        <w:pStyle w:val="3"/>
        <w:keepNext/>
        <w:keepLines/>
        <w:numPr>
          <w:ilvl w:val="1"/>
          <w:numId w:val="0"/>
        </w:numPr>
        <w:adjustRightInd/>
        <w:snapToGrid/>
        <w:rPr>
          <w:rFonts w:ascii="Times New Roman" w:hAnsi="Times New Roman"/>
          <w:bCs/>
          <w:color w:val="auto"/>
          <w:kern w:val="0"/>
          <w:sz w:val="24"/>
          <w:szCs w:val="32"/>
        </w:rPr>
      </w:pPr>
      <w:bookmarkStart w:id="60" w:name="_Toc213190774"/>
      <w:bookmarkStart w:id="61" w:name="_Toc213192482"/>
      <w:bookmarkStart w:id="62" w:name="_Toc213192790"/>
      <w:bookmarkStart w:id="63" w:name="_Toc20524"/>
      <w:r>
        <w:rPr>
          <w:rFonts w:hint="eastAsia" w:ascii="Times New Roman" w:hAnsi="Times New Roman"/>
          <w:bCs/>
          <w:color w:val="auto"/>
          <w:kern w:val="0"/>
          <w:sz w:val="24"/>
          <w:szCs w:val="32"/>
        </w:rPr>
        <w:t>1.2 国内外研究现状</w:t>
      </w:r>
      <w:bookmarkEnd w:id="60"/>
      <w:bookmarkEnd w:id="61"/>
      <w:bookmarkEnd w:id="62"/>
      <w:bookmarkEnd w:id="63"/>
    </w:p>
    <w:p w14:paraId="568D482D">
      <w:pPr>
        <w:pStyle w:val="57"/>
        <w:ind w:firstLine="480"/>
        <w:jc w:val="both"/>
        <w:rPr>
          <w:color w:val="auto"/>
        </w:rPr>
      </w:pPr>
      <w:r>
        <w:rPr>
          <w:color w:val="auto"/>
        </w:rPr>
        <w:t>随着软件工程与工程管理的持续融合，全球范围内的软件开发过程研究正经历从传统过程规范化向数据驱动与智能化治理的深刻转型</w:t>
      </w:r>
      <w:r>
        <w:rPr>
          <w:color w:val="auto"/>
        </w:rPr>
        <w:fldChar w:fldCharType="begin"/>
      </w:r>
      <w:r>
        <w:rPr>
          <w:color w:val="auto"/>
        </w:rPr>
        <w:instrText xml:space="preserve"> ADDIN ZOTERO_ITEM CSL_CITATION {"citationID":"rGGDhN1R","properties":{"formattedCitation":"\\super [5]\\nosupersub{}","plainCitation":"[5]","noteIndex":0},"citationItems":[{"id":197,"uris":["http://zotero.org/users/18743979/items/49CZQIXH"],"itemData":{"id":197,"type":"article-journal","container-title":"IET Software","DOI":"10.1049/SFW2.12047","issue":"6","journalAbbreviation":"IET Software","page":"464-483","title":"Applying virtual reality to teach the software development process to novice software engineers","volume":"15","author":[{"literal":"Ulas G"},{"literal":"Murat Y"},{"literal":"Veysi I"},{"literal":"et al"}],"issued":{"date-parts":[["2021"]]},"citation-key":"ulasgApplyingVirtualReality2021"}}],"schema":"https://github.com/citation-style-language/schema/raw/master/csl-citation.json"} </w:instrText>
      </w:r>
      <w:r>
        <w:rPr>
          <w:color w:val="auto"/>
        </w:rPr>
        <w:fldChar w:fldCharType="separate"/>
      </w:r>
      <w:r>
        <w:rPr>
          <w:rFonts w:cs="Times New Roman"/>
          <w:color w:val="auto"/>
          <w:vertAlign w:val="superscript"/>
        </w:rPr>
        <w:t>[5]</w:t>
      </w:r>
      <w:r>
        <w:rPr>
          <w:color w:val="auto"/>
        </w:rPr>
        <w:fldChar w:fldCharType="end"/>
      </w:r>
      <w:r>
        <w:rPr>
          <w:color w:val="auto"/>
        </w:rPr>
        <w:t>。国际研究总体上注重体系化、标准化和方法论的统一，而国内研究则更强调本地化适配与监管融合。二者虽出发点不同，但共同体现出软件过程从规范化</w:t>
      </w:r>
      <w:r>
        <w:rPr>
          <w:rFonts w:hint="eastAsia"/>
          <w:color w:val="auto"/>
        </w:rPr>
        <w:t>、</w:t>
      </w:r>
      <w:r>
        <w:rPr>
          <w:color w:val="auto"/>
        </w:rPr>
        <w:t>度量化</w:t>
      </w:r>
      <w:r>
        <w:rPr>
          <w:rFonts w:hint="eastAsia"/>
          <w:color w:val="auto"/>
        </w:rPr>
        <w:t>、</w:t>
      </w:r>
      <w:r>
        <w:rPr>
          <w:color w:val="auto"/>
        </w:rPr>
        <w:t>自动化</w:t>
      </w:r>
      <w:r>
        <w:rPr>
          <w:rFonts w:hint="eastAsia"/>
          <w:color w:val="auto"/>
        </w:rPr>
        <w:t>、</w:t>
      </w:r>
      <w:r>
        <w:rPr>
          <w:color w:val="auto"/>
        </w:rPr>
        <w:t>智能化的演进趋势，这一趋势反映了软件工程正在由经验驱动转向</w:t>
      </w:r>
      <w:r>
        <w:rPr>
          <w:rFonts w:hint="eastAsia"/>
          <w:color w:val="auto"/>
        </w:rPr>
        <w:t>数</w:t>
      </w:r>
      <w:r>
        <w:rPr>
          <w:color w:val="auto"/>
        </w:rPr>
        <w:t>据驱动与持续改进的新时代</w:t>
      </w:r>
      <w:r>
        <w:rPr>
          <w:color w:val="auto"/>
        </w:rPr>
        <w:fldChar w:fldCharType="begin"/>
      </w:r>
      <w:r>
        <w:rPr>
          <w:color w:val="auto"/>
        </w:rPr>
        <w:instrText xml:space="preserve"> ADDIN ZOTERO_ITEM CSL_CITATION {"citationID":"GqHocxVV","properties":{"formattedCitation":"\\super [6]\\nosupersub{}","plainCitation":"[6]","noteIndex":0},"citationItems":[{"id":199,"uris":["http://zotero.org/users/18743979/items/MNXNFST8"],"itemData":{"</w:instrText>
      </w:r>
      <w:r>
        <w:rPr>
          <w:rFonts w:hint="eastAsia"/>
          <w:color w:val="auto"/>
        </w:rPr>
        <w:instrText xml:space="preserve">id":199,"type":"article-journal","container-title":"高等工程教育研究","issue":"01","journalAbbreviation":"高等工程教育研究","page":"67-72","title":"智能化软件工程全过程量化管理的实验教学探索与实践","author":[{"literal":"李英玲"},{"literal":"王青"},{"literal":"黄闽英"}],"issued":{"date-parts":[["2023"]]</w:instrText>
      </w:r>
      <w:r>
        <w:rPr>
          <w:color w:val="auto"/>
        </w:rPr>
        <w:instrText xml:space="preserve">},"citation-key":"LiYingLingZhiNengHuaRuanJianGongChengQuanGuoChengLiangHuaGuanLiDeShiYanJiaoXueTanSuoYuShiJian2023"}}],"schema":"https://github.com/citation-style-language/schema/raw/master/csl-citation.json"} </w:instrText>
      </w:r>
      <w:r>
        <w:rPr>
          <w:color w:val="auto"/>
        </w:rPr>
        <w:fldChar w:fldCharType="separate"/>
      </w:r>
      <w:r>
        <w:rPr>
          <w:rFonts w:cs="Times New Roman"/>
          <w:color w:val="auto"/>
          <w:vertAlign w:val="superscript"/>
        </w:rPr>
        <w:t>[6]</w:t>
      </w:r>
      <w:r>
        <w:rPr>
          <w:color w:val="auto"/>
        </w:rPr>
        <w:fldChar w:fldCharType="end"/>
      </w:r>
      <w:r>
        <w:rPr>
          <w:color w:val="auto"/>
        </w:rPr>
        <w:t>。</w:t>
      </w:r>
    </w:p>
    <w:p w14:paraId="5C561482">
      <w:pPr>
        <w:pStyle w:val="57"/>
        <w:ind w:firstLine="480"/>
        <w:jc w:val="both"/>
        <w:rPr>
          <w:color w:val="auto"/>
        </w:rPr>
      </w:pPr>
      <w:r>
        <w:rPr>
          <w:color w:val="auto"/>
        </w:rPr>
        <w:t>在理论演进方面，早期的软件过程改进（Software Process Improvement, SPI）以CMM/CMMI体系为代表</w:t>
      </w:r>
      <w:r>
        <w:rPr>
          <w:color w:val="auto"/>
        </w:rPr>
        <w:fldChar w:fldCharType="begin"/>
      </w:r>
      <w:r>
        <w:rPr>
          <w:color w:val="auto"/>
        </w:rPr>
        <w:instrText xml:space="preserve"> ADDIN ZOTERO_ITEM CSL_CITATION {"citationID":"KNJ6m7e9","properties":{"formattedCitation":"\\super [7]\\nosupersub{}","plainCitation":"[7]","noteIndex":0},"citationItems":[{"id":201,"uris":["http://zotero.org/users/18743979/items/IN96RGGH"],"itemData":{"id":201,"type":"article-journal","container-title":"International Journal of Software Engineering &amp; Applications","DOI":"10.5121/ijsea.2012.3102","issue":"1","journalAbbreviation":"International Journal of Software Engineering &amp; Applications","page":"17-26","title":"Integrating CMMI Maturity Level-3 In Traditional Software Development Process","volume":"3","author":[{"literal":"Reena D"}],"issued":{"date-parts":[["2012"]]},"citation-key":"reenadIntegratingCMMIMaturity2012"}}],"schema":"https://github.com/citation-style-language/schema/raw/master/csl-citation.json"} </w:instrText>
      </w:r>
      <w:r>
        <w:rPr>
          <w:color w:val="auto"/>
        </w:rPr>
        <w:fldChar w:fldCharType="separate"/>
      </w:r>
      <w:r>
        <w:rPr>
          <w:rFonts w:cs="Times New Roman"/>
          <w:color w:val="auto"/>
          <w:vertAlign w:val="superscript"/>
        </w:rPr>
        <w:t>[7]</w:t>
      </w:r>
      <w:r>
        <w:rPr>
          <w:color w:val="auto"/>
        </w:rPr>
        <w:fldChar w:fldCharType="end"/>
      </w:r>
      <w:r>
        <w:rPr>
          <w:color w:val="auto"/>
        </w:rPr>
        <w:t>，核心目标在于通过过程规范化实现组织能力提升与质量保障。进入21世纪后，敏捷开发与精益思想的兴起使SPI体系逐步融入动态反馈与快速迭代的理念，过程治理从静态控制向持续优化转变</w:t>
      </w:r>
      <w:r>
        <w:rPr>
          <w:color w:val="auto"/>
        </w:rPr>
        <w:fldChar w:fldCharType="begin"/>
      </w:r>
      <w:r>
        <w:rPr>
          <w:color w:val="auto"/>
        </w:rPr>
        <w:instrText xml:space="preserve"> ADDIN ZOTERO_ITEM CSL_CITATION {"citationID":"KX6LdTJV","properties":{"formattedCitation":"\\super [8]\\nosupersub{}","plainCitation":"[8]","noteIndex":0},"citationItems":[{"id":203,"uris":["http://zotero.org/users/18743979/items/U2HNPUFF"],"itemData":{"id":203,"type":"article-journal","container-title":"Journal of Software: Evolution and Process","DOI":"10.1002/smr.1986","journalAbbreviation":"Journal of Software: Evolution and Process","page":"10","title":"Lean and agile software process improvement in traditional and agile environments","author":[{"literal":"Poth A"},{"literal":"Sasabe S"},{"literal":"Mas A"},{"literal":"et al"}],"issued":{"date-parts":[["2019"]]},"citation-key":"pothaLeanAgileSoftware2019"}}],"schema":"https://github.com/citation-style-language/schema/raw/master/csl-citation.json"} </w:instrText>
      </w:r>
      <w:r>
        <w:rPr>
          <w:color w:val="auto"/>
        </w:rPr>
        <w:fldChar w:fldCharType="separate"/>
      </w:r>
      <w:r>
        <w:rPr>
          <w:rFonts w:cs="Times New Roman"/>
          <w:color w:val="auto"/>
          <w:vertAlign w:val="superscript"/>
        </w:rPr>
        <w:t>[8]</w:t>
      </w:r>
      <w:r>
        <w:rPr>
          <w:color w:val="auto"/>
        </w:rPr>
        <w:fldChar w:fldCharType="end"/>
      </w:r>
      <w:r>
        <w:rPr>
          <w:color w:val="auto"/>
        </w:rPr>
        <w:t>。价值流管理（Value Stream Management, VSM）的引入进一步推动了从文档化规范走向以度量为核心的价值导向过程管理，使得改进过程可量化、可追踪、可持续</w:t>
      </w:r>
      <w:r>
        <w:rPr>
          <w:color w:val="auto"/>
        </w:rPr>
        <w:fldChar w:fldCharType="begin"/>
      </w:r>
      <w:r>
        <w:rPr>
          <w:color w:val="auto"/>
        </w:rPr>
        <w:instrText xml:space="preserve"> ADDIN ZOTERO_ITEM CSL_CITATION {"citationID":"Mo1x7f7y","properties":{"formattedCitation":"\\super [9]\\nosupersub{}","plainCitation":"[9]","noteIndex":0},"citationItems":[{"id":205,"uris":["http://zotero.org/users/18743979/items/BVX72SZE"],"itemData":{"</w:instrText>
      </w:r>
      <w:r>
        <w:rPr>
          <w:rFonts w:hint="eastAsia"/>
          <w:color w:val="auto"/>
        </w:rPr>
        <w:instrText xml:space="preserve">id":205,"type":"article-journal","container-title":"网络安全技术与应用","issue":"08","journalAbbreviation":"网络安全技术与应用","page":"13-14","title":"基于VSM模型和数据库技术的文本相似度检查软件研究与实现","author":[{"literal":"李宜兵"},{"literal":"郭玉堂"},{"literal":"潘洁珠"}],"issued":{"date-parts":[["</w:instrText>
      </w:r>
      <w:r>
        <w:rPr>
          <w:color w:val="auto"/>
        </w:rPr>
        <w:instrText xml:space="preserve">2014"]]},"citation-key":"LiYiBingJiYuVSMMoXingHeShuJuKuJiShuDeWenBenXiangSiDuJianChaRuanJianYanJiuYuShiXian2014"}}],"schema":"https://github.com/citation-style-language/schema/raw/master/csl-citation.json"} </w:instrText>
      </w:r>
      <w:r>
        <w:rPr>
          <w:color w:val="auto"/>
        </w:rPr>
        <w:fldChar w:fldCharType="separate"/>
      </w:r>
      <w:r>
        <w:rPr>
          <w:rFonts w:cs="Times New Roman"/>
          <w:color w:val="auto"/>
          <w:vertAlign w:val="superscript"/>
        </w:rPr>
        <w:t>[9]</w:t>
      </w:r>
      <w:r>
        <w:rPr>
          <w:color w:val="auto"/>
        </w:rPr>
        <w:fldChar w:fldCharType="end"/>
      </w:r>
      <w:r>
        <w:rPr>
          <w:color w:val="auto"/>
        </w:rPr>
        <w:t>。</w:t>
      </w:r>
    </w:p>
    <w:p w14:paraId="2DE6937A">
      <w:pPr>
        <w:pStyle w:val="57"/>
        <w:ind w:firstLine="480"/>
        <w:jc w:val="both"/>
        <w:rPr>
          <w:color w:val="auto"/>
        </w:rPr>
      </w:pPr>
      <w:r>
        <w:rPr>
          <w:color w:val="auto"/>
        </w:rPr>
        <w:t>在此基础上，DevOps的提出标志着软件过程从开发与运维割裂转向端到端的协同一体化</w:t>
      </w:r>
      <w:r>
        <w:rPr>
          <w:color w:val="auto"/>
        </w:rPr>
        <w:fldChar w:fldCharType="begin"/>
      </w:r>
      <w:r>
        <w:rPr>
          <w:color w:val="auto"/>
        </w:rPr>
        <w:instrText xml:space="preserve"> ADDIN ZOTERO_ITEM CSL_CITATION {"citationID":"EIoOddIZ","properties":{"formattedCitation":"\\super [10]\\nosupersub{}","plainCitation":"[10]","noteIndex":0},"citationItems":[{"id":207,"uris":["http://zotero.org/users/18743979/items/TBUZIXZP"],"itemData":{"id":207,"type":"article-journal","container-title":"Future Internet","DOI":"10.3390/FI17040153","issue":"4","journalAbbreviation":"Future Internet","page":"153-153","title":"Practical Comparison Between the CI/CD Platforms Azure DevOps and GitHub","volume":"17","author":[{"literal":"Manolov V"},{"literal":"Gotseva D"},{"literal":"Hinov N"}],"issued":{"date-parts":[["2025"]]},"citation-key":"manolovvPracticalComparisonCI2025"}}],"schema":"https://github.com/citation-style-language/schema/raw/master/csl-citation.json"} </w:instrText>
      </w:r>
      <w:r>
        <w:rPr>
          <w:color w:val="auto"/>
        </w:rPr>
        <w:fldChar w:fldCharType="separate"/>
      </w:r>
      <w:r>
        <w:rPr>
          <w:rFonts w:cs="Times New Roman"/>
          <w:color w:val="auto"/>
          <w:vertAlign w:val="superscript"/>
        </w:rPr>
        <w:t>[10]</w:t>
      </w:r>
      <w:r>
        <w:rPr>
          <w:color w:val="auto"/>
        </w:rPr>
        <w:fldChar w:fldCharType="end"/>
      </w:r>
      <w:r>
        <w:rPr>
          <w:color w:val="auto"/>
        </w:rPr>
        <w:t>。近年来，随着安全与合规要求的不断提升，DevSecOps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14:paraId="0CE6F622">
      <w:pPr>
        <w:pStyle w:val="57"/>
        <w:ind w:firstLine="480"/>
        <w:jc w:val="both"/>
        <w:rPr>
          <w:color w:val="auto"/>
        </w:rPr>
      </w:pPr>
      <w:r>
        <w:rPr>
          <w:color w:val="auto"/>
        </w:rPr>
        <w:t>与此同时，工程效能度量体系的研究逐渐成为国际软件过程改进的核心方向</w:t>
      </w:r>
      <w:r>
        <w:rPr>
          <w:color w:val="auto"/>
        </w:rPr>
        <w:fldChar w:fldCharType="begin"/>
      </w:r>
      <w:r>
        <w:rPr>
          <w:color w:val="auto"/>
        </w:rPr>
        <w:instrText xml:space="preserve"> ADDIN ZOTERO_ITEM CSL_CITATION {"citationID":"qYBhMxWG","properties":{"formattedCitation":"\\super [11]\\nosupersub{}","plainCitation":"[11]","noteIndex":0},"citationItems":[{"id":209,"uris":["http://zotero.org/users/18743979/items/U2K6E2A8"],"itemData":{"id":209,"type":"paper-conference","event-title":"Stevens Institute of Technology","title":"Improving systems engineering effectiveness in rapid response development environments","author":[{"literal":"Turner R"},{"literal":"Madachy R"},{"literal":"Ingold D"},{"literal":"et al"}],"issued":{"date-parts":[["2012"]]},"citation-key":"turnerrImprovingSystemsEngineering2012"}}],"schema":"https://github.com/citation-style-language/schema/raw/master/csl-citation.json"} </w:instrText>
      </w:r>
      <w:r>
        <w:rPr>
          <w:color w:val="auto"/>
        </w:rPr>
        <w:fldChar w:fldCharType="separate"/>
      </w:r>
      <w:r>
        <w:rPr>
          <w:rFonts w:cs="Times New Roman"/>
          <w:color w:val="auto"/>
          <w:vertAlign w:val="superscript"/>
        </w:rPr>
        <w:t>[11]</w:t>
      </w:r>
      <w:r>
        <w:rPr>
          <w:color w:val="auto"/>
        </w:rPr>
        <w:fldChar w:fldCharType="end"/>
      </w:r>
      <w:r>
        <w:rPr>
          <w:color w:val="auto"/>
        </w:rPr>
        <w:t>。以DORA四维指标与SPACE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DORA与SPACE体系的基础上，结合本地实践探索了价值流驱动的度量体系，强调将研发指标与组织绩效结合，以支持持续改进与战略决策的闭环。</w:t>
      </w:r>
    </w:p>
    <w:p w14:paraId="28A08F5E">
      <w:pPr>
        <w:pStyle w:val="57"/>
        <w:ind w:firstLine="480"/>
        <w:jc w:val="both"/>
        <w:rPr>
          <w:color w:val="auto"/>
        </w:rPr>
      </w:pPr>
      <w:r>
        <w:rPr>
          <w:color w:val="auto"/>
        </w:rPr>
        <w:t>技术债务治理的研究也呈现出体系化、多维度的发展趋势</w:t>
      </w:r>
      <w:r>
        <w:rPr>
          <w:color w:val="auto"/>
        </w:rPr>
        <w:fldChar w:fldCharType="begin"/>
      </w:r>
      <w:r>
        <w:rPr>
          <w:color w:val="auto"/>
        </w:rPr>
        <w:instrText xml:space="preserve"> ADDIN ZOTERO_ITEM CSL_CITATION {"citationID":"5maPqjRh","properties":{"formattedCitation":"\\super [12]\\nosupersub{}","plainCitation":"[12]","noteIndex":0},"citationItems":[{"id":211,"uris":["http://zotero.org/users/18743979/items/ZVF5EFYF"],"itemData":{"id":211,"type":"article-journal","container-title":"Systems Engineering","DOI":"10.1002/SYS.21681","issue":"5","journalAbbreviation":"Systems Engineering","page":"675-687","title":"Technical debt in systems engineering—A systematic literature review","volume":"26","author":[{"literal":"Kleinwaks H"},{"literal":"Batchelor A"},{"literal":"Bradley H T"}],"issued":{"date-parts":[["2023"]]},"citation-key":"kleinwakshTechnicalDebtSystems2023"}}],"schema":"https://github.com/citation-style-language/schema/raw/master/csl-citation.json"} </w:instrText>
      </w:r>
      <w:r>
        <w:rPr>
          <w:color w:val="auto"/>
        </w:rPr>
        <w:fldChar w:fldCharType="separate"/>
      </w:r>
      <w:r>
        <w:rPr>
          <w:rFonts w:cs="Times New Roman"/>
          <w:color w:val="auto"/>
          <w:vertAlign w:val="superscript"/>
        </w:rPr>
        <w:t>[12]</w:t>
      </w:r>
      <w:r>
        <w:rPr>
          <w:color w:val="auto"/>
        </w:rPr>
        <w:fldChar w:fldCharType="end"/>
      </w:r>
      <w:r>
        <w:rPr>
          <w:color w:val="auto"/>
        </w:rPr>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14:paraId="4FBC0098">
      <w:pPr>
        <w:pStyle w:val="57"/>
        <w:ind w:firstLine="480"/>
        <w:jc w:val="both"/>
        <w:rPr>
          <w:color w:val="auto"/>
        </w:rPr>
      </w:pPr>
      <w:r>
        <w:rPr>
          <w:color w:val="auto"/>
        </w:rPr>
        <w:t>随着DevSecOps体系的深入发展，安全与合规治理逐渐成为软件过程研究的重要方向。国际研究提出了基于策略即代码的安全验证机制与跨法域的合规自动化模型，构建了可配置、可追溯、可审计的安全治理框架</w:t>
      </w:r>
      <w:r>
        <w:rPr>
          <w:color w:val="auto"/>
        </w:rPr>
        <w:fldChar w:fldCharType="begin"/>
      </w:r>
      <w:r>
        <w:rPr>
          <w:color w:val="auto"/>
        </w:rPr>
        <w:instrText xml:space="preserve"> ADDIN ZOTERO_ITEM CSL_CITATION {"citationID":"JXJGnN99","properties":{"formattedCitation":"\\super [13]\\nosupersub{}","plainCitation":"[13]","noteIndex":0},"citationItems":[{"id":213,"uris":["http://zotero.org/users/18743979/items/L2WLP523"],"itemData":{"id":213,"type":"article-journal","container-title":"Computer Technology Journal","journalAbbreviation":"Computer Technology Journal","title":"Fugue Adopts Open Policy Agent OPA for its Policy-as-Code Framework for Cloud Security","author":[{"literal":"Fugue"}],"issued":{"date-parts":[["2019"]]},"citation-key":"fugueFugueAdoptsOpen2019"}}],"schema":"https://github.com/citation-style-language/schema/raw/master/csl-citation.json"} </w:instrText>
      </w:r>
      <w:r>
        <w:rPr>
          <w:color w:val="auto"/>
        </w:rPr>
        <w:fldChar w:fldCharType="separate"/>
      </w:r>
      <w:r>
        <w:rPr>
          <w:rFonts w:cs="Times New Roman"/>
          <w:color w:val="auto"/>
          <w:vertAlign w:val="superscript"/>
        </w:rPr>
        <w:t>[13]</w:t>
      </w:r>
      <w:r>
        <w:rPr>
          <w:color w:val="auto"/>
        </w:rPr>
        <w:fldChar w:fldCharType="end"/>
      </w:r>
      <w:r>
        <w:rPr>
          <w:color w:val="auto"/>
        </w:rPr>
        <w:t>。这种机制将安全检查、策略验证和风险预防嵌入持续集成与持续交付流程，实现了从事后防御向前置防控的转变。国内研究则更强调安全左移与监管科技（RegTech）的融合，通过自动化合规检测与门禁策略配置，实现金融科技等高合规行业的安全与合规一体化</w:t>
      </w:r>
      <w:r>
        <w:rPr>
          <w:color w:val="auto"/>
        </w:rPr>
        <w:fldChar w:fldCharType="begin"/>
      </w:r>
      <w:r>
        <w:rPr>
          <w:color w:val="auto"/>
        </w:rPr>
        <w:instrText xml:space="preserve"> ADDIN ZOTERO_ITEM CSL_CITATION {"citationID":"AhpQ4VvB","properties":{"formattedCitation":"\\super [14]\\nosupersub{}","plainCitation":"[14]","noteIndex":0},"citationItems":[{"id":215,"uris":["http://zotero.org/users/18743979/items/KWICBV7F"],"itemData":</w:instrText>
      </w:r>
      <w:r>
        <w:rPr>
          <w:rFonts w:hint="eastAsia"/>
          <w:color w:val="auto"/>
        </w:rPr>
        <w:instrText xml:space="preserve">{"id":215,"type":"article-journal","container-title":"金融监管研究","DOI":"10.13490/j.cnki.frr.2017.03.001","issue":"03","journalAbbreviation":"金融监管研究","page":"1-13","title":"金融科技(FinTech)发展与监管:一个监管者的视角","author":[{"literal":"李文红"},{"literal":"蒋则沈"}],"issued":{</w:instrText>
      </w:r>
      <w:r>
        <w:rPr>
          <w:color w:val="auto"/>
        </w:rPr>
        <w:instrText xml:space="preserve">"date-parts":[["2017"]]},"citation-key":"LiWenHongJinRongKeJiFinTechFaZhanYuJianGuanYiGeJianGuanZheDeShiJiao2017"}}],"schema":"https://github.com/citation-style-language/schema/raw/master/csl-citation.json"} </w:instrText>
      </w:r>
      <w:r>
        <w:rPr>
          <w:color w:val="auto"/>
        </w:rPr>
        <w:fldChar w:fldCharType="separate"/>
      </w:r>
      <w:r>
        <w:rPr>
          <w:rFonts w:cs="Times New Roman"/>
          <w:color w:val="auto"/>
          <w:vertAlign w:val="superscript"/>
        </w:rPr>
        <w:t>[14]</w:t>
      </w:r>
      <w:r>
        <w:rPr>
          <w:color w:val="auto"/>
        </w:rPr>
        <w:fldChar w:fldCharType="end"/>
      </w:r>
      <w:r>
        <w:rPr>
          <w:color w:val="auto"/>
        </w:rPr>
        <w:t>。总体而言，安全治理正由静态合规向动态自适应演化，但策略可解释性与多法域法规适配仍是现实挑战。</w:t>
      </w:r>
    </w:p>
    <w:p w14:paraId="53DCC3AB">
      <w:pPr>
        <w:pStyle w:val="57"/>
        <w:ind w:firstLine="480"/>
        <w:jc w:val="both"/>
        <w:rPr>
          <w:color w:val="auto"/>
        </w:rPr>
      </w:pPr>
      <w:r>
        <w:rPr>
          <w:color w:val="auto"/>
        </w:rPr>
        <w:t>在智能化运维方面，AIOps与站点可靠性工程（SRE）的研究不断深化。国外研究重点聚焦于通过机器学习与预测模型实现系统的自愈化维护与自动决策，推动运维体系从被动响应走向主动预测</w:t>
      </w:r>
      <w:r>
        <w:rPr>
          <w:color w:val="auto"/>
        </w:rPr>
        <w:fldChar w:fldCharType="begin"/>
      </w:r>
      <w:r>
        <w:rPr>
          <w:color w:val="auto"/>
        </w:rPr>
        <w:instrText xml:space="preserve"> ADDIN ZOTERO_ITEM CSL_CITATION {"citationID":"tcXj6B8w","properties":{"formattedCitation":"\\super [15]\\nosupersub{}","plainCitation":"[15]","noteIndex":0},"citationItems":[{"id":217,"uris":["http://zotero.org/users/18743979/items/495H4C5S"],"itemData":{"id":217,"type":"article-journal","container-title":"Asian Journal of Research in Computer Science","DOI":"10.9734/ajrcos/2025/v18i4619","journalAbbreviation":"Asian Journal of Research in Computer Science","page":"10","title":"Enhancing Site Reliability Engineering Through AIOps: A Framework for Next-Generation IT Operations","author":[{"literal":"Singh M"}],"issued":{"date-parts":[["2025"]]},"citation-key":"singhmEnhancingSiteReliability2025"}}],"schema":"https://github.com/citation-style-language/schema/raw/master/csl-citation.json"} </w:instrText>
      </w:r>
      <w:r>
        <w:rPr>
          <w:color w:val="auto"/>
        </w:rPr>
        <w:fldChar w:fldCharType="separate"/>
      </w:r>
      <w:r>
        <w:rPr>
          <w:rFonts w:cs="Times New Roman"/>
          <w:color w:val="auto"/>
          <w:vertAlign w:val="superscript"/>
        </w:rPr>
        <w:t>[15]</w:t>
      </w:r>
      <w:r>
        <w:rPr>
          <w:color w:val="auto"/>
        </w:rPr>
        <w:fldChar w:fldCharType="end"/>
      </w:r>
      <w:r>
        <w:rPr>
          <w:color w:val="auto"/>
        </w:rPr>
        <w:t>。国内研究则更多考虑模型可解释性与安全约束的结合，探索在高合规环境下将人工智能技术引入运维的可行路径</w:t>
      </w:r>
      <w:r>
        <w:rPr>
          <w:color w:val="auto"/>
        </w:rPr>
        <w:fldChar w:fldCharType="begin"/>
      </w:r>
      <w:r>
        <w:rPr>
          <w:color w:val="auto"/>
        </w:rPr>
        <w:instrText xml:space="preserve"> ADDIN ZOTERO_ITEM CSL_CITATION {"citationID":"jkMi76hb","properties":{"formattedCitation":"\\super [16]\\nosupersub{}","plainCitation":"[16]","noteIndex":0},"citationItems":[{"id":219,"uris":["http://zotero.org/users/18743979/items/ZNCNP3UL"],"itemData":</w:instrText>
      </w:r>
      <w:r>
        <w:rPr>
          <w:rFonts w:hint="eastAsia"/>
          <w:color w:val="auto"/>
        </w:rPr>
        <w:instrText xml:space="preserve">{"id":219,"type":"article-journal","container-title":"计算机集成制造系统","DOI":"10.13196/j.cims.2022.07.003","issue":"07","journalAbbreviation":"计算机集成制造系统","page":"1953-1965","title":"基于数字孪生的高端装备智能运维研究现状与展望","volume":"28","author":[{"literal":"高士根"},{"literal":"周敏"},{"literal":"郑伟"}],"issued":{"date-parts":[["2022"]]},"citation-key":"GaoShiGenJiYuShuZiLuanShengDeGaoDuanZhuangBeiZhiNengYunWeiYanJiuXianZhuangYuZhanWang2022"}}],"schema":"https://github.com/citation-style-language/schema/raw/master/csl-citation.json"</w:instrText>
      </w:r>
      <w:r>
        <w:rPr>
          <w:color w:val="auto"/>
        </w:rPr>
        <w:instrText xml:space="preserve">} </w:instrText>
      </w:r>
      <w:r>
        <w:rPr>
          <w:color w:val="auto"/>
        </w:rPr>
        <w:fldChar w:fldCharType="separate"/>
      </w:r>
      <w:r>
        <w:rPr>
          <w:rFonts w:cs="Times New Roman"/>
          <w:color w:val="auto"/>
          <w:vertAlign w:val="superscript"/>
        </w:rPr>
        <w:t>[16]</w:t>
      </w:r>
      <w:r>
        <w:rPr>
          <w:color w:val="auto"/>
        </w:rPr>
        <w:fldChar w:fldCharType="end"/>
      </w:r>
      <w:r>
        <w:rPr>
          <w:color w:val="auto"/>
        </w:rPr>
        <w:t>。AIOps的发展使得监控、日志分析与容量规划实现智能化与自动化，但其在数据质量、隐私保护与模型迁移等方面仍面临挑战，尤其在金融科技行业中，模型透明度与审计合规性的平衡问题尤为突出。</w:t>
      </w:r>
    </w:p>
    <w:p w14:paraId="6396D41F">
      <w:pPr>
        <w:pStyle w:val="57"/>
        <w:ind w:firstLine="480"/>
        <w:jc w:val="both"/>
        <w:rPr>
          <w:color w:val="auto"/>
        </w:rPr>
      </w:pPr>
      <w:r>
        <w:rPr>
          <w:color w:val="auto"/>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Pr>
          <w:color w:val="auto"/>
        </w:rPr>
        <w:fldChar w:fldCharType="begin"/>
      </w:r>
      <w:r>
        <w:rPr>
          <w:color w:val="auto"/>
        </w:rPr>
        <w:instrText xml:space="preserve"> ADDIN ZOTERO_ITEM CSL_CITATION {"citationID":"PN67IMGI","properties":{"formattedCitation":"\\super [17]\\nosupersub{}","plainCitation":"[17]","noteIndex":0},"citationItems":[{"id":221,"uris":["http://zotero.org/users/18743979/items/YPGQDCIZ"],"itemData":</w:instrText>
      </w:r>
      <w:r>
        <w:rPr>
          <w:rFonts w:hint="eastAsia"/>
          <w:color w:val="auto"/>
        </w:rPr>
        <w:instrText xml:space="preserve">{"id":221,"type":"thesis","note":"container-title: 上海交通大学\nDOI: 10.27307/d.cnki.gsjtu.2023.000007","number-of-pages":"10","title":"涉金融服务数据分析行业协同共治问题研究","author":[{"literal":"张丽"}],"issued":{"date-parts":[["2023"]]},"citation-key":"ZhangLiSheJinRongFuWuShu</w:instrText>
      </w:r>
      <w:r>
        <w:rPr>
          <w:color w:val="auto"/>
        </w:rPr>
        <w:instrText xml:space="preserve">JuFenXiXingYeXieTongGongZhiWenTiYanJiu2023"}}],"schema":"https://github.com/citation-style-language/schema/raw/master/csl-citation.json"} </w:instrText>
      </w:r>
      <w:r>
        <w:rPr>
          <w:color w:val="auto"/>
        </w:rPr>
        <w:fldChar w:fldCharType="separate"/>
      </w:r>
      <w:r>
        <w:rPr>
          <w:rFonts w:cs="Times New Roman"/>
          <w:color w:val="auto"/>
          <w:vertAlign w:val="superscript"/>
        </w:rPr>
        <w:t>[17]</w:t>
      </w:r>
      <w:r>
        <w:rPr>
          <w:color w:val="auto"/>
        </w:rPr>
        <w:fldChar w:fldCharType="end"/>
      </w:r>
      <w:r>
        <w:rPr>
          <w:color w:val="auto"/>
        </w:rPr>
        <w:t>，是金融科技企业提升工程成熟度与研发效能的重要途径。</w:t>
      </w:r>
    </w:p>
    <w:p w14:paraId="0B5EB36D">
      <w:pPr>
        <w:pStyle w:val="57"/>
        <w:ind w:firstLine="480"/>
        <w:jc w:val="both"/>
        <w:rPr>
          <w:rFonts w:eastAsiaTheme="minorEastAsia"/>
          <w:color w:val="auto"/>
        </w:rPr>
      </w:pPr>
      <w:r>
        <w:rPr>
          <w:color w:val="auto"/>
        </w:rPr>
        <w:t>总体而言，国际研究在体系化、标准化与模型构建方面已形成较为完备的理论体系，国内研究则在本地化实践与监管融合方面积累了丰富经验。然而，从整体学术演进看，当前研究</w:t>
      </w:r>
      <w:r>
        <w:rPr>
          <w:rFonts w:hint="eastAsia"/>
          <w:color w:val="auto"/>
        </w:rPr>
        <w:t>在</w:t>
      </w:r>
      <w:r>
        <w:rPr>
          <w:color w:val="auto"/>
        </w:rPr>
        <w:t>四个</w:t>
      </w:r>
      <w:r>
        <w:rPr>
          <w:rFonts w:hint="eastAsia"/>
          <w:color w:val="auto"/>
        </w:rPr>
        <w:t>方面稍弱：</w:t>
      </w:r>
      <w:r>
        <w:rPr>
          <w:color w:val="auto"/>
        </w:rPr>
        <w:t>一是</w:t>
      </w:r>
      <w:r>
        <w:rPr>
          <w:rFonts w:hint="eastAsia"/>
          <w:color w:val="auto"/>
        </w:rPr>
        <w:t>在</w:t>
      </w:r>
      <w:r>
        <w:rPr>
          <w:color w:val="auto"/>
        </w:rPr>
        <w:t>需求</w:t>
      </w:r>
      <w:r>
        <w:rPr>
          <w:rFonts w:hint="eastAsia"/>
          <w:color w:val="auto"/>
        </w:rPr>
        <w:t>、</w:t>
      </w:r>
      <w:r>
        <w:rPr>
          <w:color w:val="auto"/>
        </w:rPr>
        <w:t>开发</w:t>
      </w:r>
      <w:r>
        <w:rPr>
          <w:rFonts w:hint="eastAsia"/>
          <w:color w:val="auto"/>
        </w:rPr>
        <w:t>、</w:t>
      </w:r>
      <w:r>
        <w:rPr>
          <w:color w:val="auto"/>
        </w:rPr>
        <w:t>安全</w:t>
      </w:r>
      <w:r>
        <w:rPr>
          <w:rFonts w:hint="eastAsia"/>
          <w:color w:val="auto"/>
        </w:rPr>
        <w:t>、</w:t>
      </w:r>
      <w:r>
        <w:rPr>
          <w:color w:val="auto"/>
        </w:rPr>
        <w:t>运维</w:t>
      </w:r>
      <w:r>
        <w:rPr>
          <w:rFonts w:hint="eastAsia"/>
          <w:color w:val="auto"/>
        </w:rPr>
        <w:t>、</w:t>
      </w:r>
      <w:r>
        <w:rPr>
          <w:color w:val="auto"/>
        </w:rPr>
        <w:t>合规全生命周期的一体化改进框架</w:t>
      </w:r>
      <w:r>
        <w:rPr>
          <w:rFonts w:hint="eastAsia"/>
          <w:color w:val="auto"/>
        </w:rPr>
        <w:t>经验不太丰富；</w:t>
      </w:r>
      <w:r>
        <w:rPr>
          <w:color w:val="auto"/>
        </w:rPr>
        <w:t>二是工程度量体系虽日益完善，但度量结果与组织决策间仍存在</w:t>
      </w:r>
      <w:r>
        <w:rPr>
          <w:rFonts w:hint="eastAsia"/>
          <w:color w:val="auto"/>
        </w:rPr>
        <w:t>不足</w:t>
      </w:r>
      <w:r>
        <w:rPr>
          <w:color w:val="auto"/>
        </w:rPr>
        <w:t>；三是安全与合规左移的工程化落地尚不成熟；四是技术债务治理与系统稳定性管理之间的协同机制有待完善。针对上述</w:t>
      </w:r>
      <w:r>
        <w:rPr>
          <w:rFonts w:hint="eastAsia"/>
          <w:color w:val="auto"/>
        </w:rPr>
        <w:t>的不足，我们</w:t>
      </w:r>
      <w:r>
        <w:rPr>
          <w:color w:val="auto"/>
        </w:rPr>
        <w:t>将以过程规范化</w:t>
      </w:r>
      <w:r>
        <w:rPr>
          <w:rFonts w:hint="eastAsia"/>
          <w:color w:val="auto"/>
        </w:rPr>
        <w:t>、</w:t>
      </w:r>
      <w:r>
        <w:rPr>
          <w:color w:val="auto"/>
        </w:rPr>
        <w:t>技术自动化</w:t>
      </w:r>
      <w:r>
        <w:rPr>
          <w:rFonts w:hint="eastAsia"/>
          <w:color w:val="auto"/>
        </w:rPr>
        <w:t>、</w:t>
      </w:r>
      <w:r>
        <w:rPr>
          <w:color w:val="auto"/>
        </w:rPr>
        <w:t>组织协同化为核心思路，结合DevSecOps体系与工程管理方法，构建适用于金融科技高合规场景的软件开发过程改进模型，</w:t>
      </w:r>
      <w:r>
        <w:rPr>
          <w:rFonts w:hint="eastAsia"/>
          <w:color w:val="auto"/>
        </w:rPr>
        <w:t>希望能</w:t>
      </w:r>
      <w:r>
        <w:rPr>
          <w:color w:val="auto"/>
        </w:rPr>
        <w:t>为企业持续提升工程效能与过程质量提供</w:t>
      </w:r>
      <w:r>
        <w:rPr>
          <w:rFonts w:hint="eastAsia"/>
          <w:color w:val="auto"/>
        </w:rPr>
        <w:t>一些理</w:t>
      </w:r>
      <w:r>
        <w:rPr>
          <w:color w:val="auto"/>
        </w:rPr>
        <w:t>论依据与实践路径。</w:t>
      </w:r>
    </w:p>
    <w:p w14:paraId="5B1E8B71">
      <w:pPr>
        <w:pStyle w:val="3"/>
        <w:keepNext/>
        <w:keepLines/>
        <w:numPr>
          <w:ilvl w:val="1"/>
          <w:numId w:val="0"/>
        </w:numPr>
        <w:adjustRightInd/>
        <w:snapToGrid/>
        <w:rPr>
          <w:rFonts w:ascii="Times New Roman" w:hAnsi="Times New Roman"/>
          <w:bCs/>
          <w:color w:val="auto"/>
          <w:szCs w:val="32"/>
        </w:rPr>
      </w:pPr>
      <w:bookmarkStart w:id="64" w:name="_Toc213192483"/>
      <w:bookmarkStart w:id="65" w:name="_Toc213190775"/>
      <w:bookmarkStart w:id="66" w:name="_Toc213192791"/>
      <w:bookmarkStart w:id="67" w:name="_Toc12779"/>
      <w:r>
        <w:rPr>
          <w:rFonts w:hint="eastAsia" w:ascii="Times New Roman" w:hAnsi="Times New Roman"/>
          <w:bCs/>
          <w:color w:val="auto"/>
          <w:szCs w:val="32"/>
        </w:rPr>
        <w:t>1.3 研究内容与方法</w:t>
      </w:r>
      <w:bookmarkEnd w:id="64"/>
      <w:bookmarkEnd w:id="65"/>
      <w:bookmarkEnd w:id="66"/>
      <w:bookmarkEnd w:id="67"/>
    </w:p>
    <w:p w14:paraId="3F92AAD7">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68" w:name="_Toc213192484"/>
      <w:bookmarkStart w:id="69" w:name="_Toc213190776"/>
      <w:bookmarkStart w:id="70" w:name="_Toc213192792"/>
      <w:bookmarkStart w:id="71" w:name="_Toc8248"/>
      <w:r>
        <w:rPr>
          <w:rFonts w:hint="eastAsia" w:ascii="Times New Roman" w:hAnsi="Times New Roman" w:eastAsia="黑体" w:cs="Times New Roman"/>
          <w:bCs/>
          <w:sz w:val="24"/>
          <w:szCs w:val="24"/>
        </w:rPr>
        <w:t>1.3.1 研究内容</w:t>
      </w:r>
      <w:bookmarkEnd w:id="68"/>
      <w:bookmarkEnd w:id="69"/>
      <w:bookmarkEnd w:id="70"/>
      <w:bookmarkEnd w:id="71"/>
    </w:p>
    <w:p w14:paraId="25D94DAA">
      <w:pPr>
        <w:pStyle w:val="57"/>
        <w:ind w:firstLine="480"/>
        <w:jc w:val="both"/>
        <w:rPr>
          <w:color w:val="auto"/>
        </w:rPr>
      </w:pPr>
      <w:r>
        <w:rPr>
          <w:color w:val="auto"/>
        </w:rPr>
        <w:t>论文以工程管理视角为出发点，结合软件过程改进（Software Process Improvement, SPI）理论、DevSecOps理念及系统工程方法，针对H公司在金融科技背景下的软件开发过程改进问题展开系统研究。研究遵循问题识别</w:t>
      </w:r>
      <w:r>
        <w:rPr>
          <w:rFonts w:hint="eastAsia"/>
          <w:color w:val="auto"/>
        </w:rPr>
        <w:t>、</w:t>
      </w:r>
      <w:r>
        <w:rPr>
          <w:color w:val="auto"/>
        </w:rPr>
        <w:t>理论构建</w:t>
      </w:r>
      <w:r>
        <w:rPr>
          <w:rFonts w:hint="eastAsia"/>
          <w:color w:val="auto"/>
        </w:rPr>
        <w:t>、</w:t>
      </w:r>
      <w:r>
        <w:rPr>
          <w:color w:val="auto"/>
        </w:rPr>
        <w:t>方案设计</w:t>
      </w:r>
      <w:r>
        <w:rPr>
          <w:rFonts w:hint="eastAsia"/>
          <w:color w:val="auto"/>
        </w:rPr>
        <w:t>、</w:t>
      </w:r>
      <w:r>
        <w:rPr>
          <w:color w:val="auto"/>
        </w:rPr>
        <w:t>实施验证</w:t>
      </w:r>
      <w:r>
        <w:rPr>
          <w:rFonts w:hint="eastAsia"/>
          <w:color w:val="auto"/>
        </w:rPr>
        <w:t>、</w:t>
      </w:r>
      <w:r>
        <w:rPr>
          <w:color w:val="auto"/>
        </w:rPr>
        <w:t>经验总结的逻辑主线，旨在构建一套可度量、可验证、可持续的软件开发过程改进框架，实现效率、质量与合规性的协同优化。</w:t>
      </w:r>
    </w:p>
    <w:p w14:paraId="5B5B1AEB">
      <w:pPr>
        <w:pStyle w:val="57"/>
        <w:ind w:firstLine="480"/>
        <w:jc w:val="both"/>
        <w:rPr>
          <w:color w:val="auto"/>
        </w:rPr>
      </w:pPr>
      <w:r>
        <w:rPr>
          <w:rFonts w:hint="eastAsia"/>
          <w:color w:val="auto"/>
        </w:rPr>
        <w:t>其</w:t>
      </w:r>
      <w:r>
        <w:rPr>
          <w:color w:val="auto"/>
        </w:rPr>
        <w:t>研究的主要内容包括以下几个方面</w:t>
      </w:r>
      <w:r>
        <w:rPr>
          <w:rFonts w:hint="eastAsia"/>
          <w:color w:val="auto"/>
        </w:rPr>
        <w:t>：</w:t>
      </w:r>
    </w:p>
    <w:p w14:paraId="5EA3B85A">
      <w:pPr>
        <w:pStyle w:val="57"/>
        <w:ind w:firstLine="480"/>
        <w:jc w:val="both"/>
        <w:rPr>
          <w:color w:val="auto"/>
        </w:rPr>
      </w:pPr>
      <w:r>
        <w:rPr>
          <w:color w:val="auto"/>
        </w:rPr>
        <w:t>（1）H公司软件开发过程现状诊断与问题识别</w:t>
      </w:r>
    </w:p>
    <w:p w14:paraId="1CDC2CC7">
      <w:pPr>
        <w:pStyle w:val="57"/>
        <w:ind w:firstLine="480"/>
        <w:jc w:val="both"/>
        <w:rPr>
          <w:color w:val="auto"/>
        </w:rPr>
      </w:pPr>
      <w:r>
        <w:rPr>
          <w:color w:val="auto"/>
        </w:rPr>
        <w:t>本研究首先在深入分析金融科技行业特征与监管环境的基础上，对H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14:paraId="08869C48">
      <w:pPr>
        <w:pStyle w:val="57"/>
        <w:ind w:firstLine="480"/>
        <w:jc w:val="both"/>
        <w:rPr>
          <w:color w:val="auto"/>
        </w:rPr>
      </w:pPr>
      <w:r>
        <w:rPr>
          <w:color w:val="auto"/>
        </w:rPr>
        <w:t>（2）理论框架与分析模型构建</w:t>
      </w:r>
    </w:p>
    <w:p w14:paraId="2787E98A">
      <w:pPr>
        <w:pStyle w:val="57"/>
        <w:ind w:firstLine="480"/>
        <w:jc w:val="both"/>
        <w:rPr>
          <w:color w:val="auto"/>
        </w:rPr>
      </w:pPr>
      <w:r>
        <w:rPr>
          <w:color w:val="auto"/>
        </w:rPr>
        <w:t>在理论层面，论文综合运用软件过程改进（SPI）、系统工程和工程管理理论，结合DevSecOps与价值流管理（Value Stream Management, VSM）理念，构建了适用于金融科技企业的软件开发过程改进总体框架。该框架以过程规范化</w:t>
      </w:r>
      <w:r>
        <w:rPr>
          <w:rFonts w:hint="eastAsia"/>
          <w:color w:val="auto"/>
        </w:rPr>
        <w:t>、</w:t>
      </w:r>
      <w:r>
        <w:rPr>
          <w:color w:val="auto"/>
        </w:rPr>
        <w:t>技术自动化</w:t>
      </w:r>
      <w:r>
        <w:rPr>
          <w:rFonts w:hint="eastAsia"/>
          <w:color w:val="auto"/>
        </w:rPr>
        <w:t>、</w:t>
      </w:r>
      <w:r>
        <w:rPr>
          <w:color w:val="auto"/>
        </w:rPr>
        <w:t>组织协同化</w:t>
      </w:r>
      <w:r>
        <w:rPr>
          <w:rFonts w:hint="eastAsia"/>
          <w:color w:val="auto"/>
        </w:rPr>
        <w:t>、</w:t>
      </w:r>
      <w:r>
        <w:rPr>
          <w:color w:val="auto"/>
        </w:rPr>
        <w:t>为核心逻辑，强调度量驱动的反馈闭环机制，以实现效率、质量与安全之间的动态平衡。</w:t>
      </w:r>
    </w:p>
    <w:p w14:paraId="5B6B9CB1">
      <w:pPr>
        <w:pStyle w:val="57"/>
        <w:ind w:firstLine="480"/>
        <w:jc w:val="both"/>
        <w:rPr>
          <w:color w:val="auto"/>
        </w:rPr>
      </w:pPr>
      <w:r>
        <w:rPr>
          <w:color w:val="auto"/>
        </w:rPr>
        <w:t>在此框架下，研究进一步提出基于度量数据与组织行为交互的分析模型，为后续过程优化提供结构化的理论支撑。</w:t>
      </w:r>
    </w:p>
    <w:p w14:paraId="0ADA46D9">
      <w:pPr>
        <w:pStyle w:val="57"/>
        <w:ind w:firstLine="480"/>
        <w:jc w:val="both"/>
        <w:rPr>
          <w:color w:val="auto"/>
        </w:rPr>
      </w:pPr>
      <w:r>
        <w:rPr>
          <w:color w:val="auto"/>
        </w:rPr>
        <w:t>（3）针对关键问题的过程改进方案设计</w:t>
      </w:r>
    </w:p>
    <w:p w14:paraId="4CDC5A38">
      <w:pPr>
        <w:pStyle w:val="57"/>
        <w:ind w:firstLine="480"/>
        <w:jc w:val="both"/>
        <w:rPr>
          <w:color w:val="auto"/>
        </w:rPr>
      </w:pPr>
      <w:r>
        <w:rPr>
          <w:color w:val="auto"/>
        </w:rPr>
        <w:t>基于前期诊断与理论分析结果，论文设计了系统化、可落地的改进方案，主要包括以下五个方面：</w:t>
      </w:r>
    </w:p>
    <w:p w14:paraId="3B6208A6">
      <w:pPr>
        <w:pStyle w:val="57"/>
        <w:ind w:firstLine="480"/>
        <w:jc w:val="both"/>
        <w:rPr>
          <w:color w:val="auto"/>
        </w:rPr>
      </w:pPr>
      <w:r>
        <w:rPr>
          <w:rFonts w:hint="eastAsia"/>
          <w:color w:val="auto"/>
          <w:lang w:val="en-US" w:eastAsia="zh-CN"/>
        </w:rPr>
        <w:t>1</w:t>
      </w:r>
      <w:r>
        <w:rPr>
          <w:color w:val="auto"/>
        </w:rPr>
        <w:t>）在需求管理方面，构建动态优先级机制与需求追踪体系，以提升需求响应的及时性与可追溯性</w:t>
      </w:r>
      <w:r>
        <w:rPr>
          <w:rFonts w:hint="eastAsia"/>
          <w:color w:val="auto"/>
        </w:rPr>
        <w:t>。</w:t>
      </w:r>
    </w:p>
    <w:p w14:paraId="083A004D">
      <w:pPr>
        <w:pStyle w:val="57"/>
        <w:ind w:firstLine="480"/>
        <w:jc w:val="both"/>
        <w:rPr>
          <w:color w:val="auto"/>
        </w:rPr>
      </w:pPr>
      <w:r>
        <w:rPr>
          <w:rFonts w:hint="eastAsia"/>
          <w:color w:val="auto"/>
          <w:lang w:val="en-US" w:eastAsia="zh-CN"/>
        </w:rPr>
        <w:t>2</w:t>
      </w:r>
      <w:r>
        <w:rPr>
          <w:color w:val="auto"/>
        </w:rPr>
        <w:t>）在安全治理方面，实施安全左移策略，将安全检测与合规审查嵌入开发早期阶段，实现安全风险的前置防控</w:t>
      </w:r>
      <w:r>
        <w:rPr>
          <w:rFonts w:hint="eastAsia"/>
          <w:color w:val="auto"/>
        </w:rPr>
        <w:t>。</w:t>
      </w:r>
    </w:p>
    <w:p w14:paraId="7ED66B9A">
      <w:pPr>
        <w:pStyle w:val="57"/>
        <w:ind w:firstLine="480"/>
        <w:jc w:val="both"/>
        <w:rPr>
          <w:color w:val="auto"/>
        </w:rPr>
      </w:pPr>
      <w:r>
        <w:rPr>
          <w:rFonts w:hint="eastAsia"/>
          <w:color w:val="auto"/>
          <w:lang w:val="en-US" w:eastAsia="zh-CN"/>
        </w:rPr>
        <w:t>3</w:t>
      </w:r>
      <w:r>
        <w:rPr>
          <w:color w:val="auto"/>
        </w:rPr>
        <w:t>）在技术债务治理方面，建立技术债务识别与偿还机制，通过持续重构与架构优化，增强系统的可维护性与演化能力</w:t>
      </w:r>
      <w:r>
        <w:rPr>
          <w:rFonts w:hint="eastAsia"/>
          <w:color w:val="auto"/>
        </w:rPr>
        <w:t>。</w:t>
      </w:r>
    </w:p>
    <w:p w14:paraId="680BB0BA">
      <w:pPr>
        <w:pStyle w:val="57"/>
        <w:ind w:firstLine="480"/>
        <w:jc w:val="both"/>
        <w:rPr>
          <w:color w:val="auto"/>
        </w:rPr>
      </w:pPr>
      <w:r>
        <w:rPr>
          <w:rFonts w:hint="eastAsia"/>
          <w:color w:val="auto"/>
          <w:lang w:val="en-US" w:eastAsia="zh-CN"/>
        </w:rPr>
        <w:t>4</w:t>
      </w:r>
      <w:r>
        <w:rPr>
          <w:color w:val="auto"/>
        </w:rPr>
        <w:t>）在智能运维方面，结合AIOps与SRE理念，构建自动化监控、容量预测与故障自愈机制，提升系统运行的稳定性</w:t>
      </w:r>
      <w:r>
        <w:rPr>
          <w:rFonts w:hint="eastAsia"/>
          <w:color w:val="auto"/>
        </w:rPr>
        <w:t>。</w:t>
      </w:r>
    </w:p>
    <w:p w14:paraId="548C8076">
      <w:pPr>
        <w:pStyle w:val="57"/>
        <w:ind w:firstLine="480"/>
        <w:jc w:val="both"/>
        <w:rPr>
          <w:color w:val="auto"/>
        </w:rPr>
      </w:pPr>
      <w:r>
        <w:rPr>
          <w:rFonts w:hint="eastAsia"/>
          <w:color w:val="auto"/>
          <w:lang w:val="en-US" w:eastAsia="zh-CN"/>
        </w:rPr>
        <w:t>5</w:t>
      </w:r>
      <w:r>
        <w:rPr>
          <w:color w:val="auto"/>
        </w:rPr>
        <w:t>）在跨职能协作方面，优化组织结构与沟通流程，建立跨部门责任矩阵和统一度量看板，强化研发、安全与运维团队的协同效率。</w:t>
      </w:r>
    </w:p>
    <w:p w14:paraId="64292DDD">
      <w:pPr>
        <w:pStyle w:val="57"/>
        <w:ind w:firstLine="480"/>
        <w:jc w:val="both"/>
        <w:rPr>
          <w:color w:val="auto"/>
        </w:rPr>
      </w:pPr>
      <w:r>
        <w:rPr>
          <w:color w:val="auto"/>
        </w:rPr>
        <w:t>通过以上措施，论文实现了从理论框架到改进策略的系统衔接，形成了具有可执行性的软件过程改进路径。</w:t>
      </w:r>
    </w:p>
    <w:p w14:paraId="6E9B74E1">
      <w:pPr>
        <w:pStyle w:val="57"/>
        <w:ind w:firstLine="480"/>
        <w:jc w:val="both"/>
        <w:rPr>
          <w:color w:val="auto"/>
        </w:rPr>
      </w:pPr>
      <w:r>
        <w:rPr>
          <w:color w:val="auto"/>
        </w:rPr>
        <w:t>（4）改进方案的实施与效果验证</w:t>
      </w:r>
    </w:p>
    <w:p w14:paraId="64D4CA11">
      <w:pPr>
        <w:pStyle w:val="57"/>
        <w:ind w:firstLine="480"/>
        <w:jc w:val="both"/>
        <w:rPr>
          <w:color w:val="auto"/>
        </w:rPr>
      </w:pPr>
      <w:r>
        <w:rPr>
          <w:color w:val="auto"/>
        </w:rPr>
        <w:t>在实施阶段，论文以H公司内部典型项目为研究对象，对提出的改进方案进行实证验证。研究选取交付周期、缺陷密度、变更失败率、平均恢复时间（MTTR）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H公司软件开发过程的成熟度与可控性，实现了管理效率与系统性能的双重优化。</w:t>
      </w:r>
    </w:p>
    <w:p w14:paraId="3C78B489">
      <w:pPr>
        <w:pStyle w:val="57"/>
        <w:ind w:firstLine="480"/>
        <w:jc w:val="both"/>
        <w:rPr>
          <w:color w:val="auto"/>
        </w:rPr>
      </w:pPr>
      <w:r>
        <w:rPr>
          <w:color w:val="auto"/>
        </w:rPr>
        <w:t>（5）持续改进机制与管理经验总结</w:t>
      </w:r>
    </w:p>
    <w:p w14:paraId="40D01F66">
      <w:pPr>
        <w:pStyle w:val="57"/>
        <w:ind w:firstLine="480"/>
        <w:jc w:val="both"/>
        <w:rPr>
          <w:color w:val="auto"/>
        </w:rPr>
      </w:pPr>
      <w:r>
        <w:rPr>
          <w:color w:val="auto"/>
        </w:rPr>
        <w:t>在实证研究基础上，论文进一步总结了H公司软件开发过程改进的经验规律，提出以PDCA循环与CAPA机制为核心的持续改进模式。研究指出，软件过程改进应从阶段性优化向持续演进转变，通过度量</w:t>
      </w:r>
      <w:r>
        <w:rPr>
          <w:rFonts w:hint="eastAsia"/>
          <w:color w:val="auto"/>
        </w:rPr>
        <w:t>、</w:t>
      </w:r>
      <w:r>
        <w:rPr>
          <w:color w:val="auto"/>
        </w:rPr>
        <w:t>反馈</w:t>
      </w:r>
      <w:r>
        <w:rPr>
          <w:rFonts w:hint="eastAsia"/>
          <w:color w:val="auto"/>
        </w:rPr>
        <w:t>、</w:t>
      </w:r>
      <w:r>
        <w:rPr>
          <w:color w:val="auto"/>
        </w:rPr>
        <w:t>优化</w:t>
      </w:r>
      <w:r>
        <w:rPr>
          <w:rFonts w:hint="eastAsia"/>
          <w:color w:val="auto"/>
        </w:rPr>
        <w:t>、</w:t>
      </w:r>
      <w:r>
        <w:rPr>
          <w:color w:val="auto"/>
        </w:rPr>
        <w:t>再度量的循环机制实现组织学习与过程演化的有机统一。同时，从工程管理视角出发，论文提炼出对金融科技企业过程治理的启示，为高合规行业构建可复制的软件过程改进体系提供</w:t>
      </w:r>
      <w:r>
        <w:rPr>
          <w:rFonts w:hint="eastAsia"/>
          <w:color w:val="auto"/>
        </w:rPr>
        <w:t>了少许</w:t>
      </w:r>
      <w:r>
        <w:rPr>
          <w:color w:val="auto"/>
        </w:rPr>
        <w:t>理论支撑与实践指导。</w:t>
      </w:r>
    </w:p>
    <w:p w14:paraId="2E316FC2">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72" w:name="_Toc213192485"/>
      <w:bookmarkStart w:id="73" w:name="_Toc213192793"/>
      <w:bookmarkStart w:id="74" w:name="_Toc213190777"/>
      <w:bookmarkStart w:id="75" w:name="_Toc3043"/>
      <w:r>
        <w:rPr>
          <w:rFonts w:hint="eastAsia" w:ascii="Times New Roman" w:hAnsi="Times New Roman" w:eastAsia="黑体" w:cs="Times New Roman"/>
          <w:bCs/>
          <w:sz w:val="24"/>
          <w:szCs w:val="24"/>
        </w:rPr>
        <w:t>1.3.2 研究方法</w:t>
      </w:r>
      <w:bookmarkEnd w:id="72"/>
      <w:bookmarkEnd w:id="73"/>
      <w:bookmarkEnd w:id="74"/>
      <w:bookmarkEnd w:id="75"/>
    </w:p>
    <w:p w14:paraId="3C0EA550">
      <w:pPr>
        <w:pStyle w:val="57"/>
        <w:ind w:firstLine="480"/>
        <w:jc w:val="both"/>
        <w:rPr>
          <w:color w:val="auto"/>
        </w:rPr>
      </w:pPr>
      <w:r>
        <w:rPr>
          <w:color w:val="auto"/>
        </w:rPr>
        <w:t>论文围绕H公司软件开发过程的改进研究，综合运用了多种研究方法。研究方法的选择兼顾理论支撑与实践验证，形成了文献分析</w:t>
      </w:r>
      <w:r>
        <w:rPr>
          <w:rFonts w:hint="eastAsia"/>
          <w:color w:val="auto"/>
        </w:rPr>
        <w:t>、</w:t>
      </w:r>
      <w:r>
        <w:rPr>
          <w:color w:val="auto"/>
        </w:rPr>
        <w:t>案例研究</w:t>
      </w:r>
      <w:r>
        <w:rPr>
          <w:rFonts w:hint="eastAsia"/>
          <w:color w:val="auto"/>
        </w:rPr>
        <w:t>、</w:t>
      </w:r>
      <w:r>
        <w:rPr>
          <w:color w:val="auto"/>
        </w:rPr>
        <w:t>过程诊断</w:t>
      </w:r>
      <w:r>
        <w:rPr>
          <w:rFonts w:hint="eastAsia"/>
          <w:color w:val="auto"/>
        </w:rPr>
        <w:t>、</w:t>
      </w:r>
      <w:r>
        <w:rPr>
          <w:color w:val="auto"/>
        </w:rPr>
        <w:t>定量度量</w:t>
      </w:r>
      <w:r>
        <w:rPr>
          <w:rFonts w:hint="eastAsia"/>
          <w:color w:val="auto"/>
        </w:rPr>
        <w:t>、</w:t>
      </w:r>
      <w:r>
        <w:rPr>
          <w:color w:val="auto"/>
        </w:rPr>
        <w:t>系统建模</w:t>
      </w:r>
      <w:r>
        <w:rPr>
          <w:rFonts w:hint="eastAsia"/>
          <w:color w:val="auto"/>
        </w:rPr>
        <w:t>、</w:t>
      </w:r>
      <w:r>
        <w:rPr>
          <w:color w:val="auto"/>
        </w:rPr>
        <w:t>实证评估</w:t>
      </w:r>
      <w:r>
        <w:rPr>
          <w:rFonts w:hint="eastAsia"/>
          <w:color w:val="auto"/>
        </w:rPr>
        <w:t>、</w:t>
      </w:r>
      <w:r>
        <w:rPr>
          <w:color w:val="auto"/>
        </w:rPr>
        <w:t>专家访谈相结合的研究体系。</w:t>
      </w:r>
    </w:p>
    <w:p w14:paraId="0CEE928B">
      <w:pPr>
        <w:pStyle w:val="57"/>
        <w:ind w:firstLine="480"/>
        <w:jc w:val="both"/>
        <w:rPr>
          <w:color w:val="auto"/>
        </w:rPr>
      </w:pPr>
      <w:r>
        <w:rPr>
          <w:color w:val="auto"/>
        </w:rPr>
        <w:t>具体</w:t>
      </w:r>
      <w:r>
        <w:rPr>
          <w:rFonts w:hint="eastAsia"/>
          <w:color w:val="auto"/>
        </w:rPr>
        <w:t>研究方法</w:t>
      </w:r>
      <w:r>
        <w:rPr>
          <w:color w:val="auto"/>
        </w:rPr>
        <w:t>如下：</w:t>
      </w:r>
    </w:p>
    <w:p w14:paraId="5561F4B1">
      <w:pPr>
        <w:pStyle w:val="57"/>
        <w:ind w:firstLine="480"/>
        <w:jc w:val="both"/>
        <w:rPr>
          <w:color w:val="auto"/>
        </w:rPr>
      </w:pPr>
      <w:r>
        <w:rPr>
          <w:color w:val="auto"/>
        </w:rPr>
        <w:t>（1）文献研究法</w:t>
      </w:r>
    </w:p>
    <w:p w14:paraId="26BB7E8B">
      <w:pPr>
        <w:pStyle w:val="57"/>
        <w:ind w:firstLine="480"/>
        <w:jc w:val="both"/>
        <w:rPr>
          <w:color w:val="auto"/>
        </w:rPr>
      </w:pPr>
      <w:r>
        <w:rPr>
          <w:color w:val="auto"/>
        </w:rPr>
        <w:t>通过系统查阅国内外在软件过程改进（SPI）、敏捷与DevSecOps、系统工程、工程效能度量、安全左移、技术债务治理、AIOps与跨职能协作等领域的研究成果，梳理相关理论模型与发展趋势</w:t>
      </w:r>
      <w:r>
        <w:rPr>
          <w:rFonts w:hint="eastAsia"/>
          <w:color w:val="auto"/>
        </w:rPr>
        <w:t>从而来确定</w:t>
      </w:r>
      <w:r>
        <w:rPr>
          <w:color w:val="auto"/>
        </w:rPr>
        <w:t>本</w:t>
      </w:r>
      <w:r>
        <w:rPr>
          <w:rFonts w:hint="eastAsia"/>
          <w:color w:val="auto"/>
        </w:rPr>
        <w:t>此</w:t>
      </w:r>
      <w:r>
        <w:rPr>
          <w:color w:val="auto"/>
        </w:rPr>
        <w:t>研究</w:t>
      </w:r>
      <w:r>
        <w:rPr>
          <w:rFonts w:hint="eastAsia"/>
          <w:color w:val="auto"/>
        </w:rPr>
        <w:t>实践</w:t>
      </w:r>
      <w:r>
        <w:rPr>
          <w:color w:val="auto"/>
        </w:rPr>
        <w:t>的理论基础。文献研究为后续研究提供了概念框架和方法论支撑。</w:t>
      </w:r>
    </w:p>
    <w:p w14:paraId="35A7350A">
      <w:pPr>
        <w:pStyle w:val="57"/>
        <w:ind w:firstLine="480"/>
        <w:jc w:val="both"/>
        <w:rPr>
          <w:color w:val="auto"/>
        </w:rPr>
      </w:pPr>
      <w:r>
        <w:rPr>
          <w:color w:val="auto"/>
        </w:rPr>
        <w:t>（2）案例研究法</w:t>
      </w:r>
    </w:p>
    <w:p w14:paraId="53A86B05">
      <w:pPr>
        <w:pStyle w:val="57"/>
        <w:ind w:firstLine="480"/>
        <w:jc w:val="both"/>
        <w:rPr>
          <w:color w:val="auto"/>
        </w:rPr>
      </w:pPr>
      <w:r>
        <w:rPr>
          <w:color w:val="auto"/>
        </w:rPr>
        <w:t>以H公司为典型案例，采用单一案例</w:t>
      </w:r>
      <w:r>
        <w:rPr>
          <w:rFonts w:hint="eastAsia"/>
          <w:color w:val="auto"/>
        </w:rPr>
        <w:t>与</w:t>
      </w:r>
      <w:r>
        <w:rPr>
          <w:color w:val="auto"/>
        </w:rPr>
        <w:t>深度剖析</w:t>
      </w:r>
      <w:r>
        <w:rPr>
          <w:rFonts w:hint="eastAsia"/>
          <w:color w:val="auto"/>
        </w:rPr>
        <w:t>的</w:t>
      </w:r>
      <w:r>
        <w:rPr>
          <w:color w:val="auto"/>
        </w:rPr>
        <w:t>模式，收集企业在需求管理、安全测试、发布运维和协作机制方面的实际数据，分析其软件开发过程中的主要问题与瓶颈。通过现场调研、制度文档、项目记录等多源信息，形成对H公司软件过程现状的系统化认识。</w:t>
      </w:r>
    </w:p>
    <w:p w14:paraId="5D1F7AE3">
      <w:pPr>
        <w:pStyle w:val="57"/>
        <w:ind w:firstLine="480"/>
        <w:jc w:val="both"/>
        <w:rPr>
          <w:color w:val="auto"/>
        </w:rPr>
      </w:pPr>
      <w:r>
        <w:rPr>
          <w:color w:val="auto"/>
        </w:rPr>
        <w:t>（3）比较分析法</w:t>
      </w:r>
    </w:p>
    <w:p w14:paraId="417EF088">
      <w:pPr>
        <w:pStyle w:val="57"/>
        <w:ind w:firstLine="480"/>
        <w:jc w:val="both"/>
        <w:rPr>
          <w:color w:val="auto"/>
        </w:rPr>
      </w:pPr>
      <w:r>
        <w:rPr>
          <w:color w:val="auto"/>
        </w:rPr>
        <w:t>参考国内外金融科技企业与互联网公司的过程改进经验，分析不同组织在DevSecOps落地、技术债务控制、自动化测试、智能运维等方面的成功模式与局限性。通过横向比较，提炼适合H公司特征的改进路径，为改进方案的设计提供外部标杆与可比依据。</w:t>
      </w:r>
    </w:p>
    <w:p w14:paraId="0C9A3C31">
      <w:pPr>
        <w:pStyle w:val="57"/>
        <w:ind w:firstLine="480"/>
        <w:jc w:val="both"/>
        <w:rPr>
          <w:color w:val="auto"/>
        </w:rPr>
      </w:pPr>
      <w:r>
        <w:rPr>
          <w:color w:val="auto"/>
        </w:rPr>
        <w:t>（4）定性与定量结合方法</w:t>
      </w:r>
    </w:p>
    <w:p w14:paraId="483FFE42">
      <w:pPr>
        <w:pStyle w:val="57"/>
        <w:ind w:firstLine="480"/>
        <w:jc w:val="both"/>
        <w:rPr>
          <w:color w:val="auto"/>
        </w:rPr>
      </w:pPr>
      <w:r>
        <w:rPr>
          <w:color w:val="auto"/>
        </w:rPr>
        <w:t>研究过程中既采用定性分析（如问题分类、机制识别、流程评估）揭示过程缺陷的本质，也通过定量度量</w:t>
      </w:r>
      <w:r>
        <w:rPr>
          <w:rFonts w:hint="eastAsia"/>
          <w:color w:val="auto"/>
        </w:rPr>
        <w:t>，</w:t>
      </w:r>
      <w:r>
        <w:rPr>
          <w:color w:val="auto"/>
        </w:rPr>
        <w:t>如DORA指标、缺陷密度、交付节拍、MTTR、变更失败率、协作等待比例等</w:t>
      </w:r>
      <w:r>
        <w:rPr>
          <w:rFonts w:hint="eastAsia"/>
          <w:color w:val="auto"/>
        </w:rPr>
        <w:t>等，来评</w:t>
      </w:r>
      <w:r>
        <w:rPr>
          <w:color w:val="auto"/>
        </w:rPr>
        <w:t>估改进</w:t>
      </w:r>
      <w:r>
        <w:rPr>
          <w:rFonts w:hint="eastAsia"/>
          <w:color w:val="auto"/>
        </w:rPr>
        <w:t>后的</w:t>
      </w:r>
      <w:r>
        <w:rPr>
          <w:color w:val="auto"/>
        </w:rPr>
        <w:t>效果。通过量化</w:t>
      </w:r>
      <w:r>
        <w:rPr>
          <w:rFonts w:hint="eastAsia"/>
          <w:color w:val="auto"/>
        </w:rPr>
        <w:t>这些</w:t>
      </w:r>
      <w:r>
        <w:rPr>
          <w:color w:val="auto"/>
        </w:rPr>
        <w:t>指标</w:t>
      </w:r>
      <w:r>
        <w:rPr>
          <w:rFonts w:hint="eastAsia"/>
          <w:color w:val="auto"/>
        </w:rPr>
        <w:t>，从而来</w:t>
      </w:r>
      <w:r>
        <w:rPr>
          <w:color w:val="auto"/>
        </w:rPr>
        <w:t>验</w:t>
      </w:r>
      <w:r>
        <w:rPr>
          <w:rFonts w:hint="eastAsia"/>
          <w:color w:val="auto"/>
        </w:rPr>
        <w:t>证</w:t>
      </w:r>
      <w:r>
        <w:rPr>
          <w:color w:val="auto"/>
        </w:rPr>
        <w:t>方案实施前后的变化，</w:t>
      </w:r>
      <w:r>
        <w:rPr>
          <w:rFonts w:hint="eastAsia"/>
          <w:color w:val="auto"/>
        </w:rPr>
        <w:t>进而</w:t>
      </w:r>
      <w:r>
        <w:rPr>
          <w:color w:val="auto"/>
        </w:rPr>
        <w:t>确保结论的科学性。</w:t>
      </w:r>
    </w:p>
    <w:p w14:paraId="6007DC3F">
      <w:pPr>
        <w:pStyle w:val="57"/>
        <w:ind w:firstLine="480"/>
        <w:jc w:val="both"/>
        <w:rPr>
          <w:color w:val="auto"/>
        </w:rPr>
      </w:pPr>
      <w:r>
        <w:rPr>
          <w:color w:val="auto"/>
        </w:rPr>
        <w:t>（5）系统分析法</w:t>
      </w:r>
    </w:p>
    <w:p w14:paraId="40534E88">
      <w:pPr>
        <w:pStyle w:val="57"/>
        <w:ind w:firstLine="480"/>
        <w:jc w:val="both"/>
        <w:rPr>
          <w:color w:val="auto"/>
        </w:rPr>
      </w:pPr>
      <w:r>
        <w:rPr>
          <w:color w:val="auto"/>
        </w:rPr>
        <w:t>以系统工程与工程管理理论为指导，从组织、流程、技术和文化四个子系统出发，构建软件开发过程的系统模型。通过输入</w:t>
      </w:r>
      <w:r>
        <w:rPr>
          <w:rFonts w:hint="eastAsia"/>
          <w:color w:val="auto"/>
        </w:rPr>
        <w:t>、</w:t>
      </w:r>
      <w:r>
        <w:rPr>
          <w:color w:val="auto"/>
        </w:rPr>
        <w:t>过程</w:t>
      </w:r>
      <w:r>
        <w:rPr>
          <w:rFonts w:hint="eastAsia"/>
          <w:color w:val="auto"/>
        </w:rPr>
        <w:t>、</w:t>
      </w:r>
      <w:r>
        <w:rPr>
          <w:color w:val="auto"/>
        </w:rPr>
        <w:t>输出</w:t>
      </w:r>
      <w:r>
        <w:rPr>
          <w:rFonts w:hint="eastAsia"/>
          <w:color w:val="auto"/>
        </w:rPr>
        <w:t>的</w:t>
      </w:r>
      <w:r>
        <w:rPr>
          <w:color w:val="auto"/>
        </w:rPr>
        <w:t>逻辑，分析</w:t>
      </w:r>
      <w:r>
        <w:rPr>
          <w:rFonts w:hint="eastAsia"/>
          <w:color w:val="auto"/>
        </w:rPr>
        <w:t>出</w:t>
      </w:r>
      <w:r>
        <w:rPr>
          <w:color w:val="auto"/>
        </w:rPr>
        <w:t>各要素</w:t>
      </w:r>
      <w:r>
        <w:rPr>
          <w:rFonts w:hint="eastAsia"/>
          <w:color w:val="auto"/>
        </w:rPr>
        <w:t>之</w:t>
      </w:r>
      <w:r>
        <w:rPr>
          <w:color w:val="auto"/>
        </w:rPr>
        <w:t>间的因果关系，</w:t>
      </w:r>
      <w:r>
        <w:rPr>
          <w:rFonts w:hint="eastAsia"/>
          <w:color w:val="auto"/>
        </w:rPr>
        <w:t>来</w:t>
      </w:r>
      <w:r>
        <w:rPr>
          <w:color w:val="auto"/>
        </w:rPr>
        <w:t>识别影响过程绩效的关键变量，</w:t>
      </w:r>
      <w:r>
        <w:rPr>
          <w:rFonts w:hint="eastAsia"/>
          <w:color w:val="auto"/>
        </w:rPr>
        <w:t>从而</w:t>
      </w:r>
      <w:r>
        <w:rPr>
          <w:color w:val="auto"/>
        </w:rPr>
        <w:t>形成面向全过程的改进思路。</w:t>
      </w:r>
    </w:p>
    <w:p w14:paraId="32E5F879">
      <w:pPr>
        <w:pStyle w:val="57"/>
        <w:ind w:firstLine="480"/>
        <w:jc w:val="both"/>
        <w:rPr>
          <w:color w:val="auto"/>
        </w:rPr>
      </w:pPr>
      <w:r>
        <w:rPr>
          <w:color w:val="auto"/>
        </w:rPr>
        <w:t>（6）过程度量与数据分析法</w:t>
      </w:r>
    </w:p>
    <w:p w14:paraId="381DEB58">
      <w:pPr>
        <w:pStyle w:val="57"/>
        <w:ind w:firstLine="480"/>
        <w:jc w:val="both"/>
        <w:rPr>
          <w:color w:val="auto"/>
        </w:rPr>
      </w:pPr>
      <w:r>
        <w:rPr>
          <w:color w:val="auto"/>
        </w:rPr>
        <w:t>在方案实施阶段，采用工程效能度量（Engineering Metrics）方法对关键过程指标进行量化分析，</w:t>
      </w:r>
      <w:r>
        <w:rPr>
          <w:rFonts w:hint="eastAsia"/>
          <w:color w:val="auto"/>
        </w:rPr>
        <w:t>以及</w:t>
      </w:r>
      <w:r>
        <w:rPr>
          <w:color w:val="auto"/>
        </w:rPr>
        <w:t>收集和处理来自需求系统、版本控制、测试与运维平台的数据，</w:t>
      </w:r>
      <w:r>
        <w:rPr>
          <w:rFonts w:hint="eastAsia"/>
          <w:color w:val="auto"/>
        </w:rPr>
        <w:t>还有</w:t>
      </w:r>
      <w:r>
        <w:rPr>
          <w:color w:val="auto"/>
        </w:rPr>
        <w:t>计算关键绩效指标（KPI），包括迭代周期、代码提交频率、缺陷逃逸率、技术债务密度和自动化测试覆盖率等</w:t>
      </w:r>
      <w:r>
        <w:rPr>
          <w:rFonts w:hint="eastAsia"/>
          <w:color w:val="auto"/>
        </w:rPr>
        <w:t>等</w:t>
      </w:r>
      <w:r>
        <w:rPr>
          <w:color w:val="auto"/>
        </w:rPr>
        <w:t>，</w:t>
      </w:r>
      <w:r>
        <w:rPr>
          <w:rFonts w:hint="eastAsia"/>
          <w:color w:val="auto"/>
        </w:rPr>
        <w:t>从而</w:t>
      </w:r>
      <w:r>
        <w:rPr>
          <w:color w:val="auto"/>
        </w:rPr>
        <w:t>评估改进</w:t>
      </w:r>
      <w:r>
        <w:rPr>
          <w:rFonts w:hint="eastAsia"/>
          <w:color w:val="auto"/>
        </w:rPr>
        <w:t>后的</w:t>
      </w:r>
      <w:r>
        <w:rPr>
          <w:color w:val="auto"/>
        </w:rPr>
        <w:t>成效。</w:t>
      </w:r>
    </w:p>
    <w:p w14:paraId="3C3BFECA">
      <w:pPr>
        <w:pStyle w:val="57"/>
        <w:ind w:firstLine="480"/>
        <w:jc w:val="both"/>
        <w:rPr>
          <w:color w:val="auto"/>
        </w:rPr>
      </w:pPr>
      <w:r>
        <w:rPr>
          <w:color w:val="auto"/>
        </w:rPr>
        <w:t>（7）机制建模与验证法</w:t>
      </w:r>
    </w:p>
    <w:p w14:paraId="5CBD238F">
      <w:pPr>
        <w:pStyle w:val="57"/>
        <w:ind w:firstLine="480"/>
        <w:jc w:val="both"/>
        <w:rPr>
          <w:color w:val="auto"/>
        </w:rPr>
      </w:pPr>
      <w:r>
        <w:rPr>
          <w:color w:val="auto"/>
        </w:rPr>
        <w:t>基于前期</w:t>
      </w:r>
      <w:r>
        <w:rPr>
          <w:rFonts w:hint="eastAsia"/>
          <w:color w:val="auto"/>
        </w:rPr>
        <w:t>的</w:t>
      </w:r>
      <w:r>
        <w:rPr>
          <w:color w:val="auto"/>
        </w:rPr>
        <w:t>分析结果，构建</w:t>
      </w:r>
      <w:r>
        <w:rPr>
          <w:rFonts w:hint="eastAsia"/>
          <w:color w:val="auto"/>
        </w:rPr>
        <w:t>了</w:t>
      </w:r>
      <w:r>
        <w:rPr>
          <w:color w:val="auto"/>
        </w:rPr>
        <w:t>过程问题</w:t>
      </w:r>
      <w:r>
        <w:rPr>
          <w:rFonts w:hint="eastAsia"/>
          <w:color w:val="auto"/>
        </w:rPr>
        <w:t>、</w:t>
      </w:r>
      <w:r>
        <w:rPr>
          <w:color w:val="auto"/>
        </w:rPr>
        <w:t>改进策略</w:t>
      </w:r>
      <w:r>
        <w:rPr>
          <w:rFonts w:hint="eastAsia"/>
          <w:color w:val="auto"/>
        </w:rPr>
        <w:t>、</w:t>
      </w:r>
      <w:r>
        <w:rPr>
          <w:color w:val="auto"/>
        </w:rPr>
        <w:t>效能提升的逻辑模型，采用</w:t>
      </w:r>
      <w:r>
        <w:rPr>
          <w:rFonts w:hint="eastAsia"/>
          <w:color w:val="auto"/>
        </w:rPr>
        <w:t>了</w:t>
      </w:r>
      <w:r>
        <w:rPr>
          <w:color w:val="auto"/>
        </w:rPr>
        <w:t>系统动力学与价值流映射（VSM）方法描述改进路径与反馈机制。通过模型验证不同改进措施的可行性与效果，对方案进行</w:t>
      </w:r>
      <w:r>
        <w:rPr>
          <w:rFonts w:hint="eastAsia"/>
          <w:color w:val="auto"/>
        </w:rPr>
        <w:t>不断的</w:t>
      </w:r>
      <w:r>
        <w:rPr>
          <w:color w:val="auto"/>
        </w:rPr>
        <w:t>优化调整。</w:t>
      </w:r>
    </w:p>
    <w:p w14:paraId="377F7D5B">
      <w:pPr>
        <w:pStyle w:val="57"/>
        <w:ind w:firstLine="480"/>
        <w:jc w:val="both"/>
        <w:rPr>
          <w:color w:val="auto"/>
        </w:rPr>
      </w:pPr>
      <w:r>
        <w:rPr>
          <w:color w:val="auto"/>
        </w:rPr>
        <w:t>（8）专家访谈与三角验证法</w:t>
      </w:r>
    </w:p>
    <w:p w14:paraId="0AB3C267">
      <w:pPr>
        <w:pStyle w:val="57"/>
        <w:ind w:firstLine="480"/>
        <w:jc w:val="both"/>
        <w:rPr>
          <w:color w:val="auto"/>
        </w:rPr>
      </w:pPr>
      <w:r>
        <w:rPr>
          <w:color w:val="auto"/>
        </w:rPr>
        <w:t>为</w:t>
      </w:r>
      <w:r>
        <w:rPr>
          <w:rFonts w:hint="eastAsia"/>
          <w:color w:val="auto"/>
        </w:rPr>
        <w:t>了</w:t>
      </w:r>
      <w:r>
        <w:rPr>
          <w:color w:val="auto"/>
        </w:rPr>
        <w:t>确保研究结论的客观性与实践可行性，组织项目经理、架构师、安全负责人、运维专家等角色</w:t>
      </w:r>
      <w:r>
        <w:rPr>
          <w:rFonts w:hint="eastAsia"/>
          <w:color w:val="auto"/>
        </w:rPr>
        <w:t>，</w:t>
      </w:r>
      <w:r>
        <w:rPr>
          <w:color w:val="auto"/>
        </w:rPr>
        <w:t>开展</w:t>
      </w:r>
      <w:r>
        <w:rPr>
          <w:rFonts w:hint="eastAsia"/>
          <w:color w:val="auto"/>
        </w:rPr>
        <w:t>了</w:t>
      </w:r>
      <w:r>
        <w:rPr>
          <w:color w:val="auto"/>
        </w:rPr>
        <w:t>半结构化访谈，收集</w:t>
      </w:r>
      <w:r>
        <w:rPr>
          <w:rFonts w:hint="eastAsia"/>
          <w:color w:val="auto"/>
        </w:rPr>
        <w:t>了一些</w:t>
      </w:r>
      <w:r>
        <w:rPr>
          <w:color w:val="auto"/>
        </w:rPr>
        <w:t>对方案设计与执行效果的反馈意见。同时结合问卷调查、</w:t>
      </w:r>
      <w:r>
        <w:rPr>
          <w:rFonts w:hint="eastAsia"/>
          <w:color w:val="auto"/>
        </w:rPr>
        <w:t>以及</w:t>
      </w:r>
      <w:r>
        <w:rPr>
          <w:color w:val="auto"/>
        </w:rPr>
        <w:t>过程日志与实证结果进行三角互证，</w:t>
      </w:r>
      <w:r>
        <w:rPr>
          <w:rFonts w:hint="eastAsia"/>
          <w:color w:val="auto"/>
        </w:rPr>
        <w:t>来</w:t>
      </w:r>
      <w:r>
        <w:rPr>
          <w:color w:val="auto"/>
        </w:rPr>
        <w:t>增强研究结果的可信度。</w:t>
      </w:r>
    </w:p>
    <w:p w14:paraId="65EE22AD">
      <w:pPr>
        <w:pStyle w:val="57"/>
        <w:ind w:firstLine="480"/>
        <w:jc w:val="both"/>
        <w:rPr>
          <w:color w:val="auto"/>
        </w:rPr>
      </w:pPr>
      <w:r>
        <w:rPr>
          <w:color w:val="auto"/>
        </w:rPr>
        <w:t>（9）实证分析与结果验证法</w:t>
      </w:r>
    </w:p>
    <w:p w14:paraId="7B5004EE">
      <w:pPr>
        <w:pStyle w:val="57"/>
        <w:ind w:firstLine="480"/>
        <w:jc w:val="both"/>
        <w:rPr>
          <w:color w:val="auto"/>
        </w:rPr>
      </w:pPr>
      <w:r>
        <w:rPr>
          <w:color w:val="auto"/>
        </w:rPr>
        <w:t>通过对H公司改进项目实施前后的数据对比分析，</w:t>
      </w:r>
      <w:r>
        <w:rPr>
          <w:rFonts w:hint="eastAsia"/>
          <w:color w:val="auto"/>
        </w:rPr>
        <w:t>来</w:t>
      </w:r>
      <w:r>
        <w:rPr>
          <w:color w:val="auto"/>
        </w:rPr>
        <w:t>验证过程改进的实际效果。主要采用</w:t>
      </w:r>
      <w:r>
        <w:rPr>
          <w:rFonts w:hint="eastAsia"/>
          <w:color w:val="auto"/>
        </w:rPr>
        <w:t>了</w:t>
      </w:r>
      <w:r>
        <w:rPr>
          <w:color w:val="auto"/>
        </w:rPr>
        <w:t>描述统计、对比分析与趋势分析等方法，从交付效率、质量稳定性、安全合规性与团队协作等维度</w:t>
      </w:r>
      <w:r>
        <w:rPr>
          <w:rFonts w:hint="eastAsia"/>
          <w:color w:val="auto"/>
        </w:rPr>
        <w:t>，进而</w:t>
      </w:r>
      <w:r>
        <w:rPr>
          <w:color w:val="auto"/>
        </w:rPr>
        <w:t>评估改进成果。</w:t>
      </w:r>
      <w:r>
        <w:rPr>
          <w:rFonts w:hint="eastAsia"/>
          <w:color w:val="auto"/>
        </w:rPr>
        <w:t>其</w:t>
      </w:r>
      <w:r>
        <w:rPr>
          <w:color w:val="auto"/>
        </w:rPr>
        <w:t>结果表明，所提出的改进措施有效</w:t>
      </w:r>
      <w:r>
        <w:rPr>
          <w:rFonts w:hint="eastAsia"/>
          <w:color w:val="auto"/>
        </w:rPr>
        <w:t>的</w:t>
      </w:r>
      <w:r>
        <w:rPr>
          <w:color w:val="auto"/>
        </w:rPr>
        <w:t>提升了开发过程的整体成熟度。</w:t>
      </w:r>
    </w:p>
    <w:p w14:paraId="50A29A36">
      <w:pPr>
        <w:pStyle w:val="57"/>
        <w:ind w:firstLine="480"/>
        <w:jc w:val="both"/>
        <w:rPr>
          <w:color w:val="auto"/>
        </w:rPr>
      </w:pPr>
      <w:r>
        <w:rPr>
          <w:color w:val="auto"/>
        </w:rPr>
        <w:t>（10）总结归纳法</w:t>
      </w:r>
    </w:p>
    <w:p w14:paraId="41A51576">
      <w:pPr>
        <w:pStyle w:val="57"/>
        <w:ind w:firstLine="480"/>
        <w:jc w:val="both"/>
        <w:rPr>
          <w:color w:val="auto"/>
        </w:rPr>
      </w:pPr>
      <w:r>
        <w:rPr>
          <w:color w:val="auto"/>
        </w:rPr>
        <w:t>在研究的最后阶段，对前期理论研究、案例分析、实证验证结果进行系统总结与归纳，提炼</w:t>
      </w:r>
      <w:r>
        <w:rPr>
          <w:rFonts w:hint="eastAsia"/>
          <w:color w:val="auto"/>
        </w:rPr>
        <w:t>出一些</w:t>
      </w:r>
      <w:r>
        <w:rPr>
          <w:color w:val="auto"/>
        </w:rPr>
        <w:t>关键</w:t>
      </w:r>
      <w:r>
        <w:rPr>
          <w:rFonts w:hint="eastAsia"/>
          <w:color w:val="auto"/>
        </w:rPr>
        <w:t>的</w:t>
      </w:r>
      <w:r>
        <w:rPr>
          <w:color w:val="auto"/>
        </w:rPr>
        <w:t>发现</w:t>
      </w:r>
      <w:r>
        <w:rPr>
          <w:rFonts w:hint="eastAsia"/>
          <w:color w:val="auto"/>
        </w:rPr>
        <w:t>，以及一些</w:t>
      </w:r>
      <w:r>
        <w:rPr>
          <w:color w:val="auto"/>
        </w:rPr>
        <w:t>经验模式，形成</w:t>
      </w:r>
      <w:r>
        <w:rPr>
          <w:rFonts w:hint="eastAsia"/>
          <w:color w:val="auto"/>
        </w:rPr>
        <w:t>了</w:t>
      </w:r>
      <w:r>
        <w:rPr>
          <w:color w:val="auto"/>
        </w:rPr>
        <w:t>理论结论与实践启示，为后续研究提供</w:t>
      </w:r>
      <w:r>
        <w:rPr>
          <w:rFonts w:hint="eastAsia"/>
          <w:color w:val="auto"/>
        </w:rPr>
        <w:t>了</w:t>
      </w:r>
      <w:r>
        <w:rPr>
          <w:color w:val="auto"/>
        </w:rPr>
        <w:t>参考基础。</w:t>
      </w:r>
    </w:p>
    <w:p w14:paraId="0B885F6C">
      <w:pPr>
        <w:pStyle w:val="3"/>
        <w:keepNext/>
        <w:keepLines/>
        <w:numPr>
          <w:ilvl w:val="1"/>
          <w:numId w:val="0"/>
        </w:numPr>
        <w:adjustRightInd/>
        <w:snapToGrid/>
        <w:rPr>
          <w:rFonts w:ascii="Times New Roman" w:hAnsi="Times New Roman"/>
          <w:bCs/>
          <w:color w:val="auto"/>
          <w:kern w:val="0"/>
          <w:szCs w:val="32"/>
        </w:rPr>
      </w:pPr>
      <w:bookmarkStart w:id="76" w:name="_Toc213192486"/>
      <w:bookmarkStart w:id="77" w:name="_Toc213192794"/>
      <w:bookmarkStart w:id="78" w:name="_Toc213190778"/>
      <w:bookmarkStart w:id="79" w:name="_Toc4512"/>
      <w:r>
        <w:rPr>
          <w:rFonts w:hint="eastAsia" w:ascii="Times New Roman" w:hAnsi="Times New Roman"/>
          <w:bCs/>
          <w:color w:val="auto"/>
          <w:kern w:val="0"/>
          <w:szCs w:val="32"/>
        </w:rPr>
        <w:t>1.4 研究思路与论文框架</w:t>
      </w:r>
      <w:bookmarkEnd w:id="76"/>
      <w:bookmarkEnd w:id="77"/>
      <w:bookmarkEnd w:id="78"/>
      <w:bookmarkEnd w:id="79"/>
    </w:p>
    <w:p w14:paraId="7928E8A2">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80" w:name="_Toc213192795"/>
      <w:bookmarkStart w:id="81" w:name="_Toc213192487"/>
      <w:bookmarkStart w:id="82" w:name="_Toc213190779"/>
      <w:bookmarkStart w:id="83" w:name="_Toc8413"/>
      <w:r>
        <w:rPr>
          <w:rFonts w:hint="eastAsia" w:ascii="Times New Roman" w:hAnsi="Times New Roman" w:eastAsia="黑体" w:cs="Times New Roman"/>
          <w:bCs/>
          <w:sz w:val="24"/>
          <w:szCs w:val="24"/>
        </w:rPr>
        <w:t>1.</w:t>
      </w:r>
      <w:r>
        <w:rPr>
          <w:rFonts w:ascii="Times New Roman" w:hAnsi="Times New Roman" w:eastAsia="黑体" w:cs="Times New Roman"/>
          <w:bCs/>
          <w:sz w:val="24"/>
          <w:szCs w:val="24"/>
        </w:rPr>
        <w:t>4</w:t>
      </w:r>
      <w:r>
        <w:rPr>
          <w:rFonts w:hint="eastAsia" w:ascii="Times New Roman" w:hAnsi="Times New Roman" w:eastAsia="黑体" w:cs="Times New Roman"/>
          <w:bCs/>
          <w:sz w:val="24"/>
          <w:szCs w:val="24"/>
        </w:rPr>
        <w:t>.1 研究思路</w:t>
      </w:r>
      <w:bookmarkEnd w:id="80"/>
      <w:bookmarkEnd w:id="81"/>
      <w:bookmarkEnd w:id="82"/>
      <w:bookmarkEnd w:id="83"/>
    </w:p>
    <w:p w14:paraId="327AE761">
      <w:pPr>
        <w:pStyle w:val="57"/>
        <w:ind w:firstLine="480"/>
        <w:jc w:val="both"/>
        <w:rPr>
          <w:color w:val="auto"/>
        </w:rPr>
      </w:pPr>
      <w:r>
        <w:rPr>
          <w:color w:val="auto"/>
        </w:rPr>
        <w:t>本研究以工程管理理论为指导，从软件过程改进（Software Process Improvement, SPI）与DevOps理念出发，结合H公司在软件开发过程中存在的实际问题，构建了问题识别</w:t>
      </w:r>
      <w:r>
        <w:rPr>
          <w:rFonts w:hint="eastAsia"/>
          <w:color w:val="auto"/>
        </w:rPr>
        <w:t>、</w:t>
      </w:r>
      <w:r>
        <w:rPr>
          <w:color w:val="auto"/>
        </w:rPr>
        <w:t>理论分析</w:t>
      </w:r>
      <w:r>
        <w:rPr>
          <w:rFonts w:hint="eastAsia"/>
          <w:color w:val="auto"/>
        </w:rPr>
        <w:t>、</w:t>
      </w:r>
      <w:r>
        <w:rPr>
          <w:color w:val="auto"/>
        </w:rPr>
        <w:t>方案设计</w:t>
      </w:r>
      <w:r>
        <w:rPr>
          <w:rFonts w:hint="eastAsia"/>
          <w:color w:val="auto"/>
        </w:rPr>
        <w:t>、</w:t>
      </w:r>
      <w:r>
        <w:rPr>
          <w:color w:val="auto"/>
        </w:rPr>
        <w:t>实施验证</w:t>
      </w:r>
      <w:r>
        <w:rPr>
          <w:rFonts w:hint="eastAsia"/>
          <w:color w:val="auto"/>
        </w:rPr>
        <w:t>、</w:t>
      </w:r>
      <w:r>
        <w:rPr>
          <w:color w:val="auto"/>
        </w:rPr>
        <w:t>总结提升的研究思路。研究旨在通过系统化、科学化的方法，对H公司软件开发过程进行诊断、改进与验证，以实现效率、质量与合规性的协调提升。</w:t>
      </w:r>
    </w:p>
    <w:p w14:paraId="66FE2B89">
      <w:pPr>
        <w:pStyle w:val="57"/>
        <w:ind w:firstLine="480"/>
        <w:jc w:val="both"/>
        <w:rPr>
          <w:color w:val="auto"/>
        </w:rPr>
      </w:pPr>
      <w:r>
        <w:rPr>
          <w:color w:val="auto"/>
        </w:rPr>
        <w:t>具体研究思路如下：</w:t>
      </w:r>
    </w:p>
    <w:p w14:paraId="2A5BE3DE">
      <w:pPr>
        <w:pStyle w:val="57"/>
        <w:ind w:firstLine="480"/>
        <w:jc w:val="both"/>
        <w:rPr>
          <w:color w:val="auto"/>
        </w:rPr>
      </w:pPr>
      <w:r>
        <w:rPr>
          <w:color w:val="auto"/>
        </w:rPr>
        <w:t>（1）问题导向与现状分析阶段</w:t>
      </w:r>
    </w:p>
    <w:p w14:paraId="1BF57EF6">
      <w:pPr>
        <w:pStyle w:val="57"/>
        <w:ind w:firstLine="480"/>
        <w:jc w:val="both"/>
        <w:rPr>
          <w:color w:val="auto"/>
        </w:rPr>
      </w:pPr>
      <w:r>
        <w:rPr>
          <w:color w:val="auto"/>
        </w:rPr>
        <w:t>首先通过文献研究与案例调研，分析国内外软件过程改进的理论与实践现状，明确金融科技行业在强监管环境下的特殊性。结合H公司近年软件开发与交付数据，对其过程管理、需求响应、安全治理、技术债务与运维协作等环节进行现状调查与问题识别，提出研究的关键问题域。</w:t>
      </w:r>
    </w:p>
    <w:p w14:paraId="6B757BC2">
      <w:pPr>
        <w:pStyle w:val="57"/>
        <w:ind w:firstLine="480"/>
        <w:jc w:val="both"/>
        <w:rPr>
          <w:color w:val="auto"/>
        </w:rPr>
      </w:pPr>
      <w:r>
        <w:rPr>
          <w:color w:val="auto"/>
        </w:rPr>
        <w:t>（2）理论框架与模型构建阶段</w:t>
      </w:r>
    </w:p>
    <w:p w14:paraId="7E37214E">
      <w:pPr>
        <w:pStyle w:val="57"/>
        <w:ind w:firstLine="480"/>
        <w:jc w:val="both"/>
        <w:rPr>
          <w:color w:val="auto"/>
        </w:rPr>
      </w:pPr>
      <w:r>
        <w:rPr>
          <w:color w:val="auto"/>
        </w:rPr>
        <w:t>在理论层面，综合运用SPI、DevSecOps与系统工程的相关理论，构建过程规范化</w:t>
      </w:r>
      <w:r>
        <w:rPr>
          <w:rFonts w:hint="eastAsia"/>
          <w:color w:val="auto"/>
        </w:rPr>
        <w:t>、</w:t>
      </w:r>
      <w:r>
        <w:rPr>
          <w:color w:val="auto"/>
        </w:rPr>
        <w:t>技术自动化</w:t>
      </w:r>
      <w:r>
        <w:rPr>
          <w:rFonts w:hint="eastAsia"/>
          <w:color w:val="auto"/>
        </w:rPr>
        <w:t>、</w:t>
      </w:r>
      <w:r>
        <w:rPr>
          <w:color w:val="auto"/>
        </w:rPr>
        <w:t>组织协同化的改进框架。该框架既反映了软件工程过程的逻辑结构，又体现了工程管理对系统性改进的支持作用，为后续改进路径设计提供理论依据。</w:t>
      </w:r>
    </w:p>
    <w:p w14:paraId="1CFA4BF0">
      <w:pPr>
        <w:pStyle w:val="57"/>
        <w:ind w:firstLine="480"/>
        <w:jc w:val="both"/>
        <w:rPr>
          <w:color w:val="auto"/>
        </w:rPr>
      </w:pPr>
      <w:r>
        <w:rPr>
          <w:color w:val="auto"/>
        </w:rPr>
        <w:t>（3）改进方案设计阶段</w:t>
      </w:r>
    </w:p>
    <w:p w14:paraId="62ADF1C7">
      <w:pPr>
        <w:pStyle w:val="57"/>
        <w:ind w:firstLine="480"/>
        <w:jc w:val="both"/>
        <w:rPr>
          <w:color w:val="auto"/>
        </w:rPr>
      </w:pPr>
      <w:r>
        <w:rPr>
          <w:color w:val="auto"/>
        </w:rPr>
        <w:t>依据问题诊断结果与理论分析，设计面向H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14:paraId="058C6238">
      <w:pPr>
        <w:pStyle w:val="57"/>
        <w:ind w:firstLine="480"/>
        <w:jc w:val="both"/>
        <w:rPr>
          <w:color w:val="auto"/>
        </w:rPr>
      </w:pPr>
      <w:r>
        <w:rPr>
          <w:color w:val="auto"/>
        </w:rPr>
        <w:t>（4）实施与验证阶段</w:t>
      </w:r>
    </w:p>
    <w:p w14:paraId="7FDE0838">
      <w:pPr>
        <w:pStyle w:val="57"/>
        <w:ind w:firstLine="480"/>
        <w:jc w:val="both"/>
        <w:rPr>
          <w:color w:val="auto"/>
        </w:rPr>
      </w:pPr>
      <w:r>
        <w:rPr>
          <w:color w:val="auto"/>
        </w:rPr>
        <w:t>在H公司内部选取典型项目进行改进方案的试点应用，通过过程度量与数据分析方法对改进效果进行验证。采用定量指标（如交付周期、缺陷密度、MTTR、变更失败率、协作等待时间等）和定性反馈（如访谈与问卷）相结合的方式，评估改进措施在效率、质量与稳定性方面的成效。</w:t>
      </w:r>
    </w:p>
    <w:p w14:paraId="37E6180F">
      <w:pPr>
        <w:pStyle w:val="57"/>
        <w:ind w:firstLine="480"/>
        <w:jc w:val="both"/>
        <w:rPr>
          <w:color w:val="auto"/>
        </w:rPr>
      </w:pPr>
      <w:r>
        <w:rPr>
          <w:color w:val="auto"/>
        </w:rPr>
        <w:t>（5）总结与推广阶段</w:t>
      </w:r>
    </w:p>
    <w:p w14:paraId="317E21AE">
      <w:pPr>
        <w:pStyle w:val="57"/>
        <w:ind w:firstLine="480"/>
        <w:jc w:val="both"/>
        <w:rPr>
          <w:color w:val="auto"/>
        </w:rPr>
      </w:pPr>
      <w:r>
        <w:rPr>
          <w:color w:val="auto"/>
        </w:rPr>
        <w:t>对改进实践进行结果汇总与经验提炼，从工程管理视角总结H公司软件开发过程改进的成功经验与不足之处。形成面向高合规行业的软件开发过程优化路径，并为后续研究提供可参考的理论模型与实践框架。</w:t>
      </w:r>
    </w:p>
    <w:p w14:paraId="38EDA711">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84" w:name="_Toc213190780"/>
      <w:bookmarkStart w:id="85" w:name="_Toc213192796"/>
      <w:bookmarkStart w:id="86" w:name="_Toc213192488"/>
      <w:bookmarkStart w:id="87" w:name="_Toc25020"/>
      <w:r>
        <w:rPr>
          <w:rFonts w:hint="eastAsia" w:ascii="Times New Roman" w:hAnsi="Times New Roman" w:eastAsia="黑体" w:cs="Times New Roman"/>
          <w:bCs/>
          <w:sz w:val="24"/>
          <w:szCs w:val="24"/>
        </w:rPr>
        <w:t>1.</w:t>
      </w:r>
      <w:r>
        <w:rPr>
          <w:rFonts w:ascii="Times New Roman" w:hAnsi="Times New Roman" w:eastAsia="黑体" w:cs="Times New Roman"/>
          <w:bCs/>
          <w:sz w:val="24"/>
          <w:szCs w:val="24"/>
        </w:rPr>
        <w:t>4</w:t>
      </w:r>
      <w:r>
        <w:rPr>
          <w:rFonts w:hint="eastAsia" w:ascii="Times New Roman" w:hAnsi="Times New Roman" w:eastAsia="黑体" w:cs="Times New Roman"/>
          <w:bCs/>
          <w:sz w:val="24"/>
          <w:szCs w:val="24"/>
        </w:rPr>
        <w:t>.2 论文框架</w:t>
      </w:r>
      <w:bookmarkEnd w:id="84"/>
      <w:bookmarkEnd w:id="85"/>
      <w:bookmarkEnd w:id="86"/>
      <w:bookmarkEnd w:id="87"/>
    </w:p>
    <w:p w14:paraId="69FC6C7E">
      <w:pPr>
        <w:pStyle w:val="57"/>
        <w:ind w:firstLine="480"/>
        <w:jc w:val="both"/>
        <w:rPr>
          <w:color w:val="auto"/>
        </w:rPr>
      </w:pPr>
      <w:r>
        <w:rPr>
          <w:color w:val="auto"/>
        </w:rPr>
        <w:t>本论文的整体结构遵循理论支撑</w:t>
      </w:r>
      <w:r>
        <w:rPr>
          <w:rFonts w:hint="eastAsia"/>
          <w:color w:val="auto"/>
        </w:rPr>
        <w:t>、</w:t>
      </w:r>
      <w:r>
        <w:rPr>
          <w:color w:val="auto"/>
        </w:rPr>
        <w:t>问题诊断</w:t>
      </w:r>
      <w:r>
        <w:rPr>
          <w:rFonts w:hint="eastAsia"/>
          <w:color w:val="auto"/>
        </w:rPr>
        <w:t>、</w:t>
      </w:r>
      <w:r>
        <w:rPr>
          <w:color w:val="auto"/>
        </w:rPr>
        <w:t>方案构建</w:t>
      </w:r>
      <w:r>
        <w:rPr>
          <w:rFonts w:hint="eastAsia"/>
          <w:color w:val="auto"/>
        </w:rPr>
        <w:t>、</w:t>
      </w:r>
      <w:r>
        <w:rPr>
          <w:color w:val="auto"/>
        </w:rPr>
        <w:t>实施验证</w:t>
      </w:r>
      <w:r>
        <w:rPr>
          <w:rFonts w:hint="eastAsia"/>
          <w:color w:val="auto"/>
        </w:rPr>
        <w:t>、</w:t>
      </w:r>
      <w:r>
        <w:rPr>
          <w:color w:val="auto"/>
        </w:rPr>
        <w:t>总结提升的研究逻辑，系统阐述了H公司软件开发过程的改进思路、研究方法与实证路径。全文共分为六章，内容层层递进、环环相扣，形成从理论分析到实践验证的完整研究体系。</w:t>
      </w:r>
    </w:p>
    <w:p w14:paraId="4DCBCE4B">
      <w:pPr>
        <w:pStyle w:val="57"/>
        <w:ind w:firstLine="480"/>
        <w:jc w:val="both"/>
        <w:rPr>
          <w:color w:val="auto"/>
        </w:rPr>
      </w:pPr>
      <w:r>
        <w:rPr>
          <w:rFonts w:hint="eastAsia"/>
          <w:color w:val="auto"/>
        </w:rPr>
        <w:t>（1）</w:t>
      </w:r>
      <w:r>
        <w:rPr>
          <w:color w:val="auto"/>
        </w:rPr>
        <w:t>第一章 绪论</w:t>
      </w:r>
    </w:p>
    <w:p w14:paraId="3286F0A9">
      <w:pPr>
        <w:pStyle w:val="57"/>
        <w:ind w:firstLine="480"/>
        <w:jc w:val="both"/>
        <w:rPr>
          <w:color w:val="auto"/>
        </w:rPr>
      </w:pPr>
      <w:r>
        <w:rPr>
          <w:color w:val="auto"/>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14:paraId="37BD51B5">
      <w:pPr>
        <w:pStyle w:val="57"/>
        <w:ind w:firstLine="480"/>
        <w:jc w:val="both"/>
        <w:rPr>
          <w:color w:val="auto"/>
        </w:rPr>
      </w:pPr>
      <w:r>
        <w:rPr>
          <w:rFonts w:hint="eastAsia"/>
          <w:color w:val="auto"/>
        </w:rPr>
        <w:t>（2）</w:t>
      </w:r>
      <w:r>
        <w:rPr>
          <w:color w:val="auto"/>
        </w:rPr>
        <w:t>第二章 相关理论方法与文献综述</w:t>
      </w:r>
    </w:p>
    <w:p w14:paraId="6E7D8879">
      <w:pPr>
        <w:pStyle w:val="57"/>
        <w:ind w:firstLine="480"/>
        <w:jc w:val="both"/>
        <w:rPr>
          <w:color w:val="auto"/>
        </w:rPr>
      </w:pPr>
      <w:r>
        <w:rPr>
          <w:color w:val="auto"/>
        </w:rPr>
        <w:t>本章系统介绍论文所依据的核心理论与研究方法，包括软件过程改进理论（SPI）、敏捷与精益价值流管理思想（VSM）、工程效能度量体系、信息安全管理体系（ISMS）、DevSecOps与合规即代码理念、技术债务治理机制、AIOps与SRE智能运维方法，以及跨职能协作与组织管理理论。通过文献归纳与理论整合，本章构建了支撑H公司软件过程改进的理论框架，为后续研究提供理论支撑与方法依据。</w:t>
      </w:r>
    </w:p>
    <w:p w14:paraId="796D7AEA">
      <w:pPr>
        <w:pStyle w:val="57"/>
        <w:ind w:firstLine="480"/>
        <w:jc w:val="both"/>
        <w:rPr>
          <w:color w:val="auto"/>
        </w:rPr>
      </w:pPr>
      <w:r>
        <w:rPr>
          <w:rFonts w:hint="eastAsia"/>
          <w:color w:val="auto"/>
        </w:rPr>
        <w:t>（3）</w:t>
      </w:r>
      <w:r>
        <w:rPr>
          <w:color w:val="auto"/>
        </w:rPr>
        <w:t>第三章 H公司软件开发过程现状与主要问题</w:t>
      </w:r>
    </w:p>
    <w:p w14:paraId="190A2F60">
      <w:pPr>
        <w:pStyle w:val="57"/>
        <w:ind w:firstLine="480"/>
        <w:jc w:val="both"/>
        <w:rPr>
          <w:color w:val="auto"/>
        </w:rPr>
      </w:pPr>
      <w:r>
        <w:rPr>
          <w:color w:val="auto"/>
        </w:rPr>
        <w:t>本章以H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14:paraId="21CB57AD">
      <w:pPr>
        <w:pStyle w:val="57"/>
        <w:ind w:firstLine="480"/>
        <w:jc w:val="both"/>
        <w:rPr>
          <w:color w:val="auto"/>
        </w:rPr>
      </w:pPr>
      <w:r>
        <w:rPr>
          <w:rFonts w:hint="eastAsia"/>
          <w:color w:val="auto"/>
        </w:rPr>
        <w:t>（4）</w:t>
      </w:r>
      <w:r>
        <w:rPr>
          <w:color w:val="auto"/>
        </w:rPr>
        <w:t>第四章 H公司软件开发过程的改进方案</w:t>
      </w:r>
    </w:p>
    <w:p w14:paraId="1193AB31">
      <w:pPr>
        <w:pStyle w:val="57"/>
        <w:ind w:firstLine="480"/>
        <w:jc w:val="both"/>
        <w:rPr>
          <w:color w:val="auto"/>
        </w:rPr>
      </w:pPr>
      <w:r>
        <w:rPr>
          <w:color w:val="auto"/>
        </w:rPr>
        <w:t>本章在前期理论分析与问题诊断的基础上，提出了针对H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14:paraId="0D0742AA">
      <w:pPr>
        <w:pStyle w:val="57"/>
        <w:ind w:firstLine="480"/>
        <w:jc w:val="both"/>
        <w:rPr>
          <w:color w:val="auto"/>
        </w:rPr>
      </w:pPr>
      <w:r>
        <w:rPr>
          <w:rFonts w:hint="eastAsia"/>
          <w:color w:val="auto"/>
        </w:rPr>
        <w:t>（5）</w:t>
      </w:r>
      <w:r>
        <w:rPr>
          <w:color w:val="auto"/>
        </w:rPr>
        <w:t>第五章 H公司软件开发过程改进方案的实施保障与效果评估</w:t>
      </w:r>
    </w:p>
    <w:p w14:paraId="5E4D12ED">
      <w:pPr>
        <w:pStyle w:val="57"/>
        <w:ind w:firstLine="480"/>
        <w:jc w:val="both"/>
        <w:rPr>
          <w:color w:val="auto"/>
        </w:rPr>
      </w:pPr>
      <w:r>
        <w:rPr>
          <w:color w:val="auto"/>
        </w:rPr>
        <w:t>本章重点论述改进方案的实施路径与保障机制，从目标规划、组织结构、制度建设、资源配置、文化支撑及风险控制等方面进行系统设计。通过关键绩效指标（KPI）与工程效能指标（如交付周期、缺陷密度、变更成功率、平均修复时间等）的对比分析，评估改进措施的实际成效。研究结果表明，改进方案有效提升了H公司软件开发过程的效率、质量与稳定性，验证了理论模型与方法框架的可行性。</w:t>
      </w:r>
    </w:p>
    <w:p w14:paraId="3D48B36D">
      <w:pPr>
        <w:pStyle w:val="57"/>
        <w:ind w:firstLine="480"/>
        <w:jc w:val="both"/>
        <w:rPr>
          <w:color w:val="auto"/>
        </w:rPr>
      </w:pPr>
      <w:r>
        <w:rPr>
          <w:rFonts w:hint="eastAsia"/>
          <w:color w:val="auto"/>
        </w:rPr>
        <w:t>（6）</w:t>
      </w:r>
      <w:r>
        <w:rPr>
          <w:color w:val="auto"/>
        </w:rPr>
        <w:t>第六章 研究结论与展望</w:t>
      </w:r>
    </w:p>
    <w:p w14:paraId="1EC8F035">
      <w:pPr>
        <w:pStyle w:val="57"/>
        <w:ind w:firstLine="480"/>
        <w:jc w:val="both"/>
        <w:rPr>
          <w:color w:val="auto"/>
        </w:rPr>
      </w:pPr>
      <w:r>
        <w:rPr>
          <w:color w:val="auto"/>
        </w:rPr>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14:paraId="4F7C4695">
      <w:pPr>
        <w:ind w:firstLine="480"/>
        <w:rPr>
          <w:color w:val="auto"/>
        </w:rPr>
      </w:pPr>
      <w:r>
        <w:rPr>
          <w:rFonts w:hint="eastAsia"/>
          <w:color w:val="auto"/>
        </w:rPr>
        <w:drawing>
          <wp:inline distT="0" distB="0" distL="0" distR="0">
            <wp:extent cx="5123180" cy="3430270"/>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12C618B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图1-1</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论文研究框架</w:t>
      </w:r>
    </w:p>
    <w:p w14:paraId="578B2193">
      <w:pPr>
        <w:spacing w:line="400" w:lineRule="exact"/>
        <w:rPr>
          <w:rFonts w:ascii="Times New Roman" w:hAnsi="Times New Roman" w:cs="Times New Roman"/>
          <w:color w:val="auto"/>
          <w:sz w:val="21"/>
          <w:szCs w:val="21"/>
        </w:rPr>
      </w:pPr>
    </w:p>
    <w:p w14:paraId="18E8412F">
      <w:pPr>
        <w:spacing w:line="400" w:lineRule="exact"/>
        <w:rPr>
          <w:rFonts w:ascii="Times New Roman" w:hAnsi="Times New Roman" w:cs="Times New Roman"/>
          <w:color w:val="auto"/>
          <w:sz w:val="21"/>
          <w:szCs w:val="21"/>
        </w:rPr>
      </w:pPr>
    </w:p>
    <w:p w14:paraId="27D7CD4B">
      <w:pPr>
        <w:spacing w:line="400" w:lineRule="exact"/>
        <w:rPr>
          <w:rFonts w:ascii="Times New Roman" w:hAnsi="Times New Roman" w:cs="Times New Roman"/>
          <w:color w:val="auto"/>
          <w:sz w:val="21"/>
          <w:szCs w:val="21"/>
        </w:rPr>
      </w:pPr>
    </w:p>
    <w:p w14:paraId="4D489439">
      <w:pPr>
        <w:spacing w:line="400" w:lineRule="exact"/>
        <w:rPr>
          <w:rFonts w:ascii="Times New Roman" w:hAnsi="Times New Roman" w:cs="Times New Roman"/>
          <w:color w:val="auto"/>
          <w:sz w:val="21"/>
          <w:szCs w:val="21"/>
        </w:rPr>
        <w:sectPr>
          <w:headerReference r:id="rId15" w:type="default"/>
          <w:footerReference r:id="rId16" w:type="default"/>
          <w:pgSz w:w="11906" w:h="16838"/>
          <w:pgMar w:top="1440" w:right="1417" w:bottom="1440" w:left="1417" w:header="850" w:footer="992" w:gutter="0"/>
          <w:pgNumType w:fmt="decimal" w:start="1"/>
          <w:cols w:space="0" w:num="1"/>
          <w:docGrid w:type="lines" w:linePitch="312" w:charSpace="0"/>
        </w:sectPr>
      </w:pPr>
    </w:p>
    <w:p w14:paraId="27317CF6">
      <w:pPr>
        <w:pStyle w:val="2"/>
        <w:spacing w:before="468" w:beforeLines="150" w:after="312" w:afterLines="100"/>
        <w:rPr>
          <w:bCs w:val="0"/>
          <w:color w:val="auto"/>
          <w:szCs w:val="20"/>
        </w:rPr>
      </w:pPr>
      <w:bookmarkStart w:id="88" w:name="_Toc213192797"/>
      <w:bookmarkStart w:id="89" w:name="_Toc213190781"/>
      <w:bookmarkStart w:id="90" w:name="_Toc213192489"/>
      <w:bookmarkStart w:id="91" w:name="_Toc9101"/>
      <w:r>
        <w:rPr>
          <w:rFonts w:hint="eastAsia"/>
          <w:bCs w:val="0"/>
          <w:color w:val="auto"/>
          <w:szCs w:val="20"/>
        </w:rPr>
        <w:t>第2章 相关理论方法与文献综述</w:t>
      </w:r>
      <w:bookmarkEnd w:id="88"/>
      <w:bookmarkEnd w:id="89"/>
      <w:bookmarkEnd w:id="90"/>
      <w:bookmarkEnd w:id="91"/>
    </w:p>
    <w:p w14:paraId="481F43C6">
      <w:pPr>
        <w:pStyle w:val="3"/>
        <w:keepNext/>
        <w:keepLines/>
        <w:numPr>
          <w:ilvl w:val="1"/>
          <w:numId w:val="0"/>
        </w:numPr>
        <w:adjustRightInd/>
        <w:snapToGrid/>
        <w:rPr>
          <w:rFonts w:ascii="Times New Roman" w:hAnsi="Times New Roman"/>
          <w:bCs/>
          <w:color w:val="auto"/>
          <w:kern w:val="0"/>
          <w:szCs w:val="32"/>
        </w:rPr>
      </w:pPr>
      <w:bookmarkStart w:id="92" w:name="_Toc213192798"/>
      <w:bookmarkStart w:id="93" w:name="_Toc213190782"/>
      <w:bookmarkStart w:id="94" w:name="_Toc213192490"/>
      <w:bookmarkStart w:id="95" w:name="_Toc8258"/>
      <w:r>
        <w:rPr>
          <w:rFonts w:hint="eastAsia" w:ascii="Times New Roman" w:hAnsi="Times New Roman"/>
          <w:bCs/>
          <w:color w:val="auto"/>
          <w:kern w:val="0"/>
          <w:szCs w:val="32"/>
        </w:rPr>
        <w:t>2.1 软件开发过程管理理论基础</w:t>
      </w:r>
      <w:bookmarkEnd w:id="92"/>
      <w:bookmarkEnd w:id="93"/>
      <w:bookmarkEnd w:id="94"/>
      <w:bookmarkEnd w:id="95"/>
    </w:p>
    <w:p w14:paraId="29371C5D">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96" w:name="_Toc213192799"/>
      <w:bookmarkStart w:id="97" w:name="_Toc213190783"/>
      <w:bookmarkStart w:id="98" w:name="_Toc213192491"/>
      <w:bookmarkStart w:id="99" w:name="_Toc13657"/>
      <w:r>
        <w:rPr>
          <w:rFonts w:hint="eastAsia" w:ascii="Times New Roman" w:hAnsi="Times New Roman" w:eastAsia="黑体" w:cs="Times New Roman"/>
          <w:bCs/>
          <w:sz w:val="24"/>
          <w:szCs w:val="24"/>
        </w:rPr>
        <w:t>2.1.</w:t>
      </w:r>
      <w:r>
        <w:rPr>
          <w:rFonts w:ascii="Times New Roman" w:hAnsi="Times New Roman" w:eastAsia="黑体" w:cs="Times New Roman"/>
          <w:bCs/>
          <w:sz w:val="24"/>
          <w:szCs w:val="24"/>
        </w:rPr>
        <w:t>1</w:t>
      </w:r>
      <w:r>
        <w:rPr>
          <w:rFonts w:hint="eastAsia" w:ascii="Times New Roman" w:hAnsi="Times New Roman" w:eastAsia="黑体" w:cs="Times New Roman"/>
          <w:bCs/>
          <w:sz w:val="24"/>
          <w:szCs w:val="24"/>
        </w:rPr>
        <w:t xml:space="preserve"> 软件过程改进（SPI）与成熟度模型理论</w:t>
      </w:r>
      <w:bookmarkEnd w:id="96"/>
      <w:bookmarkEnd w:id="97"/>
      <w:bookmarkEnd w:id="98"/>
      <w:bookmarkEnd w:id="99"/>
    </w:p>
    <w:p w14:paraId="695975FE">
      <w:pPr>
        <w:pStyle w:val="57"/>
        <w:ind w:firstLine="480"/>
        <w:jc w:val="both"/>
        <w:rPr>
          <w:color w:val="auto"/>
        </w:rPr>
      </w:pPr>
      <w:r>
        <w:rPr>
          <w:color w:val="auto"/>
        </w:rPr>
        <w:t>软件过程改进（Software Process Improvement, SPI）理论是软件工程管理的重要组成部分，其核心目标在于通过标准化、度量化与持续优化手段，不断提高组织的软件开发能力与产品质量</w:t>
      </w:r>
      <w:r>
        <w:rPr>
          <w:color w:val="auto"/>
        </w:rPr>
        <w:fldChar w:fldCharType="begin"/>
      </w:r>
      <w:r>
        <w:rPr>
          <w:color w:val="auto"/>
        </w:rPr>
        <w:instrText xml:space="preserve"> ADDIN ZOTERO_ITEM CSL_CITATION {"citationID":"FnYby3xP","properties":{"formattedCitation":"\\super [18]\\nosupersub{}","plainCitation":"[18]","noteIndex":0},"citationItems":[{"id":223,"uris":["http://zotero.org/users/18743979/items/KFJIQJSP"],"itemData":{"id":223,"type":"article-journal","container-title":"IEEE Software","issue":"4","journalAbbreviation":"IEEE Software","page":"92-99","title":"C, A. F. Improving software process improvement","volume":"19","author":[{"literal":"H"}],"issued":{"date-parts":[["2002"]]},"citation-key":"hImprovingSoftwareProcess2002"}}],"schema":"https://github.com/citation-style-language/schema/raw/master/csl-citation.json"} </w:instrText>
      </w:r>
      <w:r>
        <w:rPr>
          <w:color w:val="auto"/>
        </w:rPr>
        <w:fldChar w:fldCharType="separate"/>
      </w:r>
      <w:r>
        <w:rPr>
          <w:rFonts w:cs="Times New Roman"/>
          <w:color w:val="auto"/>
          <w:vertAlign w:val="superscript"/>
        </w:rPr>
        <w:t>[18]</w:t>
      </w:r>
      <w:r>
        <w:rPr>
          <w:color w:val="auto"/>
        </w:rPr>
        <w:fldChar w:fldCharType="end"/>
      </w:r>
      <w:r>
        <w:rPr>
          <w:color w:val="auto"/>
        </w:rPr>
        <w:t>。SPI的起源可追溯至20世纪80年代末美国卡内基梅隆大学软件工程研究所（Software Engineering Institute, SEI）提出的能力成熟度模型（Capability Maturity Model, CMM）</w:t>
      </w:r>
      <w:r>
        <w:rPr>
          <w:color w:val="auto"/>
        </w:rPr>
        <w:fldChar w:fldCharType="begin"/>
      </w:r>
      <w:r>
        <w:rPr>
          <w:color w:val="auto"/>
        </w:rPr>
        <w:instrText xml:space="preserve"> ADDIN ZOTERO_ITEM CSL_CITATION {"citationID":"X6IJDSkp","properties":{"formattedCitation":"\\super [19]\\nosupersub{}","plainCitation":"[19]","noteIndex":0},"citationItems":[{"id":225,"uris":["http://zotero.org/users/18743979/items/9RG3SAYF"],"itemData":{"id":225,"type":"article-journal","container-title":"Software Quality Professional","issue":"3","journalAbbreviation":"Software Quality Professional","page":"41","title":"Managing the Software Process","volume":"12","author":[{"literal":"Kujak-Coon"},{"literal":"Heather"}],"issued":{"date-parts":[["2010"]]},"citation-key":"kujak-coonManagingSoftwareProcess2010"}}],"schema":"https://github.com/citation-style-language/schema/raw/master/csl-citation.json"} </w:instrText>
      </w:r>
      <w:r>
        <w:rPr>
          <w:color w:val="auto"/>
        </w:rPr>
        <w:fldChar w:fldCharType="separate"/>
      </w:r>
      <w:r>
        <w:rPr>
          <w:rFonts w:cs="Times New Roman"/>
          <w:color w:val="auto"/>
          <w:vertAlign w:val="superscript"/>
        </w:rPr>
        <w:t>[19]</w:t>
      </w:r>
      <w:r>
        <w:rPr>
          <w:color w:val="auto"/>
        </w:rPr>
        <w:fldChar w:fldCharType="end"/>
      </w:r>
      <w:r>
        <w:rPr>
          <w:color w:val="auto"/>
        </w:rPr>
        <w:t>，并在2002年演化为能力成熟度模型集成（Capability Maturity Model Integration, CMMI）</w:t>
      </w:r>
      <w:r>
        <w:rPr>
          <w:color w:val="auto"/>
        </w:rPr>
        <w:fldChar w:fldCharType="begin"/>
      </w:r>
      <w:r>
        <w:rPr>
          <w:color w:val="auto"/>
        </w:rPr>
        <w:instrText xml:space="preserve"> ADDIN ZOTERO_ITEM CSL_CITATION {"citationID":"1NM3njh2","properties":{"formattedCitation":"\\super [20]\\nosupersub{}","plainCitation":"[20]","noteIndex":0},"citationItems":[{"id":227,"uris":["http://zotero.org/users/18743979/items/89NTI75F"],"itemData":{"id":227,"type":"article-journal","container-title":"Software Quality Professional","issue":"2","journalAbbreviation":"Software Quality Professional","page":"48-50","title":"CMMI: Guidelines for Process Integration and Product Improvement","volume":"10","author":[{"literal":"Freund"},{"literal":"Eva"}],"issued":{"date-parts":[["2008"]]},"citation-key":"freundCMMIGuidelinesProcess2008"}}],"schema":"https://github.com/citation-style-language/schema/raw/master/csl-citation.json"} </w:instrText>
      </w:r>
      <w:r>
        <w:rPr>
          <w:color w:val="auto"/>
        </w:rPr>
        <w:fldChar w:fldCharType="separate"/>
      </w:r>
      <w:r>
        <w:rPr>
          <w:rFonts w:cs="Times New Roman"/>
          <w:color w:val="auto"/>
          <w:vertAlign w:val="superscript"/>
        </w:rPr>
        <w:t>[20]</w:t>
      </w:r>
      <w:r>
        <w:rPr>
          <w:color w:val="auto"/>
        </w:rPr>
        <w:fldChar w:fldCharType="end"/>
      </w:r>
      <w:r>
        <w:rPr>
          <w:color w:val="auto"/>
        </w:rPr>
        <w:t>。CMMI 2.0版本于2018年发布，该版本强化了持续改进（Continuous Improvement）与度量驱动（Metrics-driven Management）的理念，形成了定义</w:t>
      </w:r>
      <w:r>
        <w:rPr>
          <w:rFonts w:hint="eastAsia"/>
          <w:color w:val="auto"/>
        </w:rPr>
        <w:t>、</w:t>
      </w:r>
      <w:r>
        <w:rPr>
          <w:color w:val="auto"/>
        </w:rPr>
        <w:t>执行</w:t>
      </w:r>
      <w:r>
        <w:rPr>
          <w:rFonts w:hint="eastAsia"/>
          <w:color w:val="auto"/>
        </w:rPr>
        <w:t>、</w:t>
      </w:r>
      <w:r>
        <w:rPr>
          <w:color w:val="auto"/>
        </w:rPr>
        <w:t>度量</w:t>
      </w:r>
      <w:r>
        <w:rPr>
          <w:rFonts w:hint="eastAsia"/>
          <w:color w:val="auto"/>
        </w:rPr>
        <w:t>、</w:t>
      </w:r>
      <w:r>
        <w:rPr>
          <w:color w:val="auto"/>
        </w:rPr>
        <w:t>优化的循环式过程管理体系</w:t>
      </w:r>
      <w:r>
        <w:rPr>
          <w:color w:val="auto"/>
        </w:rPr>
        <w:fldChar w:fldCharType="begin"/>
      </w:r>
      <w:r>
        <w:rPr>
          <w:color w:val="auto"/>
        </w:rPr>
        <w:instrText xml:space="preserve"> ADDIN ZOTERO_ITEM CSL_CITATION {"citationID":"w7Kw7hWT","properties":{"formattedCitation":"\\super [21]\\nosupersub{}","plainCitation":"[21]","noteIndex":0},"citationItems":[{"id":229,"uris":["http://zotero.org/users/18743979/items/2MUXI9UV"],"itemData":{"id":229,"type":"book","event-place":"Virginia","publisher":"Assess-IT","publisher-place":"Virginia","title":"Assess-IT’s Pocket Guide to CMMI® V2.0: A Condensed Guide to Understanding the CMMI® V2.0 Model","author":[{"literal":"Greer D"}],"issued":{"date-parts":[["2019"]]},"citation-key":"greerdAssessITsPocketGuide2019"}}],"schema":"https://github.com/citation-style-language/schema/raw/master/csl-citation.json"} </w:instrText>
      </w:r>
      <w:r>
        <w:rPr>
          <w:color w:val="auto"/>
        </w:rPr>
        <w:fldChar w:fldCharType="separate"/>
      </w:r>
      <w:r>
        <w:rPr>
          <w:rFonts w:cs="Times New Roman"/>
          <w:color w:val="auto"/>
          <w:vertAlign w:val="superscript"/>
        </w:rPr>
        <w:t>[21]</w:t>
      </w:r>
      <w:r>
        <w:rPr>
          <w:color w:val="auto"/>
        </w:rPr>
        <w:fldChar w:fldCharType="end"/>
      </w:r>
      <w:r>
        <w:rPr>
          <w:color w:val="auto"/>
        </w:rPr>
        <w:t>。</w:t>
      </w:r>
    </w:p>
    <w:p w14:paraId="39726F77">
      <w:pPr>
        <w:pStyle w:val="57"/>
        <w:ind w:firstLine="480"/>
        <w:jc w:val="both"/>
        <w:rPr>
          <w:color w:val="auto"/>
        </w:rPr>
      </w:pPr>
      <w:r>
        <w:rPr>
          <w:color w:val="auto"/>
        </w:rPr>
        <w:t>CMMI 2.0模型将组织的过程能力划分为五个成熟度等级：初始级（Initial）、已管理级（Managed）、已定义级（Defined）、量化管理级（Quantitatively Managed）与优化级（Optimizing）</w:t>
      </w:r>
      <w:r>
        <w:rPr>
          <w:color w:val="auto"/>
        </w:rPr>
        <w:fldChar w:fldCharType="begin"/>
      </w:r>
      <w:r>
        <w:rPr>
          <w:color w:val="auto"/>
        </w:rPr>
        <w:instrText xml:space="preserve"> ADDIN ZOTERO_ITEM CSL_CITATION {"citationID":"x2H1K4Go","properties":{"formattedCitation":"\\super [22]\\nosupersub{}","plainCitation":"[22]","noteIndex":0},"citationItems":[{"id":231,"uris":["http://zotero.org/users/18743979/items/C89F2FSJ"],"itemData":</w:instrText>
      </w:r>
      <w:r>
        <w:rPr>
          <w:rFonts w:hint="eastAsia"/>
          <w:color w:val="auto"/>
        </w:rPr>
        <w:instrText xml:space="preserve">{"id":231,"type":"book","event-place":"人民邮电出版社","number-of-pages":"202011","publisher":"202011","publisher-place":"人民邮电出版社","title":"以道御术","author":[{"literal":"任甲林"},{"literal":"周伟"}],"issued":{"date-parts":[["2020"]]},"citation-key":"RenJiaLinYiDaoYuShu</w:instrText>
      </w:r>
      <w:r>
        <w:rPr>
          <w:color w:val="auto"/>
        </w:rPr>
        <w:instrText xml:space="preserve">2020"}}],"schema":"https://github.com/citation-style-language/schema/raw/master/csl-citation.json"} </w:instrText>
      </w:r>
      <w:r>
        <w:rPr>
          <w:color w:val="auto"/>
        </w:rPr>
        <w:fldChar w:fldCharType="separate"/>
      </w:r>
      <w:r>
        <w:rPr>
          <w:rFonts w:cs="Times New Roman"/>
          <w:color w:val="auto"/>
          <w:vertAlign w:val="superscript"/>
        </w:rPr>
        <w:t>[22]</w:t>
      </w:r>
      <w:r>
        <w:rPr>
          <w:color w:val="auto"/>
        </w:rPr>
        <w:fldChar w:fldCharType="end"/>
      </w:r>
      <w:r>
        <w:rPr>
          <w:color w:val="auto"/>
        </w:rPr>
        <w:t>。每个等级通过过程域（Process Area）定义改进目标及度量标准。CMMI 2.0结构由治理与管理</w:t>
      </w:r>
      <w:r>
        <w:rPr>
          <w:rFonts w:hint="eastAsia"/>
          <w:color w:val="auto"/>
        </w:rPr>
        <w:t>、</w:t>
      </w:r>
      <w:r>
        <w:rPr>
          <w:color w:val="auto"/>
        </w:rPr>
        <w:t>工程与执行</w:t>
      </w:r>
      <w:r>
        <w:rPr>
          <w:rFonts w:hint="eastAsia"/>
          <w:color w:val="auto"/>
        </w:rPr>
        <w:t>、</w:t>
      </w:r>
      <w:r>
        <w:rPr>
          <w:color w:val="auto"/>
        </w:rPr>
        <w:t>支持与改进三大维度构成，并引入实践域（Practice Area）概念以增强模型灵活性。模型强调基于度量的改进路径，通过关键指标反映过程绩效，为软件开发组织建立可复用的管理机制</w:t>
      </w:r>
      <w:r>
        <w:rPr>
          <w:color w:val="auto"/>
        </w:rPr>
        <w:fldChar w:fldCharType="begin"/>
      </w:r>
      <w:r>
        <w:rPr>
          <w:color w:val="auto"/>
        </w:rPr>
        <w:instrText xml:space="preserve"> ADDIN ZOTERO_ITEM CSL_CITATION {"citationID":"KgviFdV9","properties":{"formattedCitation":"\\super [23]\\nosupersub{}","plainCitation":"[23]","noteIndex":0},"citationItems":[{"id":233,"uris":["http://zotero.org/users/18743979/items/7IFVZB8B"],"itemData":</w:instrText>
      </w:r>
      <w:r>
        <w:rPr>
          <w:rFonts w:hint="eastAsia"/>
          <w:color w:val="auto"/>
        </w:rPr>
        <w:instrText xml:space="preserve">{"id":233,"type":"book","event-place":"机械工业出版社","number-of-pages":"201105","publisher":"201105","publisher-place":"机械工业出版社","title":"软件能力成熟度模型与模型集成基础","author":[{"literal":"黎连业"},{"literal":"张晓冬"},{"literal":"吕小刚"}],"issued":{"date-parts":[["2011"]]},"cit</w:instrText>
      </w:r>
      <w:r>
        <w:rPr>
          <w:color w:val="auto"/>
        </w:rPr>
        <w:instrText xml:space="preserve">ation-key":"LiLianYeRuanJianNengLiChengShouDuMoXingYuMoXingJiChengJiChu2011"}}],"schema":"https://github.com/citation-style-language/schema/raw/master/csl-citation.json"} </w:instrText>
      </w:r>
      <w:r>
        <w:rPr>
          <w:color w:val="auto"/>
        </w:rPr>
        <w:fldChar w:fldCharType="separate"/>
      </w:r>
      <w:r>
        <w:rPr>
          <w:rFonts w:cs="Times New Roman"/>
          <w:color w:val="auto"/>
          <w:vertAlign w:val="superscript"/>
        </w:rPr>
        <w:t>[23]</w:t>
      </w:r>
      <w:r>
        <w:rPr>
          <w:color w:val="auto"/>
        </w:rPr>
        <w:fldChar w:fldCharType="end"/>
      </w:r>
      <w:r>
        <w:rPr>
          <w:color w:val="auto"/>
        </w:rPr>
        <w:t>。</w:t>
      </w:r>
    </w:p>
    <w:p w14:paraId="3D949D53">
      <w:pPr>
        <w:pStyle w:val="57"/>
        <w:ind w:firstLine="480"/>
        <w:jc w:val="both"/>
        <w:rPr>
          <w:color w:val="auto"/>
        </w:rPr>
      </w:pPr>
      <w:r>
        <w:rPr>
          <w:color w:val="auto"/>
        </w:rPr>
        <w:t>SPI理论的核心原理在于以度量数据为基础实现过程的可视化与可追踪化。通过标准化的过程定义和改进闭环，组织能够有效防止开发活动中的流程脱节与反馈滞后，形成可控、可预测的软件工程体系</w:t>
      </w:r>
      <w:r>
        <w:rPr>
          <w:color w:val="auto"/>
        </w:rPr>
        <w:fldChar w:fldCharType="begin"/>
      </w:r>
      <w:r>
        <w:rPr>
          <w:color w:val="auto"/>
        </w:rPr>
        <w:instrText xml:space="preserve"> ADDIN ZOTERO_ITEM CSL_CITATION {"citationID":"bMLZsKVl","properties":{"formattedCitation":"\\super [24]\\nosupersub{}","plainCitation":"[24]","noteIndex":0},"citationItems":[{"id":235,"uris":["http://zotero.org/users/18743979/items/TAZWFLAA"],"itemData":</w:instrText>
      </w:r>
      <w:r>
        <w:rPr>
          <w:rFonts w:hint="eastAsia"/>
          <w:color w:val="auto"/>
        </w:rPr>
        <w:instrText xml:space="preserve">{"id":235,"type":"article-journal","container-title":"计算机学报","issue":"09","journalAbbreviation":"计算机学报","page":"1919-1946","title":"软件跟踪链自动化技术研究综述","volume":"46","author":[{"literal":"汪烨"},{"literal":"胡坤"},{"literal":"姜波"}],"issued":{"date-parts":[["2023"</w:instrText>
      </w:r>
      <w:r>
        <w:rPr>
          <w:color w:val="auto"/>
        </w:rPr>
        <w:instrText xml:space="preserve">]]},"citation-key":"WangYeRuanJianGenZongLianZiDongHuaJiShuYanJiuZongShu2023"}}],"schema":"https://github.com/citation-style-language/schema/raw/master/csl-citation.json"} </w:instrText>
      </w:r>
      <w:r>
        <w:rPr>
          <w:color w:val="auto"/>
        </w:rPr>
        <w:fldChar w:fldCharType="separate"/>
      </w:r>
      <w:r>
        <w:rPr>
          <w:rFonts w:cs="Times New Roman"/>
          <w:color w:val="auto"/>
          <w:vertAlign w:val="superscript"/>
        </w:rPr>
        <w:t>[24]</w:t>
      </w:r>
      <w:r>
        <w:rPr>
          <w:color w:val="auto"/>
        </w:rPr>
        <w:fldChar w:fldCharType="end"/>
      </w:r>
      <w:r>
        <w:rPr>
          <w:color w:val="auto"/>
        </w:rPr>
        <w:t>。模型结构支持在复杂环境下构建跨职能协作机制，从而确保研发活动的整体一致性与连续改进。</w:t>
      </w:r>
    </w:p>
    <w:p w14:paraId="25CDF4C1">
      <w:pPr>
        <w:ind w:firstLine="480"/>
        <w:jc w:val="center"/>
        <w:rPr>
          <w:color w:val="auto"/>
        </w:rPr>
      </w:pPr>
      <w:r>
        <w:rPr>
          <w:rFonts w:hint="eastAsia"/>
          <w:color w:val="auto"/>
        </w:rPr>
        <w:drawing>
          <wp:inline distT="0" distB="0" distL="0" distR="0">
            <wp:extent cx="3000375" cy="546100"/>
            <wp:effectExtent l="33655" t="0" r="109220" b="6350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0517A88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图2-1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软件过程改进（SPI）理论演化模型</w:t>
      </w:r>
    </w:p>
    <w:p w14:paraId="1F419E24">
      <w:pPr>
        <w:pStyle w:val="57"/>
        <w:ind w:firstLine="480"/>
        <w:jc w:val="both"/>
        <w:rPr>
          <w:color w:val="auto"/>
        </w:rPr>
      </w:pPr>
      <w:r>
        <w:rPr>
          <w:color w:val="auto"/>
        </w:rPr>
        <w:t>图2-1展示了SPI理论从CMM到CMMI 2.0的演化路径，模型通过规范化</w:t>
      </w:r>
      <w:r>
        <w:rPr>
          <w:rFonts w:hint="eastAsia"/>
          <w:color w:val="auto"/>
        </w:rPr>
        <w:t>、</w:t>
      </w:r>
      <w:r>
        <w:rPr>
          <w:color w:val="auto"/>
        </w:rPr>
        <w:t>度量化</w:t>
      </w:r>
      <w:r>
        <w:rPr>
          <w:rFonts w:hint="eastAsia"/>
          <w:color w:val="auto"/>
        </w:rPr>
        <w:t>、</w:t>
      </w:r>
      <w:r>
        <w:rPr>
          <w:color w:val="auto"/>
        </w:rPr>
        <w:t>优化化的连续演进体现了软件过程管理从静态标准体系向动态反馈体系的转变</w:t>
      </w:r>
      <w:r>
        <w:rPr>
          <w:rFonts w:hint="eastAsia"/>
          <w:color w:val="auto"/>
        </w:rPr>
        <w:t>。</w:t>
      </w:r>
    </w:p>
    <w:p w14:paraId="266AE8EA">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00" w:name="_Toc213190784"/>
      <w:bookmarkStart w:id="101" w:name="_Toc213192492"/>
      <w:bookmarkStart w:id="102" w:name="_Toc213192800"/>
      <w:bookmarkStart w:id="103" w:name="_Toc8034"/>
      <w:r>
        <w:rPr>
          <w:rFonts w:hint="eastAsia" w:ascii="Times New Roman" w:hAnsi="Times New Roman" w:eastAsia="黑体" w:cs="Times New Roman"/>
          <w:bCs/>
          <w:sz w:val="24"/>
          <w:szCs w:val="24"/>
        </w:rPr>
        <w:t>2.1.</w:t>
      </w:r>
      <w:r>
        <w:rPr>
          <w:rFonts w:ascii="Times New Roman" w:hAnsi="Times New Roman" w:eastAsia="黑体" w:cs="Times New Roman"/>
          <w:bCs/>
          <w:sz w:val="24"/>
          <w:szCs w:val="24"/>
        </w:rPr>
        <w:t>2</w:t>
      </w:r>
      <w:r>
        <w:rPr>
          <w:rFonts w:hint="eastAsia" w:ascii="Times New Roman" w:hAnsi="Times New Roman" w:eastAsia="黑体" w:cs="Times New Roman"/>
          <w:bCs/>
          <w:sz w:val="24"/>
          <w:szCs w:val="24"/>
        </w:rPr>
        <w:t xml:space="preserve"> 敏捷开发与精益价值流映射（VSM）理论</w:t>
      </w:r>
      <w:bookmarkEnd w:id="100"/>
      <w:bookmarkEnd w:id="101"/>
      <w:bookmarkEnd w:id="102"/>
      <w:bookmarkEnd w:id="103"/>
    </w:p>
    <w:p w14:paraId="68C9B617">
      <w:pPr>
        <w:pStyle w:val="57"/>
        <w:ind w:firstLine="480"/>
        <w:jc w:val="both"/>
        <w:rPr>
          <w:color w:val="auto"/>
        </w:rPr>
      </w:pPr>
      <w:r>
        <w:rPr>
          <w:color w:val="auto"/>
        </w:rPr>
        <w:t>敏捷开发（Agile Development）理论源自2001年发布的《敏捷宣言》（Manifesto for Agile Software Development），其核心思想是以客户价值为中心，通过短周期迭代、团队协作与持续反馈实现快速交付与自适应优化</w:t>
      </w:r>
      <w:r>
        <w:rPr>
          <w:color w:val="auto"/>
        </w:rPr>
        <w:fldChar w:fldCharType="begin"/>
      </w:r>
      <w:r>
        <w:rPr>
          <w:color w:val="auto"/>
        </w:rPr>
        <w:instrText xml:space="preserve"> ADDIN ZOTERO_ITEM CSL_CITATION {"citationID":"KBHbXdXp","properties":{"formattedCitation":"\\super [25]\\nosupersub{}","plainCitation":"[25]","noteIndex":0},"citationItems":[{"id":237,"uris":["http://zotero.org/users/18743979/items/H8BMZHCQ"],"itemData":{"id":237,"type":"article-journal","container-title":"Performance Improvement","DOI":"10.1002/pfi.21408","issue":"4","journalAbbreviation":"Performance Improvement","page":"43-46","title":"Agile Software Development: Principles, Patterns, and Practices","volume":"53","author":[{"literal":"CPT W J R"}],"issued":{"date-parts":[["2014"]]},"citation-key":"cptwjrAgileSoftwareDevelopment2014"}}],"schema":"https://github.com/citation-style-language/schema/raw/master/csl-citation.json"} </w:instrText>
      </w:r>
      <w:r>
        <w:rPr>
          <w:color w:val="auto"/>
        </w:rPr>
        <w:fldChar w:fldCharType="separate"/>
      </w:r>
      <w:r>
        <w:rPr>
          <w:rFonts w:cs="Times New Roman"/>
          <w:color w:val="auto"/>
          <w:vertAlign w:val="superscript"/>
        </w:rPr>
        <w:t>[25]</w:t>
      </w:r>
      <w:r>
        <w:rPr>
          <w:color w:val="auto"/>
        </w:rPr>
        <w:fldChar w:fldCharType="end"/>
      </w:r>
      <w:r>
        <w:rPr>
          <w:color w:val="auto"/>
        </w:rPr>
        <w:t>。敏捷方法论倡导个体与互动高于流程与工具</w:t>
      </w:r>
      <w:r>
        <w:rPr>
          <w:rFonts w:hint="eastAsia"/>
          <w:color w:val="auto"/>
        </w:rPr>
        <w:t>、</w:t>
      </w:r>
      <w:r>
        <w:rPr>
          <w:color w:val="auto"/>
        </w:rPr>
        <w:t>可工作的软件高于详尽的文档</w:t>
      </w:r>
      <w:r>
        <w:rPr>
          <w:rFonts w:hint="eastAsia"/>
          <w:color w:val="auto"/>
        </w:rPr>
        <w:t>、</w:t>
      </w:r>
      <w:r>
        <w:rPr>
          <w:color w:val="auto"/>
        </w:rPr>
        <w:t>响应变化高于遵循计划，形成了以灵活性、透明性与持续改进为核心特征的软件开发模式</w:t>
      </w:r>
      <w:r>
        <w:rPr>
          <w:color w:val="auto"/>
        </w:rPr>
        <w:fldChar w:fldCharType="begin"/>
      </w:r>
      <w:r>
        <w:rPr>
          <w:color w:val="auto"/>
        </w:rPr>
        <w:instrText xml:space="preserve"> ADDIN ZOTERO_ITEM CSL_CITATION {"citationID":"Jn4p126v","properties":{"formattedCitation":"\\super [26]\\nosupersub{}","plainCitation":"[26]","noteIndex":0},"citationItems":[{"id":239,"uris":["http://zotero.org/users/18743979/items/I25W3QQ2"],"itemData":</w:instrText>
      </w:r>
      <w:r>
        <w:rPr>
          <w:rFonts w:hint="eastAsia"/>
          <w:color w:val="auto"/>
        </w:rPr>
        <w:instrText xml:space="preserve">{"id":239,"type":"article-journal","container-title":"计算机系统应用","issue":"06","journalAbbreviation":"计算机系统应用","page":"85-88","title":"6 Sigma管理在敏捷软件开发中的应用","volume":"20","author":[{"literal":"徐琳"},{"literal":"陈荔"},{"literal":"杨丽"}],"issued":{"date-parts":[[</w:instrText>
      </w:r>
      <w:r>
        <w:rPr>
          <w:color w:val="auto"/>
        </w:rPr>
        <w:instrText xml:space="preserve">"2011"]]},"citation-key":"XuLin6SigmaGuanLiZaiMinJieRuanJianKaiFaZhongDeYingYong2011"}}],"schema":"https://github.com/citation-style-language/schema/raw/master/csl-citation.json"} </w:instrText>
      </w:r>
      <w:r>
        <w:rPr>
          <w:color w:val="auto"/>
        </w:rPr>
        <w:fldChar w:fldCharType="separate"/>
      </w:r>
      <w:r>
        <w:rPr>
          <w:rFonts w:cs="Times New Roman"/>
          <w:color w:val="auto"/>
          <w:vertAlign w:val="superscript"/>
        </w:rPr>
        <w:t>[26]</w:t>
      </w:r>
      <w:r>
        <w:rPr>
          <w:color w:val="auto"/>
        </w:rPr>
        <w:fldChar w:fldCharType="end"/>
      </w:r>
      <w:r>
        <w:rPr>
          <w:color w:val="auto"/>
        </w:rPr>
        <w:t>。</w:t>
      </w:r>
    </w:p>
    <w:p w14:paraId="02CD0F04">
      <w:pPr>
        <w:pStyle w:val="57"/>
        <w:ind w:firstLine="480"/>
        <w:jc w:val="both"/>
        <w:rPr>
          <w:color w:val="auto"/>
        </w:rPr>
      </w:pPr>
      <w:r>
        <w:rPr>
          <w:color w:val="auto"/>
        </w:rPr>
        <w:t>精益价值流映射（Value Stream Mapping, VSM）理论起源于丰田生产方式（Toyota Production System）</w:t>
      </w:r>
      <w:r>
        <w:rPr>
          <w:color w:val="auto"/>
        </w:rPr>
        <w:fldChar w:fldCharType="begin"/>
      </w:r>
      <w:r>
        <w:rPr>
          <w:color w:val="auto"/>
        </w:rPr>
        <w:instrText xml:space="preserve"> ADDIN ZOTERO_ITEM CSL_CITATION {"citationID":"QUHXdMhl","properties":{"formattedCitation":"\\super [27]\\nosupersub{}","plainCitation":"[27]","noteIndex":0},"citationItems":[{"id":241,"uris":["http://zotero.org/users/18743979/items/VLA2MFSJ"],"itemData":{"id":241,"type":"book","event-place":"MA","publisher":"Lean Enterprise Institute","publisher-place":"MA","title":"Learning to See: Value Stream Mapping to Add Value and Eliminate MUDA","author":[{"literal":"Rother M"},{"literal":"Shook J"}],"issued":{"date-parts":[["1999"]]},"citation-key":"rothermLearningSeeValue1999"}}],"schema":"https://github.com/citation-style-language/schema/raw/master/csl-citation.json"} </w:instrText>
      </w:r>
      <w:r>
        <w:rPr>
          <w:color w:val="auto"/>
        </w:rPr>
        <w:fldChar w:fldCharType="separate"/>
      </w:r>
      <w:r>
        <w:rPr>
          <w:rFonts w:cs="Times New Roman"/>
          <w:color w:val="auto"/>
          <w:vertAlign w:val="superscript"/>
        </w:rPr>
        <w:t>[27]</w:t>
      </w:r>
      <w:r>
        <w:rPr>
          <w:color w:val="auto"/>
        </w:rPr>
        <w:fldChar w:fldCharType="end"/>
      </w:r>
      <w:r>
        <w:rPr>
          <w:color w:val="auto"/>
        </w:rPr>
        <w:t>，后被引入软件工程领域，用于分析需求流与信息流的整体效率</w:t>
      </w:r>
      <w:r>
        <w:rPr>
          <w:color w:val="auto"/>
        </w:rPr>
        <w:fldChar w:fldCharType="begin"/>
      </w:r>
      <w:r>
        <w:rPr>
          <w:color w:val="auto"/>
        </w:rPr>
        <w:instrText xml:space="preserve"> ADDIN ZOTERO_ITEM CSL_CITATION {"citationID":"nt5cA6GL","properties":{"formattedCitation":"\\super [28]\\nosupersub{}","plainCitation":"[28]","noteIndex":0},"citationItems":[{"id":243,"uris":["http://zotero.org/users/18743979/items/VS8JAREC"],"itemData":{"id":243,"type":"article-journal","container-title":"Computer","DOI":"10.1109/MC.2003.1220585","issue":"8","page":"89-89","title":"Computer,2003,36(8):89-89.DOI:10.1109/MC.2003.1220585","volume":"36","author":[{"literal":"Lean software development: an agile toolkit[J]"}],"issued":{"date-parts":[["2003"]]},"citation-key":"leansoftwaredevelopment:anagiletoolkit[j]Computer20033688989DOI1011092003"}}],"schema":"https://github.com/citation-style-language/schema/raw/master/csl-citation.json"} </w:instrText>
      </w:r>
      <w:r>
        <w:rPr>
          <w:color w:val="auto"/>
        </w:rPr>
        <w:fldChar w:fldCharType="separate"/>
      </w:r>
      <w:r>
        <w:rPr>
          <w:rFonts w:cs="Times New Roman"/>
          <w:color w:val="auto"/>
          <w:vertAlign w:val="superscript"/>
        </w:rPr>
        <w:t>[28]</w:t>
      </w:r>
      <w:r>
        <w:rPr>
          <w:color w:val="auto"/>
        </w:rPr>
        <w:fldChar w:fldCharType="end"/>
      </w:r>
      <w:r>
        <w:rPr>
          <w:color w:val="auto"/>
        </w:rPr>
        <w:t>。VSM通过识别增值与非增值活动，实现流程瓶颈可视化与优化决策支持。其核心在于通过价值流这一概念，将需求分析、设计、开发、测试与交付全过程作为统一系统进行度量，从而消除浪费与延迟，提升整体价值交付效率。</w:t>
      </w:r>
    </w:p>
    <w:p w14:paraId="6AFB1E8F">
      <w:pPr>
        <w:pStyle w:val="57"/>
        <w:ind w:firstLine="480"/>
        <w:jc w:val="both"/>
        <w:rPr>
          <w:color w:val="auto"/>
        </w:rPr>
      </w:pPr>
      <w:r>
        <w:rPr>
          <w:color w:val="auto"/>
        </w:rPr>
        <w:t>敏捷与VSM的结合形成了精益敏捷价值流（Lean-Agile Value Stream）框架</w:t>
      </w:r>
      <w:r>
        <w:rPr>
          <w:color w:val="auto"/>
        </w:rPr>
        <w:fldChar w:fldCharType="begin"/>
      </w:r>
      <w:r>
        <w:rPr>
          <w:color w:val="auto"/>
        </w:rPr>
        <w:instrText xml:space="preserve"> ADDIN ZOTERO_ITEM CSL_CITATION {"citationID":"CokqtiE1","properties":{"formattedCitation":"\\super [29]\\nosupersub{}","plainCitation":"[29]","noteIndex":0},"citationItems":[{"id":245,"uris":["http://zotero.org/users/18743979/items/WLNDWKKR"],"itemData":</w:instrText>
      </w:r>
      <w:r>
        <w:rPr>
          <w:rFonts w:hint="eastAsia"/>
          <w:color w:val="auto"/>
        </w:rPr>
        <w:instrText xml:space="preserve">{"id":245,"type":"article-journal","container-title":"项目管理评论","issue":"05","journalAbbreviation":"项目管理评论","page":"24-26","title":"“敏捷7项原则”让企业的价值流流动起来","author":[{"literal":"莱因哈特·瓦格纳"},{"literal":"尉艳娟"}],"issued":{"date-parts":[["2020"]]},"citation-key":"L</w:instrText>
      </w:r>
      <w:r>
        <w:rPr>
          <w:color w:val="auto"/>
        </w:rPr>
        <w:instrText xml:space="preserve">aiYinHaTe*WaGeNaMinJie7XiangYuanZeRangQiYeDeJieZhiLiuLiuDongQiLai2020"}}],"schema":"https://github.com/citation-style-language/schema/raw/master/csl-citation.json"} </w:instrText>
      </w:r>
      <w:r>
        <w:rPr>
          <w:color w:val="auto"/>
        </w:rPr>
        <w:fldChar w:fldCharType="separate"/>
      </w:r>
      <w:r>
        <w:rPr>
          <w:rFonts w:cs="Times New Roman"/>
          <w:color w:val="auto"/>
          <w:vertAlign w:val="superscript"/>
        </w:rPr>
        <w:t>[29]</w:t>
      </w:r>
      <w:r>
        <w:rPr>
          <w:color w:val="auto"/>
        </w:rPr>
        <w:fldChar w:fldCharType="end"/>
      </w:r>
      <w:r>
        <w:rPr>
          <w:color w:val="auto"/>
        </w:rPr>
        <w:t>。该框架通过将迭代式开发与价值流分析相结合，实现从流程透明化到效率量化的转变。理论模型包括需求生成</w:t>
      </w:r>
      <w:r>
        <w:rPr>
          <w:rFonts w:hint="eastAsia"/>
          <w:color w:val="auto"/>
        </w:rPr>
        <w:t>、</w:t>
      </w:r>
      <w:r>
        <w:rPr>
          <w:color w:val="auto"/>
        </w:rPr>
        <w:t>开发实现</w:t>
      </w:r>
      <w:r>
        <w:rPr>
          <w:rFonts w:hint="eastAsia"/>
          <w:color w:val="auto"/>
        </w:rPr>
        <w:t>、</w:t>
      </w:r>
      <w:r>
        <w:rPr>
          <w:color w:val="auto"/>
        </w:rPr>
        <w:t>交付验证</w:t>
      </w:r>
      <w:r>
        <w:rPr>
          <w:rFonts w:hint="eastAsia"/>
          <w:color w:val="auto"/>
        </w:rPr>
        <w:t>、</w:t>
      </w:r>
      <w:r>
        <w:rPr>
          <w:color w:val="auto"/>
        </w:rPr>
        <w:t>反馈改进四个循环阶段，构建了基于价值导向的持续改进体系。模型在多变的软件开发环境中能够有效缓解跨部门协作断层与流程低效问题，促进全流程优化与持续反馈。</w:t>
      </w:r>
    </w:p>
    <w:p w14:paraId="1C00A8A3">
      <w:pPr>
        <w:ind w:firstLine="480"/>
        <w:jc w:val="center"/>
        <w:rPr>
          <w:color w:val="auto"/>
        </w:rPr>
      </w:pPr>
      <w:r>
        <w:rPr>
          <w:rFonts w:hint="eastAsia"/>
          <w:color w:val="auto"/>
        </w:rPr>
        <w:drawing>
          <wp:inline distT="0" distB="0" distL="0" distR="0">
            <wp:extent cx="4062095" cy="1926590"/>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6B3ABED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图2-2</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敏捷开发与价值流映射（VSM）集成模型图</w:t>
      </w:r>
    </w:p>
    <w:p w14:paraId="37F0F2BF">
      <w:pPr>
        <w:pStyle w:val="57"/>
        <w:ind w:firstLine="480"/>
        <w:jc w:val="both"/>
        <w:rPr>
          <w:color w:val="auto"/>
        </w:rPr>
      </w:pPr>
      <w:r>
        <w:rPr>
          <w:color w:val="auto"/>
        </w:rPr>
        <w:t>图2-2展示了敏捷开发与VSM理论的融合关系。模型通过循环反馈机制将需求流、开发流与交付流有机结合，体现了价值导向与持续优化的内在联系。</w:t>
      </w:r>
    </w:p>
    <w:p w14:paraId="73155CD2">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04" w:name="_Toc213190785"/>
      <w:bookmarkStart w:id="105" w:name="_Toc213192493"/>
      <w:bookmarkStart w:id="106" w:name="_Toc213192801"/>
      <w:bookmarkStart w:id="107" w:name="_Toc17549"/>
      <w:r>
        <w:rPr>
          <w:rFonts w:ascii="Times New Roman" w:hAnsi="Times New Roman" w:eastAsia="黑体" w:cs="Times New Roman"/>
          <w:bCs/>
          <w:sz w:val="24"/>
          <w:szCs w:val="24"/>
        </w:rPr>
        <w:t>2.1.3 工程效能度量与持续改进机制</w:t>
      </w:r>
      <w:bookmarkEnd w:id="104"/>
      <w:bookmarkEnd w:id="105"/>
      <w:bookmarkEnd w:id="106"/>
      <w:bookmarkEnd w:id="107"/>
    </w:p>
    <w:p w14:paraId="718ABEAD">
      <w:pPr>
        <w:pStyle w:val="57"/>
        <w:ind w:firstLine="480"/>
        <w:jc w:val="both"/>
        <w:rPr>
          <w:color w:val="auto"/>
        </w:rPr>
      </w:pPr>
      <w:r>
        <w:rPr>
          <w:color w:val="auto"/>
        </w:rPr>
        <w:t>工程效能度量（Engineering Productivity Metrics）理论以数据驱动的持续改进为核心，旨在通过度量指标体系分析与优化软件研发效能</w:t>
      </w:r>
      <w:r>
        <w:rPr>
          <w:color w:val="auto"/>
        </w:rPr>
        <w:fldChar w:fldCharType="begin"/>
      </w:r>
      <w:r>
        <w:rPr>
          <w:color w:val="auto"/>
        </w:rPr>
        <w:instrText xml:space="preserve"> ADDIN ZOTERO_ITEM CSL_CITATION {"citationID":"gingpc6r","properties":{"formattedCitation":"\\super [30]\\nosupersub{}","plainCitation":"[30]","noteIndex":0},"citationItems":[{"id":247,"uris":["http://zotero.org/users/18743979/items/FMH8R8BE"],"itemData":</w:instrText>
      </w:r>
      <w:r>
        <w:rPr>
          <w:rFonts w:hint="eastAsia"/>
          <w:color w:val="auto"/>
        </w:rPr>
        <w:instrText xml:space="preserve">{"id":247,"type":"book","event-place":"电子工业出版社","number-of-pages":"202210","publisher":"202210","publisher-place":"电子工业出版社","title":"软件研发效能权威指南","author":[{"literal":"茹炳晟"},{"literal":"张乐"}],"issued":{"date-parts":[["2022"]]},"citation-key":"RuBingChengRu</w:instrText>
      </w:r>
      <w:r>
        <w:rPr>
          <w:color w:val="auto"/>
        </w:rPr>
        <w:instrText xml:space="preserve">anJianYanFaXiaoNengQuanWeiZhiNan2022"}}],"schema":"https://github.com/citation-style-language/schema/raw/master/csl-citation.json"} </w:instrText>
      </w:r>
      <w:r>
        <w:rPr>
          <w:color w:val="auto"/>
        </w:rPr>
        <w:fldChar w:fldCharType="separate"/>
      </w:r>
      <w:r>
        <w:rPr>
          <w:rFonts w:cs="Times New Roman"/>
          <w:color w:val="auto"/>
          <w:vertAlign w:val="superscript"/>
        </w:rPr>
        <w:t>[30]</w:t>
      </w:r>
      <w:r>
        <w:rPr>
          <w:color w:val="auto"/>
        </w:rPr>
        <w:fldChar w:fldCharType="end"/>
      </w:r>
      <w:r>
        <w:rPr>
          <w:color w:val="auto"/>
        </w:rPr>
        <w:t>。该理论由Google旗下DevOps Research and Assessment（DORA）团队提出，构建了被全球广泛采用的四项核心指标体系：部署频率（Deployment Frequency）、变更前置时间（Lead Time for Changes）、平均恢复时间（Mean Time to Recovery, MTTR）与变更失败率（Change Failure Rate）</w:t>
      </w:r>
      <w:r>
        <w:rPr>
          <w:color w:val="auto"/>
        </w:rPr>
        <w:fldChar w:fldCharType="begin"/>
      </w:r>
      <w:r>
        <w:rPr>
          <w:color w:val="auto"/>
        </w:rPr>
        <w:instrText xml:space="preserve"> ADDIN ZOTERO_ITEM CSL_CITATION {"citationID":"IBuzpQfr","properties":{"formattedCitation":"\\super [31]\\nosupersub{}","plainCitation":"[31]","noteIndex":0},"citationItems":[{"id":249,"uris":["http://zotero.org/users/18743979/items/CZHHED8W"],"itemData":{"id":249,"type":"webpage","container-title":"(2024-10-01).Available from: https://dora.dev/guides/dora-metrics-four-keys/.","title":"DORA’s software delivery metrics: the four keys","URL":"https://dora.dev/guides/dora-metrics-four-keys/","author":[{"literal":"DevOps Research and Assessment (DORA)"}],"issued":{"date-parts":[["2024"]]},"citation-key":"devopsresearchandassessmentdoraDORAsSoftwareDelivery2024"}}],"schema":"https://github.com/citation-style-language/schema/raw/master/csl-citation.json"} </w:instrText>
      </w:r>
      <w:r>
        <w:rPr>
          <w:color w:val="auto"/>
        </w:rPr>
        <w:fldChar w:fldCharType="separate"/>
      </w:r>
      <w:r>
        <w:rPr>
          <w:rFonts w:cs="Times New Roman"/>
          <w:color w:val="auto"/>
          <w:vertAlign w:val="superscript"/>
        </w:rPr>
        <w:t>[31]</w:t>
      </w:r>
      <w:r>
        <w:rPr>
          <w:color w:val="auto"/>
        </w:rPr>
        <w:fldChar w:fldCharType="end"/>
      </w:r>
      <w:r>
        <w:rPr>
          <w:color w:val="auto"/>
        </w:rPr>
        <w:t>。这些指标被ISO/IEC 33014:2023标准采纳，用于衡量软件过程改进的成熟度与稳定性。</w:t>
      </w:r>
    </w:p>
    <w:p w14:paraId="068196AC">
      <w:pPr>
        <w:pStyle w:val="57"/>
        <w:ind w:firstLine="480"/>
        <w:jc w:val="both"/>
        <w:rPr>
          <w:color w:val="auto"/>
        </w:rPr>
      </w:pPr>
      <w:r>
        <w:rPr>
          <w:color w:val="auto"/>
        </w:rPr>
        <w:t>工程效能度量模型基于度量</w:t>
      </w:r>
      <w:r>
        <w:rPr>
          <w:rFonts w:hint="eastAsia"/>
          <w:color w:val="auto"/>
        </w:rPr>
        <w:t>、</w:t>
      </w:r>
      <w:r>
        <w:rPr>
          <w:color w:val="auto"/>
        </w:rPr>
        <w:t>分析</w:t>
      </w:r>
      <w:r>
        <w:rPr>
          <w:rFonts w:hint="eastAsia"/>
          <w:color w:val="auto"/>
        </w:rPr>
        <w:t>、</w:t>
      </w:r>
      <w:r>
        <w:rPr>
          <w:color w:val="auto"/>
        </w:rPr>
        <w:t>改进的循环原理构建，包括指标层（Metrics Layer）、分析层（Analytics Layer）与改进层（Improvement Layer）三个层次</w:t>
      </w:r>
      <w:r>
        <w:rPr>
          <w:color w:val="auto"/>
        </w:rPr>
        <w:fldChar w:fldCharType="begin"/>
      </w:r>
      <w:r>
        <w:rPr>
          <w:color w:val="auto"/>
        </w:rPr>
        <w:instrText xml:space="preserve"> ADDIN ZOTERO_ITEM CSL_CITATION {"citationID":"UEAfumWH","properties":{"formattedCitation":"\\super [32]\\nosupersub{}","plainCitation":"[32]","noteIndex":0},"citationItems":[{"id":251,"uris":["http://zotero.org/users/18743979/items/F4X3IVGL"],"itemData":{"id":251,"type":"book","event-place":"Portland (OR)","number-of-pages":"257","publisher":"IT Revolution","publisher-place":"Portland (OR)","title":"Accelerate: The Science of Lean Software and DevOps: Building and Scaling High Performing Technology Organizations","author":[{"literal":"Forsgren N"},{"literal":"Humble J"},{"literal":"Kim G"}],"issued":{"date-parts":[["2018"]]},"citation-key":"forsgrennAccelerateScienceLean2018"}}],"schema":"https://github.com/citation-style-language/schema/raw/master/csl-citation.json"} </w:instrText>
      </w:r>
      <w:r>
        <w:rPr>
          <w:color w:val="auto"/>
        </w:rPr>
        <w:fldChar w:fldCharType="separate"/>
      </w:r>
      <w:r>
        <w:rPr>
          <w:rFonts w:cs="Times New Roman"/>
          <w:color w:val="auto"/>
          <w:vertAlign w:val="superscript"/>
        </w:rPr>
        <w:t>[32]</w:t>
      </w:r>
      <w:r>
        <w:rPr>
          <w:color w:val="auto"/>
        </w:rPr>
        <w:fldChar w:fldCharType="end"/>
      </w:r>
      <w:r>
        <w:rPr>
          <w:color w:val="auto"/>
        </w:rPr>
        <w:t>。指标层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14:paraId="1C1DAF35">
      <w:pPr>
        <w:pStyle w:val="57"/>
        <w:ind w:firstLine="480"/>
        <w:jc w:val="both"/>
        <w:rPr>
          <w:color w:val="auto"/>
        </w:rPr>
      </w:pPr>
      <w:r>
        <w:rPr>
          <w:color w:val="auto"/>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14:paraId="4A675A1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表2-1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工程效能度量指标体系与改进方向</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44"/>
        <w:gridCol w:w="2085"/>
        <w:gridCol w:w="2325"/>
        <w:gridCol w:w="1935"/>
        <w:gridCol w:w="2199"/>
      </w:tblGrid>
      <w:tr w14:paraId="7BDA476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44" w:type="dxa"/>
            <w:tcBorders>
              <w:bottom w:val="single" w:color="auto" w:sz="8" w:space="0"/>
              <w:insideH w:val="single" w:sz="8" w:space="0"/>
            </w:tcBorders>
            <w:vAlign w:val="center"/>
          </w:tcPr>
          <w:p w14:paraId="0BE9043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序号</w:t>
            </w:r>
          </w:p>
        </w:tc>
        <w:tc>
          <w:tcPr>
            <w:tcW w:w="2085" w:type="dxa"/>
            <w:tcBorders>
              <w:bottom w:val="single" w:color="auto" w:sz="8" w:space="0"/>
              <w:insideH w:val="single" w:sz="8" w:space="0"/>
            </w:tcBorders>
            <w:vAlign w:val="center"/>
          </w:tcPr>
          <w:p w14:paraId="23DA07B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指标名称</w:t>
            </w:r>
          </w:p>
        </w:tc>
        <w:tc>
          <w:tcPr>
            <w:tcW w:w="2325" w:type="dxa"/>
            <w:tcBorders>
              <w:bottom w:val="single" w:color="auto" w:sz="8" w:space="0"/>
              <w:insideH w:val="single" w:sz="8" w:space="0"/>
            </w:tcBorders>
            <w:vAlign w:val="center"/>
          </w:tcPr>
          <w:p w14:paraId="61E9813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定义</w:t>
            </w:r>
          </w:p>
        </w:tc>
        <w:tc>
          <w:tcPr>
            <w:tcW w:w="1935" w:type="dxa"/>
            <w:tcBorders>
              <w:bottom w:val="single" w:color="auto" w:sz="8" w:space="0"/>
              <w:insideH w:val="single" w:sz="8" w:space="0"/>
            </w:tcBorders>
            <w:vAlign w:val="center"/>
          </w:tcPr>
          <w:p w14:paraId="4C08492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测度方法</w:t>
            </w:r>
          </w:p>
        </w:tc>
        <w:tc>
          <w:tcPr>
            <w:tcW w:w="2199" w:type="dxa"/>
            <w:tcBorders>
              <w:bottom w:val="single" w:color="auto" w:sz="8" w:space="0"/>
              <w:insideH w:val="single" w:sz="8" w:space="0"/>
            </w:tcBorders>
            <w:vAlign w:val="center"/>
          </w:tcPr>
          <w:p w14:paraId="4F5966E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改进方向</w:t>
            </w:r>
          </w:p>
        </w:tc>
      </w:tr>
      <w:tr w14:paraId="3F0F6E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44" w:type="dxa"/>
            <w:vAlign w:val="center"/>
          </w:tcPr>
          <w:p w14:paraId="20B6E96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1</w:t>
            </w:r>
          </w:p>
        </w:tc>
        <w:tc>
          <w:tcPr>
            <w:tcW w:w="2085" w:type="dxa"/>
            <w:vAlign w:val="center"/>
          </w:tcPr>
          <w:p w14:paraId="515E4A7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部署频率</w:t>
            </w:r>
          </w:p>
        </w:tc>
        <w:tc>
          <w:tcPr>
            <w:tcW w:w="2325" w:type="dxa"/>
            <w:vAlign w:val="center"/>
          </w:tcPr>
          <w:p w14:paraId="043CA8E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单位时间内部署次数</w:t>
            </w:r>
          </w:p>
        </w:tc>
        <w:tc>
          <w:tcPr>
            <w:tcW w:w="1935" w:type="dxa"/>
            <w:vAlign w:val="center"/>
          </w:tcPr>
          <w:p w14:paraId="14A410D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自动化流水线统计</w:t>
            </w:r>
          </w:p>
        </w:tc>
        <w:tc>
          <w:tcPr>
            <w:tcW w:w="2199" w:type="dxa"/>
            <w:vAlign w:val="center"/>
          </w:tcPr>
          <w:p w14:paraId="4BE2582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提升交付节奏与发布灵活性</w:t>
            </w:r>
          </w:p>
        </w:tc>
      </w:tr>
      <w:tr w14:paraId="0ECE1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44" w:type="dxa"/>
            <w:vAlign w:val="center"/>
          </w:tcPr>
          <w:p w14:paraId="03EFEF3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w:t>
            </w:r>
          </w:p>
        </w:tc>
        <w:tc>
          <w:tcPr>
            <w:tcW w:w="2085" w:type="dxa"/>
            <w:vAlign w:val="center"/>
          </w:tcPr>
          <w:p w14:paraId="427BA3D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变更前置时间</w:t>
            </w:r>
          </w:p>
        </w:tc>
        <w:tc>
          <w:tcPr>
            <w:tcW w:w="2325" w:type="dxa"/>
            <w:vAlign w:val="center"/>
          </w:tcPr>
          <w:p w14:paraId="7ECDD19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从提交到上线的平均时间</w:t>
            </w:r>
          </w:p>
        </w:tc>
        <w:tc>
          <w:tcPr>
            <w:tcW w:w="1935" w:type="dxa"/>
            <w:vAlign w:val="center"/>
          </w:tcPr>
          <w:p w14:paraId="5C4E535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CI/CD日志分析</w:t>
            </w:r>
          </w:p>
        </w:tc>
        <w:tc>
          <w:tcPr>
            <w:tcW w:w="2199" w:type="dxa"/>
            <w:vAlign w:val="center"/>
          </w:tcPr>
          <w:p w14:paraId="32DF2E5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缩短迭代周期与反馈延迟</w:t>
            </w:r>
          </w:p>
        </w:tc>
      </w:tr>
      <w:tr w14:paraId="5E873E1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44" w:type="dxa"/>
            <w:vAlign w:val="center"/>
          </w:tcPr>
          <w:p w14:paraId="5F21D23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w:t>
            </w:r>
          </w:p>
        </w:tc>
        <w:tc>
          <w:tcPr>
            <w:tcW w:w="2085" w:type="dxa"/>
            <w:vAlign w:val="center"/>
          </w:tcPr>
          <w:p w14:paraId="0C1B6B7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平均恢复时间（MTTR）</w:t>
            </w:r>
          </w:p>
        </w:tc>
        <w:tc>
          <w:tcPr>
            <w:tcW w:w="2325" w:type="dxa"/>
            <w:vAlign w:val="center"/>
          </w:tcPr>
          <w:p w14:paraId="7F4AB3A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故障恢复的平均时间</w:t>
            </w:r>
          </w:p>
        </w:tc>
        <w:tc>
          <w:tcPr>
            <w:tcW w:w="1935" w:type="dxa"/>
            <w:vAlign w:val="center"/>
          </w:tcPr>
          <w:p w14:paraId="4F3DA26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监控系统数据统计</w:t>
            </w:r>
          </w:p>
        </w:tc>
        <w:tc>
          <w:tcPr>
            <w:tcW w:w="2199" w:type="dxa"/>
            <w:vAlign w:val="center"/>
          </w:tcPr>
          <w:p w14:paraId="05A21FD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提升运维响应能力</w:t>
            </w:r>
          </w:p>
        </w:tc>
      </w:tr>
      <w:tr w14:paraId="7DAF43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44" w:type="dxa"/>
            <w:vAlign w:val="center"/>
          </w:tcPr>
          <w:p w14:paraId="70CF6F9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4</w:t>
            </w:r>
          </w:p>
        </w:tc>
        <w:tc>
          <w:tcPr>
            <w:tcW w:w="2085" w:type="dxa"/>
            <w:vAlign w:val="center"/>
          </w:tcPr>
          <w:p w14:paraId="5C7E9C0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变更失败率</w:t>
            </w:r>
          </w:p>
        </w:tc>
        <w:tc>
          <w:tcPr>
            <w:tcW w:w="2325" w:type="dxa"/>
            <w:vAlign w:val="center"/>
          </w:tcPr>
          <w:p w14:paraId="43720F0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部署失败占比</w:t>
            </w:r>
          </w:p>
        </w:tc>
        <w:tc>
          <w:tcPr>
            <w:tcW w:w="1935" w:type="dxa"/>
            <w:vAlign w:val="center"/>
          </w:tcPr>
          <w:p w14:paraId="713CE51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回滚数据分析</w:t>
            </w:r>
          </w:p>
        </w:tc>
        <w:tc>
          <w:tcPr>
            <w:tcW w:w="2199" w:type="dxa"/>
            <w:vAlign w:val="center"/>
          </w:tcPr>
          <w:p w14:paraId="2798F19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改进验证与测试环节</w:t>
            </w:r>
          </w:p>
        </w:tc>
      </w:tr>
      <w:tr w14:paraId="09AF34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44" w:type="dxa"/>
            <w:vAlign w:val="center"/>
          </w:tcPr>
          <w:p w14:paraId="669890B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5</w:t>
            </w:r>
          </w:p>
        </w:tc>
        <w:tc>
          <w:tcPr>
            <w:tcW w:w="2085" w:type="dxa"/>
            <w:vAlign w:val="center"/>
          </w:tcPr>
          <w:p w14:paraId="1AF0987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缺陷密度</w:t>
            </w:r>
          </w:p>
        </w:tc>
        <w:tc>
          <w:tcPr>
            <w:tcW w:w="2325" w:type="dxa"/>
            <w:vAlign w:val="center"/>
          </w:tcPr>
          <w:p w14:paraId="05E21AA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单位功能点缺陷数</w:t>
            </w:r>
          </w:p>
        </w:tc>
        <w:tc>
          <w:tcPr>
            <w:tcW w:w="1935" w:type="dxa"/>
            <w:vAlign w:val="center"/>
          </w:tcPr>
          <w:p w14:paraId="6FAA5DB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缺陷跟踪系统分析</w:t>
            </w:r>
          </w:p>
        </w:tc>
        <w:tc>
          <w:tcPr>
            <w:tcW w:w="2199" w:type="dxa"/>
            <w:vAlign w:val="center"/>
          </w:tcPr>
          <w:p w14:paraId="4747B9D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优化需求与设计质量</w:t>
            </w:r>
          </w:p>
        </w:tc>
      </w:tr>
    </w:tbl>
    <w:p w14:paraId="7FA8C1CC">
      <w:pPr>
        <w:pStyle w:val="57"/>
        <w:ind w:firstLine="480"/>
        <w:jc w:val="both"/>
        <w:rPr>
          <w:color w:val="auto"/>
        </w:rPr>
      </w:pPr>
      <w:r>
        <w:rPr>
          <w:color w:val="auto"/>
        </w:rPr>
        <w:t>表2-1展示了DORA指标体系在软件开发过程管理中的典型应用。该体系以数据度量为基础，强调通过可量化指标驱动工程改进与过程优化。</w:t>
      </w:r>
    </w:p>
    <w:p w14:paraId="79BCDEE6">
      <w:pPr>
        <w:pStyle w:val="3"/>
        <w:keepNext/>
        <w:keepLines/>
        <w:numPr>
          <w:ilvl w:val="1"/>
          <w:numId w:val="0"/>
        </w:numPr>
        <w:adjustRightInd/>
        <w:snapToGrid/>
        <w:rPr>
          <w:rFonts w:ascii="Times New Roman" w:hAnsi="Times New Roman"/>
          <w:bCs/>
          <w:color w:val="auto"/>
          <w:szCs w:val="32"/>
        </w:rPr>
      </w:pPr>
      <w:bookmarkStart w:id="108" w:name="_Toc213190786"/>
      <w:bookmarkStart w:id="109" w:name="_Toc213192802"/>
      <w:bookmarkStart w:id="110" w:name="_Toc213192494"/>
      <w:bookmarkStart w:id="111" w:name="_Toc19883"/>
      <w:r>
        <w:rPr>
          <w:rFonts w:ascii="Times New Roman" w:hAnsi="Times New Roman"/>
          <w:bCs/>
          <w:color w:val="auto"/>
          <w:szCs w:val="32"/>
        </w:rPr>
        <w:t>2.2 安全与合规治理理论基础</w:t>
      </w:r>
      <w:bookmarkEnd w:id="108"/>
      <w:bookmarkEnd w:id="109"/>
      <w:bookmarkEnd w:id="110"/>
      <w:bookmarkEnd w:id="111"/>
    </w:p>
    <w:p w14:paraId="00173F97">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12" w:name="_Toc213190787"/>
      <w:bookmarkStart w:id="113" w:name="_Toc213192803"/>
      <w:bookmarkStart w:id="114" w:name="_Toc213192495"/>
      <w:bookmarkStart w:id="115" w:name="_Toc8486"/>
      <w:r>
        <w:rPr>
          <w:rFonts w:ascii="Times New Roman" w:hAnsi="Times New Roman" w:eastAsia="黑体" w:cs="Times New Roman"/>
          <w:bCs/>
          <w:sz w:val="24"/>
          <w:szCs w:val="24"/>
        </w:rPr>
        <w:t>2.2.1 信息安全管理体系（ISMS）与风险控制理论</w:t>
      </w:r>
      <w:bookmarkEnd w:id="112"/>
      <w:bookmarkEnd w:id="113"/>
      <w:bookmarkEnd w:id="114"/>
      <w:bookmarkEnd w:id="115"/>
    </w:p>
    <w:p w14:paraId="176D8E3D">
      <w:pPr>
        <w:pStyle w:val="57"/>
        <w:ind w:firstLine="480"/>
        <w:jc w:val="both"/>
        <w:rPr>
          <w:color w:val="auto"/>
        </w:rPr>
      </w:pPr>
      <w:r>
        <w:rPr>
          <w:color w:val="auto"/>
        </w:rPr>
        <w:t>信息安全管理体系（Information Security Management System, ISMS）是现代软件工程安全治理的基础理论，其核心目标在于通过系统化、规范化的管理方法识别、评估与控制信息安全风险，从而保障信息资产的保密性、完整性与可用性</w:t>
      </w:r>
      <w:r>
        <w:rPr>
          <w:color w:val="auto"/>
        </w:rPr>
        <w:fldChar w:fldCharType="begin"/>
      </w:r>
      <w:r>
        <w:rPr>
          <w:color w:val="auto"/>
        </w:rPr>
        <w:instrText xml:space="preserve"> ADDIN ZOTERO_ITEM CSL_CITATION {"citationID":"BwCkGrly","properties":{"formattedCitation":"\\super [33]\\nosupersub{}","plainCitation":"[33]","noteIndex":0},"citationItems":[{"id":253,"uris":["http://zotero.org/users/18743979/items/P4Q7UN4D"],"itemData":</w:instrText>
      </w:r>
      <w:r>
        <w:rPr>
          <w:rFonts w:hint="eastAsia"/>
          <w:color w:val="auto"/>
        </w:rPr>
        <w:instrText xml:space="preserve">{"id":253,"type":"article-journal","container-title":"信息技术与标准化","issue":"09","journalAbbreviation":"信息技术与标准化","page":"14-18","title":"ISO/IEC 27000系列信息安全管理体系国际标准在我国的应用","author":[{"literal":"付志高"},{"literal":"林阳荟晨"},{"literal":"王姣"}],"issued":{"date-parts</w:instrText>
      </w:r>
      <w:r>
        <w:rPr>
          <w:color w:val="auto"/>
        </w:rPr>
        <w:instrText xml:space="preserve">":[["2025"]]},"citation-key":"FuZhiGaoISOIEC27000XiLieXinXiAnQuanGuanLiTiXiGuoJiBiaoZhunZaiWoGuoDeYingYong2025"}}],"schema":"https://github.com/citation-style-language/schema/raw/master/csl-citation.json"} </w:instrText>
      </w:r>
      <w:r>
        <w:rPr>
          <w:color w:val="auto"/>
        </w:rPr>
        <w:fldChar w:fldCharType="separate"/>
      </w:r>
      <w:r>
        <w:rPr>
          <w:rFonts w:cs="Times New Roman"/>
          <w:color w:val="auto"/>
          <w:vertAlign w:val="superscript"/>
        </w:rPr>
        <w:t>[33]</w:t>
      </w:r>
      <w:r>
        <w:rPr>
          <w:color w:val="auto"/>
        </w:rPr>
        <w:fldChar w:fldCharType="end"/>
      </w:r>
      <w:r>
        <w:rPr>
          <w:color w:val="auto"/>
        </w:rPr>
        <w:t>。ISMS理论最早源自ISO/IEC 27001标准，该标准于2005年发布，并在2022年更新为ISO/IEC 27001:2022版本</w:t>
      </w:r>
      <w:r>
        <w:rPr>
          <w:color w:val="auto"/>
        </w:rPr>
        <w:fldChar w:fldCharType="begin"/>
      </w:r>
      <w:r>
        <w:rPr>
          <w:color w:val="auto"/>
        </w:rPr>
        <w:instrText xml:space="preserve"> ADDIN ZOTERO_ITEM CSL_CITATION {"citationID":"eLb2mCfW","properties":{"formattedCitation":"\\super [34]\\nosupersub{}","plainCitation":"[34]","noteIndex":0},"citationItems":[{"id":255,"uris":["http://zotero.org/users/18743979/items/RB9ACGTJ"],"itemData":{"id":255,"type":"article-journal","container-title":"Geneva: International Organization for Standardization/International Electrotechnical Commission","page":"2022","title":"ISO/IEC 27001:2022 Information security,cybersecurity and privacy protection — Information security management systems — Requirements","author":[{"literal":"ISO/IEC"}],"issued":{"date-parts":[["2022"]]},"citation-key":"iso/iecISOIEC270012022"}}],"schema":"https://github.com/citation-style-language/schema/raw/master/csl-citation.json"} </w:instrText>
      </w:r>
      <w:r>
        <w:rPr>
          <w:color w:val="auto"/>
        </w:rPr>
        <w:fldChar w:fldCharType="separate"/>
      </w:r>
      <w:r>
        <w:rPr>
          <w:rFonts w:cs="Times New Roman"/>
          <w:color w:val="auto"/>
          <w:vertAlign w:val="superscript"/>
        </w:rPr>
        <w:t>[34]</w:t>
      </w:r>
      <w:r>
        <w:rPr>
          <w:color w:val="auto"/>
        </w:rPr>
        <w:fldChar w:fldCharType="end"/>
      </w:r>
      <w:r>
        <w:rPr>
          <w:color w:val="auto"/>
        </w:rPr>
        <w:t>，进一步强调基于风险的安全管理和持续改进机制。</w:t>
      </w:r>
    </w:p>
    <w:p w14:paraId="1E6A830F">
      <w:pPr>
        <w:pStyle w:val="57"/>
        <w:ind w:firstLine="480"/>
        <w:jc w:val="both"/>
        <w:rPr>
          <w:color w:val="auto"/>
        </w:rPr>
      </w:pPr>
      <w:r>
        <w:rPr>
          <w:color w:val="auto"/>
        </w:rPr>
        <w:t>ISMS的核心原理是Plan-Do-Check-Act（PDCA）循环模型，通过持续改进实现安全控制的闭环管理</w:t>
      </w:r>
      <w:r>
        <w:rPr>
          <w:color w:val="auto"/>
        </w:rPr>
        <w:fldChar w:fldCharType="begin"/>
      </w:r>
      <w:r>
        <w:rPr>
          <w:color w:val="auto"/>
        </w:rPr>
        <w:instrText xml:space="preserve"> ADDIN ZOTERO_ITEM CSL_CITATION {"citationID":"9ocbB4mr","properties":{"formattedCitation":"\\super [35]\\nosupersub{}","plainCitation":"[35]","noteIndex":0},"citationItems":[{"id":257,"uris":["http://zotero.org/users/18743979/items/H2RFK37B"],"itemData":</w:instrText>
      </w:r>
      <w:r>
        <w:rPr>
          <w:rFonts w:hint="eastAsia"/>
          <w:color w:val="auto"/>
        </w:rPr>
        <w:instrText xml:space="preserve">{"id":257,"type":"article-journal","container-title":"北京:中国标准出版社","page":"2015","title":"GB/T 19001-2016/ISO 9001:2015 《质量管理体系 要求》","author":[{"literal":"国家标准化管理委员会"}],"issued":{"date-parts":[["1900"]]},"citation-key":"GuoJiaBiaoZhunHuaGuanLiWeiYuanHuiGB1</w:instrText>
      </w:r>
      <w:r>
        <w:rPr>
          <w:color w:val="auto"/>
        </w:rPr>
        <w:instrText xml:space="preserve">90012016ISO1900"}}],"schema":"https://github.com/citation-style-language/schema/raw/master/csl-citation.json"} </w:instrText>
      </w:r>
      <w:r>
        <w:rPr>
          <w:color w:val="auto"/>
        </w:rPr>
        <w:fldChar w:fldCharType="separate"/>
      </w:r>
      <w:r>
        <w:rPr>
          <w:rFonts w:cs="Times New Roman"/>
          <w:color w:val="auto"/>
          <w:vertAlign w:val="superscript"/>
        </w:rPr>
        <w:t>[35]</w:t>
      </w:r>
      <w:r>
        <w:rPr>
          <w:color w:val="auto"/>
        </w:rPr>
        <w:fldChar w:fldCharType="end"/>
      </w:r>
      <w:r>
        <w:rPr>
          <w:color w:val="auto"/>
        </w:rPr>
        <w:t>。其模型结构包括四个主要阶段：（1）规划阶段（Plan），制定信息安全方针、识别风险与设定控制目标；（2）实施阶段（Do），执行安全措施并建立运行机制；（3）检查阶段（Check），通过审计与评估验证控制效果；（4）改进阶段（Act），根据反馈持续优化体系。此外，ISO/IEC 27005标准为风险管理提供了方法论支持，通过风险识别、分析、评估与处理等环节实现对安全威胁的全生命周期管理</w:t>
      </w:r>
      <w:r>
        <w:rPr>
          <w:color w:val="auto"/>
        </w:rPr>
        <w:fldChar w:fldCharType="begin"/>
      </w:r>
      <w:r>
        <w:rPr>
          <w:color w:val="auto"/>
        </w:rPr>
        <w:instrText xml:space="preserve"> ADDIN ZOTERO_ITEM CSL_CITATION {"citationID":"Mwd771Hw","properties":{"formattedCitation":"\\super [36]\\nosupersub{}","plainCitation":"[36]","noteIndex":0},"citationItems":[{"id":259,"uris":["http://zotero.org/users/18743979/items/TUJKSSYW"],"itemData":</w:instrText>
      </w:r>
      <w:r>
        <w:rPr>
          <w:rFonts w:hint="eastAsia"/>
          <w:color w:val="auto"/>
        </w:rPr>
        <w:instrText xml:space="preserve">{"id":259,"type":"article-journal","container-title":"中国质量与标准导报","issue":"09","journalAbbreviation":"中国质量与标准导报","page":"16-18","title":"ISO/IEC 27005:2018解读及其三次版本演化","author":[{"literal":"谢宗晓"},{"literal":"许定航"}],"issued":{"date-parts":[["2018"]]},"citati</w:instrText>
      </w:r>
      <w:r>
        <w:rPr>
          <w:color w:val="auto"/>
        </w:rPr>
        <w:instrText xml:space="preserve">on-key":"XieZongXiaoISOIEC270052018"}}],"schema":"https://github.com/citation-style-language/schema/raw/master/csl-citation.json"} </w:instrText>
      </w:r>
      <w:r>
        <w:rPr>
          <w:color w:val="auto"/>
        </w:rPr>
        <w:fldChar w:fldCharType="separate"/>
      </w:r>
      <w:r>
        <w:rPr>
          <w:rFonts w:cs="Times New Roman"/>
          <w:color w:val="auto"/>
          <w:vertAlign w:val="superscript"/>
        </w:rPr>
        <w:t>[36]</w:t>
      </w:r>
      <w:r>
        <w:rPr>
          <w:color w:val="auto"/>
        </w:rPr>
        <w:fldChar w:fldCharType="end"/>
      </w:r>
      <w:r>
        <w:rPr>
          <w:color w:val="auto"/>
        </w:rPr>
        <w:t>。</w:t>
      </w:r>
    </w:p>
    <w:p w14:paraId="02F9A2E6">
      <w:pPr>
        <w:pStyle w:val="57"/>
        <w:ind w:firstLine="480"/>
        <w:jc w:val="both"/>
        <w:rPr>
          <w:color w:val="auto"/>
        </w:rPr>
      </w:pPr>
      <w:r>
        <w:rPr>
          <w:color w:val="auto"/>
        </w:rPr>
        <w:t>ISMS体系以风险控制为核心，倡导风险识别</w:t>
      </w:r>
      <w:r>
        <w:rPr>
          <w:rFonts w:hint="eastAsia"/>
          <w:color w:val="auto"/>
        </w:rPr>
        <w:t>、</w:t>
      </w:r>
      <w:r>
        <w:rPr>
          <w:color w:val="auto"/>
        </w:rPr>
        <w:t>控制选择</w:t>
      </w:r>
      <w:r>
        <w:rPr>
          <w:rFonts w:hint="eastAsia"/>
          <w:color w:val="auto"/>
        </w:rPr>
        <w:t>、</w:t>
      </w:r>
      <w:r>
        <w:rPr>
          <w:color w:val="auto"/>
        </w:rPr>
        <w:t>度量验证</w:t>
      </w:r>
      <w:r>
        <w:rPr>
          <w:rFonts w:hint="eastAsia"/>
          <w:color w:val="auto"/>
        </w:rPr>
        <w:t>、</w:t>
      </w:r>
      <w:r>
        <w:rPr>
          <w:color w:val="auto"/>
        </w:rPr>
        <w:t>持续改进的动态安全治理机制</w:t>
      </w:r>
      <w:r>
        <w:rPr>
          <w:color w:val="auto"/>
        </w:rPr>
        <w:fldChar w:fldCharType="begin"/>
      </w:r>
      <w:r>
        <w:rPr>
          <w:color w:val="auto"/>
        </w:rPr>
        <w:instrText xml:space="preserve"> ADDIN ZOTERO_ITEM CSL_CITATION {"citationID":"5RYV2weT","properties":{"formattedCitation":"\\super [37]\\nosupersub{}","plainCitation":"[37]","noteIndex":0},"citationItems":[{"id":261,"uris":["http://zotero.org/users/18743979/items/2V9VUTTA"],"itemData":{"id":261,"type":"article-journal","container-title":"International Journal in Foundations of Computer Science &amp; Technology","DOI":"10.5121/ijfcst.2012.2602","issue":"6","journalAbbreviation":"International Journal in Foundations of Computer Science &amp; Technology","page":"15-36","title":"The Risk Assessment And Treatment Approach In Order To Provide Lan Security Based On Isms Standard","volume":"2","author":[{"literal":"Sameni M T"}],"issued":{"date-parts":[["2012"]]},"citation-key":"samenimtRiskAssessmentTreatment2012"}}],"schema":"https://github.com/citation-style-language/schema/raw/master/csl-citation.json"} </w:instrText>
      </w:r>
      <w:r>
        <w:rPr>
          <w:color w:val="auto"/>
        </w:rPr>
        <w:fldChar w:fldCharType="separate"/>
      </w:r>
      <w:r>
        <w:rPr>
          <w:rFonts w:cs="Times New Roman"/>
          <w:color w:val="auto"/>
          <w:vertAlign w:val="superscript"/>
        </w:rPr>
        <w:t>[37]</w:t>
      </w:r>
      <w:r>
        <w:rPr>
          <w:color w:val="auto"/>
        </w:rPr>
        <w:fldChar w:fldCharType="end"/>
      </w:r>
      <w:r>
        <w:rPr>
          <w:color w:val="auto"/>
        </w:rPr>
        <w:t>。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14:paraId="70F7EAD7">
      <w:pPr>
        <w:ind w:firstLine="480"/>
        <w:jc w:val="center"/>
        <w:rPr>
          <w:color w:val="auto"/>
        </w:rPr>
      </w:pPr>
      <w:r>
        <w:rPr>
          <w:rFonts w:hint="eastAsia"/>
          <w:color w:val="auto"/>
        </w:rPr>
        <w:drawing>
          <wp:inline distT="0" distB="0" distL="0" distR="0">
            <wp:extent cx="3601720" cy="1988185"/>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44F47EE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图2-3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信息安全管理体系（ISMS）循环模型</w:t>
      </w:r>
    </w:p>
    <w:p w14:paraId="444E400D">
      <w:pPr>
        <w:pStyle w:val="57"/>
        <w:ind w:firstLine="480"/>
        <w:jc w:val="both"/>
        <w:rPr>
          <w:color w:val="auto"/>
        </w:rPr>
      </w:pPr>
      <w:r>
        <w:rPr>
          <w:color w:val="auto"/>
        </w:rPr>
        <w:t>图2-3展示了ISMS的核心PDCA循环机制。该模型通过闭环改进实现风险识别、控制与优化的动态管理，体现了信息安全管理的系统性与持续性。</w:t>
      </w:r>
    </w:p>
    <w:p w14:paraId="29E111E1">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16" w:name="_Toc213190788"/>
      <w:bookmarkStart w:id="117" w:name="_Toc213192496"/>
      <w:bookmarkStart w:id="118" w:name="_Toc213192804"/>
      <w:bookmarkStart w:id="119" w:name="_Toc4134"/>
      <w:r>
        <w:rPr>
          <w:rFonts w:ascii="Times New Roman" w:hAnsi="Times New Roman" w:eastAsia="黑体" w:cs="Times New Roman"/>
          <w:bCs/>
          <w:sz w:val="24"/>
          <w:szCs w:val="24"/>
        </w:rPr>
        <w:t>2.2.2 DevSecOps 与安全即代码（Security-as-Code）理念</w:t>
      </w:r>
      <w:bookmarkEnd w:id="116"/>
      <w:bookmarkEnd w:id="117"/>
      <w:bookmarkEnd w:id="118"/>
      <w:bookmarkEnd w:id="119"/>
    </w:p>
    <w:p w14:paraId="3C1C592A">
      <w:pPr>
        <w:pStyle w:val="57"/>
        <w:ind w:firstLine="480"/>
        <w:jc w:val="both"/>
        <w:rPr>
          <w:color w:val="auto"/>
        </w:rPr>
      </w:pPr>
      <w:r>
        <w:rPr>
          <w:color w:val="auto"/>
        </w:rPr>
        <w:t>DevSecOps理论是在DevOps思想基础上发展而来的一种安全管理模式，其核心理念是将安全活动嵌入软件开发与运维生命周期（SDLC）的各个阶段，以实现安全左移（Shift-left Security）与自动化防御（Automated Security）</w:t>
      </w:r>
      <w:r>
        <w:rPr>
          <w:color w:val="auto"/>
        </w:rPr>
        <w:fldChar w:fldCharType="begin"/>
      </w:r>
      <w:r>
        <w:rPr>
          <w:color w:val="auto"/>
        </w:rPr>
        <w:instrText xml:space="preserve"> ADDIN ZOTERO_ITEM CSL_CITATION {"citationID":"qEC0Upk8","properties":{"formattedCitation":"\\super [38]\\nosupersub{}","plainCitation":"[38]","noteIndex":0},"citationItems":[{"id":263,"uris":["http://zotero.org/users/18743979/items/CCEXA3A8"],"itemData":</w:instrText>
      </w:r>
      <w:r>
        <w:rPr>
          <w:rFonts w:hint="eastAsia"/>
          <w:color w:val="auto"/>
        </w:rPr>
        <w:instrText xml:space="preserve">{"id":263,"type":"book","event-place":"机械工业出版社","number-of-pages":"202112","publisher":"202112","publisher-place":"机械工业出版社","title":"DevSecOps实战","author":[{"literal":"周纪海"},{"literal":"周一帆"},{"literal":"马松松"}],"issued":{"date-parts":[["2021"]]},"citation</w:instrText>
      </w:r>
      <w:r>
        <w:rPr>
          <w:color w:val="auto"/>
        </w:rPr>
        <w:instrText xml:space="preserve">-key":"ZhouJiHaiDevSecOpsShiZhan2021"}}],"schema":"https://github.com/citation-style-language/schema/raw/master/csl-citation.json"} </w:instrText>
      </w:r>
      <w:r>
        <w:rPr>
          <w:color w:val="auto"/>
        </w:rPr>
        <w:fldChar w:fldCharType="separate"/>
      </w:r>
      <w:r>
        <w:rPr>
          <w:rFonts w:cs="Times New Roman"/>
          <w:color w:val="auto"/>
          <w:vertAlign w:val="superscript"/>
        </w:rPr>
        <w:t>[38]</w:t>
      </w:r>
      <w:r>
        <w:rPr>
          <w:color w:val="auto"/>
        </w:rPr>
        <w:fldChar w:fldCharType="end"/>
      </w:r>
      <w:r>
        <w:rPr>
          <w:color w:val="auto"/>
        </w:rPr>
        <w:t>。DevSecOps首次由Gartner于2012年提出</w:t>
      </w:r>
      <w:r>
        <w:rPr>
          <w:color w:val="auto"/>
        </w:rPr>
        <w:fldChar w:fldCharType="begin"/>
      </w:r>
      <w:r>
        <w:rPr>
          <w:color w:val="auto"/>
        </w:rPr>
        <w:instrText xml:space="preserve"> ADDIN ZOTERO_ITEM CSL_CITATION {"citationID":"GJvkg2Ao","properties":{"formattedCitation":"\\super [39]\\nosupersub{}","plainCitation":"[39]","noteIndex":0},"citationItems":[{"id":265,"uris":["http://zotero.org/users/18743979/items/UQRVJD3S"],"itemData":{"id":265,"type":"report","collection-title":"Stamford (CT):Gartner Research","title":"DevSecOps: How to Seamlessly Integrate Security into DevOps","author":[{"literal":"Gartner Inc"}],"issued":{"date-parts":[["2012"]]},"citation-key":"gartnerincDevSecOpsHowSeamlessly2012"}}],"schema":"https://github.com/citation-style-language/schema/raw/master/csl-citation.json"} </w:instrText>
      </w:r>
      <w:r>
        <w:rPr>
          <w:color w:val="auto"/>
        </w:rPr>
        <w:fldChar w:fldCharType="separate"/>
      </w:r>
      <w:r>
        <w:rPr>
          <w:rFonts w:cs="Times New Roman"/>
          <w:color w:val="auto"/>
          <w:vertAlign w:val="superscript"/>
        </w:rPr>
        <w:t>[39]</w:t>
      </w:r>
      <w:r>
        <w:rPr>
          <w:color w:val="auto"/>
        </w:rPr>
        <w:fldChar w:fldCharType="end"/>
      </w:r>
      <w:r>
        <w:rPr>
          <w:color w:val="auto"/>
        </w:rPr>
        <w:t>，并在近年来伴随云原生与微服务架构的普及而快速发展。该理论强调安全即代码（Security-as-Code）理念，即通过将安全策略、检测规则与配置控制以代码形式实现自动化执行</w:t>
      </w:r>
      <w:r>
        <w:rPr>
          <w:color w:val="auto"/>
        </w:rPr>
        <w:fldChar w:fldCharType="begin"/>
      </w:r>
      <w:r>
        <w:rPr>
          <w:color w:val="auto"/>
        </w:rPr>
        <w:instrText xml:space="preserve"> ADDIN ZOTERO_ITEM CSL_CITATION {"citationID":"OIWStPGl","properties":{"formattedCitation":"\\super [40]\\nosupersub{}","plainCitation":"[40]","noteIndex":0},"citationItems":[{"id":267,"uris":["http://zotero.org/users/18743979/items/YZ8VULC7"],"itemData":{"id":267,"type":"article-journal","container-title":"eSAAM","DOI":"10.1145/3685651.3686700","journalAbbreviation":"eSAAM","page":"10","title":"Automating cybersecurity compliance in DevSecOps with open information model for security as code","author":[{"literal":"Haverinen H"},{"literal":"Janhunen T"},{"literal":"Päivärinta T"},{"literal":"Lempinen S"},{"literal":"Kaartinen S"},{"literal":"Merilä S"}],"issued":{"date-parts":[["2024"]]},"citation-key":"haverinenhAutomatingCybersecurityCompliance2024"}}],"schema":"https://github.com/citation-style-language/schema/raw/master/csl-citation.json"} </w:instrText>
      </w:r>
      <w:r>
        <w:rPr>
          <w:color w:val="auto"/>
        </w:rPr>
        <w:fldChar w:fldCharType="separate"/>
      </w:r>
      <w:r>
        <w:rPr>
          <w:rFonts w:cs="Times New Roman"/>
          <w:color w:val="auto"/>
          <w:vertAlign w:val="superscript"/>
        </w:rPr>
        <w:t>[40]</w:t>
      </w:r>
      <w:r>
        <w:rPr>
          <w:color w:val="auto"/>
        </w:rPr>
        <w:fldChar w:fldCharType="end"/>
      </w:r>
      <w:r>
        <w:rPr>
          <w:color w:val="auto"/>
        </w:rPr>
        <w:t>。</w:t>
      </w:r>
    </w:p>
    <w:p w14:paraId="75E910AE">
      <w:pPr>
        <w:pStyle w:val="57"/>
        <w:ind w:firstLine="480"/>
        <w:jc w:val="both"/>
        <w:rPr>
          <w:color w:val="auto"/>
        </w:rPr>
      </w:pPr>
      <w:r>
        <w:rPr>
          <w:color w:val="auto"/>
        </w:rPr>
        <w:t>DevSecOps模型的结构包括三个核心层次：集成层（Integration Layer）、执行层（Execution Layer）与反馈层（Feedback Layer）。集成层实现安全工具与开发流水线（CI/CD）的融合；执行层负责自动化扫描、静态代码分析与容器安全检测；反馈层通过监控与审计实现持续改进。模型通过自动化</w:t>
      </w:r>
      <w:r>
        <w:rPr>
          <w:rFonts w:hint="eastAsia"/>
          <w:color w:val="auto"/>
        </w:rPr>
        <w:t>、</w:t>
      </w:r>
      <w:r>
        <w:rPr>
          <w:color w:val="auto"/>
        </w:rPr>
        <w:t>验证</w:t>
      </w:r>
      <w:r>
        <w:rPr>
          <w:rFonts w:hint="eastAsia"/>
          <w:color w:val="auto"/>
        </w:rPr>
        <w:t>、</w:t>
      </w:r>
      <w:r>
        <w:rPr>
          <w:color w:val="auto"/>
        </w:rPr>
        <w:t>反馈循环，将安全从单一环节转变为全生命周期控制。NIST SP 800-204A报告提出了基于服务网格（Service Mesh）的安全架构模型，验证了Security-as-Code在微服务环境中实现动态安全策略与策略即服务（Policy-as-a-Service）的可行性</w:t>
      </w:r>
      <w:r>
        <w:rPr>
          <w:color w:val="auto"/>
        </w:rPr>
        <w:fldChar w:fldCharType="begin"/>
      </w:r>
      <w:r>
        <w:rPr>
          <w:color w:val="auto"/>
        </w:rPr>
        <w:instrText xml:space="preserve"> ADDIN ZOTERO_ITEM CSL_CITATION {"citationID":"hGNO0IM8","properties":{"formattedCitation":"\\super [41]\\nosupersub{}","plainCitation":"[41]","noteIndex":0},"citationItems":[{"id":269,"uris":["http://zotero.org/users/18743979/items/IGK3BGQ5"],"itemData":{"id":269,"type":"article-journal","container-title":"Gaithersburg (MD):National Institute of Standards and Technology","title":"NIST Special Publication 800-204A: Building Secure Microservices-based Applications Using Service-Mesh Architecture","author":[{"literal":"Abdelnur A"},{"literal":"Souppaya M"},{"literal":"Scarfone K"}],"issued":{"date-parts":[["2020"]]},"citation-key":"abdelnuraNISTSpecialPublication2020"}}],"schema":"https://github.com/citation-style-language/schema/raw/master/csl-citation.json"} </w:instrText>
      </w:r>
      <w:r>
        <w:rPr>
          <w:color w:val="auto"/>
        </w:rPr>
        <w:fldChar w:fldCharType="separate"/>
      </w:r>
      <w:r>
        <w:rPr>
          <w:rFonts w:cs="Times New Roman"/>
          <w:color w:val="auto"/>
          <w:vertAlign w:val="superscript"/>
        </w:rPr>
        <w:t>[41]</w:t>
      </w:r>
      <w:r>
        <w:rPr>
          <w:color w:val="auto"/>
        </w:rPr>
        <w:fldChar w:fldCharType="end"/>
      </w:r>
      <w:r>
        <w:rPr>
          <w:color w:val="auto"/>
        </w:rPr>
        <w:t>。</w:t>
      </w:r>
    </w:p>
    <w:p w14:paraId="70D9F2DB">
      <w:pPr>
        <w:pStyle w:val="57"/>
        <w:ind w:firstLine="480"/>
        <w:jc w:val="both"/>
        <w:rPr>
          <w:color w:val="auto"/>
        </w:rPr>
      </w:pPr>
      <w:r>
        <w:rPr>
          <w:color w:val="auto"/>
        </w:rPr>
        <w:t>Security-as-Code的核心原理在于将安全策略与执行逻辑版本化和自动化，通过代码形式统一管理安全配置与策略验证过程，从而提高安全控制的可重现性与可追踪性</w:t>
      </w:r>
      <w:r>
        <w:rPr>
          <w:color w:val="auto"/>
        </w:rPr>
        <w:fldChar w:fldCharType="begin"/>
      </w:r>
      <w:r>
        <w:rPr>
          <w:color w:val="auto"/>
        </w:rPr>
        <w:instrText xml:space="preserve"> ADDIN ZOTERO_ITEM CSL_CITATION {"citationID":"RvjNnLiT","properties":{"formattedCitation":"\\super [42]\\nosupersub{}","plainCitation":"[42]","noteIndex":0},"citationItems":[{"id":271,"uris":["http://zotero.org/users/18743979/items/KJA6L7AB"],"itemData":{"id":271,"type":"article-journal","container-title":"Gaithersburg (MD):National Institute of Standards and Technology","title":"Special Publication 800-204C: Implementation of DevSecOps for a Microservices-based Application with Service Mesh","author":[{"literal":"NIST"}],"issued":{"date-parts":[["2022"]]},"citation-key":"nistSpecialPublication800204C2022"}}],"schema":"https://github.com/citation-style-language/schema/raw/master/csl-citation.json"} </w:instrText>
      </w:r>
      <w:r>
        <w:rPr>
          <w:color w:val="auto"/>
        </w:rPr>
        <w:fldChar w:fldCharType="separate"/>
      </w:r>
      <w:r>
        <w:rPr>
          <w:rFonts w:cs="Times New Roman"/>
          <w:color w:val="auto"/>
          <w:vertAlign w:val="superscript"/>
        </w:rPr>
        <w:t>[42]</w:t>
      </w:r>
      <w:r>
        <w:rPr>
          <w:color w:val="auto"/>
        </w:rPr>
        <w:fldChar w:fldCharType="end"/>
      </w:r>
      <w:r>
        <w:rPr>
          <w:color w:val="auto"/>
        </w:rPr>
        <w:t>。该理论强调安全与开发同等重要，并通过自动化安全管控降低人为失误和滞后风险，使软件安全从传统防御模式转向持续验证与即时防护模式。</w:t>
      </w:r>
    </w:p>
    <w:p w14:paraId="5A29F42D">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20" w:name="_Toc213192805"/>
      <w:bookmarkStart w:id="121" w:name="_Toc213190789"/>
      <w:bookmarkStart w:id="122" w:name="_Toc213192497"/>
      <w:bookmarkStart w:id="123" w:name="_Toc9472"/>
      <w:r>
        <w:rPr>
          <w:rFonts w:ascii="Times New Roman" w:hAnsi="Times New Roman" w:eastAsia="黑体" w:cs="Times New Roman"/>
          <w:bCs/>
          <w:sz w:val="24"/>
          <w:szCs w:val="24"/>
        </w:rPr>
        <w:t>2.2.3 合规即代码（Compliance-as-Code）与监管科技（RegTech）框架</w:t>
      </w:r>
      <w:bookmarkEnd w:id="120"/>
      <w:bookmarkEnd w:id="121"/>
      <w:bookmarkEnd w:id="122"/>
      <w:bookmarkEnd w:id="123"/>
    </w:p>
    <w:p w14:paraId="64CD6771">
      <w:pPr>
        <w:pStyle w:val="57"/>
        <w:ind w:firstLine="480"/>
        <w:jc w:val="both"/>
        <w:rPr>
          <w:color w:val="auto"/>
        </w:rPr>
      </w:pPr>
      <w:r>
        <w:rPr>
          <w:color w:val="auto"/>
        </w:rPr>
        <w:t>合规即代码（Compliance as Code, CaC）理念是在 DevSecOps 思想基础上发展而成的新型合规治理模式</w:t>
      </w:r>
      <w:r>
        <w:rPr>
          <w:color w:val="auto"/>
        </w:rPr>
        <w:fldChar w:fldCharType="begin"/>
      </w:r>
      <w:r>
        <w:rPr>
          <w:color w:val="auto"/>
        </w:rPr>
        <w:instrText xml:space="preserve"> ADDIN ZOTERO_ITEM CSL_CITATION {"citationID":"ifJHUS0i","properties":{"formattedCitation":"\\super [43]\\nosupersub{}","plainCitation":"[43]","noteIndex":0},"citationItems":[{"id":273,"uris":["http://zotero.org/users/18743979/items/T662ABLP"],"itemData":{"id":273,"type":"article-journal","container-title":"Information Systems Management","DOI":"10.1080/10580530.2022.2069337","issue":"4","journalAbbreviation":"Information Systems Management","page":"310-322","title":"Compliance-as-Code for Information Security and Data Protection Requirements","volume":"39","author":[{"literal":"Disterer G"}],"issued":{"date-parts":[["2022"]]},"citation-key":"disterergComplianceasCodeInformationSecurity2022"}}],"schema":"https://github.com/citation-style-language/schema/raw/master/csl-citation.json"} </w:instrText>
      </w:r>
      <w:r>
        <w:rPr>
          <w:color w:val="auto"/>
        </w:rPr>
        <w:fldChar w:fldCharType="separate"/>
      </w:r>
      <w:r>
        <w:rPr>
          <w:rFonts w:cs="Times New Roman"/>
          <w:color w:val="auto"/>
          <w:vertAlign w:val="superscript"/>
        </w:rPr>
        <w:t>[43]</w:t>
      </w:r>
      <w:r>
        <w:rPr>
          <w:color w:val="auto"/>
        </w:rPr>
        <w:fldChar w:fldCharType="end"/>
      </w:r>
      <w:r>
        <w:rPr>
          <w:color w:val="auto"/>
        </w:rPr>
        <w:t>，其核心目标是借助自动化与程序化手段，将外部法律法规、行业标准以及企业内部控制要求转化为可执行代码，从而使合规活动能够在软件生命周期内实现自动化检测与持续验证。该理念最早在 2010 年代后期的 DevOps 与合规自动化实践中逐渐形成，并在Cloud Security Alliance（CSA）等组织的研究推动下得到系统化阐述，旨在应对金融科技与云计算环境中监管要求繁多、变动频繁的现实挑战</w:t>
      </w:r>
      <w:r>
        <w:rPr>
          <w:color w:val="auto"/>
        </w:rPr>
        <w:fldChar w:fldCharType="begin"/>
      </w:r>
      <w:r>
        <w:rPr>
          <w:color w:val="auto"/>
        </w:rPr>
        <w:instrText xml:space="preserve"> ADDIN ZOTERO_ITEM CSL_CITATION {"citationID":"aImptXa3","properties":{"formattedCitation":"\\super [44]\\nosupersub{}","plainCitation":"[44]","noteIndex":0},"citationItems":[{"id":275,"uris":["http://zotero.org/users/18743979/items/PIN35VRE"],"itemData":{"id":275,"type":"webpage","container-title":"Seattle:CSA","title":"A New Era for Compliance: Introducing the Compliance Automation Revolution(CAR)","author":[{"literal":"Cloud Security Alliance"}],"issued":{"date-parts":[["2025"]]},"citation-key":"cloudsecurityallianceNewEraCompliance2025"}}],"schema":"https://github.com/citation-style-language/schema/raw/master/csl-citation.json"} </w:instrText>
      </w:r>
      <w:r>
        <w:rPr>
          <w:color w:val="auto"/>
        </w:rPr>
        <w:fldChar w:fldCharType="separate"/>
      </w:r>
      <w:r>
        <w:rPr>
          <w:rFonts w:cs="Times New Roman"/>
          <w:color w:val="auto"/>
          <w:vertAlign w:val="superscript"/>
        </w:rPr>
        <w:t>[44]</w:t>
      </w:r>
      <w:r>
        <w:rPr>
          <w:color w:val="auto"/>
        </w:rPr>
        <w:fldChar w:fldCharType="end"/>
      </w:r>
      <w:r>
        <w:rPr>
          <w:color w:val="auto"/>
        </w:rPr>
        <w:t>。</w:t>
      </w:r>
    </w:p>
    <w:p w14:paraId="72637A4F">
      <w:pPr>
        <w:pStyle w:val="57"/>
        <w:ind w:firstLine="480"/>
        <w:jc w:val="both"/>
        <w:rPr>
          <w:color w:val="auto"/>
        </w:rPr>
      </w:pPr>
      <w:r>
        <w:rPr>
          <w:color w:val="auto"/>
        </w:rPr>
        <w:t>CaC 的运行机制可以概括为策略建模</w:t>
      </w:r>
      <w:r>
        <w:rPr>
          <w:rFonts w:hint="eastAsia"/>
          <w:color w:val="auto"/>
        </w:rPr>
        <w:t>、</w:t>
      </w:r>
      <w:r>
        <w:rPr>
          <w:color w:val="auto"/>
        </w:rPr>
        <w:t>自动执行</w:t>
      </w:r>
      <w:r>
        <w:rPr>
          <w:rFonts w:hint="eastAsia"/>
          <w:color w:val="auto"/>
        </w:rPr>
        <w:t>、</w:t>
      </w:r>
      <w:r>
        <w:rPr>
          <w:color w:val="auto"/>
        </w:rPr>
        <w:t>持续反馈的三层逻辑结构。首先，策略建模层（Policy Layer） 将监管条款与安全控制要求解析为机器可识别的规则；其次，执行引擎层（Execution Layer） 负责将这些规则嵌入持续集成与持续交付（CI/CD）流程之中，实现实时检测与合规验证；最后，反馈层（Feedback Layer） 通过自动化报告与监控系统，对执行结果进行跟踪和优化，形成闭环的合规反馈机制。与以往依赖人工审计的静态合规方式不同，CaC 通过嵌入式合规与策略可执行化实现了从事后验证向过程内控的转变，使合规成为系统自身的持续能力。</w:t>
      </w:r>
    </w:p>
    <w:p w14:paraId="14171C5A">
      <w:pPr>
        <w:pStyle w:val="57"/>
        <w:ind w:firstLine="480"/>
        <w:jc w:val="both"/>
        <w:rPr>
          <w:color w:val="auto"/>
        </w:rPr>
      </w:pPr>
      <w:r>
        <w:rPr>
          <w:color w:val="auto"/>
        </w:rPr>
        <w:t>在此基础上，监管科技（Regulatory Technology, RegTech）理论为 CaC 提供了方法论支撑和技术基础</w:t>
      </w:r>
      <w:r>
        <w:rPr>
          <w:color w:val="auto"/>
        </w:rPr>
        <w:fldChar w:fldCharType="begin"/>
      </w:r>
      <w:r>
        <w:rPr>
          <w:color w:val="auto"/>
        </w:rPr>
        <w:instrText xml:space="preserve"> ADDIN ZOTERO_ITEM CSL_CITATION {"citationID":"yWz2q6NF","properties":{"formattedCitation":"\\super [45]\\nosupersub{}","plainCitation":"[45]","noteIndex":0},"citationItems":[{"id":277,"uris":["http://zotero.org/users/18743979/items/QU27R6CX"],"itemData":</w:instrText>
      </w:r>
      <w:r>
        <w:rPr>
          <w:rFonts w:hint="eastAsia"/>
          <w:color w:val="auto"/>
        </w:rPr>
        <w:instrText xml:space="preserve">{"id":277,"type":"article-journal","container-title":"经济论坛","issue":"11","journalAbbreviation":"经济论坛","page":"80-90","title":"英国监管科技(Regtech)的创新实践及经验启示","author":[{"literal":"卜亚"},{"literal":"张宁"}],"issued":{"date-parts":[["2020"]]},"citation-key":"BuYaYi</w:instrText>
      </w:r>
      <w:r>
        <w:rPr>
          <w:color w:val="auto"/>
        </w:rPr>
        <w:instrText xml:space="preserve">ngGuoJianGuanKeJiRegtechDeChuangXinShiJianJiJingYanQiShi2020"}}],"schema":"https://github.com/citation-style-language/schema/raw/master/csl-citation.json"} </w:instrText>
      </w:r>
      <w:r>
        <w:rPr>
          <w:color w:val="auto"/>
        </w:rPr>
        <w:fldChar w:fldCharType="separate"/>
      </w:r>
      <w:r>
        <w:rPr>
          <w:rFonts w:cs="Times New Roman"/>
          <w:color w:val="auto"/>
          <w:vertAlign w:val="superscript"/>
        </w:rPr>
        <w:t>[45]</w:t>
      </w:r>
      <w:r>
        <w:rPr>
          <w:color w:val="auto"/>
        </w:rPr>
        <w:fldChar w:fldCharType="end"/>
      </w:r>
      <w:r>
        <w:rPr>
          <w:color w:val="auto"/>
        </w:rPr>
        <w:t>。RegTech 综合运用人工智能（AI）、自然语言处理（NLP）与知识图谱（Knowledge Graph）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Pr>
          <w:color w:val="auto"/>
        </w:rPr>
        <w:fldChar w:fldCharType="begin"/>
      </w:r>
      <w:r>
        <w:rPr>
          <w:color w:val="auto"/>
        </w:rPr>
        <w:instrText xml:space="preserve"> ADDIN ZOTERO_ITEM CSL_CITATION {"citationID":"ICQGPaV4","properties":{"formattedCitation":"\\super [46]\\nosupersub{}","plainCitation":"[46]","noteIndex":0},"citationItems":[{"id":279,"uris":["http://zotero.org/users/18743979/items/C32RG9CX"],"itemData":</w:instrText>
      </w:r>
      <w:r>
        <w:rPr>
          <w:rFonts w:hint="eastAsia"/>
          <w:color w:val="auto"/>
        </w:rPr>
        <w:instrText xml:space="preserve">{"id":279,"type":"article-journal","container-title":"中国社会科学","issue":"05","journalAbbreviation":"中国社会科学","page":"69-91","title":"监管科技:金融科技的监管挑战与维度建构","author":[{"literal":"杨东"}],"issued":{"date-parts":[["2018"]]},"citation-key":"YangDongJianGuanKeJiJinRo</w:instrText>
      </w:r>
      <w:r>
        <w:rPr>
          <w:color w:val="auto"/>
        </w:rPr>
        <w:instrText xml:space="preserve">ngKeJiDeJianGuanTiaoZhanYuWeiDuJianGou2018"}}],"schema":"https://github.com/citation-style-language/schema/raw/master/csl-citation.json"} </w:instrText>
      </w:r>
      <w:r>
        <w:rPr>
          <w:color w:val="auto"/>
        </w:rPr>
        <w:fldChar w:fldCharType="separate"/>
      </w:r>
      <w:r>
        <w:rPr>
          <w:rFonts w:cs="Times New Roman"/>
          <w:color w:val="auto"/>
          <w:vertAlign w:val="superscript"/>
        </w:rPr>
        <w:t>[46]</w:t>
      </w:r>
      <w:r>
        <w:rPr>
          <w:color w:val="auto"/>
        </w:rPr>
        <w:fldChar w:fldCharType="end"/>
      </w:r>
      <w:r>
        <w:rPr>
          <w:color w:val="auto"/>
        </w:rPr>
        <w:t>。与此同时，国际标准 ISO/IEC 38507:2022 在人工智能治理框架中提出了可解释性、透明性与责任可追溯性</w:t>
      </w:r>
      <w:r>
        <w:rPr>
          <w:rFonts w:hint="eastAsia"/>
          <w:color w:val="auto"/>
        </w:rPr>
        <w:t>的</w:t>
      </w:r>
      <w:r>
        <w:rPr>
          <w:color w:val="auto"/>
        </w:rPr>
        <w:t>原则</w:t>
      </w:r>
      <w:r>
        <w:rPr>
          <w:color w:val="auto"/>
        </w:rPr>
        <w:fldChar w:fldCharType="begin"/>
      </w:r>
      <w:r>
        <w:rPr>
          <w:color w:val="auto"/>
        </w:rPr>
        <w:instrText xml:space="preserve"> ADDIN ZOTERO_ITEM CSL_CITATION {"citationID":"djYA3JBg","properties":{"formattedCitation":"\\super [47]\\nosupersub{}","plainCitation":"[47]","noteIndex":0},"citationItems":[{"id":281,"uris":["http://zotero.org/users/18743979/items/NJTXAWKF"],"itemData":{"id":281,"type":"article-journal","container-title":"Geneva:ISO","page":"2022","title":"ISO/IEC 38507:2022 Information technology — Governance of IT — Governance implications of the use of artificial intelligence by organizations","author":[{"literal":"International Organization for Standardization"}],"issued":{"date-parts":[["2022"]]},"citation-key":"internationalorganizationforstandardizationISOIEC385072022"}}],"schema":"https://github.com/citation-style-language/schema/raw/master/csl-citation.json"} </w:instrText>
      </w:r>
      <w:r>
        <w:rPr>
          <w:color w:val="auto"/>
        </w:rPr>
        <w:fldChar w:fldCharType="separate"/>
      </w:r>
      <w:r>
        <w:rPr>
          <w:rFonts w:cs="Times New Roman"/>
          <w:color w:val="auto"/>
          <w:vertAlign w:val="superscript"/>
        </w:rPr>
        <w:t>[47]</w:t>
      </w:r>
      <w:r>
        <w:rPr>
          <w:color w:val="auto"/>
        </w:rPr>
        <w:fldChar w:fldCharType="end"/>
      </w:r>
      <w:r>
        <w:rPr>
          <w:color w:val="auto"/>
        </w:rPr>
        <w:t>，为高合规行业的数字化监管提供了统一的标准与技术依据。</w:t>
      </w:r>
    </w:p>
    <w:p w14:paraId="5F49679C">
      <w:pPr>
        <w:ind w:firstLine="480"/>
        <w:jc w:val="center"/>
        <w:rPr>
          <w:color w:val="auto"/>
        </w:rPr>
      </w:pPr>
      <w:r>
        <w:rPr>
          <w:rFonts w:hint="eastAsia"/>
          <w:color w:val="auto"/>
        </w:rPr>
        <w:drawing>
          <wp:inline distT="0" distB="0" distL="0" distR="0">
            <wp:extent cx="2877820"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4C8A1BD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图2-4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合规即代码（Compliance-as-Code）与监管科技（RegTech）融合模型</w:t>
      </w:r>
    </w:p>
    <w:p w14:paraId="6D533E20">
      <w:pPr>
        <w:pStyle w:val="57"/>
        <w:ind w:firstLine="480"/>
        <w:jc w:val="both"/>
        <w:rPr>
          <w:color w:val="auto"/>
        </w:rPr>
      </w:pPr>
      <w:r>
        <w:rPr>
          <w:color w:val="auto"/>
        </w:rPr>
        <w:t>图 2-4 展示了 CaC 与 RegTech 的融合模型。该模型通过策略定义</w:t>
      </w:r>
      <w:r>
        <w:rPr>
          <w:rFonts w:hint="eastAsia"/>
          <w:color w:val="auto"/>
        </w:rPr>
        <w:t>、</w:t>
      </w:r>
      <w:r>
        <w:rPr>
          <w:color w:val="auto"/>
        </w:rPr>
        <w:t>自动执行</w:t>
      </w:r>
      <w:r>
        <w:rPr>
          <w:rFonts w:hint="eastAsia"/>
          <w:color w:val="auto"/>
        </w:rPr>
        <w:t>、</w:t>
      </w:r>
      <w:r>
        <w:rPr>
          <w:color w:val="auto"/>
        </w:rPr>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14:paraId="5A58C93B">
      <w:pPr>
        <w:pStyle w:val="3"/>
        <w:keepNext/>
        <w:keepLines/>
        <w:numPr>
          <w:ilvl w:val="1"/>
          <w:numId w:val="0"/>
        </w:numPr>
        <w:adjustRightInd/>
        <w:snapToGrid/>
        <w:rPr>
          <w:rFonts w:ascii="Times New Roman" w:hAnsi="Times New Roman"/>
          <w:bCs/>
          <w:color w:val="auto"/>
          <w:szCs w:val="32"/>
        </w:rPr>
      </w:pPr>
      <w:bookmarkStart w:id="124" w:name="_Toc213190790"/>
      <w:bookmarkStart w:id="125" w:name="_Toc213192806"/>
      <w:bookmarkStart w:id="126" w:name="_Toc213192498"/>
      <w:bookmarkStart w:id="127" w:name="_Toc9810"/>
      <w:r>
        <w:rPr>
          <w:rFonts w:ascii="Times New Roman" w:hAnsi="Times New Roman"/>
          <w:bCs/>
          <w:color w:val="auto"/>
          <w:szCs w:val="32"/>
        </w:rPr>
        <w:t>2.3 技术债务与架构演化理论基础</w:t>
      </w:r>
      <w:bookmarkEnd w:id="124"/>
      <w:bookmarkEnd w:id="125"/>
      <w:bookmarkEnd w:id="126"/>
      <w:bookmarkEnd w:id="127"/>
    </w:p>
    <w:p w14:paraId="41466F63">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28" w:name="_Toc213190791"/>
      <w:bookmarkStart w:id="129" w:name="_Toc213192807"/>
      <w:bookmarkStart w:id="130" w:name="_Toc213192499"/>
      <w:bookmarkStart w:id="131" w:name="_Toc29293"/>
      <w:r>
        <w:rPr>
          <w:rFonts w:ascii="Times New Roman" w:hAnsi="Times New Roman" w:eastAsia="黑体" w:cs="Times New Roman"/>
          <w:bCs/>
          <w:sz w:val="24"/>
          <w:szCs w:val="24"/>
        </w:rPr>
        <w:t>2.3.1 技术债务的概念、类型与形成机理</w:t>
      </w:r>
      <w:bookmarkEnd w:id="128"/>
      <w:bookmarkEnd w:id="129"/>
      <w:bookmarkEnd w:id="130"/>
      <w:bookmarkEnd w:id="131"/>
    </w:p>
    <w:p w14:paraId="6C9E75F0">
      <w:pPr>
        <w:pStyle w:val="57"/>
        <w:ind w:firstLine="480"/>
        <w:jc w:val="both"/>
        <w:rPr>
          <w:color w:val="auto"/>
        </w:rPr>
      </w:pPr>
      <w:r>
        <w:rPr>
          <w:color w:val="auto"/>
        </w:rPr>
        <w:t>技术债务（Technical Debt）一词最早由 Ward Cunningham 于 1992 年提出，用以形象地描述软件开发中因追求短期交付目标而积累的潜在技术负担</w:t>
      </w:r>
      <w:r>
        <w:rPr>
          <w:color w:val="auto"/>
        </w:rPr>
        <w:fldChar w:fldCharType="begin"/>
      </w:r>
      <w:r>
        <w:rPr>
          <w:color w:val="auto"/>
        </w:rPr>
        <w:instrText xml:space="preserve"> ADDIN ZOTERO_ITEM CSL_CITATION {"citationID":"oY42HnQx","properties":{"formattedCitation":"\\super [48]\\nosupersub{}","plainCitation":"[48]","noteIndex":0},"citationItems":[{"id":283,"uris":["http://zotero.org/users/18743979/items/LP9VJUDH"],"itemData":</w:instrText>
      </w:r>
      <w:r>
        <w:rPr>
          <w:rFonts w:hint="eastAsia"/>
          <w:color w:val="auto"/>
        </w:rPr>
        <w:instrText xml:space="preserve">{"id":283,"type":"paper-conference","DOI":"10.1145/157709.157715","event-title":"The WyCash portfolio management system[C]∥OOPSLA ‘92 Experience Report.Vancouver:ACM","page":"10","title":"The WyCash portfolio management system","author":[{"literal":"Cunni</w:instrText>
      </w:r>
      <w:r>
        <w:rPr>
          <w:color w:val="auto"/>
        </w:rPr>
        <w:instrText xml:space="preserve">ngham W"}],"issued":{"date-parts":[["1992"]]},"citation-key":"cunninghamwWyCashPortfolioManagement1992"}}],"schema":"https://github.com/citation-style-language/schema/raw/master/csl-citation.json"} </w:instrText>
      </w:r>
      <w:r>
        <w:rPr>
          <w:color w:val="auto"/>
        </w:rPr>
        <w:fldChar w:fldCharType="separate"/>
      </w:r>
      <w:r>
        <w:rPr>
          <w:rFonts w:cs="Times New Roman"/>
          <w:color w:val="auto"/>
          <w:vertAlign w:val="superscript"/>
        </w:rPr>
        <w:t>[48]</w:t>
      </w:r>
      <w:r>
        <w:rPr>
          <w:color w:val="auto"/>
        </w:rPr>
        <w:fldChar w:fldCharType="end"/>
      </w:r>
      <w:r>
        <w:rPr>
          <w:color w:val="auto"/>
        </w:rPr>
        <w:t>。开发团队在项目进度与质量要求之间做出的权衡，虽然在短期内有助于提升交付速度，但从长远来看往往导致系统维护成本上升、架构灵活性下降，并削弱持续演化的能力</w:t>
      </w:r>
      <w:r>
        <w:rPr>
          <w:color w:val="auto"/>
        </w:rPr>
        <w:fldChar w:fldCharType="begin"/>
      </w:r>
      <w:r>
        <w:rPr>
          <w:color w:val="auto"/>
        </w:rPr>
        <w:instrText xml:space="preserve"> ADDIN ZOTERO_ITEM CSL_CITATION {"citationID":"LH95fHVX","properties":{"formattedCitation":"\\super [49]\\nosupersub{}","plainCitation":"[49]","noteIndex":0},"citationItems":[{"id":285,"uris":["http://zotero.org/users/18743979/items/FHG4A47F"],"itemData":</w:instrText>
      </w:r>
      <w:r>
        <w:rPr>
          <w:rFonts w:hint="eastAsia"/>
          <w:color w:val="auto"/>
        </w:rPr>
        <w:instrText xml:space="preserve">{"id":285,"type":"article-journal","container-title":"管理评论","DOI":"10.14120/j.cnki.cn11-5057/f.2022.07.028","issue":"07","journalAbbreviation":"管理评论","page":"165-174","title":"基于技术债务角度的企业IT项目管理演化博弈分析","volume":"34","author":[{"literal":"张丽"},{"literal":"侯立文"}],"issued":{"date-parts":[["2022"]]},"citation-key":"ZhangLiJiYuJiShuZhaiWuJiaoDuDeQiYeITXiangMuGuanLiYanHuaBoYiFenXi2022"}}],"schema":"https://github.com/citation-style-language/schema/raw/master/csl-citation.json"} </w:instrText>
      </w:r>
      <w:r>
        <w:rPr>
          <w:color w:val="auto"/>
        </w:rPr>
        <w:fldChar w:fldCharType="separate"/>
      </w:r>
      <w:r>
        <w:rPr>
          <w:rFonts w:cs="Times New Roman"/>
          <w:color w:val="auto"/>
          <w:vertAlign w:val="superscript"/>
        </w:rPr>
        <w:t>[49]</w:t>
      </w:r>
      <w:r>
        <w:rPr>
          <w:color w:val="auto"/>
        </w:rPr>
        <w:fldChar w:fldCharType="end"/>
      </w:r>
      <w:r>
        <w:rPr>
          <w:color w:val="auto"/>
        </w:rPr>
        <w:t>。随着软件系统规模与复杂度的持续增加，技术债务的内涵已从最初的代码层问题，逐步扩展到架构、测试、文档、数据乃至组织管理等多个层面。</w:t>
      </w:r>
    </w:p>
    <w:p w14:paraId="4A5A3CA4">
      <w:pPr>
        <w:pStyle w:val="57"/>
        <w:ind w:firstLine="480"/>
        <w:jc w:val="both"/>
        <w:rPr>
          <w:color w:val="auto"/>
        </w:rPr>
      </w:pPr>
      <w:r>
        <w:rPr>
          <w:color w:val="auto"/>
        </w:rPr>
        <w:t>根据 Kruchten 等人的研究，技术债务可大致划分为五类：代码债务、架构债务、测试债务、文档债务与知识债务</w:t>
      </w:r>
      <w:r>
        <w:rPr>
          <w:color w:val="auto"/>
        </w:rPr>
        <w:fldChar w:fldCharType="begin"/>
      </w:r>
      <w:r>
        <w:rPr>
          <w:color w:val="auto"/>
        </w:rPr>
        <w:instrText xml:space="preserve"> ADDIN ZOTERO_ITEM CSL_CITATION {"citationID":"EvUqSr3j","properties":{"formattedCitation":"\\super [50]\\nosupersub{}","plainCitation":"[50]","noteIndex":0},"citationItems":[{"id":287,"uris":["http://zotero.org/users/18743979/items/K4UUP863"],"itemData":{"id":287,"type":"article-journal","container-title":"IEEE Software","DOI":"10.1109/MS.2012.167","issue":"6","journalAbbreviation":"IEEE Software","page":"18-21","title":"Technical Debt: From Metaphor to Theory and Practice","volume":"29","author":[{"literal":"Kruchten P"},{"literal":"Nord R L"},{"literal":"Ozkaya I"}],"issued":{"date-parts":[["2012"]]},"citation-key":"kruchtenpTechnicalDebtMetaphor2012"}}],"schema":"https://github.com/citation-style-language/schema/raw/master/csl-citation.json"} </w:instrText>
      </w:r>
      <w:r>
        <w:rPr>
          <w:color w:val="auto"/>
        </w:rPr>
        <w:fldChar w:fldCharType="separate"/>
      </w:r>
      <w:r>
        <w:rPr>
          <w:rFonts w:cs="Times New Roman"/>
          <w:color w:val="auto"/>
          <w:vertAlign w:val="superscript"/>
        </w:rPr>
        <w:t>[50]</w:t>
      </w:r>
      <w:r>
        <w:rPr>
          <w:color w:val="auto"/>
        </w:rPr>
        <w:fldChar w:fldCharType="end"/>
      </w:r>
      <w:r>
        <w:rPr>
          <w:color w:val="auto"/>
        </w:rPr>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14:paraId="6580A778">
      <w:pPr>
        <w:pStyle w:val="57"/>
        <w:ind w:firstLine="480"/>
        <w:jc w:val="both"/>
        <w:rPr>
          <w:color w:val="auto"/>
        </w:rPr>
      </w:pPr>
      <w:r>
        <w:rPr>
          <w:color w:val="auto"/>
        </w:rPr>
        <w:t>从形成机制来看，技术债务具有典型的时间压力</w:t>
      </w:r>
      <w:r>
        <w:rPr>
          <w:rFonts w:hint="eastAsia"/>
          <w:color w:val="auto"/>
        </w:rPr>
        <w:t>、</w:t>
      </w:r>
      <w:r>
        <w:rPr>
          <w:color w:val="auto"/>
        </w:rPr>
        <w:t>质量妥协</w:t>
      </w:r>
      <w:r>
        <w:rPr>
          <w:rFonts w:hint="eastAsia"/>
          <w:color w:val="auto"/>
        </w:rPr>
        <w:t>、</w:t>
      </w:r>
      <w:r>
        <w:rPr>
          <w:color w:val="auto"/>
        </w:rPr>
        <w:t>结构退化累积特征。</w:t>
      </w:r>
      <w:r>
        <w:rPr>
          <w:rFonts w:hint="eastAsia"/>
          <w:color w:val="auto"/>
        </w:rPr>
        <w:t>有研究表明，</w:t>
      </w:r>
      <w:r>
        <w:rPr>
          <w:color w:val="auto"/>
        </w:rPr>
        <w:t>技术债务</w:t>
      </w:r>
      <w:r>
        <w:rPr>
          <w:rFonts w:hint="eastAsia"/>
          <w:color w:val="auto"/>
        </w:rPr>
        <w:t>的</w:t>
      </w:r>
      <w:r>
        <w:rPr>
          <w:color w:val="auto"/>
        </w:rPr>
        <w:t>累积，往往受到项目周期压缩、资源分配不均、需求频繁调整、架构治理薄弱以及技术评审缺失等多重因素的共同影响</w:t>
      </w:r>
      <w:r>
        <w:rPr>
          <w:color w:val="auto"/>
        </w:rPr>
        <w:fldChar w:fldCharType="begin"/>
      </w:r>
      <w:r>
        <w:rPr>
          <w:color w:val="auto"/>
        </w:rPr>
        <w:instrText xml:space="preserve"> ADDIN ZOTERO_ITEM CSL_CITATION {"citationID":"LKxToXxC","properties":{"formattedCitation":"\\super [51]\\nosupersub{}","plainCitation":"[51]","noteIndex":0},"citationItems":[{"id":289,"uris":["http://zotero.org/users/18743979/items/57Y2UD9Y"],"itemData":</w:instrText>
      </w:r>
      <w:r>
        <w:rPr>
          <w:rFonts w:hint="eastAsia"/>
          <w:color w:val="auto"/>
        </w:rPr>
        <w:instrText xml:space="preserve">{"id":289,"type":"article-journal","container-title":"计算机科学","issue":"11","journalAbbreviation":"计算机科学","page":"15-21","title":"软件集成开发环境的技术债务管理研究","volume":"44","author":[{"literal":"刘亚珺"},{"literal":"李兵"},{"literal":"李增扬"}],"issued":{"date-parts":[["2017</w:instrText>
      </w:r>
      <w:r>
        <w:rPr>
          <w:color w:val="auto"/>
        </w:rPr>
        <w:instrText xml:space="preserve">"]]},"citation-key":"LiuYaJunRuanJianJiChengKaiFaHuanJingDeJiShuZhaiWuGuanLiYanJiu2017"}}],"schema":"https://github.com/citation-style-language/schema/raw/master/csl-citation.json"} </w:instrText>
      </w:r>
      <w:r>
        <w:rPr>
          <w:color w:val="auto"/>
        </w:rPr>
        <w:fldChar w:fldCharType="separate"/>
      </w:r>
      <w:r>
        <w:rPr>
          <w:rFonts w:cs="Times New Roman"/>
          <w:color w:val="auto"/>
          <w:vertAlign w:val="superscript"/>
        </w:rPr>
        <w:t>[51]</w:t>
      </w:r>
      <w:r>
        <w:rPr>
          <w:color w:val="auto"/>
        </w:rPr>
        <w:fldChar w:fldCharType="end"/>
      </w:r>
      <w:r>
        <w:rPr>
          <w:color w:val="auto"/>
        </w:rPr>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14:paraId="3FF5C19F">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32" w:name="_Toc213192808"/>
      <w:bookmarkStart w:id="133" w:name="_Toc213190792"/>
      <w:bookmarkStart w:id="134" w:name="_Toc213192500"/>
      <w:bookmarkStart w:id="135" w:name="_Toc11996"/>
      <w:r>
        <w:rPr>
          <w:rFonts w:ascii="Times New Roman" w:hAnsi="Times New Roman" w:eastAsia="黑体" w:cs="Times New Roman"/>
          <w:bCs/>
          <w:sz w:val="24"/>
          <w:szCs w:val="24"/>
        </w:rPr>
        <w:t>2.3.2 可维护性与架构演化理论</w:t>
      </w:r>
      <w:bookmarkEnd w:id="132"/>
      <w:bookmarkEnd w:id="133"/>
      <w:bookmarkEnd w:id="134"/>
      <w:bookmarkEnd w:id="135"/>
    </w:p>
    <w:p w14:paraId="242B67DD">
      <w:pPr>
        <w:pStyle w:val="57"/>
        <w:ind w:firstLine="480"/>
        <w:jc w:val="both"/>
        <w:rPr>
          <w:color w:val="auto"/>
        </w:rPr>
      </w:pPr>
      <w:r>
        <w:rPr>
          <w:color w:val="auto"/>
        </w:rPr>
        <w:t>软件架构演化（Software Architecture Evolution）理论认为，架构是系统在演化中的稳定核心，其结构与约束决定了系统应对外部变化的弹性</w:t>
      </w:r>
      <w:r>
        <w:rPr>
          <w:color w:val="auto"/>
        </w:rPr>
        <w:fldChar w:fldCharType="begin"/>
      </w:r>
      <w:r>
        <w:rPr>
          <w:color w:val="auto"/>
        </w:rPr>
        <w:instrText xml:space="preserve"> ADDIN ZOTERO_ITEM CSL_CITATION {"citationID":"cNE2nS29","properties":{"formattedCitation":"\\super [52]\\nosupersub{}","plainCitation":"[52]","noteIndex":0},"citationItems":[{"id":291,"uris":["http://zotero.org/users/18743979/items/XMNAGEC3"],"itemData":</w:instrText>
      </w:r>
      <w:r>
        <w:rPr>
          <w:rFonts w:hint="eastAsia"/>
          <w:color w:val="auto"/>
        </w:rPr>
        <w:instrText xml:space="preserve">{"id":291,"type":"article-journal","container-title":"计算机科学","issue":"S2","journalAbbreviation":"计算机科学","page":"776-784","title":"面向风格的软件体系结构演化路径生成方法","volume":"51","author":[{"literal":"钟林辉"},{"literal":"杨超逸"},{"literal":"夏子豪"}],"issued":{"date-parts":[[</w:instrText>
      </w:r>
      <w:r>
        <w:rPr>
          <w:color w:val="auto"/>
        </w:rPr>
        <w:instrText xml:space="preserve">"2024"]]},"citation-key":"ZhongLinHuiMianXiangFengGeDeRuanJianTiXiJieGouYanHuaLuJingShengChengFangFa2024"}}],"schema":"https://github.com/citation-style-language/schema/raw/master/csl-citation.json"} </w:instrText>
      </w:r>
      <w:r>
        <w:rPr>
          <w:color w:val="auto"/>
        </w:rPr>
        <w:fldChar w:fldCharType="separate"/>
      </w:r>
      <w:r>
        <w:rPr>
          <w:rFonts w:cs="Times New Roman"/>
          <w:color w:val="auto"/>
          <w:vertAlign w:val="superscript"/>
        </w:rPr>
        <w:t>[52]</w:t>
      </w:r>
      <w:r>
        <w:rPr>
          <w:color w:val="auto"/>
        </w:rPr>
        <w:fldChar w:fldCharType="end"/>
      </w:r>
      <w:r>
        <w:rPr>
          <w:color w:val="auto"/>
        </w:rPr>
        <w:t>。Mens与Demeyer提出的软件演化四阶段模型（理解</w:t>
      </w:r>
      <w:r>
        <w:rPr>
          <w:rFonts w:hint="eastAsia"/>
          <w:color w:val="auto"/>
        </w:rPr>
        <w:t>、</w:t>
      </w:r>
      <w:r>
        <w:rPr>
          <w:color w:val="auto"/>
        </w:rPr>
        <w:t>变更</w:t>
      </w:r>
      <w:r>
        <w:rPr>
          <w:rFonts w:hint="eastAsia"/>
          <w:color w:val="auto"/>
        </w:rPr>
        <w:t>、</w:t>
      </w:r>
      <w:r>
        <w:rPr>
          <w:color w:val="auto"/>
        </w:rPr>
        <w:t>实现</w:t>
      </w:r>
      <w:r>
        <w:rPr>
          <w:rFonts w:hint="eastAsia"/>
          <w:color w:val="auto"/>
        </w:rPr>
        <w:t>、</w:t>
      </w:r>
      <w:r>
        <w:rPr>
          <w:color w:val="auto"/>
        </w:rPr>
        <w:t>反馈）</w:t>
      </w:r>
      <w:r>
        <w:rPr>
          <w:rFonts w:hint="eastAsia"/>
          <w:color w:val="auto"/>
        </w:rPr>
        <w:t>，</w:t>
      </w:r>
      <w:r>
        <w:rPr>
          <w:color w:val="auto"/>
        </w:rPr>
        <w:t>揭示了架构在持续变更下的动态适应机制</w:t>
      </w:r>
      <w:r>
        <w:rPr>
          <w:color w:val="auto"/>
        </w:rPr>
        <w:fldChar w:fldCharType="begin"/>
      </w:r>
      <w:r>
        <w:rPr>
          <w:color w:val="auto"/>
        </w:rPr>
        <w:instrText xml:space="preserve"> ADDIN ZOTERO_ITEM CSL_CITATION {"citationID":"XNXKQz8m","properties":{"formattedCitation":"\\super [53]\\nosupersub{}","plainCitation":"[53]","noteIndex":0},"citationItems":[{"id":293,"uris":["http://zotero.org/users/18743979/items/PRTSTF3B"],"itemData":{"id":293,"type":"book","event-place":"Berlin","note":"DOI: 10.1007/978-3-540-76440-3","number-of-pages":"10","publisher":"Springer-Verlag","publisher-place":"Berlin","title":"Software Evolution","author":[{"literal":"Mens T"},{"literal":"Demeyer S"},{"literal":"eds"}],"issued":{"date-parts":[["2008"]]},"citation-key":"menstSoftwareEvolution2008"}}],"schema":"https://github.com/citation-style-language/schema/raw/master/csl-citation.json"} </w:instrText>
      </w:r>
      <w:r>
        <w:rPr>
          <w:color w:val="auto"/>
        </w:rPr>
        <w:fldChar w:fldCharType="separate"/>
      </w:r>
      <w:r>
        <w:rPr>
          <w:rFonts w:cs="Times New Roman"/>
          <w:color w:val="auto"/>
          <w:vertAlign w:val="superscript"/>
        </w:rPr>
        <w:t>[53]</w:t>
      </w:r>
      <w:r>
        <w:rPr>
          <w:color w:val="auto"/>
        </w:rPr>
        <w:fldChar w:fldCharType="end"/>
      </w:r>
      <w:r>
        <w:rPr>
          <w:color w:val="auto"/>
        </w:rPr>
        <w:t>。在此过程中，可维护性是评价系统演化质量的关键属性。</w:t>
      </w:r>
    </w:p>
    <w:p w14:paraId="1AD4CDAC">
      <w:pPr>
        <w:pStyle w:val="57"/>
        <w:ind w:firstLine="480"/>
        <w:jc w:val="both"/>
        <w:rPr>
          <w:color w:val="auto"/>
        </w:rPr>
      </w:pPr>
      <w:r>
        <w:rPr>
          <w:color w:val="auto"/>
        </w:rPr>
        <w:t>根据ISO/IEC 25010:2023标准，可维护性包括模块化、可重用性、可分析性、可修改性和可测试性五个子特性</w:t>
      </w:r>
      <w:r>
        <w:rPr>
          <w:color w:val="auto"/>
        </w:rPr>
        <w:fldChar w:fldCharType="begin"/>
      </w:r>
      <w:r>
        <w:rPr>
          <w:color w:val="auto"/>
        </w:rPr>
        <w:instrText xml:space="preserve"> ADDIN ZOTERO_ITEM CSL_CITATION {"citationID":"o6om32yS","properties":{"formattedCitation":"\\super [54]\\nosupersub{}","plainCitation":"[54]","noteIndex":0},"citationItems":[{"id":295,"uris":["http://zotero.org/users/18743979/items/HP3LREZD"],"itemData":{"id":295,"type":"article-journal","container-title":"Geneva:ISO","page":"2023","title":"ISO/IEC 25010:2023 Systems and software engineering — Systems and software Quality Requirements and Evaluation (SQuaRE) — System and software quality models","author":[{"literal":"International Organization for Standardization"}],"issued":{"date-parts":[["2023"]]},"citation-key":"internationalorganizationforstandardizationISOIEC250102023"}}],"schema":"https://github.com/citation-style-language/schema/raw/master/csl-citation.json"} </w:instrText>
      </w:r>
      <w:r>
        <w:rPr>
          <w:color w:val="auto"/>
        </w:rPr>
        <w:fldChar w:fldCharType="separate"/>
      </w:r>
      <w:r>
        <w:rPr>
          <w:rFonts w:cs="Times New Roman"/>
          <w:color w:val="auto"/>
          <w:vertAlign w:val="superscript"/>
        </w:rPr>
        <w:t>[54]</w:t>
      </w:r>
      <w:r>
        <w:rPr>
          <w:color w:val="auto"/>
        </w:rPr>
        <w:fldChar w:fldCharType="end"/>
      </w:r>
      <w:r>
        <w:rPr>
          <w:color w:val="auto"/>
        </w:rPr>
        <w:t>。技术债务通过增加复杂度、降低内聚度和引入设计异味，直接削弱上述属性，从而降低架构演化能力。在实际的软件维护过程中，随着技术债务的不断积累，系统复杂度和维护成本逐步上升，可维护性则呈持续下降趋势。研究表明，债务密度越高，系统性能退化与维护难度上升的速度越快，呈现出明显的加速效应</w:t>
      </w:r>
      <w:r>
        <w:rPr>
          <w:color w:val="auto"/>
        </w:rPr>
        <w:fldChar w:fldCharType="begin"/>
      </w:r>
      <w:r>
        <w:rPr>
          <w:color w:val="auto"/>
        </w:rPr>
        <w:instrText xml:space="preserve"> ADDIN ZOTERO_ITEM CSL_CITATION {"citationID":"KqyGaPwI","properties":{"formattedCitation":"\\super [55]\\nosupersub{}","plainCitation":"[55]","noteIndex":0},"citationItems":[{"id":297,"uris":["http://zotero.org/users/18743979/items/92ZEFWWS"],"itemData":</w:instrText>
      </w:r>
      <w:r>
        <w:rPr>
          <w:rFonts w:hint="eastAsia"/>
          <w:color w:val="auto"/>
        </w:rPr>
        <w:instrText xml:space="preserve">{"id":297,"type":"article-journal","container-title":"软件学报","DOI":"10.13328/j.cnki.jos.006292","issue":"01","journalAbbreviation":"软件学报","page":"26-54","title":"自承认技术债的研究:问题、进展与挑战","volume":"33","author":[{"literal":"郭肇强"},{"literal":"刘释然"},{"literal":"谭婷婷"}],"issued":{"date-parts":[["2022"]]},"citation-key":"GuoZhaoQiangZiChengRenJiShuZhaiDeYanJiuWenTiJinZhanYuTiaoZhan2022"}}],"schema":"https://github.com/citation-style-language/schema/raw/master/csl-citation.json"} </w:instrText>
      </w:r>
      <w:r>
        <w:rPr>
          <w:color w:val="auto"/>
        </w:rPr>
        <w:fldChar w:fldCharType="separate"/>
      </w:r>
      <w:r>
        <w:rPr>
          <w:rFonts w:cs="Times New Roman"/>
          <w:color w:val="auto"/>
          <w:vertAlign w:val="superscript"/>
        </w:rPr>
        <w:t>[55]</w:t>
      </w:r>
      <w:r>
        <w:rPr>
          <w:color w:val="auto"/>
        </w:rPr>
        <w:fldChar w:fldCharType="end"/>
      </w:r>
      <w:r>
        <w:rPr>
          <w:color w:val="auto"/>
        </w:rPr>
        <w:t>。</w:t>
      </w:r>
    </w:p>
    <w:p w14:paraId="796B7B0C">
      <w:pPr>
        <w:ind w:firstLine="480"/>
        <w:jc w:val="center"/>
        <w:rPr>
          <w:color w:val="auto"/>
        </w:rPr>
      </w:pPr>
      <w:r>
        <w:rPr>
          <w:rFonts w:hint="eastAsia"/>
          <w:color w:val="auto"/>
        </w:rPr>
        <w:drawing>
          <wp:inline distT="0" distB="0" distL="0" distR="0">
            <wp:extent cx="3785870" cy="2037080"/>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6CAE35F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图2-5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技术债务与架构演化关系模型</w:t>
      </w:r>
    </w:p>
    <w:p w14:paraId="6B69C435">
      <w:pPr>
        <w:pStyle w:val="57"/>
        <w:ind w:firstLine="480"/>
        <w:jc w:val="both"/>
        <w:rPr>
          <w:color w:val="auto"/>
        </w:rPr>
      </w:pPr>
      <w:r>
        <w:rPr>
          <w:color w:val="auto"/>
        </w:rPr>
        <w:t>从图2-5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14:paraId="6DF15560">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36" w:name="_Toc213192501"/>
      <w:bookmarkStart w:id="137" w:name="_Toc213190793"/>
      <w:bookmarkStart w:id="138" w:name="_Toc213192809"/>
      <w:bookmarkStart w:id="139" w:name="_Toc9337"/>
      <w:r>
        <w:rPr>
          <w:rFonts w:ascii="Times New Roman" w:hAnsi="Times New Roman" w:eastAsia="黑体" w:cs="Times New Roman"/>
          <w:bCs/>
          <w:sz w:val="24"/>
          <w:szCs w:val="24"/>
        </w:rPr>
        <w:t>2.3.3 技术债务治理模型与度量体系</w:t>
      </w:r>
      <w:bookmarkEnd w:id="136"/>
      <w:bookmarkEnd w:id="137"/>
      <w:bookmarkEnd w:id="138"/>
      <w:bookmarkEnd w:id="139"/>
    </w:p>
    <w:p w14:paraId="7971A339">
      <w:pPr>
        <w:pStyle w:val="57"/>
        <w:ind w:firstLine="480"/>
        <w:jc w:val="both"/>
        <w:rPr>
          <w:color w:val="auto"/>
        </w:rPr>
      </w:pPr>
      <w:r>
        <w:rPr>
          <w:color w:val="auto"/>
        </w:rPr>
        <w:t>技术债务治理（Technical Debt Management, TDM）旨在通过系统化的识别、度量、控制与偿还策略，使技术债务的形成与消解过程实现可视化与可控化</w:t>
      </w:r>
      <w:r>
        <w:rPr>
          <w:color w:val="auto"/>
        </w:rPr>
        <w:fldChar w:fldCharType="begin"/>
      </w:r>
      <w:r>
        <w:rPr>
          <w:color w:val="auto"/>
        </w:rPr>
        <w:instrText xml:space="preserve"> ADDIN ZOTERO_ITEM CSL_CITATION {"citationID":"nHsEX8YR","properties":{"formattedCitation":"\\super [56]\\nosupersub{}","plainCitation":"[56]","noteIndex":0},"citationItems":[{"id":299,"uris":["http://zotero.org/users/18743979/items/NVKGUIUE"],"itemData":{"id":299,"type":"article-journal","container-title":"The Journal of Systems &amp; Software","DOI":"10.1016/J.JSS.2025.112606","journalAbbreviation":"The Journal of Systems &amp; Software","page":"10","title":"Establishing technical debt management — A five-step workshop approach and an action research study","author":[{"literal":"Wiese M"},{"literal":"Serwa K"},{"literal":"Besier A"},{"literal":"et al"}],"issued":{"date-parts":[["2026"]]},"citation-key":"wiesemEstablishingTechnicalDebt2026"}}],"schema":"https://github.com/citation-style-language/schema/raw/master/csl-citation.json"} </w:instrText>
      </w:r>
      <w:r>
        <w:rPr>
          <w:color w:val="auto"/>
        </w:rPr>
        <w:fldChar w:fldCharType="separate"/>
      </w:r>
      <w:r>
        <w:rPr>
          <w:rFonts w:cs="Times New Roman"/>
          <w:color w:val="auto"/>
          <w:vertAlign w:val="superscript"/>
        </w:rPr>
        <w:t>[56]</w:t>
      </w:r>
      <w:r>
        <w:rPr>
          <w:color w:val="auto"/>
        </w:rPr>
        <w:fldChar w:fldCharType="end"/>
      </w:r>
      <w:r>
        <w:rPr>
          <w:color w:val="auto"/>
        </w:rPr>
        <w:t>。在技术债务治理研究中，部分学者提出了多维度治理循环框架（Multidimensional Technical Debt Governance，MTDG），将治理流程划分为五个连续阶段：债务识别、量化评估、风险优先级排序、偿还执行与验证反馈</w:t>
      </w:r>
      <w:r>
        <w:rPr>
          <w:color w:val="auto"/>
        </w:rPr>
        <w:fldChar w:fldCharType="begin"/>
      </w:r>
      <w:r>
        <w:rPr>
          <w:color w:val="auto"/>
        </w:rPr>
        <w:instrText xml:space="preserve"> ADDIN ZOTERO_ITEM CSL_CITATION {"citationID":"QCzf2svr","properties":{"formattedCitation":"\\super [57]\\nosupersub{}","plainCitation":"[57]","noteIndex":0},"citationItems":[{"id":301,"uris":["http://zotero.org/users/18743979/items/JBH5XJI6"],"itemData":{"id":301,"type":"article-journal","container-title":"The Journal of Systems &amp; Software","DOI":"10.1016/j.jss.2014.12.027","journalAbbreviation":"The Journal of Systems &amp; Software","page":"193-220","title":"A systematic mapping study on technical debt and its management","author":[{"literal":"Li Z"},{"literal":"Avgeriou P"},{"literal":"Liang P"}],"issued":{"date-parts":[["2015"]]},"citation-key":"lizSystematicMappingStudy2015"}}],"schema":"https://github.com/citation-style-language/schema/raw/master/csl-citation.json"} </w:instrText>
      </w:r>
      <w:r>
        <w:rPr>
          <w:color w:val="auto"/>
        </w:rPr>
        <w:fldChar w:fldCharType="separate"/>
      </w:r>
      <w:r>
        <w:rPr>
          <w:rFonts w:cs="Times New Roman"/>
          <w:color w:val="auto"/>
          <w:vertAlign w:val="superscript"/>
        </w:rPr>
        <w:t>[57]</w:t>
      </w:r>
      <w:r>
        <w:rPr>
          <w:color w:val="auto"/>
        </w:rPr>
        <w:fldChar w:fldCharType="end"/>
      </w:r>
      <w:r>
        <w:rPr>
          <w:color w:val="auto"/>
        </w:rPr>
        <w:t>。该框架通过闭环机制实现对技术债务生命周期的动态调控，并强调在 DevOps 与持续交付环境中引入自动化度量与自适应治理手段，以减少人工审计的滞后性与主观性。</w:t>
      </w:r>
    </w:p>
    <w:p w14:paraId="063B1B49">
      <w:pPr>
        <w:pStyle w:val="57"/>
        <w:ind w:firstLine="480"/>
        <w:jc w:val="both"/>
        <w:rPr>
          <w:color w:val="auto"/>
        </w:rPr>
      </w:pPr>
      <w:r>
        <w:rPr>
          <w:color w:val="auto"/>
        </w:rPr>
        <w:t>在度量体系方面，已有研究指出，从多个维度衡量技术债务有助于更全面量化其规模与风险</w:t>
      </w:r>
      <w:r>
        <w:rPr>
          <w:color w:val="auto"/>
        </w:rPr>
        <w:fldChar w:fldCharType="begin"/>
      </w:r>
      <w:r>
        <w:rPr>
          <w:color w:val="auto"/>
        </w:rPr>
        <w:instrText xml:space="preserve"> ADDIN ZOTERO_ITEM CSL_CITATION {"citationID":"h8UYJHuz","properties":{"formattedCitation":"\\super [58]\\nosupersub{}","plainCitation":"[58]","noteIndex":0},"citationItems":[{"id":303,"uris":["http://zotero.org/users/18743979/items/XUNHAZQB"],"itemData":{"id":303,"type":"article-journal","container-title":"IEEE Software","DOI":"10.1109/MS.2023.3242137","issue":"3","journalAbbreviation":"IEEE Software","page":"15-19","title":"Defining, Measuring, and Managing Technical Debt","volume":"40","author":[{"literal":"Jaspan C"},{"literal":"Green C"},{"literal":"Jaspan C"},{"literal":"et al"}],"issued":{"date-parts":[["2023"]]},"citation-key":"jaspancDefiningMeasuringManaging2023"}}],"schema":"https://github.com/citation-style-language/schema/raw/master/csl-citation.json"} </w:instrText>
      </w:r>
      <w:r>
        <w:rPr>
          <w:color w:val="auto"/>
        </w:rPr>
        <w:fldChar w:fldCharType="separate"/>
      </w:r>
      <w:r>
        <w:rPr>
          <w:rFonts w:cs="Times New Roman"/>
          <w:color w:val="auto"/>
          <w:vertAlign w:val="superscript"/>
        </w:rPr>
        <w:t>[58]</w:t>
      </w:r>
      <w:r>
        <w:rPr>
          <w:color w:val="auto"/>
        </w:rPr>
        <w:fldChar w:fldCharType="end"/>
      </w:r>
      <w:r>
        <w:rPr>
          <w:color w:val="auto"/>
        </w:rPr>
        <w:t>。该类多维度量体系不仅涵盖代码层面的静态结构（例如模块耦合、重复率、代码异味），还将系统演化行为（如修改频率、缺陷密度、提交波动）及其经济影响（如</w:t>
      </w:r>
      <w:r>
        <w:rPr>
          <w:bCs/>
          <w:color w:val="auto"/>
          <w:spacing w:val="-6"/>
          <w:sz w:val="24"/>
        </w:rPr>
        <w:t>偿还成本、投资回报率 ROI）纳入考量。通过建立从技术属性到经济效益的连续桥梁，组织得以借助数据驱动的方式识别高风险区域，并优先分配资源进行技术债务偿还与结构优化。</w:t>
      </w:r>
    </w:p>
    <w:p w14:paraId="258B62C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表2-2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技术债务度量维度与主要指标</w:t>
      </w:r>
    </w:p>
    <w:tbl>
      <w:tblPr>
        <w:tblStyle w:val="95"/>
        <w:tblW w:w="905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5"/>
        <w:gridCol w:w="3622"/>
        <w:gridCol w:w="3622"/>
      </w:tblGrid>
      <w:tr w14:paraId="505601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jc w:val="center"/>
        </w:trPr>
        <w:tc>
          <w:tcPr>
            <w:tcW w:w="0" w:type="auto"/>
            <w:tcBorders>
              <w:bottom w:val="single" w:color="auto" w:sz="8" w:space="0"/>
              <w:insideH w:val="single" w:sz="8" w:space="0"/>
            </w:tcBorders>
            <w:vAlign w:val="center"/>
          </w:tcPr>
          <w:p w14:paraId="478A819A">
            <w:pPr>
              <w:spacing w:line="400" w:lineRule="exact"/>
              <w:jc w:val="center"/>
              <w:rPr>
                <w:rFonts w:ascii="Times New Roman" w:hAnsi="Times New Roman" w:cs="Times New Roman"/>
                <w:bCs/>
                <w:color w:val="auto"/>
                <w:sz w:val="21"/>
                <w:szCs w:val="21"/>
              </w:rPr>
            </w:pPr>
            <w:r>
              <w:rPr>
                <w:rFonts w:ascii="Times New Roman" w:hAnsi="Times New Roman" w:cs="Times New Roman"/>
                <w:bCs/>
                <w:color w:val="auto"/>
                <w:sz w:val="21"/>
                <w:szCs w:val="21"/>
              </w:rPr>
              <w:t>维度</w:t>
            </w:r>
          </w:p>
        </w:tc>
        <w:tc>
          <w:tcPr>
            <w:tcW w:w="0" w:type="auto"/>
            <w:tcBorders>
              <w:bottom w:val="single" w:color="auto" w:sz="8" w:space="0"/>
              <w:insideH w:val="single" w:sz="8" w:space="0"/>
            </w:tcBorders>
            <w:vAlign w:val="center"/>
          </w:tcPr>
          <w:p w14:paraId="59A30FB9">
            <w:pPr>
              <w:spacing w:line="400" w:lineRule="exact"/>
              <w:jc w:val="center"/>
              <w:rPr>
                <w:rFonts w:ascii="Times New Roman" w:hAnsi="Times New Roman" w:cs="Times New Roman"/>
                <w:bCs/>
                <w:color w:val="auto"/>
                <w:sz w:val="21"/>
                <w:szCs w:val="21"/>
              </w:rPr>
            </w:pPr>
            <w:r>
              <w:rPr>
                <w:rFonts w:ascii="Times New Roman" w:hAnsi="Times New Roman" w:cs="Times New Roman"/>
                <w:bCs/>
                <w:color w:val="auto"/>
                <w:sz w:val="21"/>
                <w:szCs w:val="21"/>
              </w:rPr>
              <w:t>主要指标</w:t>
            </w:r>
          </w:p>
        </w:tc>
        <w:tc>
          <w:tcPr>
            <w:tcW w:w="0" w:type="auto"/>
            <w:tcBorders>
              <w:bottom w:val="single" w:color="auto" w:sz="8" w:space="0"/>
              <w:insideH w:val="single" w:sz="8" w:space="0"/>
            </w:tcBorders>
            <w:vAlign w:val="center"/>
          </w:tcPr>
          <w:p w14:paraId="4C93E96D">
            <w:pPr>
              <w:spacing w:line="400" w:lineRule="exact"/>
              <w:jc w:val="center"/>
              <w:rPr>
                <w:rFonts w:ascii="Times New Roman" w:hAnsi="Times New Roman" w:cs="Times New Roman"/>
                <w:bCs/>
                <w:color w:val="auto"/>
                <w:sz w:val="21"/>
                <w:szCs w:val="21"/>
              </w:rPr>
            </w:pPr>
            <w:r>
              <w:rPr>
                <w:rFonts w:ascii="Times New Roman" w:hAnsi="Times New Roman" w:cs="Times New Roman"/>
                <w:bCs/>
                <w:color w:val="auto"/>
                <w:sz w:val="21"/>
                <w:szCs w:val="21"/>
              </w:rPr>
              <w:t>常用工具</w:t>
            </w:r>
          </w:p>
        </w:tc>
      </w:tr>
      <w:tr w14:paraId="6E8628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3" w:hRule="atLeast"/>
          <w:jc w:val="center"/>
        </w:trPr>
        <w:tc>
          <w:tcPr>
            <w:tcW w:w="0" w:type="auto"/>
            <w:vAlign w:val="center"/>
          </w:tcPr>
          <w:p w14:paraId="3F41655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代码质量</w:t>
            </w:r>
          </w:p>
        </w:tc>
        <w:tc>
          <w:tcPr>
            <w:tcW w:w="0" w:type="auto"/>
            <w:vAlign w:val="center"/>
          </w:tcPr>
          <w:p w14:paraId="74805DB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复杂度、重复率、注释率</w:t>
            </w:r>
          </w:p>
        </w:tc>
        <w:tc>
          <w:tcPr>
            <w:tcW w:w="0" w:type="auto"/>
            <w:vAlign w:val="center"/>
          </w:tcPr>
          <w:p w14:paraId="0D8E4D1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SonarQube / Checkstyle</w:t>
            </w:r>
          </w:p>
        </w:tc>
      </w:tr>
      <w:tr w14:paraId="0789CAF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0" w:type="auto"/>
            <w:vAlign w:val="center"/>
          </w:tcPr>
          <w:p w14:paraId="2E75371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架构复杂度</w:t>
            </w:r>
          </w:p>
        </w:tc>
        <w:tc>
          <w:tcPr>
            <w:tcW w:w="0" w:type="auto"/>
            <w:vAlign w:val="center"/>
          </w:tcPr>
          <w:p w14:paraId="6A72073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模块耦合度、循环依赖数</w:t>
            </w:r>
          </w:p>
        </w:tc>
        <w:tc>
          <w:tcPr>
            <w:tcW w:w="0" w:type="auto"/>
            <w:vAlign w:val="center"/>
          </w:tcPr>
          <w:p w14:paraId="0F21E6F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Arcan / Structure101</w:t>
            </w:r>
          </w:p>
        </w:tc>
      </w:tr>
      <w:tr w14:paraId="705EE5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0" w:type="auto"/>
            <w:vAlign w:val="center"/>
          </w:tcPr>
          <w:p w14:paraId="27072A0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测试充分性</w:t>
            </w:r>
          </w:p>
        </w:tc>
        <w:tc>
          <w:tcPr>
            <w:tcW w:w="0" w:type="auto"/>
            <w:vAlign w:val="center"/>
          </w:tcPr>
          <w:p w14:paraId="6CE79E5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覆盖率、缺陷密度</w:t>
            </w:r>
          </w:p>
        </w:tc>
        <w:tc>
          <w:tcPr>
            <w:tcW w:w="0" w:type="auto"/>
            <w:vAlign w:val="center"/>
          </w:tcPr>
          <w:p w14:paraId="4B1928D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JaCoCo / JUnit</w:t>
            </w:r>
          </w:p>
        </w:tc>
      </w:tr>
      <w:tr w14:paraId="4445CD6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0" w:type="auto"/>
            <w:vAlign w:val="center"/>
          </w:tcPr>
          <w:p w14:paraId="442EE1D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变更历史</w:t>
            </w:r>
          </w:p>
        </w:tc>
        <w:tc>
          <w:tcPr>
            <w:tcW w:w="0" w:type="auto"/>
            <w:vAlign w:val="center"/>
          </w:tcPr>
          <w:p w14:paraId="1A7C070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修改频率、回滚率</w:t>
            </w:r>
          </w:p>
        </w:tc>
        <w:tc>
          <w:tcPr>
            <w:tcW w:w="0" w:type="auto"/>
            <w:vAlign w:val="center"/>
          </w:tcPr>
          <w:p w14:paraId="02D136D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GitStats / CodeScene</w:t>
            </w:r>
          </w:p>
        </w:tc>
      </w:tr>
      <w:tr w14:paraId="4423609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0" w:hRule="atLeast"/>
          <w:jc w:val="center"/>
        </w:trPr>
        <w:tc>
          <w:tcPr>
            <w:tcW w:w="0" w:type="auto"/>
            <w:vAlign w:val="center"/>
          </w:tcPr>
          <w:p w14:paraId="38EC8D2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经济效益</w:t>
            </w:r>
          </w:p>
        </w:tc>
        <w:tc>
          <w:tcPr>
            <w:tcW w:w="0" w:type="auto"/>
            <w:vAlign w:val="center"/>
          </w:tcPr>
          <w:p w14:paraId="38C89A8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债务偿还成本、ROI</w:t>
            </w:r>
          </w:p>
        </w:tc>
        <w:tc>
          <w:tcPr>
            <w:tcW w:w="0" w:type="auto"/>
            <w:vAlign w:val="center"/>
          </w:tcPr>
          <w:p w14:paraId="40A9E09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自建模型或内部评估系统</w:t>
            </w:r>
          </w:p>
        </w:tc>
      </w:tr>
    </w:tbl>
    <w:p w14:paraId="45C89BB5">
      <w:pPr>
        <w:pStyle w:val="57"/>
        <w:ind w:firstLine="480"/>
        <w:jc w:val="both"/>
        <w:rPr>
          <w:color w:val="auto"/>
        </w:rPr>
      </w:pPr>
      <w:r>
        <w:rPr>
          <w:color w:val="auto"/>
        </w:rPr>
        <w:t>该体系的应用，使技术债务从隐性负担转化为可度量、可追踪的管理对象。通过指标的动态监控，企业能够在项目生命周期内实时评估系统健康度，为架构决策提供数据支撑。</w:t>
      </w:r>
    </w:p>
    <w:p w14:paraId="301C99F2">
      <w:pPr>
        <w:pStyle w:val="57"/>
        <w:ind w:firstLine="480"/>
        <w:jc w:val="both"/>
        <w:rPr>
          <w:color w:val="auto"/>
        </w:rPr>
      </w:pPr>
      <w:r>
        <w:rPr>
          <w:color w:val="auto"/>
        </w:rPr>
        <w:t>此外，</w:t>
      </w:r>
      <w:r>
        <w:rPr>
          <w:rFonts w:hint="eastAsia"/>
          <w:color w:val="auto"/>
        </w:rPr>
        <w:t>有研究表明</w:t>
      </w:r>
      <w:r>
        <w:rPr>
          <w:color w:val="auto"/>
        </w:rPr>
        <w:t>，在微服务与服务网格架构中，应实现安全机制与开发运维流程的深度协同</w:t>
      </w:r>
      <w:r>
        <w:rPr>
          <w:color w:val="auto"/>
        </w:rPr>
        <w:fldChar w:fldCharType="begin"/>
      </w:r>
      <w:r>
        <w:rPr>
          <w:color w:val="auto"/>
        </w:rPr>
        <w:instrText xml:space="preserve"> ADDIN ZOTERO_ITEM CSL_CITATION {"citationID":"MYPZErtv","properties":{"formattedCitation":"\\super [59]\\nosupersub{}","plainCitation":"[59]","noteIndex":0},"citationItems":[{"id":305,"uris":["http://zotero.org/users/18743979/items/U7L5LW8E"],"itemData":</w:instrText>
      </w:r>
      <w:r>
        <w:rPr>
          <w:rFonts w:hint="eastAsia"/>
          <w:color w:val="auto"/>
        </w:rPr>
        <w:instrText xml:space="preserve">{"id":305,"type":"article-journal","container-title":"邮电设计技术","issue":"09","journalAbbreviation":"邮电设计技术","page":"13-18","title":"基于DevSecOps的软件供应链安全治理技术简析","author":[{"literal":"张小梅"},{"literal":"苏俐竹"}],"issued":{"date-parts":[["2022"]]},"citation-key":"</w:instrText>
      </w:r>
      <w:r>
        <w:rPr>
          <w:color w:val="auto"/>
        </w:rPr>
        <w:instrText xml:space="preserve">ZhangXiaoMeiJiYuDevSecOpsDeRuanJianGongYingLianAnQuanZhiLiJiShuJianXi2022"}}],"schema":"https://github.com/citation-style-language/schema/raw/master/csl-citation.json"} </w:instrText>
      </w:r>
      <w:r>
        <w:rPr>
          <w:color w:val="auto"/>
        </w:rPr>
        <w:fldChar w:fldCharType="separate"/>
      </w:r>
      <w:r>
        <w:rPr>
          <w:rFonts w:cs="Times New Roman"/>
          <w:color w:val="auto"/>
          <w:vertAlign w:val="superscript"/>
        </w:rPr>
        <w:t>[59]</w:t>
      </w:r>
      <w:r>
        <w:rPr>
          <w:color w:val="auto"/>
        </w:rPr>
        <w:fldChar w:fldCharType="end"/>
      </w:r>
      <w:r>
        <w:rPr>
          <w:color w:val="auto"/>
        </w:rP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rPr>
          <w:color w:val="auto"/>
        </w:rPr>
        <w:t>同时，ISO/IEC 26550 标准从软件生命周期管理的视角出发，构建了产品线工程与架构治理的统一框架</w:t>
      </w:r>
      <w:r>
        <w:rPr>
          <w:color w:val="auto"/>
        </w:rPr>
        <w:fldChar w:fldCharType="begin"/>
      </w:r>
      <w:r>
        <w:rPr>
          <w:color w:val="auto"/>
        </w:rPr>
        <w:instrText xml:space="preserve"> ADDIN ZOTERO_ITEM CSL_CITATION {"citationID":"D7mH1OIq","properties":{"formattedCitation":"\\super [60]\\nosupersub{}","plainCitation":"[60]","noteIndex":0},"citationItems":[{"id":307,"uris":["http://zotero.org/users/18743979/items/486YF5F5"],"itemData":{"id":307,"type":"article-journal","container-title":"Geneva:International Organization for Standardization","page":"2015","title":"ISO/IEC 26550:2015 Software and systems engineering — Reference model for product line engineering and management","author":[{"literal":"ISO/IEC"}],"issued":{"date-parts":[["2015"]]},"citation-key":"iso/iecISOIEC265502015"}}],"schema":"https://github.com/citation-style-language/schema/raw/master/csl-citation.json"} </w:instrText>
      </w:r>
      <w:r>
        <w:rPr>
          <w:color w:val="auto"/>
        </w:rPr>
        <w:fldChar w:fldCharType="separate"/>
      </w:r>
      <w:r>
        <w:rPr>
          <w:rFonts w:cs="Times New Roman"/>
          <w:color w:val="auto"/>
          <w:vertAlign w:val="superscript"/>
        </w:rPr>
        <w:t>[60]</w:t>
      </w:r>
      <w:r>
        <w:rPr>
          <w:color w:val="auto"/>
        </w:rPr>
        <w:fldChar w:fldCharType="end"/>
      </w:r>
      <w:r>
        <w:rPr>
          <w:color w:val="auto"/>
        </w:rPr>
        <w:t>。该标准强调，应在组织层面建立持续的质量监控与度量体系，以支撑过程改进与资产复用，从而在更高层面实现技术债务的可控化与可持续管理。</w:t>
      </w:r>
      <w:bookmarkEnd w:id="140"/>
      <w:bookmarkEnd w:id="141"/>
    </w:p>
    <w:p w14:paraId="40F68FC0">
      <w:pPr>
        <w:pStyle w:val="3"/>
        <w:keepNext/>
        <w:keepLines/>
        <w:numPr>
          <w:ilvl w:val="1"/>
          <w:numId w:val="0"/>
        </w:numPr>
        <w:adjustRightInd/>
        <w:snapToGrid/>
        <w:rPr>
          <w:rFonts w:ascii="Times New Roman" w:hAnsi="Times New Roman"/>
          <w:bCs/>
          <w:color w:val="auto"/>
          <w:szCs w:val="32"/>
        </w:rPr>
      </w:pPr>
      <w:bookmarkStart w:id="142" w:name="_Toc213190794"/>
      <w:bookmarkStart w:id="143" w:name="_Toc213192810"/>
      <w:bookmarkStart w:id="144" w:name="_Toc213192502"/>
      <w:bookmarkStart w:id="145" w:name="_Toc23378"/>
      <w:r>
        <w:rPr>
          <w:rFonts w:ascii="Times New Roman" w:hAnsi="Times New Roman"/>
          <w:bCs/>
          <w:color w:val="auto"/>
          <w:szCs w:val="32"/>
        </w:rPr>
        <w:t>2.4 智能运维与可靠性工程理论基础</w:t>
      </w:r>
      <w:bookmarkEnd w:id="142"/>
      <w:bookmarkEnd w:id="143"/>
      <w:bookmarkEnd w:id="144"/>
      <w:bookmarkEnd w:id="145"/>
    </w:p>
    <w:p w14:paraId="029B758B">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46" w:name="_Toc213192811"/>
      <w:bookmarkStart w:id="147" w:name="_Toc213190795"/>
      <w:bookmarkStart w:id="148" w:name="_Toc213192503"/>
      <w:bookmarkStart w:id="149" w:name="_Toc26221"/>
      <w:r>
        <w:rPr>
          <w:rFonts w:ascii="Times New Roman" w:hAnsi="Times New Roman" w:eastAsia="黑体" w:cs="Times New Roman"/>
          <w:bCs/>
          <w:sz w:val="24"/>
          <w:szCs w:val="24"/>
        </w:rPr>
        <w:t>2.4.1 站点可靠性工程（SRE）与错误预算模型</w:t>
      </w:r>
      <w:bookmarkEnd w:id="146"/>
      <w:bookmarkEnd w:id="147"/>
      <w:bookmarkEnd w:id="148"/>
      <w:bookmarkEnd w:id="149"/>
    </w:p>
    <w:p w14:paraId="18A2B813">
      <w:pPr>
        <w:pStyle w:val="57"/>
        <w:ind w:firstLine="480"/>
        <w:jc w:val="both"/>
        <w:rPr>
          <w:color w:val="auto"/>
        </w:rPr>
      </w:pPr>
      <w:r>
        <w:rPr>
          <w:color w:val="auto"/>
        </w:rPr>
        <w:t>站点可靠性工程（Site Reliability Engineering, SRE）最早由 Google 于 2003 年提出，是一种以工程化思维管理系统稳定性和可用性的实践框架</w:t>
      </w:r>
      <w:r>
        <w:rPr>
          <w:color w:val="auto"/>
        </w:rPr>
        <w:fldChar w:fldCharType="begin"/>
      </w:r>
      <w:r>
        <w:rPr>
          <w:color w:val="auto"/>
        </w:rPr>
        <w:instrText xml:space="preserve"> ADDIN ZOTERO_ITEM CSL_CITATION {"citationID":"Ogj4E3j8","properties":{"formattedCitation":"\\super [61]\\nosupersub{}","plainCitation":"[61]","noteIndex":0},"citationItems":[{"id":309,"uris":["http://zotero.org/users/18743979/items/ELPD6JCW"],"itemData":{"id":309,"type":"book","event-place":"Sebastopol (CA)","publisher":"O’Reilly Media","publisher-place":"Sebastopol (CA)","title":"Site Reliability Engineering: How Google Runs Production Systems","author":[{"literal":"Beyer B"},{"literal":"Jones C"},{"literal":"Petoff J"},{"literal":"Murphy N R"}],"issued":{"date-parts":[["2016"]]},"citation-key":"beyerbSiteReliabilityEngineering2016"}}],"schema":"https://github.com/citation-style-language/schema/raw/master/csl-citation.json"} </w:instrText>
      </w:r>
      <w:r>
        <w:rPr>
          <w:color w:val="auto"/>
        </w:rPr>
        <w:fldChar w:fldCharType="separate"/>
      </w:r>
      <w:r>
        <w:rPr>
          <w:rFonts w:cs="Times New Roman"/>
          <w:color w:val="auto"/>
          <w:vertAlign w:val="superscript"/>
        </w:rPr>
        <w:t>[61]</w:t>
      </w:r>
      <w:r>
        <w:rPr>
          <w:color w:val="auto"/>
        </w:rPr>
        <w:fldChar w:fldCharType="end"/>
      </w:r>
      <w:r>
        <w:rPr>
          <w:color w:val="auto"/>
        </w:rPr>
        <w:t>。与传统运维相比，SRE 强调将软件工程方法论引入运维体系，通过可靠性即特性（Reliability as a Feature）的理念，使系统可靠性成为可设计、可量化并可持续优化的工程属性，而非依赖个人经验的维护活动。其核心管理机制由服务级别指标（Service Level Indicator, SLI）、服务级别目标（Service Level Objective, SLO）和服务级别协议（Service Level Agreement, SLA）构成，三者共同建立起基于数据驱动的可靠性治理体系，使系统运行能够从被动应对转向主动控制。</w:t>
      </w:r>
    </w:p>
    <w:p w14:paraId="11D8E507">
      <w:pPr>
        <w:pStyle w:val="57"/>
        <w:ind w:firstLine="480"/>
        <w:jc w:val="both"/>
        <w:rPr>
          <w:color w:val="auto"/>
        </w:rPr>
      </w:pPr>
      <w:r>
        <w:rPr>
          <w:color w:val="auto"/>
        </w:rPr>
        <w:t>在该体系中，错误预算（Error Budget）模型被视为协调系统创新速率与稳定性的重要工具。该模型通过量化可容忍的不可靠性来限定系统变更的风险边界。例如，当系统设定的可用性目标为 99.9 % 时，剩余 0.1 % 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14:paraId="0D5D8200">
      <w:pPr>
        <w:pStyle w:val="57"/>
        <w:ind w:firstLine="480"/>
        <w:jc w:val="both"/>
        <w:rPr>
          <w:color w:val="auto"/>
        </w:rPr>
      </w:pPr>
      <w:r>
        <w:rPr>
          <w:color w:val="auto"/>
        </w:rPr>
        <w:t>SRE 的运行逻辑可被视为一种工程化的反馈控制系统，遵循度量</w:t>
      </w:r>
      <w:r>
        <w:rPr>
          <w:rFonts w:hint="eastAsia"/>
          <w:color w:val="auto"/>
        </w:rPr>
        <w:t>、</w:t>
      </w:r>
      <w:r>
        <w:rPr>
          <w:color w:val="auto"/>
        </w:rPr>
        <w:t>反馈</w:t>
      </w:r>
      <w:r>
        <w:rPr>
          <w:rFonts w:hint="eastAsia"/>
          <w:color w:val="auto"/>
        </w:rPr>
        <w:t>、</w:t>
      </w:r>
      <w:r>
        <w:rPr>
          <w:color w:val="auto"/>
        </w:rPr>
        <w:t>调节的闭环过程。系统实时监控核心运行指标（如延迟、错误率、吞吐量及饱和度），并将其与 SLO 目标进行对比。当指标偏离阈值时，系统自动触发告警、流量控制或降级机制，实现可靠性自治。Google 提出的四黄金指标（Four Golden Signals）已经成为衡量运维质量与性能水平的行业通用标准。</w:t>
      </w:r>
    </w:p>
    <w:p w14:paraId="76B3FBEF">
      <w:pPr>
        <w:pStyle w:val="57"/>
        <w:ind w:firstLine="480"/>
        <w:jc w:val="both"/>
        <w:rPr>
          <w:color w:val="auto"/>
        </w:rPr>
      </w:pPr>
      <w:r>
        <w:rPr>
          <w:color w:val="auto"/>
        </w:rPr>
        <w:t>随着 DevSecOps 理念的普及，SRE 理论逐渐被纳入更广泛的工程治理框架。NIST SP 800-204C （2023）已将 SRE 确立为保障关键业务系统安全性与高可用性的核心组成部分。通过将可靠性工程与安全治理深度融合，SRE 不仅强化了系统的韧性 （Resilience），也为金融科技及其他高合规行业在快速交付环境下实现持续稳定运行提供了可操作的理论基础与实践路径。</w:t>
      </w:r>
    </w:p>
    <w:p w14:paraId="30875A19">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50" w:name="_Toc213190796"/>
      <w:bookmarkStart w:id="151" w:name="_Toc213192812"/>
      <w:bookmarkStart w:id="152" w:name="_Toc213192504"/>
      <w:bookmarkStart w:id="153" w:name="_Toc4632"/>
      <w:r>
        <w:rPr>
          <w:rFonts w:ascii="Times New Roman" w:hAnsi="Times New Roman" w:eastAsia="黑体" w:cs="Times New Roman"/>
          <w:bCs/>
          <w:sz w:val="24"/>
          <w:szCs w:val="24"/>
        </w:rPr>
        <w:t>2.4.2 AIOps 架构与智能决策机制</w:t>
      </w:r>
      <w:bookmarkEnd w:id="150"/>
      <w:bookmarkEnd w:id="151"/>
      <w:bookmarkEnd w:id="152"/>
      <w:bookmarkEnd w:id="153"/>
    </w:p>
    <w:p w14:paraId="1D2451B4">
      <w:pPr>
        <w:pStyle w:val="57"/>
        <w:ind w:firstLine="480"/>
        <w:jc w:val="both"/>
        <w:rPr>
          <w:color w:val="auto"/>
        </w:rPr>
      </w:pPr>
      <w:r>
        <w:rPr>
          <w:color w:val="auto"/>
        </w:rPr>
        <w:t>AIOps（Artificial Intelligence for IT Operations）由 Gartner 于 2016 年提出，旨在借助人工智能与大数据分析技术提升运维系统的可观测性和决策智能化水平</w:t>
      </w:r>
      <w:r>
        <w:rPr>
          <w:color w:val="auto"/>
        </w:rPr>
        <w:fldChar w:fldCharType="begin"/>
      </w:r>
      <w:r>
        <w:rPr>
          <w:color w:val="auto"/>
        </w:rPr>
        <w:instrText xml:space="preserve"> ADDIN ZOTERO_ITEM CSL_CITATION {"citationID":"oHocE1e0","properties":{"formattedCitation":"\\super [62]\\nosupersub{}","plainCitation":"[62]","noteIndex":0},"citationItems":[{"id":311,"uris":["http://zotero.org/users/18743979/items/W8DBXNVC"],"itemData":{"id":311,"type":"report","collection-title":"Stamford (CT):Gartner","title":"Market Guide for AIOps Platforms","author":[{"literal":"Cappelli W"},{"literal":"Fletcher C"},{"literal":"Prasad P"}],"issued":{"date-parts":[["2016"]]},"citation-key":"cappelliwMarketGuideAIOps2016"}}],"schema":"https://github.com/citation-style-language/schema/raw/master/csl-citation.json"} </w:instrText>
      </w:r>
      <w:r>
        <w:rPr>
          <w:color w:val="auto"/>
        </w:rPr>
        <w:fldChar w:fldCharType="separate"/>
      </w:r>
      <w:r>
        <w:rPr>
          <w:rFonts w:cs="Times New Roman"/>
          <w:color w:val="auto"/>
          <w:vertAlign w:val="superscript"/>
        </w:rPr>
        <w:t>[62]</w:t>
      </w:r>
      <w:r>
        <w:rPr>
          <w:color w:val="auto"/>
        </w:rPr>
        <w:fldChar w:fldCharType="end"/>
      </w:r>
      <w:r>
        <w:rPr>
          <w:color w:val="auto"/>
        </w:rPr>
        <w:t>。与传统依赖人工经验的运维模式不同，AIOps 通过将机器学习算法嵌入事件处理流程，使系统能够自动识别异常、定位根因并触发响应，从而实现数据感知</w:t>
      </w:r>
      <w:r>
        <w:rPr>
          <w:rFonts w:hint="eastAsia"/>
          <w:color w:val="auto"/>
        </w:rPr>
        <w:t>、</w:t>
      </w:r>
      <w:r>
        <w:rPr>
          <w:color w:val="auto"/>
        </w:rPr>
        <w:t>智能分析</w:t>
      </w:r>
      <w:r>
        <w:rPr>
          <w:rFonts w:hint="eastAsia"/>
          <w:color w:val="auto"/>
        </w:rPr>
        <w:t>、</w:t>
      </w:r>
      <w:r>
        <w:rPr>
          <w:color w:val="auto"/>
        </w:rPr>
        <w:t>自动执行的闭环管理。其理论基础源自数据驱动决策与自适应控制理论，核心目标是让运维体系具备自学习与自调节能力。</w:t>
      </w:r>
    </w:p>
    <w:p w14:paraId="59BFE762">
      <w:pPr>
        <w:pStyle w:val="57"/>
        <w:ind w:firstLine="480"/>
        <w:jc w:val="both"/>
        <w:rPr>
          <w:color w:val="auto"/>
        </w:rPr>
      </w:pPr>
      <w:r>
        <w:rPr>
          <w:color w:val="auto"/>
        </w:rPr>
        <w:t>典型的 AIOps 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Pr>
          <w:color w:val="auto"/>
        </w:rPr>
        <w:fldChar w:fldCharType="begin"/>
      </w:r>
      <w:r>
        <w:rPr>
          <w:color w:val="auto"/>
        </w:rPr>
        <w:instrText xml:space="preserve"> ADDIN ZOTERO_ITEM CSL_CITATION {"citationID":"jsgz2mzc","properties":{"formattedCitation":"\\super [63]\\nosupersub{}","plainCitation":"[63]","noteIndex":0},"citationItems":[{"id":313,"uris":["http://zotero.org/users/18743979/items/KI7WTYB9"],"itemData":</w:instrText>
      </w:r>
      <w:r>
        <w:rPr>
          <w:rFonts w:hint="eastAsia"/>
          <w:color w:val="auto"/>
        </w:rPr>
        <w:instrText xml:space="preserve">{"id":313,"type":"article-journal","container-title":"软件学报","DOI":"10.13328/j.cnki.jos.006876","issue":"09","journalAbbreviation":"软件学报","page":"4069-4095","title":"智能运维的实践:现状与标准化","volume":"34","author":[{"literal":"包航宇"},{"literal":"殷康璘"},{"literal":"曹立</w:instrText>
      </w:r>
      <w:r>
        <w:rPr>
          <w:color w:val="auto"/>
        </w:rPr>
        <w:instrText xml:space="preserve">"}],"issued":{"date-parts":[["2023"]]},"citation-key":"BaoHangYuZhiNengYunWeiDeShiJianXianZhuangYuBiaoZhunHua2023"}}],"schema":"https://github.com/citation-style-language/schema/raw/master/csl-citation.json"} </w:instrText>
      </w:r>
      <w:r>
        <w:rPr>
          <w:color w:val="auto"/>
        </w:rPr>
        <w:fldChar w:fldCharType="separate"/>
      </w:r>
      <w:r>
        <w:rPr>
          <w:rFonts w:cs="Times New Roman"/>
          <w:color w:val="auto"/>
          <w:vertAlign w:val="superscript"/>
        </w:rPr>
        <w:t>[63]</w:t>
      </w:r>
      <w:r>
        <w:rPr>
          <w:color w:val="auto"/>
        </w:rPr>
        <w:fldChar w:fldCharType="end"/>
      </w:r>
      <w:r>
        <w:rPr>
          <w:color w:val="auto"/>
        </w:rPr>
        <w:t>。通过持续反馈与模型迭代，AIOps 系统能够逐步提升识别精度和响应速度，形成自演化</w:t>
      </w:r>
      <w:r>
        <w:rPr>
          <w:rFonts w:hint="eastAsia"/>
          <w:color w:val="auto"/>
        </w:rPr>
        <w:t>、</w:t>
      </w:r>
      <w:r>
        <w:rPr>
          <w:color w:val="auto"/>
        </w:rPr>
        <w:t>自优化</w:t>
      </w:r>
      <w:r>
        <w:rPr>
          <w:rFonts w:hint="eastAsia"/>
          <w:color w:val="auto"/>
        </w:rPr>
        <w:t>、</w:t>
      </w:r>
      <w:r>
        <w:rPr>
          <w:color w:val="auto"/>
        </w:rPr>
        <w:t>自恢复的运行机制。</w:t>
      </w:r>
    </w:p>
    <w:p w14:paraId="792F1D01">
      <w:pPr>
        <w:ind w:firstLine="480"/>
        <w:jc w:val="center"/>
        <w:rPr>
          <w:color w:val="auto"/>
        </w:rPr>
      </w:pPr>
      <w:r>
        <w:rPr>
          <w:rFonts w:hint="eastAsia"/>
          <w:color w:val="auto"/>
        </w:rPr>
        <w:drawing>
          <wp:inline distT="0" distB="0" distL="0" distR="0">
            <wp:extent cx="3785870" cy="1631950"/>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14:paraId="272A8F0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图2-6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AIOps智能决策机制模型</w:t>
      </w:r>
    </w:p>
    <w:p w14:paraId="77B94F89">
      <w:pPr>
        <w:pStyle w:val="57"/>
        <w:ind w:firstLine="480"/>
        <w:jc w:val="both"/>
        <w:rPr>
          <w:color w:val="auto"/>
        </w:rPr>
      </w:pPr>
      <w:r>
        <w:rPr>
          <w:color w:val="auto"/>
        </w:rPr>
        <w:t>图 2-6 所示循环结构揭示了AIOps 系统的自适应特性：模型通过历史运维数据和预测算法相互作用，构建基于因果推理的决策框架，使运维流程从传统的被动故障响应转向主动风险预防。已有研究</w:t>
      </w:r>
      <w:r>
        <w:rPr>
          <w:rFonts w:hint="eastAsia"/>
          <w:color w:val="auto"/>
        </w:rPr>
        <w:t>证实，</w:t>
      </w:r>
      <w:r>
        <w:rPr>
          <w:color w:val="auto"/>
        </w:rPr>
        <w:t>引入 AIOps 的组织在多个关键运维指标上取得了显著改善，例如平均修复时间（MTTR）大幅缩减，以及事件／异常检测的准确度显著提升</w:t>
      </w:r>
      <w:r>
        <w:rPr>
          <w:color w:val="auto"/>
        </w:rPr>
        <w:fldChar w:fldCharType="begin"/>
      </w:r>
      <w:r>
        <w:rPr>
          <w:color w:val="auto"/>
        </w:rPr>
        <w:instrText xml:space="preserve"> ADDIN ZOTERO_ITEM CSL_CITATION {"citationID":"I3c8QATv","properties":{"formattedCitation":"\\super [64]\\nosupersub{}","plainCitation":"[64]","noteIndex":0},"citationItems":[{"id":315,"uris":["http://zotero.org/users/18743979/items/37JW9TIG"],"itemData":{"id":315,"type":"webpage","container-title":"IBM Official Site","title":"Accelerate incident response with AIOps and observability","author":[{"literal":"IBM Corporation"}],"issued":{"date-parts":[["2023"]]},"citation-key":"ibmcorporationAccelerateIncidentResponse2023"}}],"schema":"https://github.com/citation-style-language/schema/raw/master/csl-citation.json"} </w:instrText>
      </w:r>
      <w:r>
        <w:rPr>
          <w:color w:val="auto"/>
        </w:rPr>
        <w:fldChar w:fldCharType="separate"/>
      </w:r>
      <w:r>
        <w:rPr>
          <w:rFonts w:cs="Times New Roman"/>
          <w:color w:val="auto"/>
          <w:vertAlign w:val="superscript"/>
        </w:rPr>
        <w:t>[64]</w:t>
      </w:r>
      <w:r>
        <w:rPr>
          <w:color w:val="auto"/>
        </w:rPr>
        <w:fldChar w:fldCharType="end"/>
      </w:r>
      <w:r>
        <w:rPr>
          <w:color w:val="auto"/>
        </w:rPr>
        <w:t>。在云原生与微服务架构被广泛采用的背景下，AIOps 已成为企业实现可观测性（Observability）与弹性治理（Resilience Governance）的关键支撑，对于金融科技等高合规行业尤具价值，因为它为智能化、自动化运维治理提供了一条可行路径。</w:t>
      </w:r>
    </w:p>
    <w:p w14:paraId="4CE41776">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54" w:name="_Toc213190797"/>
      <w:bookmarkStart w:id="155" w:name="_Toc213192813"/>
      <w:bookmarkStart w:id="156" w:name="_Toc213192505"/>
      <w:bookmarkStart w:id="157" w:name="_Toc21585"/>
      <w:r>
        <w:rPr>
          <w:rFonts w:ascii="Times New Roman" w:hAnsi="Times New Roman" w:eastAsia="黑体" w:cs="Times New Roman"/>
          <w:bCs/>
          <w:sz w:val="24"/>
          <w:szCs w:val="24"/>
        </w:rPr>
        <w:t>2.4.3 智能运维的可解释性与金融科技适配路径</w:t>
      </w:r>
      <w:bookmarkEnd w:id="154"/>
      <w:bookmarkEnd w:id="155"/>
      <w:bookmarkEnd w:id="156"/>
      <w:bookmarkEnd w:id="157"/>
    </w:p>
    <w:p w14:paraId="0AE9DF41">
      <w:pPr>
        <w:pStyle w:val="57"/>
        <w:ind w:firstLine="480"/>
        <w:jc w:val="both"/>
        <w:rPr>
          <w:color w:val="auto"/>
        </w:rPr>
      </w:pPr>
      <w:r>
        <w:rPr>
          <w:color w:val="auto"/>
        </w:rPr>
        <w:t>在金融科技这一高合规性行业中，智能化运维的目标不仅是技术先进，更在于确保系统行为的可控与可解释。可解释性智能运维（Explainable AI for Operations，XOps）理论强调，系统在进行分析或执行决策时，必须具备透明、可追溯和可审计的逻辑结构，使监管部门能够理解并验证其依据</w:t>
      </w:r>
      <w:r>
        <w:rPr>
          <w:color w:val="auto"/>
        </w:rPr>
        <w:fldChar w:fldCharType="begin"/>
      </w:r>
      <w:r>
        <w:rPr>
          <w:color w:val="auto"/>
        </w:rPr>
        <w:instrText xml:space="preserve"> ADDIN ZOTERO_ITEM CSL_CITATION {"citationID":"GTjpN7Ve","properties":{"formattedCitation":"\\super [65]\\nosupersub{}","plainCitation":"[65]","noteIndex":0},"citationItems":[{"id":317,"uris":["http://zotero.org/users/18743979/items/F44C7ZWC"],"itemData":{"id":317,"type":"article-journal","container-title":"Spectrum of Engineering Sciences","issue":"7","journalAbbreviation":"Spectrum of Engineering Sciences","page":"488-507","title":"Explainable AIOps: A Deep Survey on Trustworthy and Transparent AI in Cloud-Scale DevOps Automation","volume":"3","author":[{"literal":"Sami M A"},{"literal":"Rehman A"},{"literal":"Ahmad Z"},{"literal":"Bano N"}],"issued":{"date-parts":[["2025"]]},"citation-key":"samimaExplainableAIOpsDeep2025"}}],"schema":"https://github.com/citation-style-language/schema/raw/master/csl-citation.json"} </w:instrText>
      </w:r>
      <w:r>
        <w:rPr>
          <w:color w:val="auto"/>
        </w:rPr>
        <w:fldChar w:fldCharType="separate"/>
      </w:r>
      <w:r>
        <w:rPr>
          <w:rFonts w:cs="Times New Roman"/>
          <w:color w:val="auto"/>
          <w:vertAlign w:val="superscript"/>
        </w:rPr>
        <w:t>[65]</w:t>
      </w:r>
      <w:r>
        <w:rPr>
          <w:color w:val="auto"/>
        </w:rPr>
        <w:fldChar w:fldCharType="end"/>
      </w:r>
      <w:r>
        <w:rPr>
          <w:color w:val="auto"/>
        </w:rPr>
        <w:t>。与传统的黑箱式算法相比，XOps 要求 AIOps 模型在生成结果时呈现可验证的推理路径，从而在安全性、稳定性和问责性方面满足金融监管的严格要求。</w:t>
      </w:r>
    </w:p>
    <w:p w14:paraId="3C329949">
      <w:pPr>
        <w:pStyle w:val="57"/>
        <w:ind w:firstLine="480"/>
        <w:jc w:val="both"/>
        <w:rPr>
          <w:color w:val="auto"/>
        </w:rPr>
      </w:pPr>
      <w:r>
        <w:rPr>
          <w:color w:val="auto"/>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 ISO/IEC 42001:2023 人工智能管理体系标准与 NIST AI RMF 1.0 （2023）框架，对 AIOps 系统的可解释性、风险管理与合规控制进行制度化评估</w:t>
      </w:r>
      <w:r>
        <w:rPr>
          <w:color w:val="auto"/>
        </w:rPr>
        <w:fldChar w:fldCharType="begin"/>
      </w:r>
      <w:r>
        <w:rPr>
          <w:color w:val="auto"/>
        </w:rPr>
        <w:instrText xml:space="preserve"> ADDIN ZOTERO_ITEM CSL_CITATION {"citationID":"h7bjr8WN","properties":{"formattedCitation":"\\super [66]\\nosupersub{}","plainCitation":"[66]","noteIndex":0},"citationItems":[{"id":319,"uris":["http://zotero.org/users/18743979/items/TCGHH7KJ"],"itemData":{"id":319,"type":"article-journal","container-title":"Geneva:ISO/IEC","page":"2023","title":"ISO/IEC 42001:2023 Information technology — Artificial intelligence — Management system","author":[{"literal":"International Organization for Standardization"},{"literal":"International Electrotechnical Commission"}],"issued":{"date-parts":[["2001"]]},"citation-key":"internationalorganizationforstandardizationISOIEC420012001"}}],"schema":"https://github.com/citation-style-language/schema/raw/master/csl-citation.json"} </w:instrText>
      </w:r>
      <w:r>
        <w:rPr>
          <w:color w:val="auto"/>
        </w:rPr>
        <w:fldChar w:fldCharType="separate"/>
      </w:r>
      <w:r>
        <w:rPr>
          <w:rFonts w:cs="Times New Roman"/>
          <w:color w:val="auto"/>
          <w:vertAlign w:val="superscript"/>
        </w:rPr>
        <w:t>[66]</w:t>
      </w:r>
      <w:r>
        <w:rPr>
          <w:color w:val="auto"/>
        </w:rPr>
        <w:fldChar w:fldCharType="end"/>
      </w:r>
      <w:r>
        <w:rPr>
          <w:color w:val="auto"/>
        </w:rPr>
        <w:t>。</w:t>
      </w:r>
    </w:p>
    <w:p w14:paraId="39C2C3D9">
      <w:pPr>
        <w:ind w:firstLine="480"/>
        <w:jc w:val="center"/>
        <w:rPr>
          <w:color w:val="auto"/>
        </w:rPr>
      </w:pPr>
      <w:r>
        <w:rPr>
          <w:rFonts w:hint="eastAsia"/>
          <w:color w:val="auto"/>
        </w:rPr>
        <w:drawing>
          <wp:inline distT="0" distB="0" distL="0" distR="0">
            <wp:extent cx="3429635" cy="1564640"/>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14:paraId="3E348D5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图2-7</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智能运维可解释性适配路径模型</w:t>
      </w:r>
    </w:p>
    <w:p w14:paraId="64E72505">
      <w:pPr>
        <w:pStyle w:val="57"/>
        <w:ind w:firstLine="480"/>
        <w:jc w:val="both"/>
        <w:rPr>
          <w:color w:val="auto"/>
        </w:rPr>
      </w:pPr>
      <w:r>
        <w:rPr>
          <w:color w:val="auto"/>
        </w:rPr>
        <w:t>图 2-7 所示模型展示了可解释性与监管治理的融合逻辑。在这一框架下，可靠性工程、 AIOps 与合规治理形成互为支撑的体系，共同推动金融科技企业实现安全、稳健、可审计的智能运维转型。</w:t>
      </w:r>
    </w:p>
    <w:p w14:paraId="11E5DB85">
      <w:pPr>
        <w:pStyle w:val="3"/>
        <w:keepNext/>
        <w:keepLines/>
        <w:numPr>
          <w:ilvl w:val="1"/>
          <w:numId w:val="0"/>
        </w:numPr>
        <w:adjustRightInd/>
        <w:snapToGrid/>
        <w:rPr>
          <w:rFonts w:ascii="Times New Roman" w:hAnsi="Times New Roman"/>
          <w:bCs/>
          <w:color w:val="auto"/>
          <w:szCs w:val="32"/>
        </w:rPr>
      </w:pPr>
      <w:bookmarkStart w:id="158" w:name="_Toc213190798"/>
      <w:bookmarkStart w:id="159" w:name="_Toc213192814"/>
      <w:bookmarkStart w:id="160" w:name="_Toc213192506"/>
      <w:bookmarkStart w:id="161" w:name="_Toc31085"/>
      <w:r>
        <w:rPr>
          <w:rFonts w:ascii="Times New Roman" w:hAnsi="Times New Roman"/>
          <w:bCs/>
          <w:color w:val="auto"/>
          <w:szCs w:val="32"/>
        </w:rPr>
        <w:t>2.5 跨职能协作与组织管理理论基础</w:t>
      </w:r>
      <w:bookmarkEnd w:id="158"/>
      <w:bookmarkEnd w:id="159"/>
      <w:bookmarkEnd w:id="160"/>
      <w:bookmarkEnd w:id="161"/>
    </w:p>
    <w:p w14:paraId="1872F735">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62" w:name="_Toc213192815"/>
      <w:bookmarkStart w:id="163" w:name="_Toc213192507"/>
      <w:bookmarkStart w:id="164" w:name="_Toc213190799"/>
      <w:bookmarkStart w:id="165" w:name="_Toc21617"/>
      <w:r>
        <w:rPr>
          <w:rFonts w:ascii="Times New Roman" w:hAnsi="Times New Roman" w:eastAsia="黑体" w:cs="Times New Roman"/>
          <w:bCs/>
          <w:sz w:val="24"/>
          <w:szCs w:val="24"/>
        </w:rPr>
        <w:t>2.5.1 跨职能团队理论与组织学习机制</w:t>
      </w:r>
      <w:bookmarkEnd w:id="162"/>
      <w:bookmarkEnd w:id="163"/>
      <w:bookmarkEnd w:id="164"/>
      <w:bookmarkEnd w:id="165"/>
    </w:p>
    <w:p w14:paraId="7C05F110">
      <w:pPr>
        <w:pStyle w:val="57"/>
        <w:ind w:firstLine="480"/>
        <w:jc w:val="both"/>
        <w:rPr>
          <w:color w:val="auto"/>
        </w:rPr>
      </w:pPr>
      <w:r>
        <w:rPr>
          <w:color w:val="auto"/>
        </w:rPr>
        <w:t>跨职能团队（Cross-Functional Teams, CFT）理论起源于20世纪90年代的组织管理与协作研究，其核心思想是通过打破部门间的职能界限，整合多学科的知识与技能，以提升组织在复杂任务环境中的问题解决能力</w:t>
      </w:r>
      <w:r>
        <w:rPr>
          <w:color w:val="auto"/>
        </w:rPr>
        <w:fldChar w:fldCharType="begin"/>
      </w:r>
      <w:r>
        <w:rPr>
          <w:color w:val="auto"/>
        </w:rPr>
        <w:instrText xml:space="preserve"> ADDIN ZOTERO_ITEM CSL_CITATION {"citationID":"C10qYh0D","properties":{"formattedCitation":"\\super [67]\\nosupersub{}","plainCitation":"[67]","noteIndex":0},"citationItems":[{"id":321,"uris":["http://zotero.org/users/18743979/items/9QK3K562"],"itemData":{"id":321,"type":"article-journal","container-title":"Choice Reviews Online","DOI":"10.5860/choice.29-1591","issue":"03","page":"29-1591","title":"Choice Reviews Online,1991,29(03):29-1591.DOI:10.5860/choice.29-1591","volume":"29","author":[{"literal":"Product development performance: strategy"},{"literal":"organization"},{"literal":"and management in the world auto industry[J]"}],"issued":{"date-parts":[["1991"]]},"citation-key":"productdevelopmentperformance:strategyChoiceReviewsOnline199129031991"}}],"schema":"https://github.com/citation-style-language/schema/raw/master/csl-citation.json"} </w:instrText>
      </w:r>
      <w:r>
        <w:rPr>
          <w:color w:val="auto"/>
        </w:rPr>
        <w:fldChar w:fldCharType="separate"/>
      </w:r>
      <w:r>
        <w:rPr>
          <w:rFonts w:cs="Times New Roman"/>
          <w:color w:val="auto"/>
          <w:vertAlign w:val="superscript"/>
        </w:rPr>
        <w:t>[67]</w:t>
      </w:r>
      <w:r>
        <w:rPr>
          <w:color w:val="auto"/>
        </w:rPr>
        <w:fldChar w:fldCharType="end"/>
      </w:r>
      <w:r>
        <w:rPr>
          <w:color w:val="auto"/>
        </w:rPr>
        <w:t>。Tushman 与 Katz 提出的知识整合模型指出，复杂项目的成功依赖于不同专业领域之间的有效沟通与知识共享</w:t>
      </w:r>
      <w:r>
        <w:rPr>
          <w:color w:val="auto"/>
        </w:rPr>
        <w:fldChar w:fldCharType="begin"/>
      </w:r>
      <w:r>
        <w:rPr>
          <w:color w:val="auto"/>
        </w:rPr>
        <w:instrText xml:space="preserve"> ADDIN ZOTERO_ITEM CSL_CITATION {"citationID":"m9C17wcE","properties":{"formattedCitation":"\\super [68]\\nosupersub{}","plainCitation":"[68]","noteIndex":0},"citationItems":[{"id":323,"uris":["http://zotero.org/users/18743979/items/UM5IRP6J"],"itemData":{"id":323,"type":"article-journal","container-title":"Academy of Management Journal","DOI":"10.5465/255552","issue":"4","journalAbbreviation":"Academy of Management Journal","page":"101-112","title":"External communication and project performance: An investigation into the role of gatekeepers","volume":"23","author":[{"literal":"Tushman M L"},{"literal":"Katz R"}],"issued":{"date-parts":[["1980"]]},"citation-key":"tushmanmlExternalCommunicationProject1980"}}],"schema":"https://github.com/citation-style-language/schema/raw/master/csl-citation.json"} </w:instrText>
      </w:r>
      <w:r>
        <w:rPr>
          <w:color w:val="auto"/>
        </w:rPr>
        <w:fldChar w:fldCharType="separate"/>
      </w:r>
      <w:r>
        <w:rPr>
          <w:rFonts w:cs="Times New Roman"/>
          <w:color w:val="auto"/>
          <w:vertAlign w:val="superscript"/>
        </w:rPr>
        <w:t>[68]</w:t>
      </w:r>
      <w:r>
        <w:rPr>
          <w:color w:val="auto"/>
        </w:rPr>
        <w:fldChar w:fldCharType="end"/>
      </w:r>
      <w:r>
        <w:rPr>
          <w:color w:val="auto"/>
        </w:rPr>
        <w:t>。在软件工程与产品开发领域，跨职能团队通常由开发、测试、安全、运维及合规等角色组成，成员通过共享目标、开放交流与互信机制，促进知识的流动、整合与创新。</w:t>
      </w:r>
    </w:p>
    <w:p w14:paraId="0B24EC32">
      <w:pPr>
        <w:pStyle w:val="57"/>
        <w:ind w:firstLine="480"/>
        <w:jc w:val="both"/>
        <w:rPr>
          <w:color w:val="auto"/>
        </w:rPr>
      </w:pPr>
      <w:r>
        <w:rPr>
          <w:color w:val="auto"/>
        </w:rPr>
        <w:t>组织学习机制（Organizational Learning Mechanism, OLM）为跨职能团队的高效协作提供了理论支撑</w:t>
      </w:r>
      <w:r>
        <w:rPr>
          <w:color w:val="auto"/>
        </w:rPr>
        <w:fldChar w:fldCharType="begin"/>
      </w:r>
      <w:r>
        <w:rPr>
          <w:color w:val="auto"/>
        </w:rPr>
        <w:instrText xml:space="preserve"> ADDIN ZOTERO_ITEM CSL_CITATION {"citationID":"MIzTMcBN","properties":{"formattedCitation":"\\super [69]\\nosupersub{}","plainCitation":"[69]","noteIndex":0},"citationItems":[{"id":325,"uris":["http://zotero.org/users/18743979/items/K3BGBZCL"],"itemData":</w:instrText>
      </w:r>
      <w:r>
        <w:rPr>
          <w:rFonts w:hint="eastAsia"/>
          <w:color w:val="auto"/>
        </w:rPr>
        <w:instrText xml:space="preserve">{"id":325,"type":"book","event-place":"中国人民大学出版社","number-of-pages":"201812","publisher":"201812","publisher-place":"中国人民大学出版社","title":"组织学习的多层结构、跨层作用和生成机制研究","author":[{"literal":"于海波"}],"issued":{"date-parts":[["2018"]]},"citation-key":"YuHaiBoZuZhiXue</w:instrText>
      </w:r>
      <w:r>
        <w:rPr>
          <w:color w:val="auto"/>
        </w:rPr>
        <w:instrText xml:space="preserve">XiDeDuoCengJieGouKuaCengZuoYongHeShengChengJiZhiYanJiu2018"}}],"schema":"https://github.com/citation-style-language/schema/raw/master/csl-citation.json"} </w:instrText>
      </w:r>
      <w:r>
        <w:rPr>
          <w:color w:val="auto"/>
        </w:rPr>
        <w:fldChar w:fldCharType="separate"/>
      </w:r>
      <w:r>
        <w:rPr>
          <w:rFonts w:cs="Times New Roman"/>
          <w:color w:val="auto"/>
          <w:vertAlign w:val="superscript"/>
        </w:rPr>
        <w:t>[69]</w:t>
      </w:r>
      <w:r>
        <w:rPr>
          <w:color w:val="auto"/>
        </w:rPr>
        <w:fldChar w:fldCharType="end"/>
      </w:r>
      <w:r>
        <w:rPr>
          <w:color w:val="auto"/>
        </w:rPr>
        <w:t>。Argote（2020）认为，组织学习过程可分为知识获取、知识共享与知识应用三个阶段</w:t>
      </w:r>
      <w:r>
        <w:rPr>
          <w:color w:val="auto"/>
        </w:rPr>
        <w:fldChar w:fldCharType="begin"/>
      </w:r>
      <w:r>
        <w:rPr>
          <w:color w:val="auto"/>
        </w:rPr>
        <w:instrText xml:space="preserve"> ADDIN ZOTERO_ITEM CSL_CITATION {"citationID":"9tvOtFsN","properties":{"formattedCitation":"\\super [70]\\nosupersub{}","plainCitation":"[70]","noteIndex":0},"citationItems":[{"id":327,"uris":["http://zotero.org/users/18743979/items/PBMKD572"],"itemData":{"id":327,"type":"book","event-place":"2nd ed.New York","note":"DOI: 10.1007/978-1-4614-5251-5","number-of-pages":"10","publisher":"Springer","publisher-place":"2nd ed.New York","title":"Organizational Learning: Creating, Retaining and Transferring Knowledge","author":[{"literal":"Argote L"}],"issued":{"date-parts":[["2013"]]},"citation-key":"argotelOrganizationalLearningCreating2013"}}],"schema":"https://github.com/citation-style-language/schema/raw/master/csl-citation.json"} </w:instrText>
      </w:r>
      <w:r>
        <w:rPr>
          <w:color w:val="auto"/>
        </w:rPr>
        <w:fldChar w:fldCharType="separate"/>
      </w:r>
      <w:r>
        <w:rPr>
          <w:rFonts w:cs="Times New Roman"/>
          <w:color w:val="auto"/>
          <w:vertAlign w:val="superscript"/>
        </w:rPr>
        <w:t>[70]</w:t>
      </w:r>
      <w:r>
        <w:rPr>
          <w:color w:val="auto"/>
        </w:rPr>
        <w:fldChar w:fldCharType="end"/>
      </w:r>
      <w:r>
        <w:rPr>
          <w:color w:val="auto"/>
        </w:rPr>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14:paraId="74A1A548">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66" w:name="_Toc213192508"/>
      <w:bookmarkStart w:id="167" w:name="_Toc213192816"/>
      <w:bookmarkStart w:id="168" w:name="_Toc213190800"/>
      <w:bookmarkStart w:id="169" w:name="_Toc31563"/>
      <w:r>
        <w:rPr>
          <w:rFonts w:ascii="Times New Roman" w:hAnsi="Times New Roman" w:eastAsia="黑体" w:cs="Times New Roman"/>
          <w:bCs/>
          <w:sz w:val="24"/>
          <w:szCs w:val="24"/>
        </w:rPr>
        <w:t>2.5.2 DevOps文化与变革管理理论</w:t>
      </w:r>
      <w:bookmarkEnd w:id="166"/>
      <w:bookmarkEnd w:id="167"/>
      <w:bookmarkEnd w:id="168"/>
      <w:bookmarkEnd w:id="169"/>
    </w:p>
    <w:p w14:paraId="70A8B0E9">
      <w:pPr>
        <w:pStyle w:val="57"/>
        <w:ind w:firstLine="480"/>
        <w:jc w:val="both"/>
        <w:rPr>
          <w:color w:val="auto"/>
        </w:rPr>
      </w:pPr>
      <w:r>
        <w:rPr>
          <w:color w:val="auto"/>
        </w:rPr>
        <w:t>DevOps文化（Development and Operations Culture）是一种以协作、共享与持续改进为核心的组织文化范式，其目标是通过消除开发与运维之间的壁垒，实现持续交付与快速反馈</w:t>
      </w:r>
      <w:r>
        <w:rPr>
          <w:color w:val="auto"/>
        </w:rPr>
        <w:fldChar w:fldCharType="begin"/>
      </w:r>
      <w:r>
        <w:rPr>
          <w:color w:val="auto"/>
        </w:rPr>
        <w:instrText xml:space="preserve"> ADDIN ZOTERO_ITEM CSL_CITATION {"citationID":"tgB0MFHI","properties":{"formattedCitation":"\\super [71]\\nosupersub{}","plainCitation":"[71]","noteIndex":0},"citationItems":[{"id":329,"uris":["http://zotero.org/users/18743979/items/E3RU85X6"],"itemData":</w:instrText>
      </w:r>
      <w:r>
        <w:rPr>
          <w:rFonts w:hint="eastAsia"/>
          <w:color w:val="auto"/>
        </w:rPr>
        <w:instrText xml:space="preserve">{"id":329,"type":"book","event-place":"电子工业出版社","number-of-pages":"202303","publisher":"202303","publisher-place":"电子工业出版社","title":"DevOps原理与实践","author":[{"literal":"张琰彬"},{"literal":"蒲鹏"},{"literal":"王伟"}],"issued":{"date-parts":[["2023"]]},"citation-k</w:instrText>
      </w:r>
      <w:r>
        <w:rPr>
          <w:color w:val="auto"/>
        </w:rPr>
        <w:instrText xml:space="preserve">ey":"ZhangYanBinDevOpsYuanLiYuShiJian2023"}}],"schema":"https://github.com/citation-style-language/schema/raw/master/csl-citation.json"} </w:instrText>
      </w:r>
      <w:r>
        <w:rPr>
          <w:color w:val="auto"/>
        </w:rPr>
        <w:fldChar w:fldCharType="separate"/>
      </w:r>
      <w:r>
        <w:rPr>
          <w:rFonts w:cs="Times New Roman"/>
          <w:color w:val="auto"/>
          <w:vertAlign w:val="superscript"/>
        </w:rPr>
        <w:t>[71]</w:t>
      </w:r>
      <w:r>
        <w:rPr>
          <w:color w:val="auto"/>
        </w:rPr>
        <w:fldChar w:fldCharType="end"/>
      </w:r>
      <w:r>
        <w:rPr>
          <w:color w:val="auto"/>
        </w:rPr>
        <w:t>。该文化的理论根源可追溯至精益管理（Lean Management）与系统思维（Systems Thinking）两大思想：前者强调消除浪费、优化流程效率，后者主张从整体视角理解组织中的因果关系与反馈机制</w:t>
      </w:r>
      <w:r>
        <w:rPr>
          <w:color w:val="auto"/>
        </w:rPr>
        <w:fldChar w:fldCharType="begin"/>
      </w:r>
      <w:r>
        <w:rPr>
          <w:color w:val="auto"/>
        </w:rPr>
        <w:instrText xml:space="preserve"> ADDIN ZOTERO_ITEM CSL_CITATION {"citationID":"F5jG9MXC","properties":{"formattedCitation":"\\super [72]\\nosupersub{}","plainCitation":"[72]","noteIndex":0},"citationItems":[{"id":331,"uris":["http://zotero.org/users/18743979/items/W9SPUR2X"],"itemData":{"id":331,"type":"book","event-place":"New York","publisher":"Free Press","publisher-place":"New York","title":"The Machine That Changed the World: The Story of Lean Production—Toyota’s Secret Weapon in the Global Car Wars That Is Now Revolutionizing World Industry","author":[{"literal":"Womack J P"},{"literal":"Jones D T"},{"literal":"Roos D"}],"issued":{"date-parts":[["1990"]]},"citation-key":"womackjpMachineThatChanged1990"}}],"schema":"https://github.com/citation-style-language/schema/raw/master/csl-citation.json"} </w:instrText>
      </w:r>
      <w:r>
        <w:rPr>
          <w:color w:val="auto"/>
        </w:rPr>
        <w:fldChar w:fldCharType="separate"/>
      </w:r>
      <w:r>
        <w:rPr>
          <w:rFonts w:cs="Times New Roman"/>
          <w:color w:val="auto"/>
          <w:vertAlign w:val="superscript"/>
        </w:rPr>
        <w:t>[72]</w:t>
      </w:r>
      <w:r>
        <w:rPr>
          <w:color w:val="auto"/>
        </w:rPr>
        <w:fldChar w:fldCharType="end"/>
      </w:r>
      <w:r>
        <w:rPr>
          <w:color w:val="auto"/>
        </w:rPr>
        <w:t>。二者的结合构成了 DevOps 文化的哲学基础，使组织能够在复杂环境下实现自适应改进与持续创新。</w:t>
      </w:r>
    </w:p>
    <w:p w14:paraId="6CDAA17C">
      <w:pPr>
        <w:pStyle w:val="57"/>
        <w:ind w:firstLine="480"/>
        <w:jc w:val="both"/>
        <w:rPr>
          <w:color w:val="auto"/>
        </w:rPr>
      </w:pPr>
      <w:r>
        <w:rPr>
          <w:color w:val="auto"/>
        </w:rPr>
        <w:t>在组织变革管理（Change Management）领域，Kotter 提出的八步变革模型为 DevOps 文化的落地提供了行动路径：建立紧迫感、构建变革联盟、形成并传播愿景、赋权员工、实现短期成果、巩固改进并最终制度化变革</w:t>
      </w:r>
      <w:r>
        <w:rPr>
          <w:color w:val="auto"/>
        </w:rPr>
        <w:fldChar w:fldCharType="begin"/>
      </w:r>
      <w:r>
        <w:rPr>
          <w:color w:val="auto"/>
        </w:rPr>
        <w:instrText xml:space="preserve"> ADDIN ZOTERO_ITEM CSL_CITATION {"citationID":"m1Wd5FIQ","properties":{"formattedCitation":"\\super [73]\\nosupersub{}","plainCitation":"[73]","noteIndex":0},"citationItems":[{"id":333,"uris":["http://zotero.org/users/18743979/items/QRNKZ9TL"],"itemData":{"id":333,"type":"book","event-place":"Boston","publisher":"Harvard Business School Press","publisher-place":"Boston","title":"Leading Change","author":[{"literal":"Kotter J P"}],"issued":{"date-parts":[["1996"]]},"citation-key":"kotterjpLeadingChange1996"}}],"schema":"https://github.com/citation-style-language/schema/raw/master/csl-citation.json"} </w:instrText>
      </w:r>
      <w:r>
        <w:rPr>
          <w:color w:val="auto"/>
        </w:rPr>
        <w:fldChar w:fldCharType="separate"/>
      </w:r>
      <w:r>
        <w:rPr>
          <w:rFonts w:cs="Times New Roman"/>
          <w:color w:val="auto"/>
          <w:vertAlign w:val="superscript"/>
        </w:rPr>
        <w:t>[73]</w:t>
      </w:r>
      <w:r>
        <w:rPr>
          <w:color w:val="auto"/>
        </w:rPr>
        <w:fldChar w:fldCharType="end"/>
      </w:r>
      <w:r>
        <w:rPr>
          <w:color w:val="auto"/>
        </w:rPr>
        <w:t>。结合该理论，DevOps 转型实质上是一场文化与结构的双重变革，其核心在于将组织导向由职能分割转向价值流协同。根据 DORA 报告（2023），具备成熟 DevOps 文化的组织在部署频率、变更失败率及平均恢复时间等关键指标上，整体表现较传统模式提升</w:t>
      </w:r>
      <w:r>
        <w:rPr>
          <w:rFonts w:hint="eastAsia"/>
          <w:color w:val="auto"/>
        </w:rPr>
        <w:t>显著。</w:t>
      </w:r>
    </w:p>
    <w:p w14:paraId="6C0AA2B5">
      <w:pPr>
        <w:ind w:firstLine="480"/>
        <w:jc w:val="center"/>
        <w:rPr>
          <w:color w:val="auto"/>
        </w:rPr>
      </w:pPr>
      <w:r>
        <w:rPr>
          <w:rFonts w:hint="eastAsia"/>
          <w:color w:val="auto"/>
        </w:rPr>
        <w:drawing>
          <wp:inline distT="0" distB="0" distL="0" distR="0">
            <wp:extent cx="3976370" cy="1871345"/>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14:paraId="1264A17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图2-8</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DevOps文化与变革管理融合模型</w:t>
      </w:r>
    </w:p>
    <w:p w14:paraId="08511BB4">
      <w:pPr>
        <w:pStyle w:val="57"/>
        <w:ind w:firstLine="480"/>
        <w:jc w:val="both"/>
        <w:rPr>
          <w:color w:val="auto"/>
        </w:rPr>
      </w:pPr>
      <w:r>
        <w:rPr>
          <w:color w:val="auto"/>
        </w:rPr>
        <w:t>图2-8所示模型揭示了DevOps 文化与组织变革之间的动态关系。其核心内涵在于：文化变革通过信任、共享与透明沟通重塑团队关系；流程优化与技术赋能则提供落地路径；在反馈与激励机制的作用下，组织形成可持续演化的学习系统。由此可见，DevOps文化的本质不在于工具集成，而在于组织心智模式的重构与管理理念的持续进化。</w:t>
      </w:r>
    </w:p>
    <w:p w14:paraId="2DEEC8BB">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70" w:name="_Toc213192509"/>
      <w:bookmarkStart w:id="171" w:name="_Toc213190801"/>
      <w:bookmarkStart w:id="172" w:name="_Toc213192817"/>
      <w:bookmarkStart w:id="173" w:name="_Toc23102"/>
      <w:r>
        <w:rPr>
          <w:rFonts w:ascii="Times New Roman" w:hAnsi="Times New Roman" w:eastAsia="黑体" w:cs="Times New Roman"/>
          <w:bCs/>
          <w:sz w:val="24"/>
          <w:szCs w:val="24"/>
        </w:rPr>
        <w:t>2.5.3 能力矩阵与</w:t>
      </w:r>
      <w:bookmarkEnd w:id="170"/>
      <w:bookmarkEnd w:id="171"/>
      <w:bookmarkEnd w:id="172"/>
      <w:r>
        <w:rPr>
          <w:rFonts w:hint="eastAsia" w:ascii="Times New Roman" w:hAnsi="Times New Roman" w:eastAsia="黑体" w:cs="Times New Roman"/>
          <w:bCs/>
          <w:sz w:val="24"/>
          <w:szCs w:val="24"/>
        </w:rPr>
        <w:t>团队绩效形成机制</w:t>
      </w:r>
      <w:bookmarkEnd w:id="173"/>
    </w:p>
    <w:p w14:paraId="4F4F2088">
      <w:pPr>
        <w:pStyle w:val="57"/>
        <w:ind w:firstLine="480"/>
        <w:jc w:val="both"/>
        <w:rPr>
          <w:color w:val="auto"/>
        </w:rPr>
      </w:pPr>
      <w:r>
        <w:rPr>
          <w:color w:val="auto"/>
        </w:rPr>
        <w:t>能力矩阵（Competency Matrix）概念起源于人力资源管理领域，最早由 Boyatzis中提出，用于描述管理者在知识、技能与行为三个维度上的胜任特征</w:t>
      </w:r>
      <w:r>
        <w:rPr>
          <w:color w:val="auto"/>
        </w:rPr>
        <w:fldChar w:fldCharType="begin"/>
      </w:r>
      <w:r>
        <w:rPr>
          <w:color w:val="auto"/>
        </w:rPr>
        <w:instrText xml:space="preserve"> ADDIN ZOTERO_ITEM CSL_CITATION {"citationID":"fgb52UuF","properties":{"formattedCitation":"\\super [74]\\nosupersub{}","plainCitation":"[74]","noteIndex":0},"citationItems":[{"id":335,"uris":["http://zotero.org/users/18743979/items/6V3MVQ3U"],"itemData":{"id":335,"type":"book","event-place":"New York","publisher":"John Wiley &amp; Sons","publisher-place":"New York","title":"The Competent Manager:A Model for Effective Performance","author":[{"literal":"Boyatzis R E"}],"issued":{"date-parts":[["1991"]]},"citation-key":"boyatzisreCompetentManagerModel1991"}}],"schema":"https://github.com/citation-style-language/schema/raw/master/csl-citation.json"} </w:instrText>
      </w:r>
      <w:r>
        <w:rPr>
          <w:color w:val="auto"/>
        </w:rPr>
        <w:fldChar w:fldCharType="separate"/>
      </w:r>
      <w:r>
        <w:rPr>
          <w:rFonts w:cs="Times New Roman"/>
          <w:color w:val="auto"/>
          <w:vertAlign w:val="superscript"/>
        </w:rPr>
        <w:t>[74]</w:t>
      </w:r>
      <w:r>
        <w:rPr>
          <w:color w:val="auto"/>
        </w:rPr>
        <w:fldChar w:fldCharType="end"/>
      </w:r>
      <w:r>
        <w:rPr>
          <w:color w:val="auto"/>
        </w:rPr>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14:paraId="07F765AF">
      <w:pPr>
        <w:pStyle w:val="57"/>
        <w:ind w:firstLine="480"/>
        <w:jc w:val="both"/>
        <w:rPr>
          <w:color w:val="auto"/>
        </w:rPr>
      </w:pPr>
      <w:r>
        <w:rPr>
          <w:color w:val="auto"/>
        </w:rPr>
        <w:t>团队绩效的形成机制方面，Forrester（1961）提出的系统动力学理论（System Dynamics Theory）为研究复杂组织系统中行为与结果的动态关系提供了分析框架</w:t>
      </w:r>
      <w:r>
        <w:rPr>
          <w:color w:val="auto"/>
        </w:rPr>
        <w:fldChar w:fldCharType="begin"/>
      </w:r>
      <w:r>
        <w:rPr>
          <w:color w:val="auto"/>
        </w:rPr>
        <w:instrText xml:space="preserve"> ADDIN ZOTERO_ITEM CSL_CITATION {"citationID":"CuCldkXP","properties":{"formattedCitation":"\\super [75]\\nosupersub{}","plainCitation":"[75]","noteIndex":0},"citationItems":[{"id":337,"uris":["http://zotero.org/users/18743979/items/WTKNP4F7"],"itemData":{"id":337,"type":"book","event-place":"MA","publisher":"MIT Press","publisher-place":"MA","title":"Industrial Dynamics","author":[{"literal":"Forrester J W"}],"issued":{"date-parts":[["1961"]]},"citation-key":"forresterjwIndustrialDynamics1961"}}],"schema":"https://github.com/citation-style-language/schema/raw/master/csl-citation.json"} </w:instrText>
      </w:r>
      <w:r>
        <w:rPr>
          <w:color w:val="auto"/>
        </w:rPr>
        <w:fldChar w:fldCharType="separate"/>
      </w:r>
      <w:r>
        <w:rPr>
          <w:rFonts w:cs="Times New Roman"/>
          <w:color w:val="auto"/>
          <w:vertAlign w:val="superscript"/>
        </w:rPr>
        <w:t>[75]</w:t>
      </w:r>
      <w:r>
        <w:rPr>
          <w:color w:val="auto"/>
        </w:rPr>
        <w:fldChar w:fldCharType="end"/>
      </w:r>
      <w:r>
        <w:rPr>
          <w:color w:val="auto"/>
        </w:rPr>
        <w:t>。该理论指出，组织绩效受个体能力、协作关系与外部环境等多因素交互影响，其结果并非各要素的线性叠加，而是由信息反馈与动态平衡机制决定。</w:t>
      </w:r>
    </w:p>
    <w:p w14:paraId="7CA94D90">
      <w:pPr>
        <w:pStyle w:val="57"/>
        <w:ind w:firstLine="480"/>
        <w:jc w:val="both"/>
        <w:rPr>
          <w:color w:val="auto"/>
        </w:rPr>
      </w:pPr>
      <w:r>
        <w:rPr>
          <w:color w:val="auto"/>
        </w:rPr>
        <w:t>在团队研究领域，Hackman（1987）提出的团队效能模型（Team Effectiveness Model）进一步揭示了绩效形成的系统性结构</w:t>
      </w:r>
      <w:r>
        <w:rPr>
          <w:color w:val="auto"/>
        </w:rPr>
        <w:fldChar w:fldCharType="begin"/>
      </w:r>
      <w:r>
        <w:rPr>
          <w:color w:val="auto"/>
        </w:rPr>
        <w:instrText xml:space="preserve"> ADDIN ZOTERO_ITEM CSL_CITATION {"citationID":"HfAUkHch","properties":{"formattedCitation":"\\super [76]\\nosupersub{}","plainCitation":"[76]","noteIndex":0},"citationItems":[{"id":339,"uris":["http://zotero.org/users/18743979/items/LTATEDKT"],"itemData":{"id":339,"type":"book","event-place":"NJ","number-of-pages":"315","publisher":"Prentice Hall","publisher-place":"NJ","title":"The Design of Work Teams","author":[{"literal":"Hackman J R"}],"issued":{"date-parts":[["1987"]]},"citation-key":"hackmanjrDesignWorkTeams1987"}}],"schema":"https://github.com/citation-style-language/schema/raw/master/csl-citation.json"} </w:instrText>
      </w:r>
      <w:r>
        <w:rPr>
          <w:color w:val="auto"/>
        </w:rPr>
        <w:fldChar w:fldCharType="separate"/>
      </w:r>
      <w:r>
        <w:rPr>
          <w:rFonts w:cs="Times New Roman"/>
          <w:color w:val="auto"/>
          <w:vertAlign w:val="superscript"/>
        </w:rPr>
        <w:t>[76]</w:t>
      </w:r>
      <w:r>
        <w:rPr>
          <w:color w:val="auto"/>
        </w:rPr>
        <w:fldChar w:fldCharType="end"/>
      </w:r>
      <w:r>
        <w:rPr>
          <w:color w:val="auto"/>
        </w:rPr>
        <w:t>。他认为团队产出由成员特征（输入）、团队过程（过程变量）与组织环境（情境支持）共同决定。其中，信息共享、沟通效率与信任氛围等过程性因素被认为是调节个体能力与团队绩效之间关系的重要中介。</w:t>
      </w:r>
    </w:p>
    <w:p w14:paraId="46DEA770">
      <w:pPr>
        <w:pStyle w:val="57"/>
        <w:ind w:firstLine="480"/>
        <w:jc w:val="both"/>
        <w:rPr>
          <w:color w:val="auto"/>
        </w:rPr>
      </w:pPr>
      <w:r>
        <w:rPr>
          <w:color w:val="auto"/>
        </w:rPr>
        <w:t>Edmondson研究首次提出了心理安全感（Psychological Safety）概念，指出其是团队学习行为和绩效提升的关键机制</w:t>
      </w:r>
      <w:r>
        <w:rPr>
          <w:color w:val="auto"/>
        </w:rPr>
        <w:fldChar w:fldCharType="begin"/>
      </w:r>
      <w:r>
        <w:rPr>
          <w:color w:val="auto"/>
        </w:rPr>
        <w:instrText xml:space="preserve"> ADDIN ZOTERO_ITEM CSL_CITATION {"citationID":"nfDUZLpV","properties":{"formattedCitation":"\\super [77]\\nosupersub{}","plainCitation":"[77]","noteIndex":0},"citationItems":[{"id":341,"uris":["http://zotero.org/users/18743979/items/E63U72CX"],"itemData":{"id":341,"type":"article-journal","container-title":"Administrative Science Quarterly","DOI":"10.2307/2666999","issue":"2","journalAbbreviation":"Administrative Science Quarterly","page":"350-383","title":"Psychological Safety and Learning Behavior in Work Teams","volume":"44","author":[{"literal":"Edmondson A"}],"issued":{"date-parts":[["1999"]]},"citation-key":"edmondsonaPsychologicalSafetyLearning1999"}}],"schema":"https://github.com/citation-style-language/schema/raw/master/csl-citation.json"} </w:instrText>
      </w:r>
      <w:r>
        <w:rPr>
          <w:color w:val="auto"/>
        </w:rPr>
        <w:fldChar w:fldCharType="separate"/>
      </w:r>
      <w:r>
        <w:rPr>
          <w:rFonts w:cs="Times New Roman"/>
          <w:color w:val="auto"/>
          <w:vertAlign w:val="superscript"/>
        </w:rPr>
        <w:t>[77]</w:t>
      </w:r>
      <w:r>
        <w:rPr>
          <w:color w:val="auto"/>
        </w:rPr>
        <w:fldChar w:fldCharType="end"/>
      </w:r>
      <w:r>
        <w:rPr>
          <w:color w:val="auto"/>
        </w:rPr>
        <w:t>。后续研究进一步验证，心理安全感能够增强成员之间的沟通开放性与协作意愿，从而促进创新与问题解决效率。</w:t>
      </w:r>
    </w:p>
    <w:p w14:paraId="07C566BA">
      <w:pPr>
        <w:ind w:firstLine="480"/>
        <w:jc w:val="center"/>
        <w:rPr>
          <w:color w:val="auto"/>
        </w:rPr>
      </w:pPr>
      <w:r>
        <w:rPr>
          <w:rFonts w:hint="eastAsia"/>
          <w:color w:val="auto"/>
        </w:rPr>
        <w:drawing>
          <wp:inline distT="0" distB="0" distL="0" distR="0">
            <wp:extent cx="2753995" cy="1773555"/>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2" r:lo="rId73" r:qs="rId74" r:cs="rId75"/>
              </a:graphicData>
            </a:graphic>
          </wp:inline>
        </w:drawing>
      </w:r>
    </w:p>
    <w:p w14:paraId="196C6C9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图2-9</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跨职能团队能力矩阵与</w:t>
      </w:r>
      <w:r>
        <w:rPr>
          <w:rFonts w:hint="eastAsia" w:ascii="Times New Roman" w:hAnsi="Times New Roman" w:cs="Times New Roman"/>
          <w:color w:val="auto"/>
          <w:sz w:val="21"/>
          <w:szCs w:val="21"/>
        </w:rPr>
        <w:t>团队</w:t>
      </w:r>
      <w:r>
        <w:rPr>
          <w:rFonts w:ascii="Times New Roman" w:hAnsi="Times New Roman" w:cs="Times New Roman"/>
          <w:color w:val="auto"/>
          <w:sz w:val="21"/>
          <w:szCs w:val="21"/>
        </w:rPr>
        <w:t>绩效模型</w:t>
      </w:r>
    </w:p>
    <w:p w14:paraId="42644483">
      <w:pPr>
        <w:pStyle w:val="57"/>
        <w:ind w:firstLine="480"/>
        <w:jc w:val="both"/>
        <w:rPr>
          <w:color w:val="auto"/>
        </w:rPr>
      </w:pPr>
      <w:r>
        <w:rPr>
          <w:rFonts w:hint="eastAsia"/>
          <w:color w:val="auto"/>
        </w:rPr>
        <w:t>如</w:t>
      </w:r>
      <w:r>
        <w:rPr>
          <w:color w:val="auto"/>
        </w:rPr>
        <w:t>图 2-9 展示了能力矩阵与</w:t>
      </w:r>
      <w:r>
        <w:rPr>
          <w:rFonts w:hint="eastAsia"/>
          <w:color w:val="auto"/>
        </w:rPr>
        <w:t>团队绩效</w:t>
      </w:r>
      <w:r>
        <w:rPr>
          <w:color w:val="auto"/>
        </w:rPr>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14:paraId="25E0062B">
      <w:pPr>
        <w:pStyle w:val="57"/>
        <w:ind w:firstLine="0" w:firstLineChars="0"/>
        <w:jc w:val="both"/>
        <w:rPr>
          <w:color w:val="auto"/>
        </w:rPr>
        <w:sectPr>
          <w:headerReference r:id="rId17" w:type="default"/>
          <w:pgSz w:w="11906" w:h="16838"/>
          <w:pgMar w:top="1440" w:right="1417" w:bottom="1440" w:left="1417" w:header="850" w:footer="992" w:gutter="0"/>
          <w:pgNumType w:fmt="decimal"/>
          <w:cols w:space="0" w:num="1"/>
          <w:docGrid w:type="lines" w:linePitch="312" w:charSpace="0"/>
        </w:sectPr>
      </w:pPr>
    </w:p>
    <w:p w14:paraId="4EE10388">
      <w:pPr>
        <w:pStyle w:val="2"/>
        <w:spacing w:before="468" w:beforeLines="150" w:after="312" w:afterLines="100"/>
        <w:rPr>
          <w:bCs w:val="0"/>
          <w:color w:val="auto"/>
          <w:szCs w:val="20"/>
        </w:rPr>
      </w:pPr>
      <w:bookmarkStart w:id="174" w:name="_Toc213190802"/>
      <w:bookmarkStart w:id="175" w:name="_Toc213192510"/>
      <w:bookmarkStart w:id="176" w:name="_Toc213192818"/>
      <w:bookmarkStart w:id="177" w:name="_Toc4433"/>
      <w:r>
        <w:rPr>
          <w:rFonts w:hint="eastAsia"/>
          <w:bCs w:val="0"/>
          <w:color w:val="auto"/>
          <w:szCs w:val="20"/>
        </w:rPr>
        <w:t>第3章 H公司软件开发过程现状与主要问题</w:t>
      </w:r>
      <w:bookmarkEnd w:id="174"/>
      <w:bookmarkEnd w:id="175"/>
      <w:bookmarkEnd w:id="176"/>
      <w:bookmarkEnd w:id="177"/>
    </w:p>
    <w:p w14:paraId="4440EA48">
      <w:pPr>
        <w:pStyle w:val="3"/>
        <w:keepNext/>
        <w:keepLines/>
        <w:numPr>
          <w:ilvl w:val="1"/>
          <w:numId w:val="0"/>
        </w:numPr>
        <w:adjustRightInd/>
        <w:snapToGrid/>
        <w:rPr>
          <w:rFonts w:ascii="Times New Roman" w:hAnsi="Times New Roman"/>
          <w:bCs/>
          <w:color w:val="auto"/>
          <w:szCs w:val="32"/>
        </w:rPr>
      </w:pPr>
      <w:bookmarkStart w:id="178" w:name="_Toc213192819"/>
      <w:bookmarkStart w:id="179" w:name="_Toc213190803"/>
      <w:bookmarkStart w:id="180" w:name="_Toc213192511"/>
      <w:bookmarkStart w:id="181" w:name="_Toc17663"/>
      <w:r>
        <w:rPr>
          <w:rFonts w:hint="eastAsia" w:ascii="Times New Roman" w:hAnsi="Times New Roman"/>
          <w:bCs/>
          <w:color w:val="auto"/>
          <w:szCs w:val="32"/>
        </w:rPr>
        <w:t>3.1 企业背景与行业特征</w:t>
      </w:r>
      <w:bookmarkEnd w:id="178"/>
      <w:bookmarkEnd w:id="179"/>
      <w:bookmarkEnd w:id="180"/>
      <w:bookmarkEnd w:id="181"/>
    </w:p>
    <w:p w14:paraId="67FF1D10">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82" w:name="_Toc213190804"/>
      <w:bookmarkStart w:id="183" w:name="_Toc213192512"/>
      <w:bookmarkStart w:id="184" w:name="_Toc213192820"/>
      <w:bookmarkStart w:id="185" w:name="_Toc24878"/>
      <w:r>
        <w:rPr>
          <w:rFonts w:hint="eastAsia" w:ascii="Times New Roman" w:hAnsi="Times New Roman" w:eastAsia="黑体" w:cs="Times New Roman"/>
          <w:bCs/>
          <w:sz w:val="24"/>
          <w:szCs w:val="24"/>
        </w:rPr>
        <w:t>3.1.</w:t>
      </w:r>
      <w:r>
        <w:rPr>
          <w:rFonts w:ascii="Times New Roman" w:hAnsi="Times New Roman" w:eastAsia="黑体" w:cs="Times New Roman"/>
          <w:bCs/>
          <w:sz w:val="24"/>
          <w:szCs w:val="24"/>
        </w:rPr>
        <w:t>1</w:t>
      </w:r>
      <w:r>
        <w:rPr>
          <w:rFonts w:hint="eastAsia" w:ascii="Times New Roman" w:hAnsi="Times New Roman" w:eastAsia="黑体" w:cs="Times New Roman"/>
          <w:bCs/>
          <w:sz w:val="24"/>
          <w:szCs w:val="24"/>
        </w:rPr>
        <w:t xml:space="preserve"> H公司的组织架构</w:t>
      </w:r>
      <w:bookmarkEnd w:id="182"/>
      <w:bookmarkEnd w:id="183"/>
      <w:bookmarkEnd w:id="184"/>
      <w:bookmarkEnd w:id="185"/>
    </w:p>
    <w:p w14:paraId="6572E53F">
      <w:pPr>
        <w:pStyle w:val="57"/>
        <w:ind w:firstLine="480"/>
        <w:jc w:val="both"/>
        <w:rPr>
          <w:color w:val="auto"/>
        </w:rPr>
      </w:pPr>
      <w:r>
        <w:rPr>
          <w:color w:val="auto"/>
        </w:rPr>
        <w:t>H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Pr>
          <w:rFonts w:hint="eastAsia"/>
          <w:color w:val="auto"/>
        </w:rPr>
        <w:t>、</w:t>
      </w:r>
      <w:r>
        <w:rPr>
          <w:color w:val="auto"/>
        </w:rPr>
        <w:t>业务条线</w:t>
      </w:r>
      <w:r>
        <w:rPr>
          <w:rFonts w:hint="eastAsia"/>
          <w:color w:val="auto"/>
        </w:rPr>
        <w:t>、</w:t>
      </w:r>
      <w:r>
        <w:rPr>
          <w:color w:val="auto"/>
        </w:rPr>
        <w:t>共享交付三级体系，在统一战略框架下实现跨地域分布式研发与本地化合规运营的动态平衡。</w:t>
      </w:r>
    </w:p>
    <w:p w14:paraId="24B0B1A2">
      <w:pPr>
        <w:pStyle w:val="57"/>
        <w:ind w:firstLine="480"/>
        <w:jc w:val="both"/>
        <w:rPr>
          <w:color w:val="auto"/>
        </w:rPr>
      </w:pPr>
      <w:r>
        <w:rPr>
          <w:color w:val="auto"/>
        </w:rPr>
        <w:t>（</w:t>
      </w:r>
      <w:r>
        <w:rPr>
          <w:rFonts w:hint="eastAsia"/>
          <w:color w:val="auto"/>
          <w:lang w:val="en-US" w:eastAsia="zh-CN"/>
        </w:rPr>
        <w:t>1</w:t>
      </w:r>
      <w:r>
        <w:rPr>
          <w:color w:val="auto"/>
        </w:rPr>
        <w:t>）总体架构与治理逻辑</w:t>
      </w:r>
    </w:p>
    <w:p w14:paraId="0FF0EAE4">
      <w:pPr>
        <w:pStyle w:val="57"/>
        <w:ind w:firstLine="480"/>
        <w:jc w:val="both"/>
        <w:rPr>
          <w:color w:val="auto"/>
        </w:rPr>
      </w:pPr>
      <w:r>
        <w:rPr>
          <w:color w:val="auto"/>
        </w:rPr>
        <w:t>H公司总部设于海外，并在亚太、欧洲及美洲等地设立多个研发中心，形成跨地域的协同布局。组织结构采用矩阵式治理模式</w:t>
      </w:r>
      <w:r>
        <w:rPr>
          <w:rFonts w:hint="eastAsia"/>
          <w:color w:val="auto"/>
        </w:rPr>
        <w:t>，主要有三层结构如下：</w:t>
      </w:r>
    </w:p>
    <w:p w14:paraId="7F005BC3">
      <w:pPr>
        <w:pStyle w:val="57"/>
        <w:ind w:firstLine="480"/>
        <w:jc w:val="both"/>
        <w:rPr>
          <w:color w:val="auto"/>
        </w:rPr>
      </w:pPr>
      <w:r>
        <w:rPr>
          <w:color w:val="auto"/>
        </w:rPr>
        <w:t>1）决策与治理层</w:t>
      </w:r>
      <w:r>
        <w:rPr>
          <w:rFonts w:hint="eastAsia"/>
          <w:color w:val="auto"/>
        </w:rPr>
        <w:t>：</w:t>
      </w:r>
      <w:r>
        <w:rPr>
          <w:color w:val="auto"/>
        </w:rPr>
        <w:t>负责战略规划、技术标准、安全及合规政策的制定与监督，确保集团整体方向一致</w:t>
      </w:r>
      <w:r>
        <w:rPr>
          <w:rFonts w:hint="eastAsia"/>
          <w:color w:val="auto"/>
        </w:rPr>
        <w:t>。</w:t>
      </w:r>
    </w:p>
    <w:p w14:paraId="75786DA9">
      <w:pPr>
        <w:pStyle w:val="57"/>
        <w:ind w:firstLine="480"/>
        <w:jc w:val="both"/>
        <w:rPr>
          <w:color w:val="auto"/>
        </w:rPr>
      </w:pPr>
      <w:r>
        <w:rPr>
          <w:color w:val="auto"/>
        </w:rPr>
        <w:t>2）业务与平台条线</w:t>
      </w:r>
      <w:r>
        <w:rPr>
          <w:rFonts w:hint="eastAsia"/>
          <w:color w:val="auto"/>
        </w:rPr>
        <w:t>：</w:t>
      </w:r>
      <w:r>
        <w:rPr>
          <w:color w:val="auto"/>
        </w:rPr>
        <w:t>承担核心产品研发与平台能力建设，是推动业务创新的中枢</w:t>
      </w:r>
      <w:r>
        <w:rPr>
          <w:rFonts w:hint="eastAsia"/>
          <w:color w:val="auto"/>
        </w:rPr>
        <w:t>。</w:t>
      </w:r>
    </w:p>
    <w:p w14:paraId="2F1A8CA8">
      <w:pPr>
        <w:pStyle w:val="57"/>
        <w:ind w:firstLine="480"/>
        <w:jc w:val="both"/>
        <w:rPr>
          <w:color w:val="auto"/>
        </w:rPr>
      </w:pPr>
      <w:r>
        <w:rPr>
          <w:color w:val="auto"/>
        </w:rPr>
        <w:t>3）共享与区域交付中心</w:t>
      </w:r>
      <w:r>
        <w:rPr>
          <w:rFonts w:hint="eastAsia"/>
          <w:color w:val="auto"/>
        </w:rPr>
        <w:t>：</w:t>
      </w:r>
      <w:r>
        <w:rPr>
          <w:color w:val="auto"/>
        </w:rPr>
        <w:t>提供 DevSecOps、测试与 AIOps 等通用支撑能力，同时承担本地化交付与监管响应职能。</w:t>
      </w:r>
    </w:p>
    <w:p w14:paraId="385CBF8E">
      <w:pPr>
        <w:pStyle w:val="57"/>
        <w:ind w:firstLine="480"/>
        <w:jc w:val="both"/>
        <w:rPr>
          <w:color w:val="auto"/>
        </w:rPr>
      </w:pPr>
      <w:r>
        <w:rPr>
          <w:color w:val="auto"/>
        </w:rPr>
        <w:t>这种直线</w:t>
      </w:r>
      <w:r>
        <w:rPr>
          <w:rFonts w:hint="eastAsia"/>
          <w:color w:val="auto"/>
        </w:rPr>
        <w:t>结合</w:t>
      </w:r>
      <w:r>
        <w:rPr>
          <w:color w:val="auto"/>
        </w:rPr>
        <w:t>矩阵的组织架构既保证了战略与技术标准的统一，又能够在不同市场快速响应监管变化与客户需求，实现全球协同与区域自治的平衡。</w:t>
      </w:r>
    </w:p>
    <w:p w14:paraId="7376484D">
      <w:pPr>
        <w:pStyle w:val="57"/>
        <w:ind w:firstLine="480"/>
        <w:jc w:val="both"/>
        <w:rPr>
          <w:color w:val="auto"/>
        </w:rPr>
      </w:pPr>
      <w:r>
        <w:rPr>
          <w:color w:val="auto"/>
        </w:rPr>
        <w:t>（</w:t>
      </w:r>
      <w:r>
        <w:rPr>
          <w:rFonts w:hint="eastAsia"/>
          <w:color w:val="auto"/>
          <w:lang w:val="en-US" w:eastAsia="zh-CN"/>
        </w:rPr>
        <w:t>2</w:t>
      </w:r>
      <w:r>
        <w:rPr>
          <w:color w:val="auto"/>
        </w:rPr>
        <w:t>）研发职能体系与流程映射</w:t>
      </w:r>
    </w:p>
    <w:p w14:paraId="04CBF659">
      <w:pPr>
        <w:pStyle w:val="57"/>
        <w:ind w:firstLine="480"/>
        <w:jc w:val="both"/>
        <w:rPr>
          <w:color w:val="auto"/>
        </w:rPr>
      </w:pPr>
      <w:r>
        <w:rPr>
          <w:color w:val="auto"/>
        </w:rPr>
        <w:t>围绕软件开发生命周期（SDLC）关键阶段，H公司建立了端到端的研发与治理职能体系，如图 3-2 所示。</w:t>
      </w:r>
    </w:p>
    <w:p w14:paraId="21668E81">
      <w:pPr>
        <w:pStyle w:val="57"/>
        <w:ind w:firstLine="480"/>
        <w:jc w:val="both"/>
        <w:rPr>
          <w:color w:val="auto"/>
        </w:rPr>
      </w:pPr>
      <w:r>
        <w:rPr>
          <w:color w:val="auto"/>
        </w:rPr>
        <w:t>1）产品与需求管理：由业务分析（BA）与产品管理（PM）团队负责需求定义、优先级排序与价值评估，形成统一的需求基线与变更流程，以应对金融业务高频变动。</w:t>
      </w:r>
    </w:p>
    <w:p w14:paraId="11372381">
      <w:pPr>
        <w:pStyle w:val="57"/>
        <w:ind w:firstLine="480"/>
        <w:jc w:val="both"/>
        <w:rPr>
          <w:color w:val="auto"/>
        </w:rPr>
      </w:pPr>
      <w:r>
        <w:rPr>
          <w:color w:val="auto"/>
        </w:rPr>
        <w:t>2）架构与开发管理：系统架构（EA/SA）与研发团队共同负责系统设计与实现。平台工程（IDP）通过模板化与流水线机制实现环境抽象与依赖治理，降低跨地域协作成本。</w:t>
      </w:r>
    </w:p>
    <w:p w14:paraId="4ABE66B0">
      <w:pPr>
        <w:pStyle w:val="57"/>
        <w:ind w:firstLine="480"/>
        <w:jc w:val="both"/>
        <w:rPr>
          <w:color w:val="auto"/>
        </w:rPr>
      </w:pPr>
      <w:r>
        <w:rPr>
          <w:color w:val="auto"/>
        </w:rPr>
        <w:t>3）质量与测试保障：测试工程（功能、接口、性能、安全、可靠性）及 QA 团队通过自动化门禁与测试环境管理，实现全链路质量控制，减少发布风险与返工。</w:t>
      </w:r>
    </w:p>
    <w:p w14:paraId="068F6FE6">
      <w:pPr>
        <w:pStyle w:val="57"/>
        <w:ind w:firstLine="480"/>
        <w:jc w:val="both"/>
        <w:rPr>
          <w:color w:val="auto"/>
        </w:rPr>
      </w:pPr>
      <w:r>
        <w:rPr>
          <w:color w:val="auto"/>
        </w:rPr>
        <w:t>4）发布与运维体系：CI/CD 平台、SRE 及 AIOps 团队负责发布策略、弹性扩展与错误预算管理，构建稳定可靠的持续交付机制，实现快速回滚与自动化事件响应。</w:t>
      </w:r>
    </w:p>
    <w:p w14:paraId="06E7F50F">
      <w:pPr>
        <w:pStyle w:val="57"/>
        <w:ind w:firstLine="480"/>
        <w:jc w:val="both"/>
        <w:rPr>
          <w:color w:val="auto"/>
        </w:rPr>
      </w:pPr>
      <w:r>
        <w:rPr>
          <w:color w:val="auto"/>
        </w:rPr>
        <w:t>5）安全与合规治理：安全工程（SDL、渗透测试、安全制品签名、SBOM 管理）与合规工程（Regulatory-as-Code、自动报送）将安全与合规前移至开发阶段。安全大使与合规顾问以矩阵方式嵌入团队，形成安全即代码</w:t>
      </w:r>
      <w:r>
        <w:rPr>
          <w:rFonts w:hint="eastAsia"/>
          <w:color w:val="auto"/>
        </w:rPr>
        <w:t>与</w:t>
      </w:r>
      <w:r>
        <w:rPr>
          <w:color w:val="auto"/>
        </w:rPr>
        <w:t>合规即代码的嵌入式防控机制。</w:t>
      </w:r>
    </w:p>
    <w:p w14:paraId="4DE79EAF">
      <w:pPr>
        <w:pStyle w:val="57"/>
        <w:ind w:firstLine="480"/>
        <w:jc w:val="both"/>
        <w:rPr>
          <w:color w:val="auto"/>
        </w:rPr>
      </w:pPr>
      <w:r>
        <w:rPr>
          <w:color w:val="auto"/>
        </w:rPr>
        <w:t>6）数据与模型治理：数据与模型治理团队负责数据驻留、主数据一致性及 AI 模</w:t>
      </w:r>
    </w:p>
    <w:p w14:paraId="2BF89014">
      <w:pPr>
        <w:pStyle w:val="57"/>
        <w:ind w:left="0" w:leftChars="0" w:firstLine="0" w:firstLineChars="0"/>
        <w:jc w:val="both"/>
        <w:rPr>
          <w:color w:val="auto"/>
        </w:rPr>
      </w:pPr>
      <w:r>
        <w:rPr>
          <w:color w:val="auto"/>
        </w:rPr>
        <w:t>型风险控制，保障算法的公平性、透明性与可追溯性。</w:t>
      </w:r>
    </w:p>
    <w:p w14:paraId="4733A52A">
      <w:pPr>
        <w:pStyle w:val="57"/>
        <w:ind w:firstLine="480"/>
        <w:jc w:val="both"/>
        <w:rPr>
          <w:color w:val="auto"/>
        </w:rPr>
      </w:pPr>
      <w:r>
        <w:rPr>
          <w:color w:val="auto"/>
        </w:rPr>
        <w:t>7）可观测性与复盘管理：日志、指标与链路追踪系统支撑事件复盘与持续改进，构建度量</w:t>
      </w:r>
      <w:r>
        <w:rPr>
          <w:rFonts w:hint="eastAsia"/>
          <w:color w:val="auto"/>
        </w:rPr>
        <w:t>、</w:t>
      </w:r>
      <w:r>
        <w:rPr>
          <w:color w:val="auto"/>
        </w:rPr>
        <w:t>诊断</w:t>
      </w:r>
      <w:r>
        <w:rPr>
          <w:rFonts w:hint="eastAsia"/>
          <w:color w:val="auto"/>
        </w:rPr>
        <w:t>、</w:t>
      </w:r>
      <w:r>
        <w:rPr>
          <w:color w:val="auto"/>
        </w:rPr>
        <w:t>执行</w:t>
      </w:r>
      <w:r>
        <w:rPr>
          <w:rFonts w:hint="eastAsia"/>
          <w:color w:val="auto"/>
        </w:rPr>
        <w:t>、</w:t>
      </w:r>
      <w:r>
        <w:rPr>
          <w:color w:val="auto"/>
        </w:rPr>
        <w:t>复盘的学习闭环。</w:t>
      </w:r>
    </w:p>
    <w:p w14:paraId="3E41BFD8">
      <w:pPr>
        <w:pStyle w:val="57"/>
        <w:ind w:firstLine="480"/>
        <w:jc w:val="both"/>
        <w:rPr>
          <w:color w:val="auto"/>
        </w:rPr>
      </w:pPr>
      <w:r>
        <w:rPr>
          <w:color w:val="auto"/>
        </w:rPr>
        <w:t>（</w:t>
      </w:r>
      <w:r>
        <w:rPr>
          <w:rFonts w:hint="eastAsia"/>
          <w:color w:val="auto"/>
          <w:lang w:val="en-US" w:eastAsia="zh-CN"/>
        </w:rPr>
        <w:t>3</w:t>
      </w:r>
      <w:r>
        <w:rPr>
          <w:color w:val="auto"/>
        </w:rPr>
        <w:t>）组织结构示意</w:t>
      </w:r>
    </w:p>
    <w:p w14:paraId="15564CEA">
      <w:pPr>
        <w:pStyle w:val="57"/>
        <w:ind w:firstLine="480"/>
        <w:jc w:val="both"/>
        <w:rPr>
          <w:color w:val="auto"/>
        </w:rPr>
      </w:pPr>
      <w:r>
        <w:rPr>
          <w:color w:val="auto"/>
        </w:rPr>
        <w:t>图 3-1 展示了 H 公司整体组织架构，包括战略治理、业务条线与区域交付三层结构；图 3-2 则进一步细化了研发与工程体系的职能分工。</w:t>
      </w:r>
    </w:p>
    <w:p w14:paraId="6B735157">
      <w:pPr>
        <w:ind w:left="0" w:leftChars="0" w:firstLine="0" w:firstLineChars="0"/>
        <w:rPr>
          <w:color w:val="auto"/>
        </w:rPr>
      </w:pPr>
      <w:r>
        <w:rPr>
          <w:rFonts w:hint="eastAsia"/>
          <w:color w:val="auto"/>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7" r:lo="rId78" r:qs="rId79" r:cs="rId80"/>
              </a:graphicData>
            </a:graphic>
          </wp:inline>
        </w:drawing>
      </w:r>
    </w:p>
    <w:p w14:paraId="3CC88F3A">
      <w:pPr>
        <w:spacing w:line="400" w:lineRule="exact"/>
        <w:jc w:val="center"/>
        <w:rPr>
          <w:color w:val="auto"/>
        </w:rPr>
      </w:pPr>
      <w:r>
        <w:rPr>
          <w:rFonts w:ascii="Times New Roman" w:hAnsi="Times New Roman" w:cs="Times New Roman"/>
          <w:color w:val="auto"/>
          <w:sz w:val="21"/>
          <w:szCs w:val="21"/>
        </w:rPr>
        <w:t>图3-1</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H公司整体组织架构</w:t>
      </w:r>
    </w:p>
    <w:p w14:paraId="14B141B9">
      <w:pPr>
        <w:ind w:left="0" w:leftChars="0" w:firstLine="0" w:firstLineChars="0"/>
        <w:rPr>
          <w:color w:val="auto"/>
        </w:rPr>
      </w:pPr>
      <w:r>
        <w:rPr>
          <w:rFonts w:hint="eastAsia"/>
          <w:color w:val="auto"/>
        </w:rPr>
        <w:drawing>
          <wp:inline distT="0" distB="0" distL="0" distR="0">
            <wp:extent cx="5486400" cy="4441825"/>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2" r:lo="rId83" r:qs="rId84" r:cs="rId85"/>
              </a:graphicData>
            </a:graphic>
          </wp:inline>
        </w:drawing>
      </w:r>
    </w:p>
    <w:p w14:paraId="2AAD70C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图3-2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研发与工程体系结构</w:t>
      </w:r>
    </w:p>
    <w:p w14:paraId="4BA07E30">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86" w:name="_Toc213190805"/>
      <w:bookmarkStart w:id="187" w:name="_Toc213192513"/>
      <w:bookmarkStart w:id="188" w:name="_Toc213192821"/>
      <w:bookmarkStart w:id="189" w:name="_Toc24871"/>
      <w:r>
        <w:rPr>
          <w:rFonts w:hint="eastAsia" w:ascii="Times New Roman" w:hAnsi="Times New Roman" w:eastAsia="黑体" w:cs="Times New Roman"/>
          <w:bCs/>
          <w:sz w:val="24"/>
          <w:szCs w:val="24"/>
        </w:rPr>
        <w:t>3.1.</w:t>
      </w:r>
      <w:r>
        <w:rPr>
          <w:rFonts w:ascii="Times New Roman" w:hAnsi="Times New Roman" w:eastAsia="黑体" w:cs="Times New Roman"/>
          <w:bCs/>
          <w:sz w:val="24"/>
          <w:szCs w:val="24"/>
        </w:rPr>
        <w:t>2</w:t>
      </w:r>
      <w:r>
        <w:rPr>
          <w:rFonts w:hint="eastAsia" w:ascii="Times New Roman" w:hAnsi="Times New Roman" w:eastAsia="黑体" w:cs="Times New Roman"/>
          <w:bCs/>
          <w:sz w:val="24"/>
          <w:szCs w:val="24"/>
        </w:rPr>
        <w:t xml:space="preserve"> H公司业务定位与技术生态</w:t>
      </w:r>
      <w:bookmarkEnd w:id="186"/>
      <w:bookmarkEnd w:id="187"/>
      <w:bookmarkEnd w:id="188"/>
      <w:bookmarkEnd w:id="189"/>
    </w:p>
    <w:p w14:paraId="72233F9D">
      <w:pPr>
        <w:pStyle w:val="57"/>
        <w:ind w:firstLine="480"/>
        <w:jc w:val="both"/>
        <w:rPr>
          <w:color w:val="auto"/>
        </w:rPr>
      </w:pPr>
      <w:r>
        <w:rPr>
          <w:color w:val="auto"/>
        </w:rPr>
        <w:t>H公司是一家专注于金融科技服务的全球化企业，其业务定位与技术生态紧密围绕金融行业数字化转型的核心需求展开，同时面临复杂的监管环境与技术革新压力。</w:t>
      </w:r>
      <w:r>
        <w:rPr>
          <w:rFonts w:hint="eastAsia"/>
          <w:color w:val="auto"/>
        </w:rPr>
        <w:t>下来将</w:t>
      </w:r>
      <w:r>
        <w:rPr>
          <w:color w:val="auto"/>
        </w:rPr>
        <w:t>从业务战略与技术体系两个层面，分析 H 公司的核心特征及其潜在矛盾，为后续的工程管理研究奠定基础。</w:t>
      </w:r>
    </w:p>
    <w:p w14:paraId="55B30A67">
      <w:pPr>
        <w:pStyle w:val="57"/>
        <w:ind w:firstLine="480"/>
        <w:jc w:val="both"/>
        <w:rPr>
          <w:color w:val="auto"/>
        </w:rPr>
      </w:pPr>
      <w:r>
        <w:rPr>
          <w:color w:val="auto"/>
        </w:rPr>
        <w:t>（</w:t>
      </w:r>
      <w:r>
        <w:rPr>
          <w:rFonts w:hint="eastAsia"/>
          <w:color w:val="auto"/>
          <w:lang w:val="en-US" w:eastAsia="zh-CN"/>
        </w:rPr>
        <w:t>1</w:t>
      </w:r>
      <w:r>
        <w:rPr>
          <w:color w:val="auto"/>
        </w:rPr>
        <w:t>）业务定位</w:t>
      </w:r>
    </w:p>
    <w:p w14:paraId="4ACF49A5">
      <w:pPr>
        <w:pStyle w:val="57"/>
        <w:ind w:firstLine="480"/>
        <w:jc w:val="both"/>
        <w:rPr>
          <w:color w:val="auto"/>
        </w:rPr>
      </w:pPr>
      <w:r>
        <w:rPr>
          <w:color w:val="auto"/>
        </w:rPr>
        <w:t>H公司的核心使命是为集团内部及外部金融机构提供一体化金融科技解决方案。其主要业务可概括为三大方向：</w:t>
      </w:r>
    </w:p>
    <w:p w14:paraId="00908AF8">
      <w:pPr>
        <w:pStyle w:val="57"/>
        <w:ind w:firstLine="480"/>
        <w:jc w:val="both"/>
        <w:rPr>
          <w:color w:val="auto"/>
        </w:rPr>
      </w:pPr>
      <w:r>
        <w:rPr>
          <w:color w:val="auto"/>
        </w:rPr>
        <w:t>1）跨境金融服务：涵盖多币种支付与清算系统的研发与运维，支持全球资金流转及跨境业务协同</w:t>
      </w:r>
      <w:r>
        <w:rPr>
          <w:rFonts w:hint="eastAsia"/>
          <w:color w:val="auto"/>
        </w:rPr>
        <w:t>。</w:t>
      </w:r>
    </w:p>
    <w:p w14:paraId="01531934">
      <w:pPr>
        <w:pStyle w:val="57"/>
        <w:ind w:firstLine="480"/>
        <w:jc w:val="both"/>
        <w:rPr>
          <w:color w:val="auto"/>
        </w:rPr>
      </w:pPr>
      <w:r>
        <w:rPr>
          <w:color w:val="auto"/>
        </w:rPr>
        <w:t>2）金融合规与风险管理：通过智能分析与自动化审计手段应对国际监管要求，在反洗钱（AML）与异常交易监测等方面形成差异化竞争力</w:t>
      </w:r>
      <w:r>
        <w:rPr>
          <w:rFonts w:hint="eastAsia"/>
          <w:color w:val="auto"/>
        </w:rPr>
        <w:t>。</w:t>
      </w:r>
    </w:p>
    <w:p w14:paraId="4D0D8985">
      <w:pPr>
        <w:pStyle w:val="57"/>
        <w:ind w:firstLine="480"/>
        <w:jc w:val="both"/>
        <w:rPr>
          <w:color w:val="auto"/>
        </w:rPr>
      </w:pPr>
      <w:r>
        <w:rPr>
          <w:color w:val="auto"/>
        </w:rPr>
        <w:t>3）数字银行基础设施建设：基于开放平台连接第三方金融服务生态，支撑财富管理、绿色金融与企业级数字化转型场景。</w:t>
      </w:r>
    </w:p>
    <w:p w14:paraId="1BE3ED2C">
      <w:pPr>
        <w:pStyle w:val="57"/>
        <w:ind w:firstLine="480"/>
        <w:jc w:val="both"/>
        <w:rPr>
          <w:color w:val="auto"/>
        </w:rPr>
      </w:pPr>
      <w:r>
        <w:rPr>
          <w:color w:val="auto"/>
        </w:rPr>
        <w:t>在战略层面，H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H公司将内部积累的合规标准进行模块化与产品化输出，为外部金融机构提供监管科技（RegTech）服务，实现技术资产与商业价值的双向转化。</w:t>
      </w:r>
    </w:p>
    <w:p w14:paraId="5275F800">
      <w:pPr>
        <w:pStyle w:val="57"/>
        <w:ind w:firstLine="480"/>
        <w:jc w:val="both"/>
        <w:rPr>
          <w:color w:val="auto"/>
        </w:rPr>
      </w:pPr>
      <w:r>
        <w:rPr>
          <w:color w:val="auto"/>
        </w:rPr>
        <w:t>（</w:t>
      </w:r>
      <w:r>
        <w:rPr>
          <w:rFonts w:hint="eastAsia"/>
          <w:color w:val="auto"/>
          <w:lang w:val="en-US" w:eastAsia="zh-CN"/>
        </w:rPr>
        <w:t>2</w:t>
      </w:r>
      <w:r>
        <w:rPr>
          <w:color w:val="auto"/>
        </w:rPr>
        <w:t>）技术生态</w:t>
      </w:r>
    </w:p>
    <w:p w14:paraId="2BCF7BBD">
      <w:pPr>
        <w:pStyle w:val="57"/>
        <w:ind w:firstLine="480"/>
        <w:jc w:val="both"/>
        <w:rPr>
          <w:color w:val="auto"/>
        </w:rPr>
      </w:pPr>
      <w:r>
        <w:rPr>
          <w:color w:val="auto"/>
        </w:rPr>
        <w:t>H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14:paraId="20F585C2">
      <w:pPr>
        <w:pStyle w:val="57"/>
        <w:ind w:firstLine="480"/>
        <w:jc w:val="both"/>
        <w:rPr>
          <w:color w:val="auto"/>
        </w:rPr>
      </w:pPr>
      <w:r>
        <w:rPr>
          <w:rFonts w:hint="eastAsia"/>
          <w:color w:val="auto"/>
          <w:lang w:val="en-US" w:eastAsia="zh-CN"/>
        </w:rPr>
        <w:t>1</w:t>
      </w:r>
      <w:r>
        <w:rPr>
          <w:color w:val="auto"/>
        </w:rPr>
        <w:t>）是技术演进与历史负担之间的冲突。新技术迭代迅速，而传统系统受制于严格的变更与审批流程，</w:t>
      </w:r>
      <w:r>
        <w:rPr>
          <w:rFonts w:eastAsiaTheme="minorEastAsia"/>
          <w:color w:val="auto"/>
        </w:rPr>
        <w:t>导致跨系统集成效率下降、测试周期延长。遗留系统的技术债务</w:t>
      </w:r>
      <w:r>
        <w:rPr>
          <w:color w:val="auto"/>
        </w:rPr>
        <w:t>不断积累，成为限制敏捷交付与架构演化的关键障碍。</w:t>
      </w:r>
    </w:p>
    <w:p w14:paraId="4EB75DBB">
      <w:pPr>
        <w:pStyle w:val="57"/>
        <w:ind w:firstLine="480"/>
        <w:jc w:val="both"/>
        <w:rPr>
          <w:color w:val="auto"/>
        </w:rPr>
      </w:pPr>
      <w:r>
        <w:rPr>
          <w:rFonts w:hint="eastAsia"/>
          <w:color w:val="auto"/>
          <w:lang w:val="en-US" w:eastAsia="zh-CN"/>
        </w:rPr>
        <w:t>2</w:t>
      </w:r>
      <w:r>
        <w:rPr>
          <w:color w:val="auto"/>
        </w:rPr>
        <w:t>）是创新需求与合规安全之间的张力。尽管 H 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14:paraId="27176B69">
      <w:pPr>
        <w:pStyle w:val="57"/>
        <w:ind w:firstLine="480"/>
        <w:jc w:val="both"/>
        <w:rPr>
          <w:color w:val="auto"/>
        </w:rPr>
      </w:pPr>
      <w:r>
        <w:rPr>
          <w:rFonts w:hint="eastAsia"/>
          <w:color w:val="auto"/>
          <w:lang w:val="en-US" w:eastAsia="zh-CN"/>
        </w:rPr>
        <w:t>3</w:t>
      </w:r>
      <w:r>
        <w:rPr>
          <w:color w:val="auto"/>
        </w:rPr>
        <w:t>）是技术工具链碎片化的问题。由于业务类型多样，H公司并行采用多种开发平台与工具体系。然而，工具间缺乏深度集成导致流程自动化程度不均衡，部分环节仍需人工干预。这种碎片化现象降低了研发效率，也削弱了跨团队的知识共享与协作能力。</w:t>
      </w:r>
    </w:p>
    <w:p w14:paraId="0BA4202A">
      <w:pPr>
        <w:pStyle w:val="57"/>
        <w:ind w:firstLine="480"/>
        <w:jc w:val="both"/>
        <w:rPr>
          <w:color w:val="auto"/>
        </w:rPr>
      </w:pPr>
      <w:r>
        <w:rPr>
          <w:rFonts w:hint="eastAsia"/>
          <w:color w:val="auto"/>
        </w:rPr>
        <w:t>由此看来</w:t>
      </w:r>
      <w:r>
        <w:rPr>
          <w:color w:val="auto"/>
        </w:rPr>
        <w:t>，H公司的业务布局体现出全球一体化与本地化合规共存的战略特征，而技术生态的复杂性则反映出金融科技企业在数字化转型过程中的普遍挑战</w:t>
      </w:r>
      <w:r>
        <w:rPr>
          <w:rFonts w:hint="eastAsia"/>
          <w:color w:val="auto"/>
        </w:rPr>
        <w:t>，</w:t>
      </w:r>
      <w:r>
        <w:rPr>
          <w:color w:val="auto"/>
        </w:rPr>
        <w:t>既要确保系统安全与合规，又需保持技术敏捷与创新活力。如何在工程管理体系中实现这一平衡，将成为后续章节研究的核心议题。</w:t>
      </w:r>
    </w:p>
    <w:p w14:paraId="44AF629D">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90" w:name="_Toc213192514"/>
      <w:bookmarkStart w:id="191" w:name="_Toc213192822"/>
      <w:bookmarkStart w:id="192" w:name="_Toc213190806"/>
      <w:bookmarkStart w:id="193" w:name="_Toc13595"/>
      <w:r>
        <w:rPr>
          <w:rFonts w:hint="eastAsia" w:ascii="Times New Roman" w:hAnsi="Times New Roman" w:eastAsia="黑体" w:cs="Times New Roman"/>
          <w:bCs/>
          <w:sz w:val="24"/>
          <w:szCs w:val="24"/>
        </w:rPr>
        <w:t>3.1.</w:t>
      </w:r>
      <w:r>
        <w:rPr>
          <w:rFonts w:ascii="Times New Roman" w:hAnsi="Times New Roman" w:eastAsia="黑体" w:cs="Times New Roman"/>
          <w:bCs/>
          <w:sz w:val="24"/>
          <w:szCs w:val="24"/>
        </w:rPr>
        <w:t>3</w:t>
      </w:r>
      <w:r>
        <w:rPr>
          <w:rFonts w:hint="eastAsia" w:ascii="Times New Roman" w:hAnsi="Times New Roman" w:eastAsia="黑体" w:cs="Times New Roman"/>
          <w:bCs/>
          <w:sz w:val="24"/>
          <w:szCs w:val="24"/>
        </w:rPr>
        <w:t xml:space="preserve"> 金融科技产品线布局特征</w:t>
      </w:r>
      <w:bookmarkEnd w:id="190"/>
      <w:bookmarkEnd w:id="191"/>
      <w:bookmarkEnd w:id="192"/>
      <w:bookmarkEnd w:id="193"/>
    </w:p>
    <w:p w14:paraId="0CF6CE4F">
      <w:pPr>
        <w:pStyle w:val="57"/>
        <w:ind w:firstLine="480"/>
        <w:jc w:val="both"/>
        <w:rPr>
          <w:color w:val="auto"/>
        </w:rPr>
      </w:pPr>
      <w:r>
        <w:rPr>
          <w:color w:val="auto"/>
        </w:rPr>
        <w:t>作为国际金融集团旗下的科技服务主体，H公司已形成面向全球市场的金融科技产品体系，其整体布局呈现出合规引领、技术纵深并进的特征。公司以分层场景覆盖为核心，通过差异化技术策略实现区域适配，逐步构建出可复制、可持续的产品布局路径。</w:t>
      </w:r>
    </w:p>
    <w:p w14:paraId="0EBFB317">
      <w:pPr>
        <w:pStyle w:val="57"/>
        <w:ind w:firstLine="480"/>
        <w:jc w:val="both"/>
        <w:rPr>
          <w:color w:val="auto"/>
        </w:rPr>
      </w:pPr>
      <w:r>
        <w:rPr>
          <w:color w:val="auto"/>
        </w:rPr>
        <w:t>（</w:t>
      </w:r>
      <w:r>
        <w:rPr>
          <w:rFonts w:hint="eastAsia"/>
          <w:color w:val="auto"/>
          <w:lang w:val="en-US" w:eastAsia="zh-CN"/>
        </w:rPr>
        <w:t>1</w:t>
      </w:r>
      <w:r>
        <w:rPr>
          <w:color w:val="auto"/>
        </w:rPr>
        <w:t>）合规驱动的架构设计</w:t>
      </w:r>
    </w:p>
    <w:p w14:paraId="572ADC8E">
      <w:pPr>
        <w:pStyle w:val="57"/>
        <w:ind w:firstLine="480"/>
        <w:jc w:val="both"/>
        <w:rPr>
          <w:color w:val="auto"/>
        </w:rPr>
      </w:pPr>
      <w:r>
        <w:rPr>
          <w:color w:val="auto"/>
        </w:rPr>
        <w:t>在合规导向的体系建设中，H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H公司将反洗钱（AML）与客户身份识别（KYC）等风控</w:t>
      </w:r>
      <w:r>
        <w:rPr>
          <w:rFonts w:eastAsiaTheme="minorEastAsia"/>
          <w:color w:val="auto"/>
        </w:rPr>
        <w:t>能力模块化、标准化，以提升新产品的合规审查效率。然而，由于区域监管差异</w:t>
      </w:r>
      <w:r>
        <w:rPr>
          <w:color w:val="auto"/>
        </w:rPr>
        <w:t>较大，产品架构复杂度随之上升，对后续的系统演化与版本迭代形成一定约束。</w:t>
      </w:r>
    </w:p>
    <w:p w14:paraId="6E77107C">
      <w:pPr>
        <w:pStyle w:val="57"/>
        <w:ind w:firstLine="480"/>
        <w:jc w:val="both"/>
        <w:rPr>
          <w:color w:val="auto"/>
        </w:rPr>
      </w:pPr>
      <w:r>
        <w:rPr>
          <w:color w:val="auto"/>
        </w:rPr>
        <w:t>（</w:t>
      </w:r>
      <w:r>
        <w:rPr>
          <w:rFonts w:hint="eastAsia"/>
          <w:color w:val="auto"/>
          <w:lang w:val="en-US" w:eastAsia="zh-CN"/>
        </w:rPr>
        <w:t>2</w:t>
      </w:r>
      <w:r>
        <w:rPr>
          <w:color w:val="auto"/>
        </w:rPr>
        <w:t>）产品体系的演进路径</w:t>
      </w:r>
    </w:p>
    <w:p w14:paraId="31213E26">
      <w:pPr>
        <w:pStyle w:val="57"/>
        <w:ind w:firstLine="480"/>
        <w:jc w:val="both"/>
        <w:rPr>
          <w:color w:val="auto"/>
        </w:rPr>
      </w:pPr>
      <w:r>
        <w:rPr>
          <w:color w:val="auto"/>
        </w:rPr>
        <w:t>在产品演进方面，H公司遵循由基础服务向生态平台逐步拓展的路径，形成三级技术体系：</w:t>
      </w:r>
    </w:p>
    <w:p w14:paraId="4D3423FC">
      <w:pPr>
        <w:pStyle w:val="57"/>
        <w:ind w:firstLine="480"/>
        <w:jc w:val="both"/>
        <w:rPr>
          <w:color w:val="auto"/>
        </w:rPr>
      </w:pPr>
      <w:r>
        <w:rPr>
          <w:color w:val="auto"/>
        </w:rPr>
        <w:t>1）基础层：通过标准化改造与流程自动化，提升传统金融业务的交易处理效率与系统稳定性</w:t>
      </w:r>
      <w:r>
        <w:rPr>
          <w:rFonts w:hint="eastAsia"/>
          <w:color w:val="auto"/>
        </w:rPr>
        <w:t>。</w:t>
      </w:r>
    </w:p>
    <w:p w14:paraId="428D8919">
      <w:pPr>
        <w:pStyle w:val="57"/>
        <w:ind w:firstLine="480"/>
        <w:jc w:val="both"/>
        <w:rPr>
          <w:color w:val="auto"/>
        </w:rPr>
      </w:pPr>
      <w:r>
        <w:rPr>
          <w:color w:val="auto"/>
        </w:rPr>
        <w:t>2）增值层：借助机器学习、知识图谱等智能技术优化财富管理、绿色金融等垂直服务，增强业务智能化水平</w:t>
      </w:r>
      <w:r>
        <w:rPr>
          <w:rFonts w:hint="eastAsia"/>
          <w:color w:val="auto"/>
        </w:rPr>
        <w:t>。</w:t>
      </w:r>
    </w:p>
    <w:p w14:paraId="6F1446D3">
      <w:pPr>
        <w:pStyle w:val="57"/>
        <w:ind w:firstLine="480"/>
        <w:jc w:val="both"/>
        <w:rPr>
          <w:color w:val="auto"/>
        </w:rPr>
      </w:pPr>
      <w:r>
        <w:rPr>
          <w:color w:val="auto"/>
        </w:rPr>
        <w:t>3）生态层：建设开放平台，与第三方服务提供商协同构建场景化解决方案，形成多主体共生的金融科技生态。</w:t>
      </w:r>
    </w:p>
    <w:p w14:paraId="08FC5853">
      <w:pPr>
        <w:pStyle w:val="57"/>
        <w:ind w:firstLine="480"/>
        <w:jc w:val="both"/>
        <w:rPr>
          <w:color w:val="auto"/>
        </w:rPr>
      </w:pPr>
      <w:r>
        <w:rPr>
          <w:color w:val="auto"/>
        </w:rPr>
        <w:t>不同层级采用差异化架构策略</w:t>
      </w:r>
      <w:r>
        <w:rPr>
          <w:rFonts w:hint="eastAsia"/>
          <w:color w:val="auto"/>
        </w:rPr>
        <w:t>，</w:t>
      </w:r>
      <w:r>
        <w:rPr>
          <w:color w:val="auto"/>
        </w:rPr>
        <w:t>基础层以稳健性为首要目标，生态层则强调灵活性与可扩展性。这种多层并行的架构提高了业务适配性，但也引入了跨产品协同与工具链整合的挑战，尤其在自动化运维与质量管控环节，仍需进一步标准化支撑。</w:t>
      </w:r>
    </w:p>
    <w:p w14:paraId="03714598">
      <w:pPr>
        <w:pStyle w:val="57"/>
        <w:ind w:firstLine="480"/>
        <w:jc w:val="both"/>
        <w:rPr>
          <w:color w:val="auto"/>
        </w:rPr>
      </w:pPr>
      <w:r>
        <w:rPr>
          <w:color w:val="auto"/>
        </w:rPr>
        <w:t>（</w:t>
      </w:r>
      <w:r>
        <w:rPr>
          <w:rFonts w:hint="eastAsia"/>
          <w:color w:val="auto"/>
          <w:lang w:val="en-US" w:eastAsia="zh-CN"/>
        </w:rPr>
        <w:t>3</w:t>
      </w:r>
      <w:r>
        <w:rPr>
          <w:color w:val="auto"/>
        </w:rPr>
        <w:t>）区域差异化的技术适配</w:t>
      </w:r>
    </w:p>
    <w:p w14:paraId="3719B2FA">
      <w:pPr>
        <w:pStyle w:val="57"/>
        <w:ind w:firstLine="480"/>
        <w:jc w:val="both"/>
        <w:rPr>
          <w:color w:val="auto"/>
        </w:rPr>
      </w:pPr>
      <w:r>
        <w:rPr>
          <w:color w:val="auto"/>
        </w:rPr>
        <w:t>为应对不同市场环境与监管要求，H公司实施双模技术适配策略。在监管体系成熟的欧美地区，公司采用渐进式升级路径，在既有核心技术框架内优化稳定性与安全性</w:t>
      </w:r>
      <w:r>
        <w:rPr>
          <w:rFonts w:hint="eastAsia"/>
          <w:color w:val="auto"/>
        </w:rPr>
        <w:t>，</w:t>
      </w:r>
      <w:r>
        <w:rPr>
          <w:color w:val="auto"/>
        </w:rPr>
        <w:t>而在政策创新频繁的新兴市场，则引入更具前瞻性的技术架构，以提升响应速度并缩短交付周期。该策略在系统稳定性</w:t>
      </w:r>
      <w:r>
        <w:rPr>
          <w:rFonts w:hint="eastAsia"/>
          <w:color w:val="auto"/>
        </w:rPr>
        <w:t>与</w:t>
      </w:r>
      <w:r>
        <w:rPr>
          <w:color w:val="auto"/>
        </w:rPr>
        <w:t>市场响应性之间取得平衡，但多技术路线并行导致代码冗余与复用不足，给统一质量治理带来一定压力。</w:t>
      </w:r>
    </w:p>
    <w:p w14:paraId="4824A2DC">
      <w:pPr>
        <w:pStyle w:val="57"/>
        <w:ind w:firstLine="480"/>
        <w:jc w:val="both"/>
        <w:rPr>
          <w:color w:val="auto"/>
        </w:rPr>
      </w:pPr>
      <w:r>
        <w:rPr>
          <w:color w:val="auto"/>
        </w:rPr>
        <w:t>（</w:t>
      </w:r>
      <w:r>
        <w:rPr>
          <w:rFonts w:hint="eastAsia"/>
          <w:color w:val="auto"/>
          <w:lang w:val="en-US" w:eastAsia="zh-CN"/>
        </w:rPr>
        <w:t>4</w:t>
      </w:r>
      <w:r>
        <w:rPr>
          <w:color w:val="auto"/>
        </w:rPr>
        <w:t>）综合评析</w:t>
      </w:r>
    </w:p>
    <w:p w14:paraId="7EA4951F">
      <w:pPr>
        <w:pStyle w:val="57"/>
        <w:ind w:firstLine="480"/>
        <w:jc w:val="both"/>
        <w:rPr>
          <w:color w:val="auto"/>
        </w:rPr>
      </w:pPr>
      <w:r>
        <w:rPr>
          <w:rFonts w:hint="eastAsia"/>
          <w:color w:val="auto"/>
        </w:rPr>
        <w:t>总之，</w:t>
      </w:r>
      <w:r>
        <w:rPr>
          <w:color w:val="auto"/>
        </w:rPr>
        <w:t>H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Pr>
          <w:rFonts w:hint="eastAsia"/>
          <w:color w:val="auto"/>
        </w:rPr>
        <w:t>所以</w:t>
      </w:r>
      <w:r>
        <w:rPr>
          <w:color w:val="auto"/>
        </w:rPr>
        <w:t>H公司的产品布局不仅是技术体系的配置结果，更反映了组织能力、监管约束与市场动态的综合作用，为后续的流程优化与管理体系研究提供了关键切入点。</w:t>
      </w:r>
    </w:p>
    <w:p w14:paraId="6013CC6B">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194" w:name="_Toc213192823"/>
      <w:bookmarkStart w:id="195" w:name="_Toc213190807"/>
      <w:bookmarkStart w:id="196" w:name="_Toc213192515"/>
      <w:bookmarkStart w:id="197" w:name="_Toc2387"/>
      <w:r>
        <w:rPr>
          <w:rFonts w:hint="eastAsia" w:ascii="Times New Roman" w:hAnsi="Times New Roman" w:eastAsia="黑体" w:cs="Times New Roman"/>
          <w:bCs/>
          <w:sz w:val="24"/>
          <w:szCs w:val="24"/>
        </w:rPr>
        <w:t>3.</w:t>
      </w:r>
      <w:r>
        <w:rPr>
          <w:rFonts w:ascii="Times New Roman" w:hAnsi="Times New Roman" w:eastAsia="黑体" w:cs="Times New Roman"/>
          <w:bCs/>
          <w:sz w:val="24"/>
          <w:szCs w:val="24"/>
        </w:rPr>
        <w:t>1</w:t>
      </w:r>
      <w:r>
        <w:rPr>
          <w:rFonts w:hint="eastAsia" w:ascii="Times New Roman" w:hAnsi="Times New Roman" w:eastAsia="黑体" w:cs="Times New Roman"/>
          <w:bCs/>
          <w:sz w:val="24"/>
          <w:szCs w:val="24"/>
        </w:rPr>
        <w:t>.</w:t>
      </w:r>
      <w:r>
        <w:rPr>
          <w:rFonts w:ascii="Times New Roman" w:hAnsi="Times New Roman" w:eastAsia="黑体" w:cs="Times New Roman"/>
          <w:bCs/>
          <w:sz w:val="24"/>
          <w:szCs w:val="24"/>
        </w:rPr>
        <w:t xml:space="preserve">4 </w:t>
      </w:r>
      <w:r>
        <w:rPr>
          <w:rFonts w:hint="eastAsia" w:ascii="Times New Roman" w:hAnsi="Times New Roman" w:eastAsia="黑体" w:cs="Times New Roman"/>
          <w:bCs/>
          <w:sz w:val="24"/>
          <w:szCs w:val="24"/>
        </w:rPr>
        <w:t>H公司软件开发过程的现状</w:t>
      </w:r>
      <w:bookmarkEnd w:id="194"/>
      <w:bookmarkEnd w:id="195"/>
      <w:bookmarkEnd w:id="196"/>
      <w:bookmarkEnd w:id="197"/>
    </w:p>
    <w:p w14:paraId="20EC2DA5">
      <w:pPr>
        <w:pStyle w:val="57"/>
        <w:ind w:firstLine="480"/>
        <w:jc w:val="both"/>
        <w:rPr>
          <w:color w:val="auto"/>
        </w:rPr>
      </w:pPr>
      <w:r>
        <w:rPr>
          <w:color w:val="auto"/>
        </w:rPr>
        <w:t>作为集团在金融科技领域的核心研发机构，H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3-3）。</w:t>
      </w:r>
    </w:p>
    <w:p w14:paraId="1D6D9EA9">
      <w:pPr>
        <w:shd w:val="clear" w:color="auto" w:fill="FFFFFF"/>
        <w:spacing w:line="400" w:lineRule="exact"/>
        <w:ind w:firstLine="480"/>
        <w:rPr>
          <w:rFonts w:ascii="Times New Roman" w:hAnsi="Times New Roman" w:eastAsiaTheme="minorEastAsia"/>
          <w:bCs/>
          <w:color w:val="auto"/>
        </w:rPr>
      </w:pPr>
    </w:p>
    <w:p w14:paraId="7F8A2207">
      <w:pPr>
        <w:ind w:firstLine="480"/>
        <w:jc w:val="center"/>
        <w:rPr>
          <w:color w:val="auto"/>
        </w:rPr>
      </w:pPr>
      <w:r>
        <w:rPr>
          <w:rFonts w:hint="eastAsia"/>
          <w:color w:val="auto"/>
        </w:rPr>
        <w:drawing>
          <wp:inline distT="0" distB="0" distL="0" distR="0">
            <wp:extent cx="5486400" cy="791210"/>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7" r:lo="rId88" r:qs="rId89" r:cs="rId90"/>
              </a:graphicData>
            </a:graphic>
          </wp:inline>
        </w:drawing>
      </w:r>
    </w:p>
    <w:p w14:paraId="72930D6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图3-3</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H 公司软件开发过程鸟瞰图</w:t>
      </w:r>
    </w:p>
    <w:p w14:paraId="0C0A669E">
      <w:pPr>
        <w:shd w:val="clear" w:color="auto" w:fill="FFFFFF"/>
        <w:spacing w:line="400" w:lineRule="exact"/>
        <w:ind w:firstLine="480"/>
        <w:rPr>
          <w:rFonts w:ascii="Times New Roman" w:hAnsi="Times New Roman" w:eastAsiaTheme="minorEastAsia"/>
          <w:bCs/>
          <w:color w:val="auto"/>
        </w:rPr>
      </w:pPr>
      <w:r>
        <w:rPr>
          <w:rFonts w:hint="eastAsia" w:ascii="Times New Roman" w:hAnsi="Times New Roman" w:eastAsiaTheme="minorEastAsia"/>
          <w:bCs/>
          <w:color w:val="auto"/>
        </w:rPr>
        <w:t>（</w:t>
      </w:r>
      <w:r>
        <w:rPr>
          <w:rFonts w:hint="eastAsia" w:ascii="Times New Roman" w:hAnsi="Times New Roman" w:eastAsiaTheme="minorEastAsia"/>
          <w:bCs/>
          <w:color w:val="auto"/>
          <w:lang w:val="en-US" w:eastAsia="zh-CN"/>
        </w:rPr>
        <w:t>1</w:t>
      </w:r>
      <w:r>
        <w:rPr>
          <w:rFonts w:ascii="Times New Roman" w:hAnsi="Times New Roman" w:eastAsiaTheme="minorEastAsia"/>
          <w:bCs/>
          <w:color w:val="auto"/>
        </w:rPr>
        <w:t>）治理与交付的双层机制</w:t>
      </w:r>
    </w:p>
    <w:p w14:paraId="3868AEDC">
      <w:pPr>
        <w:pStyle w:val="57"/>
        <w:ind w:firstLine="480"/>
        <w:jc w:val="both"/>
        <w:rPr>
          <w:color w:val="auto"/>
        </w:rPr>
      </w:pPr>
      <w:r>
        <w:rPr>
          <w:color w:val="auto"/>
        </w:rPr>
        <w:t>H公司实行集中治理</w:t>
      </w:r>
      <w:r>
        <w:rPr>
          <w:rFonts w:hint="eastAsia"/>
          <w:color w:val="auto"/>
        </w:rPr>
        <w:t>和</w:t>
      </w:r>
      <w:r>
        <w:rPr>
          <w:color w:val="auto"/>
        </w:rPr>
        <w:t>敏捷自治并行的管理模式。公司层面由项目管理办公室（PMO）统一制定研发流程、质量门禁与版本节奏，以保证项目可审计性与合规透明度</w:t>
      </w:r>
      <w:r>
        <w:rPr>
          <w:rFonts w:hint="eastAsia"/>
          <w:color w:val="auto"/>
        </w:rPr>
        <w:t>。</w:t>
      </w:r>
      <w:r>
        <w:rPr>
          <w:color w:val="auto"/>
        </w:rPr>
        <w:t>团队层面则以Scrum框架为核心，采用短周期迭代实现快速交付与业务反馈。</w:t>
      </w:r>
    </w:p>
    <w:p w14:paraId="020A343C">
      <w:pPr>
        <w:pStyle w:val="57"/>
        <w:ind w:firstLine="480"/>
        <w:jc w:val="both"/>
        <w:rPr>
          <w:color w:val="auto"/>
        </w:rPr>
      </w:pPr>
      <w:r>
        <w:rPr>
          <w:color w:val="auto"/>
        </w:rPr>
        <w:t>双层机制以治理基线与团队节奏相耦合</w:t>
      </w:r>
      <w:r>
        <w:rPr>
          <w:rFonts w:hint="eastAsia"/>
          <w:color w:val="auto"/>
        </w:rPr>
        <w:t>，</w:t>
      </w:r>
      <w:r>
        <w:rPr>
          <w:color w:val="auto"/>
        </w:rPr>
        <w:t>治理层关注战略规划、资源统筹与质量控制，交付层</w:t>
      </w:r>
      <w:r>
        <w:rPr>
          <w:rFonts w:hint="eastAsia"/>
          <w:color w:val="auto"/>
        </w:rPr>
        <w:t>则</w:t>
      </w:r>
      <w:r>
        <w:rPr>
          <w:color w:val="auto"/>
        </w:rPr>
        <w:t>专注于需求分析、设计开发与验证闭环。二者的结合既确保了统一规范，又保留了团队层面的灵活性（见图3-4）。</w:t>
      </w:r>
    </w:p>
    <w:p w14:paraId="4B130B23">
      <w:pPr>
        <w:ind w:firstLine="480"/>
        <w:jc w:val="center"/>
        <w:rPr>
          <w:color w:val="auto"/>
        </w:rPr>
      </w:pPr>
      <w:r>
        <w:rPr>
          <w:rFonts w:hint="eastAsia"/>
          <w:color w:val="auto"/>
        </w:rPr>
        <w:drawing>
          <wp:inline distT="0" distB="0" distL="0" distR="0">
            <wp:extent cx="5486400" cy="166878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2" r:lo="rId93" r:qs="rId94" r:cs="rId95"/>
              </a:graphicData>
            </a:graphic>
          </wp:inline>
        </w:drawing>
      </w:r>
    </w:p>
    <w:p w14:paraId="6786EF0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图3-4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H公司Scrum迭代的流程</w:t>
      </w:r>
    </w:p>
    <w:p w14:paraId="32986356">
      <w:pPr>
        <w:shd w:val="clear" w:color="auto" w:fill="FFFFFF"/>
        <w:spacing w:line="400" w:lineRule="exact"/>
        <w:ind w:firstLine="480"/>
        <w:rPr>
          <w:rFonts w:ascii="Times New Roman" w:hAnsi="Times New Roman" w:eastAsiaTheme="minorEastAsia"/>
          <w:bCs/>
          <w:color w:val="auto"/>
        </w:rPr>
      </w:pPr>
      <w:r>
        <w:rPr>
          <w:rFonts w:ascii="Times New Roman" w:hAnsi="Times New Roman" w:eastAsiaTheme="minorEastAsia"/>
          <w:bCs/>
          <w:color w:val="auto"/>
        </w:rPr>
        <w:t>（</w:t>
      </w:r>
      <w:r>
        <w:rPr>
          <w:rFonts w:hint="eastAsia" w:ascii="Times New Roman" w:hAnsi="Times New Roman" w:eastAsiaTheme="minorEastAsia"/>
          <w:bCs/>
          <w:color w:val="auto"/>
          <w:lang w:val="en-US" w:eastAsia="zh-CN"/>
        </w:rPr>
        <w:t>2</w:t>
      </w:r>
      <w:r>
        <w:rPr>
          <w:rFonts w:ascii="Times New Roman" w:hAnsi="Times New Roman" w:eastAsiaTheme="minorEastAsia"/>
          <w:bCs/>
          <w:color w:val="auto"/>
        </w:rPr>
        <w:t>）流程结构与工具编排</w:t>
      </w:r>
    </w:p>
    <w:p w14:paraId="25426146">
      <w:pPr>
        <w:pStyle w:val="57"/>
        <w:ind w:firstLine="480"/>
        <w:jc w:val="both"/>
        <w:rPr>
          <w:color w:val="auto"/>
        </w:rPr>
      </w:pPr>
      <w:r>
        <w:rPr>
          <w:color w:val="auto"/>
        </w:rPr>
        <w:t>H公司当前的软件开发生命周期（SDLC）涵盖需求管理、架构设计、开发实现、测试验证、持续集成与部署（CI/CD）及运行维护六个阶段。所有环节均通过统一的DevOps流水线平台实现自动化编排，确保构建、发布与回滚的一致性与可追溯性。</w:t>
      </w:r>
    </w:p>
    <w:p w14:paraId="28292C21">
      <w:pPr>
        <w:pStyle w:val="57"/>
        <w:ind w:firstLine="480"/>
        <w:jc w:val="both"/>
        <w:rPr>
          <w:color w:val="auto"/>
        </w:rPr>
      </w:pPr>
      <w:r>
        <w:rPr>
          <w:color w:val="auto"/>
        </w:rPr>
        <w:t>需求管理阶段采用双通道机制，即业务端与研发端同步评估优先级与价值</w:t>
      </w:r>
      <w:r>
        <w:rPr>
          <w:rFonts w:hint="eastAsia"/>
          <w:color w:val="auto"/>
        </w:rPr>
        <w:t>，</w:t>
      </w:r>
      <w:r>
        <w:rPr>
          <w:color w:val="auto"/>
        </w:rPr>
        <w:t>架构设计阶段执行企业级接口标准与安全审查</w:t>
      </w:r>
      <w:r>
        <w:rPr>
          <w:rFonts w:hint="eastAsia"/>
          <w:color w:val="auto"/>
        </w:rPr>
        <w:t>，</w:t>
      </w:r>
      <w:r>
        <w:rPr>
          <w:color w:val="auto"/>
        </w:rPr>
        <w:t>开发与测试阶段依托GitLab、Jenkins与SonarQube等工具，实现代码托管、持续集成与自动化测试</w:t>
      </w:r>
      <w:r>
        <w:rPr>
          <w:rFonts w:hint="eastAsia"/>
          <w:color w:val="auto"/>
        </w:rPr>
        <w:t>，</w:t>
      </w:r>
      <w:r>
        <w:rPr>
          <w:color w:val="auto"/>
        </w:rPr>
        <w:t>部署阶段遵循灰度发布</w:t>
      </w:r>
      <w:r>
        <w:rPr>
          <w:rFonts w:hint="eastAsia"/>
          <w:color w:val="auto"/>
        </w:rPr>
        <w:t>、</w:t>
      </w:r>
      <w:r>
        <w:rPr>
          <w:color w:val="auto"/>
        </w:rPr>
        <w:t>验证</w:t>
      </w:r>
      <w:r>
        <w:rPr>
          <w:rFonts w:hint="eastAsia"/>
          <w:color w:val="auto"/>
        </w:rPr>
        <w:t>、</w:t>
      </w:r>
      <w:r>
        <w:rPr>
          <w:color w:val="auto"/>
        </w:rPr>
        <w:t>回滚</w:t>
      </w:r>
      <w:r>
        <w:rPr>
          <w:rFonts w:hint="eastAsia"/>
          <w:color w:val="auto"/>
        </w:rPr>
        <w:t>的</w:t>
      </w:r>
      <w:r>
        <w:rPr>
          <w:color w:val="auto"/>
        </w:rPr>
        <w:t>策略，以控制变更风险</w:t>
      </w:r>
      <w:r>
        <w:rPr>
          <w:rFonts w:hint="eastAsia"/>
          <w:color w:val="auto"/>
        </w:rPr>
        <w:t>，</w:t>
      </w:r>
      <w:r>
        <w:rPr>
          <w:color w:val="auto"/>
        </w:rPr>
        <w:t>运维阶段则通过AIOps平台对日志与监控指标进行集中分析，支持容量规划与异常复盘。</w:t>
      </w:r>
    </w:p>
    <w:p w14:paraId="1CBC45A4">
      <w:pPr>
        <w:pStyle w:val="57"/>
        <w:ind w:firstLine="480"/>
        <w:jc w:val="both"/>
        <w:rPr>
          <w:color w:val="auto"/>
        </w:rPr>
      </w:pPr>
      <w:r>
        <w:rPr>
          <w:color w:val="auto"/>
        </w:rPr>
        <w:t>公司重点监控三类指标</w:t>
      </w:r>
      <w:r>
        <w:rPr>
          <w:rFonts w:hint="eastAsia"/>
          <w:color w:val="auto"/>
        </w:rPr>
        <w:t>：</w:t>
      </w:r>
      <w:r>
        <w:rPr>
          <w:color w:val="auto"/>
        </w:rPr>
        <w:t>变更频率、质量稳定性与交付效率，以评估过程绩效。表3-1展示了软件开发各阶段的主要活动、工具与关键度量项。</w:t>
      </w:r>
    </w:p>
    <w:p w14:paraId="512C6378">
      <w:pPr>
        <w:pStyle w:val="57"/>
        <w:ind w:firstLine="480"/>
        <w:jc w:val="both"/>
        <w:rPr>
          <w:color w:val="auto"/>
        </w:rPr>
      </w:pPr>
    </w:p>
    <w:p w14:paraId="69990498">
      <w:pPr>
        <w:pStyle w:val="57"/>
        <w:ind w:firstLine="480"/>
        <w:jc w:val="both"/>
        <w:rPr>
          <w:color w:val="auto"/>
        </w:rPr>
      </w:pPr>
    </w:p>
    <w:p w14:paraId="707CE166">
      <w:pPr>
        <w:pStyle w:val="57"/>
        <w:ind w:firstLine="480"/>
        <w:jc w:val="both"/>
        <w:rPr>
          <w:color w:val="auto"/>
        </w:rPr>
      </w:pPr>
    </w:p>
    <w:p w14:paraId="142D924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表3-1</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软件开发流程、关键活动、主要工具与度量项</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51"/>
        <w:gridCol w:w="2382"/>
        <w:gridCol w:w="2010"/>
        <w:gridCol w:w="3399"/>
      </w:tblGrid>
      <w:tr w14:paraId="3DD412F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1" w:type="dxa"/>
            <w:tcBorders>
              <w:bottom w:val="single" w:color="auto" w:sz="8" w:space="0"/>
              <w:insideH w:val="single" w:sz="8" w:space="0"/>
            </w:tcBorders>
            <w:vAlign w:val="center"/>
          </w:tcPr>
          <w:p w14:paraId="2A77DF95">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阶段</w:t>
            </w:r>
          </w:p>
        </w:tc>
        <w:tc>
          <w:tcPr>
            <w:tcW w:w="2382" w:type="dxa"/>
            <w:tcBorders>
              <w:bottom w:val="single" w:color="auto" w:sz="8" w:space="0"/>
              <w:insideH w:val="single" w:sz="8" w:space="0"/>
            </w:tcBorders>
            <w:vAlign w:val="center"/>
          </w:tcPr>
          <w:p w14:paraId="2CA5FC77">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关键活动</w:t>
            </w:r>
          </w:p>
        </w:tc>
        <w:tc>
          <w:tcPr>
            <w:tcW w:w="2010" w:type="dxa"/>
            <w:tcBorders>
              <w:bottom w:val="single" w:color="auto" w:sz="8" w:space="0"/>
              <w:insideH w:val="single" w:sz="8" w:space="0"/>
            </w:tcBorders>
            <w:vAlign w:val="center"/>
          </w:tcPr>
          <w:p w14:paraId="0ACCC7FA">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主要工具/平台</w:t>
            </w:r>
          </w:p>
        </w:tc>
        <w:tc>
          <w:tcPr>
            <w:tcW w:w="3399" w:type="dxa"/>
            <w:tcBorders>
              <w:bottom w:val="single" w:color="auto" w:sz="8" w:space="0"/>
              <w:insideH w:val="single" w:sz="8" w:space="0"/>
            </w:tcBorders>
            <w:vAlign w:val="center"/>
          </w:tcPr>
          <w:p w14:paraId="7C3FFB6C">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关键度量（口径示例）</w:t>
            </w:r>
          </w:p>
        </w:tc>
      </w:tr>
      <w:tr w14:paraId="4E0DF4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1" w:type="dxa"/>
            <w:vAlign w:val="center"/>
          </w:tcPr>
          <w:p w14:paraId="75BF21A8">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需求管理</w:t>
            </w:r>
          </w:p>
        </w:tc>
        <w:tc>
          <w:tcPr>
            <w:tcW w:w="2382" w:type="dxa"/>
            <w:vAlign w:val="center"/>
          </w:tcPr>
          <w:p w14:paraId="55C3EDC0">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需求收集、优先级评估、基线冻结</w:t>
            </w:r>
          </w:p>
        </w:tc>
        <w:tc>
          <w:tcPr>
            <w:tcW w:w="2010" w:type="dxa"/>
            <w:vAlign w:val="center"/>
          </w:tcPr>
          <w:p w14:paraId="1A6B5463">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Jira / Confluence</w:t>
            </w:r>
          </w:p>
        </w:tc>
        <w:tc>
          <w:tcPr>
            <w:tcW w:w="3399" w:type="dxa"/>
            <w:vAlign w:val="center"/>
          </w:tcPr>
          <w:p w14:paraId="7BC31BC1">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需求变更率（%）、需求冻结周期（天）</w:t>
            </w:r>
          </w:p>
        </w:tc>
      </w:tr>
      <w:tr w14:paraId="1A42BF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1" w:type="dxa"/>
            <w:vAlign w:val="center"/>
          </w:tcPr>
          <w:p w14:paraId="650E9B0C">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架构设计</w:t>
            </w:r>
          </w:p>
        </w:tc>
        <w:tc>
          <w:tcPr>
            <w:tcW w:w="2382" w:type="dxa"/>
            <w:vAlign w:val="center"/>
          </w:tcPr>
          <w:p w14:paraId="3B3EC1BA">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接口规范、跨系统兼容评审</w:t>
            </w:r>
          </w:p>
        </w:tc>
        <w:tc>
          <w:tcPr>
            <w:tcW w:w="2010" w:type="dxa"/>
            <w:vAlign w:val="center"/>
          </w:tcPr>
          <w:p w14:paraId="5F74B0F6">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EA Blueprint / API Gateway</w:t>
            </w:r>
          </w:p>
        </w:tc>
        <w:tc>
          <w:tcPr>
            <w:tcW w:w="3399" w:type="dxa"/>
            <w:vAlign w:val="center"/>
          </w:tcPr>
          <w:p w14:paraId="5263ECC7">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评审通过率（%）、接口复用率（%）</w:t>
            </w:r>
          </w:p>
        </w:tc>
      </w:tr>
      <w:tr w14:paraId="5F60FB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1" w:type="dxa"/>
            <w:vAlign w:val="center"/>
          </w:tcPr>
          <w:p w14:paraId="4AA57FE2">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开发实现</w:t>
            </w:r>
          </w:p>
        </w:tc>
        <w:tc>
          <w:tcPr>
            <w:tcW w:w="2382" w:type="dxa"/>
            <w:vAlign w:val="center"/>
          </w:tcPr>
          <w:p w14:paraId="66FC49DB">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代码编写与评审、分支策略</w:t>
            </w:r>
          </w:p>
        </w:tc>
        <w:tc>
          <w:tcPr>
            <w:tcW w:w="2010" w:type="dxa"/>
            <w:vAlign w:val="center"/>
          </w:tcPr>
          <w:p w14:paraId="3CB049DA">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GitLab / 评审插件</w:t>
            </w:r>
          </w:p>
        </w:tc>
        <w:tc>
          <w:tcPr>
            <w:tcW w:w="3399" w:type="dxa"/>
            <w:vAlign w:val="center"/>
          </w:tcPr>
          <w:p w14:paraId="50E79F83">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合入失败率（%）、平均评审时长（小时）</w:t>
            </w:r>
          </w:p>
        </w:tc>
      </w:tr>
      <w:tr w14:paraId="0A1CD6E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1" w:type="dxa"/>
            <w:vAlign w:val="center"/>
          </w:tcPr>
          <w:p w14:paraId="40E2B832">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测试验证</w:t>
            </w:r>
          </w:p>
        </w:tc>
        <w:tc>
          <w:tcPr>
            <w:tcW w:w="2382" w:type="dxa"/>
            <w:vAlign w:val="center"/>
          </w:tcPr>
          <w:p w14:paraId="46473936">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自动化测试、缺陷管理</w:t>
            </w:r>
          </w:p>
        </w:tc>
        <w:tc>
          <w:tcPr>
            <w:tcW w:w="2010" w:type="dxa"/>
            <w:vAlign w:val="center"/>
          </w:tcPr>
          <w:p w14:paraId="79A1B12B">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Jenkins / 测试平台</w:t>
            </w:r>
          </w:p>
        </w:tc>
        <w:tc>
          <w:tcPr>
            <w:tcW w:w="3399" w:type="dxa"/>
            <w:vAlign w:val="center"/>
          </w:tcPr>
          <w:p w14:paraId="316631BE">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缺陷密度（缺陷/千行代码）、自动化覆盖率（%）</w:t>
            </w:r>
          </w:p>
        </w:tc>
      </w:tr>
      <w:tr w14:paraId="1A0938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1" w:type="dxa"/>
            <w:vAlign w:val="center"/>
          </w:tcPr>
          <w:p w14:paraId="6CC8DF8B">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CI/CD</w:t>
            </w:r>
          </w:p>
        </w:tc>
        <w:tc>
          <w:tcPr>
            <w:tcW w:w="2382" w:type="dxa"/>
            <w:vAlign w:val="center"/>
          </w:tcPr>
          <w:p w14:paraId="600A1FEB">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构建、制品管理、容器化部署</w:t>
            </w:r>
          </w:p>
        </w:tc>
        <w:tc>
          <w:tcPr>
            <w:tcW w:w="2010" w:type="dxa"/>
            <w:vAlign w:val="center"/>
          </w:tcPr>
          <w:p w14:paraId="51C80663">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Jenkins / 制品库 / K8s平台</w:t>
            </w:r>
          </w:p>
        </w:tc>
        <w:tc>
          <w:tcPr>
            <w:tcW w:w="3399" w:type="dxa"/>
            <w:vAlign w:val="center"/>
          </w:tcPr>
          <w:p w14:paraId="1B5E6E09">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构建成功率（%）、平均恢复时间MTTR（小时）</w:t>
            </w:r>
          </w:p>
        </w:tc>
      </w:tr>
      <w:tr w14:paraId="7D0E67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51" w:type="dxa"/>
            <w:vAlign w:val="center"/>
          </w:tcPr>
          <w:p w14:paraId="194B8C5E">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运行维护</w:t>
            </w:r>
          </w:p>
        </w:tc>
        <w:tc>
          <w:tcPr>
            <w:tcW w:w="2382" w:type="dxa"/>
            <w:vAlign w:val="center"/>
          </w:tcPr>
          <w:p w14:paraId="150D83CA">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监控、告警、容量管理</w:t>
            </w:r>
          </w:p>
        </w:tc>
        <w:tc>
          <w:tcPr>
            <w:tcW w:w="2010" w:type="dxa"/>
            <w:vAlign w:val="center"/>
          </w:tcPr>
          <w:p w14:paraId="2B9879E5">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AIOps / 日志平台</w:t>
            </w:r>
          </w:p>
        </w:tc>
        <w:tc>
          <w:tcPr>
            <w:tcW w:w="3399" w:type="dxa"/>
            <w:vAlign w:val="center"/>
          </w:tcPr>
          <w:p w14:paraId="6A856136">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平均无故障时间MTBF（小时）、SLA达成率（%）</w:t>
            </w:r>
          </w:p>
        </w:tc>
      </w:tr>
    </w:tbl>
    <w:p w14:paraId="47F9510B">
      <w:pPr>
        <w:shd w:val="clear" w:color="auto" w:fill="FFFFFF"/>
        <w:spacing w:line="400" w:lineRule="exact"/>
        <w:ind w:firstLine="480"/>
        <w:rPr>
          <w:rFonts w:ascii="Times New Roman" w:hAnsi="Times New Roman" w:eastAsiaTheme="minorEastAsia"/>
          <w:bCs/>
          <w:color w:val="auto"/>
        </w:rPr>
      </w:pPr>
      <w:r>
        <w:rPr>
          <w:rFonts w:ascii="Times New Roman" w:hAnsi="Times New Roman" w:eastAsiaTheme="minorEastAsia"/>
          <w:bCs/>
          <w:color w:val="auto"/>
        </w:rPr>
        <w:t>（</w:t>
      </w:r>
      <w:r>
        <w:rPr>
          <w:rFonts w:hint="eastAsia" w:ascii="Times New Roman" w:hAnsi="Times New Roman" w:eastAsiaTheme="minorEastAsia"/>
          <w:bCs/>
          <w:color w:val="auto"/>
          <w:lang w:val="en-US" w:eastAsia="zh-CN"/>
        </w:rPr>
        <w:t>3</w:t>
      </w:r>
      <w:r>
        <w:rPr>
          <w:rFonts w:ascii="Times New Roman" w:hAnsi="Times New Roman" w:eastAsiaTheme="minorEastAsia"/>
          <w:bCs/>
          <w:color w:val="auto"/>
        </w:rPr>
        <w:t>）人机物的资源池化配置</w:t>
      </w:r>
    </w:p>
    <w:p w14:paraId="4DEDDD06">
      <w:pPr>
        <w:pStyle w:val="57"/>
        <w:ind w:firstLine="480"/>
        <w:jc w:val="both"/>
        <w:rPr>
          <w:color w:val="auto"/>
        </w:rPr>
      </w:pPr>
      <w:r>
        <w:rPr>
          <w:color w:val="auto"/>
        </w:rPr>
        <w:t>H公司在资源配置上采用人</w:t>
      </w:r>
      <w:r>
        <w:rPr>
          <w:rFonts w:hint="eastAsia"/>
          <w:color w:val="auto"/>
        </w:rPr>
        <w:t>、</w:t>
      </w:r>
      <w:r>
        <w:rPr>
          <w:color w:val="auto"/>
        </w:rPr>
        <w:t>机</w:t>
      </w:r>
      <w:r>
        <w:rPr>
          <w:rFonts w:hint="eastAsia"/>
          <w:color w:val="auto"/>
        </w:rPr>
        <w:t>、</w:t>
      </w:r>
      <w:r>
        <w:rPr>
          <w:color w:val="auto"/>
        </w:rPr>
        <w:t>物一体化资源池模式，实现资源的共享与弹性调度。在人力资源方面，通过能力等级（L1–L4）分层与跨职能团队配置，增强项目灵活性与技能复用；在计算资源方面，利用私有云与混合云环境，由Kubernetes统一调度，实现高并发与自动伸缩；在工具与资产方面，构建模块化DevOps工具链，实现统一授权与成本归集。表3-2总结了资源配置的结构、管理方式</w:t>
      </w:r>
      <w:r>
        <w:rPr>
          <w:rFonts w:hint="eastAsia"/>
          <w:color w:val="auto"/>
        </w:rPr>
        <w:t>以及</w:t>
      </w:r>
      <w:r>
        <w:rPr>
          <w:color w:val="auto"/>
        </w:rPr>
        <w:t>潜在</w:t>
      </w:r>
      <w:r>
        <w:rPr>
          <w:rFonts w:hint="eastAsia"/>
          <w:color w:val="auto"/>
        </w:rPr>
        <w:t>的</w:t>
      </w:r>
      <w:r>
        <w:rPr>
          <w:color w:val="auto"/>
        </w:rPr>
        <w:t>约束。</w:t>
      </w:r>
    </w:p>
    <w:p w14:paraId="5703567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表3-2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人</w:t>
      </w:r>
      <w:r>
        <w:rPr>
          <w:rFonts w:hint="eastAsia" w:ascii="Times New Roman" w:hAnsi="Times New Roman" w:cs="Times New Roman"/>
          <w:color w:val="auto"/>
          <w:sz w:val="21"/>
          <w:szCs w:val="21"/>
        </w:rPr>
        <w:t>、</w:t>
      </w:r>
      <w:r>
        <w:rPr>
          <w:rFonts w:ascii="Times New Roman" w:hAnsi="Times New Roman" w:cs="Times New Roman"/>
          <w:color w:val="auto"/>
          <w:sz w:val="21"/>
          <w:szCs w:val="21"/>
        </w:rPr>
        <w:t>机</w:t>
      </w:r>
      <w:r>
        <w:rPr>
          <w:rFonts w:hint="eastAsia" w:ascii="Times New Roman" w:hAnsi="Times New Roman" w:cs="Times New Roman"/>
          <w:color w:val="auto"/>
          <w:sz w:val="21"/>
          <w:szCs w:val="21"/>
        </w:rPr>
        <w:t>、</w:t>
      </w:r>
      <w:r>
        <w:rPr>
          <w:rFonts w:ascii="Times New Roman" w:hAnsi="Times New Roman" w:cs="Times New Roman"/>
          <w:color w:val="auto"/>
          <w:sz w:val="21"/>
          <w:szCs w:val="21"/>
        </w:rPr>
        <w:t>物资源配置现状矩阵</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4"/>
        <w:gridCol w:w="1995"/>
        <w:gridCol w:w="2400"/>
        <w:gridCol w:w="3159"/>
      </w:tblGrid>
      <w:tr w14:paraId="0F6590E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4" w:type="dxa"/>
            <w:tcBorders>
              <w:bottom w:val="single" w:color="auto" w:sz="8" w:space="0"/>
              <w:insideH w:val="single" w:sz="8" w:space="0"/>
            </w:tcBorders>
            <w:vAlign w:val="center"/>
          </w:tcPr>
          <w:p w14:paraId="0EDA5011">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资源维度</w:t>
            </w:r>
          </w:p>
        </w:tc>
        <w:tc>
          <w:tcPr>
            <w:tcW w:w="1995" w:type="dxa"/>
            <w:tcBorders>
              <w:bottom w:val="single" w:color="auto" w:sz="8" w:space="0"/>
              <w:insideH w:val="single" w:sz="8" w:space="0"/>
            </w:tcBorders>
            <w:vAlign w:val="center"/>
          </w:tcPr>
          <w:p w14:paraId="505AD38E">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配置形态</w:t>
            </w:r>
          </w:p>
        </w:tc>
        <w:tc>
          <w:tcPr>
            <w:tcW w:w="2400" w:type="dxa"/>
            <w:tcBorders>
              <w:bottom w:val="single" w:color="auto" w:sz="8" w:space="0"/>
              <w:insideH w:val="single" w:sz="8" w:space="0"/>
            </w:tcBorders>
            <w:vAlign w:val="center"/>
          </w:tcPr>
          <w:p w14:paraId="2CF78E2E">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管理方式</w:t>
            </w:r>
          </w:p>
        </w:tc>
        <w:tc>
          <w:tcPr>
            <w:tcW w:w="3159" w:type="dxa"/>
            <w:tcBorders>
              <w:bottom w:val="single" w:color="auto" w:sz="8" w:space="0"/>
              <w:insideH w:val="single" w:sz="8" w:space="0"/>
            </w:tcBorders>
            <w:vAlign w:val="center"/>
          </w:tcPr>
          <w:p w14:paraId="0F52BE1E">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可能约束</w:t>
            </w:r>
          </w:p>
        </w:tc>
      </w:tr>
      <w:tr w14:paraId="2E65EF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4" w:type="dxa"/>
            <w:vAlign w:val="center"/>
          </w:tcPr>
          <w:p w14:paraId="496D6D4F">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人（人力）</w:t>
            </w:r>
          </w:p>
        </w:tc>
        <w:tc>
          <w:tcPr>
            <w:tcW w:w="1995" w:type="dxa"/>
            <w:vAlign w:val="center"/>
          </w:tcPr>
          <w:p w14:paraId="2BCD8D93">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跨职能小组、能力分层（L1–L4）</w:t>
            </w:r>
          </w:p>
        </w:tc>
        <w:tc>
          <w:tcPr>
            <w:tcW w:w="2400" w:type="dxa"/>
            <w:vAlign w:val="center"/>
          </w:tcPr>
          <w:p w14:paraId="134CD4A1">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PMO统筹+团队自组织</w:t>
            </w:r>
          </w:p>
        </w:tc>
        <w:tc>
          <w:tcPr>
            <w:tcW w:w="3159" w:type="dxa"/>
            <w:vAlign w:val="center"/>
          </w:tcPr>
          <w:p w14:paraId="5320107B">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高级人力稀缺→评审排队→合入延迟</w:t>
            </w:r>
          </w:p>
        </w:tc>
      </w:tr>
      <w:tr w14:paraId="3815E9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4" w:type="dxa"/>
            <w:vAlign w:val="center"/>
          </w:tcPr>
          <w:p w14:paraId="082D247B">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机（算力/环境）</w:t>
            </w:r>
          </w:p>
        </w:tc>
        <w:tc>
          <w:tcPr>
            <w:tcW w:w="1995" w:type="dxa"/>
            <w:vAlign w:val="center"/>
          </w:tcPr>
          <w:p w14:paraId="2340000B">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私有云/混合云、容器化</w:t>
            </w:r>
          </w:p>
        </w:tc>
        <w:tc>
          <w:tcPr>
            <w:tcW w:w="2400" w:type="dxa"/>
            <w:vAlign w:val="center"/>
          </w:tcPr>
          <w:p w14:paraId="4B3D4E10">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Kubernetes统一调度</w:t>
            </w:r>
          </w:p>
        </w:tc>
        <w:tc>
          <w:tcPr>
            <w:tcW w:w="3159" w:type="dxa"/>
            <w:vAlign w:val="center"/>
          </w:tcPr>
          <w:p w14:paraId="03085497">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异构环境→流水线模板多版本→维护成本上升</w:t>
            </w:r>
          </w:p>
        </w:tc>
      </w:tr>
      <w:tr w14:paraId="4879B7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4" w:type="dxa"/>
            <w:vAlign w:val="center"/>
          </w:tcPr>
          <w:p w14:paraId="667A314F">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物（工具/资产）</w:t>
            </w:r>
          </w:p>
        </w:tc>
        <w:tc>
          <w:tcPr>
            <w:tcW w:w="1995" w:type="dxa"/>
            <w:vAlign w:val="center"/>
          </w:tcPr>
          <w:p w14:paraId="3E1AD453">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模块化工具链</w:t>
            </w:r>
          </w:p>
        </w:tc>
        <w:tc>
          <w:tcPr>
            <w:tcW w:w="2400" w:type="dxa"/>
            <w:vAlign w:val="center"/>
          </w:tcPr>
          <w:p w14:paraId="404EA6F5">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统一授权与费用归集</w:t>
            </w:r>
          </w:p>
        </w:tc>
        <w:tc>
          <w:tcPr>
            <w:tcW w:w="3159" w:type="dxa"/>
            <w:vAlign w:val="center"/>
          </w:tcPr>
          <w:p w14:paraId="2BB018B5">
            <w:pPr>
              <w:keepNext w:val="0"/>
              <w:keepLines w:val="0"/>
              <w:pageBreakBefore w:val="0"/>
              <w:widowControl/>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auto"/>
                <w:sz w:val="21"/>
                <w:szCs w:val="21"/>
              </w:rPr>
            </w:pPr>
            <w:r>
              <w:rPr>
                <w:rFonts w:ascii="Times New Roman" w:hAnsi="Times New Roman" w:cs="Times New Roman"/>
                <w:color w:val="auto"/>
                <w:sz w:val="21"/>
                <w:szCs w:val="21"/>
              </w:rPr>
              <w:t>工具链耦合高→跨产品整合难↑</w:t>
            </w:r>
          </w:p>
        </w:tc>
      </w:tr>
    </w:tbl>
    <w:p w14:paraId="18F65071">
      <w:pPr>
        <w:shd w:val="clear" w:color="auto" w:fill="FFFFFF"/>
        <w:spacing w:line="400" w:lineRule="exact"/>
        <w:ind w:firstLine="480"/>
        <w:rPr>
          <w:rFonts w:ascii="Times New Roman" w:hAnsi="Times New Roman" w:eastAsiaTheme="minorEastAsia"/>
          <w:bCs/>
          <w:color w:val="auto"/>
        </w:rPr>
      </w:pPr>
      <w:r>
        <w:rPr>
          <w:rFonts w:ascii="Times New Roman" w:hAnsi="Times New Roman" w:eastAsiaTheme="minorEastAsia"/>
          <w:bCs/>
          <w:color w:val="auto"/>
        </w:rPr>
        <w:t>（</w:t>
      </w:r>
      <w:r>
        <w:rPr>
          <w:rFonts w:hint="eastAsia" w:ascii="Times New Roman" w:hAnsi="Times New Roman" w:eastAsiaTheme="minorEastAsia"/>
          <w:bCs/>
          <w:color w:val="auto"/>
          <w:lang w:val="en-US" w:eastAsia="zh-CN"/>
        </w:rPr>
        <w:t>4</w:t>
      </w:r>
      <w:r>
        <w:rPr>
          <w:rFonts w:ascii="Times New Roman" w:hAnsi="Times New Roman" w:eastAsiaTheme="minorEastAsia"/>
          <w:bCs/>
          <w:color w:val="auto"/>
        </w:rPr>
        <w:t>）综合分析</w:t>
      </w:r>
    </w:p>
    <w:p w14:paraId="7C6A5CFF">
      <w:pPr>
        <w:pStyle w:val="57"/>
        <w:ind w:firstLine="480"/>
        <w:jc w:val="both"/>
        <w:rPr>
          <w:color w:val="auto"/>
        </w:rPr>
      </w:pPr>
      <w:r>
        <w:rPr>
          <w:color w:val="auto"/>
        </w:rPr>
        <w:t>H公司以治理分层</w:t>
      </w:r>
      <w:r>
        <w:rPr>
          <w:rFonts w:hint="eastAsia"/>
          <w:color w:val="auto"/>
        </w:rPr>
        <w:t>、</w:t>
      </w:r>
      <w:r>
        <w:rPr>
          <w:color w:val="auto"/>
        </w:rPr>
        <w:t>流程编排</w:t>
      </w:r>
      <w:r>
        <w:rPr>
          <w:rFonts w:hint="eastAsia"/>
          <w:color w:val="auto"/>
        </w:rPr>
        <w:t>、</w:t>
      </w:r>
      <w:r>
        <w:rPr>
          <w:color w:val="auto"/>
        </w:rPr>
        <w:t>资源池化的模式在合规审计与交付效率之间建立了稳定的动态平衡。然而，在高频变更与多系统协作的环境下，仍存在以下结构性问题：</w:t>
      </w:r>
    </w:p>
    <w:p w14:paraId="4280C5FA">
      <w:pPr>
        <w:pStyle w:val="57"/>
        <w:ind w:firstLine="480"/>
        <w:jc w:val="both"/>
        <w:rPr>
          <w:color w:val="auto"/>
        </w:rPr>
      </w:pPr>
      <w:r>
        <w:rPr>
          <w:color w:val="auto"/>
        </w:rPr>
        <w:t>1）需求传递在跨角色与跨系统链路中存在延迟与信息失真</w:t>
      </w:r>
      <w:r>
        <w:rPr>
          <w:rFonts w:hint="eastAsia"/>
          <w:color w:val="auto"/>
        </w:rPr>
        <w:t>。</w:t>
      </w:r>
    </w:p>
    <w:p w14:paraId="7645D406">
      <w:pPr>
        <w:pStyle w:val="57"/>
        <w:ind w:firstLine="480"/>
        <w:jc w:val="both"/>
        <w:rPr>
          <w:color w:val="auto"/>
        </w:rPr>
      </w:pPr>
      <w:r>
        <w:rPr>
          <w:color w:val="auto"/>
        </w:rPr>
        <w:t>2）安全活动相对后置，导致部分缺陷与合规问题在发布阶段集中暴露</w:t>
      </w:r>
      <w:r>
        <w:rPr>
          <w:rFonts w:hint="eastAsia"/>
          <w:color w:val="auto"/>
        </w:rPr>
        <w:t>。</w:t>
      </w:r>
    </w:p>
    <w:p w14:paraId="596E06B8">
      <w:pPr>
        <w:pStyle w:val="57"/>
        <w:ind w:firstLine="480"/>
        <w:jc w:val="both"/>
        <w:rPr>
          <w:color w:val="auto"/>
        </w:rPr>
      </w:pPr>
      <w:r>
        <w:rPr>
          <w:color w:val="auto"/>
        </w:rPr>
        <w:t>3）版本并行与快速修补加速了技术债务的积累，增加架构复杂度</w:t>
      </w:r>
      <w:r>
        <w:rPr>
          <w:rFonts w:hint="eastAsia"/>
          <w:color w:val="auto"/>
        </w:rPr>
        <w:t>。</w:t>
      </w:r>
    </w:p>
    <w:p w14:paraId="4EF685D1">
      <w:pPr>
        <w:pStyle w:val="57"/>
        <w:ind w:firstLine="480"/>
        <w:jc w:val="both"/>
        <w:rPr>
          <w:color w:val="auto"/>
        </w:rPr>
      </w:pPr>
      <w:r>
        <w:rPr>
          <w:color w:val="auto"/>
        </w:rPr>
        <w:t>4）AIOps模型覆盖不足，运维预测与自愈能力尚未充分发挥</w:t>
      </w:r>
      <w:r>
        <w:rPr>
          <w:rFonts w:hint="eastAsia"/>
          <w:color w:val="auto"/>
        </w:rPr>
        <w:t>。</w:t>
      </w:r>
    </w:p>
    <w:p w14:paraId="1E6478FC">
      <w:pPr>
        <w:pStyle w:val="57"/>
        <w:ind w:firstLine="480"/>
        <w:jc w:val="both"/>
        <w:rPr>
          <w:color w:val="auto"/>
        </w:rPr>
      </w:pPr>
      <w:r>
        <w:rPr>
          <w:color w:val="auto"/>
        </w:rPr>
        <w:t>5）多节点审批与重复确认导致跨职能协作效率受限。</w:t>
      </w:r>
    </w:p>
    <w:p w14:paraId="26DDB0A4">
      <w:pPr>
        <w:pStyle w:val="57"/>
        <w:ind w:firstLine="480"/>
        <w:jc w:val="both"/>
        <w:rPr>
          <w:rFonts w:hint="eastAsia"/>
          <w:color w:val="auto"/>
        </w:rPr>
      </w:pPr>
      <w:r>
        <w:rPr>
          <w:color w:val="auto"/>
        </w:rPr>
        <w:t>这些问题在一定程度上提升了流程复杂度与质量波动风险。基于</w:t>
      </w:r>
      <w:r>
        <w:rPr>
          <w:rFonts w:hint="eastAsia"/>
          <w:color w:val="auto"/>
        </w:rPr>
        <w:t>这些问题</w:t>
      </w:r>
      <w:r>
        <w:rPr>
          <w:color w:val="auto"/>
        </w:rPr>
        <w:t>，后续</w:t>
      </w:r>
      <w:r>
        <w:rPr>
          <w:rFonts w:hint="eastAsia"/>
          <w:color w:val="auto"/>
        </w:rPr>
        <w:t>将</w:t>
      </w:r>
    </w:p>
    <w:p w14:paraId="5A9A66BB">
      <w:pPr>
        <w:pStyle w:val="57"/>
        <w:ind w:left="0" w:leftChars="0" w:firstLine="0" w:firstLineChars="0"/>
        <w:jc w:val="both"/>
        <w:rPr>
          <w:rFonts w:eastAsiaTheme="minorEastAsia"/>
          <w:bCs w:val="0"/>
          <w:color w:val="auto"/>
        </w:rPr>
      </w:pPr>
      <w:r>
        <w:rPr>
          <w:rFonts w:hint="eastAsia"/>
          <w:color w:val="auto"/>
        </w:rPr>
        <w:t>通</w:t>
      </w:r>
      <w:r>
        <w:rPr>
          <w:color w:val="auto"/>
        </w:rPr>
        <w:t>过统一口径的过程度量，重点分析需求变更管理、持续交付效</w:t>
      </w:r>
      <w:r>
        <w:rPr>
          <w:rFonts w:hint="eastAsia"/>
          <w:color w:val="auto"/>
        </w:rPr>
        <w:t>和版</w:t>
      </w:r>
      <w:r>
        <w:rPr>
          <w:color w:val="auto"/>
        </w:rPr>
        <w:t>本治理等关键环节，明确能力基线与波动范围；结合结果，从需求追踪、风险时序、技术债务、智能化水平与协作效率五个维度展开机制诊断，为后续系统优化提供数据依据与理论支撑。</w:t>
      </w:r>
    </w:p>
    <w:p w14:paraId="13ACAF74">
      <w:pPr>
        <w:pStyle w:val="3"/>
        <w:keepNext/>
        <w:keepLines/>
        <w:numPr>
          <w:ilvl w:val="1"/>
          <w:numId w:val="0"/>
        </w:numPr>
        <w:adjustRightInd/>
        <w:snapToGrid/>
        <w:rPr>
          <w:rFonts w:ascii="Times New Roman" w:hAnsi="Times New Roman"/>
          <w:bCs/>
          <w:color w:val="auto"/>
          <w:szCs w:val="32"/>
        </w:rPr>
      </w:pPr>
      <w:bookmarkStart w:id="198" w:name="_Toc213192516"/>
      <w:bookmarkStart w:id="199" w:name="_Toc213190808"/>
      <w:bookmarkStart w:id="200" w:name="_Toc213192824"/>
      <w:bookmarkStart w:id="201" w:name="_Toc31076"/>
      <w:r>
        <w:rPr>
          <w:rFonts w:hint="eastAsia" w:ascii="Times New Roman" w:hAnsi="Times New Roman"/>
          <w:bCs/>
          <w:color w:val="auto"/>
          <w:szCs w:val="32"/>
        </w:rPr>
        <w:t xml:space="preserve">3.2 </w:t>
      </w:r>
      <w:r>
        <w:rPr>
          <w:rFonts w:ascii="Times New Roman" w:hAnsi="Times New Roman"/>
          <w:bCs/>
          <w:color w:val="auto"/>
          <w:szCs w:val="32"/>
        </w:rPr>
        <w:t>H</w:t>
      </w:r>
      <w:r>
        <w:rPr>
          <w:rFonts w:hint="eastAsia" w:ascii="Times New Roman" w:hAnsi="Times New Roman"/>
          <w:bCs/>
          <w:color w:val="auto"/>
          <w:szCs w:val="32"/>
        </w:rPr>
        <w:t>公司软件开发过程能力评估方法与结果概述</w:t>
      </w:r>
      <w:bookmarkEnd w:id="198"/>
      <w:bookmarkEnd w:id="199"/>
      <w:bookmarkEnd w:id="200"/>
      <w:bookmarkEnd w:id="201"/>
    </w:p>
    <w:p w14:paraId="39EEF252">
      <w:pPr>
        <w:pStyle w:val="57"/>
        <w:ind w:firstLine="480"/>
        <w:jc w:val="both"/>
        <w:rPr>
          <w:color w:val="auto"/>
        </w:rPr>
      </w:pPr>
      <w:r>
        <w:rPr>
          <w:color w:val="auto"/>
        </w:rPr>
        <w:t>为系统识别H公司软件开发过程中的关键问题与能力短板，</w:t>
      </w:r>
      <w:r>
        <w:rPr>
          <w:rFonts w:hint="eastAsia"/>
          <w:color w:val="auto"/>
        </w:rPr>
        <w:t>我们将</w:t>
      </w:r>
      <w:r>
        <w:rPr>
          <w:color w:val="auto"/>
        </w:rPr>
        <w:t>基于能力成熟度模型集成（CMMI 2.0）与DevOps工程实践度量体系（DORA指标），构建了兼顾过程规范化、技术自动化与组织协同三个层面的综合评估框架。该框架旨在通过量化分析揭示企业在软件开发生命周期（SDLC）各环节的运行特征，为后续的机制诊断与改进研究提供可验证的数据依据。</w:t>
      </w:r>
    </w:p>
    <w:p w14:paraId="4FEC0B66">
      <w:pPr>
        <w:pStyle w:val="57"/>
        <w:ind w:firstLine="480"/>
        <w:jc w:val="both"/>
        <w:rPr>
          <w:color w:val="auto"/>
        </w:rPr>
      </w:pPr>
      <w:r>
        <w:rPr>
          <w:color w:val="auto"/>
        </w:rPr>
        <w:t>在评估设计方面，研究团队综合运用了CMMI 2.0的关键实践域（需求管理、风险控制、度量与绩效管理等），并引入DevOps Research &amp; Assessment（DORA）模型的四项核心指标</w:t>
      </w:r>
      <w:r>
        <w:rPr>
          <w:rFonts w:hint="eastAsia"/>
          <w:color w:val="auto"/>
        </w:rPr>
        <w:t>：</w:t>
      </w:r>
      <w:r>
        <w:rPr>
          <w:color w:val="auto"/>
        </w:rPr>
        <w:t>交付周期、部署频率、变更失败率</w:t>
      </w:r>
      <w:r>
        <w:rPr>
          <w:rFonts w:hint="eastAsia"/>
          <w:color w:val="auto"/>
        </w:rPr>
        <w:t>以及</w:t>
      </w:r>
      <w:r>
        <w:rPr>
          <w:color w:val="auto"/>
        </w:rPr>
        <w:t>平均恢复时间（MTTR）。通过文献对标与企业特征分析，最终形成了覆盖五个能力维度的评估体系，分别为：需求管理、安全控制、技术债务治理、运维智能化与跨职能协作。五个维度既反映了软件工程的核心环节，也揭示了H公司在推进DevOps转型过程中的结构性约束。</w:t>
      </w:r>
    </w:p>
    <w:p w14:paraId="2507CED6">
      <w:pPr>
        <w:pStyle w:val="57"/>
        <w:ind w:firstLine="480"/>
        <w:jc w:val="both"/>
        <w:rPr>
          <w:color w:val="auto"/>
        </w:rPr>
      </w:pPr>
      <w:r>
        <w:rPr>
          <w:color w:val="auto"/>
        </w:rPr>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3-5）。</w:t>
      </w:r>
    </w:p>
    <w:p w14:paraId="2D06E44F">
      <w:pPr>
        <w:ind w:left="0" w:leftChars="0" w:firstLine="0" w:firstLineChars="0"/>
        <w:rPr>
          <w:color w:val="auto"/>
        </w:rPr>
      </w:pPr>
      <w:r>
        <w:rPr>
          <w:rFonts w:hint="eastAsia"/>
          <w:color w:val="auto"/>
        </w:rPr>
        <w:drawing>
          <wp:inline distT="0" distB="0" distL="0" distR="0">
            <wp:extent cx="5866765" cy="2331720"/>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7" r:lo="rId98" r:qs="rId99" r:cs="rId100"/>
              </a:graphicData>
            </a:graphic>
          </wp:inline>
        </w:drawing>
      </w:r>
    </w:p>
    <w:p w14:paraId="1C844E5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图3-5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H公司软件开发过程能力评估五维结构模型</w:t>
      </w:r>
    </w:p>
    <w:p w14:paraId="7FE44DF0">
      <w:pPr>
        <w:pStyle w:val="57"/>
        <w:ind w:firstLine="480"/>
        <w:jc w:val="both"/>
        <w:rPr>
          <w:color w:val="auto"/>
        </w:rPr>
      </w:pPr>
      <w:r>
        <w:rPr>
          <w:color w:val="auto"/>
        </w:rPr>
        <w:t>在数据采集与验证阶段，研究采用多源融合</w:t>
      </w:r>
      <w:r>
        <w:rPr>
          <w:rFonts w:hint="eastAsia"/>
          <w:color w:val="auto"/>
        </w:rPr>
        <w:t>结合专</w:t>
      </w:r>
      <w:r>
        <w:rPr>
          <w:color w:val="auto"/>
        </w:rPr>
        <w:t>家校验的实证方法。首先，从公司内部Jira、Sonar</w:t>
      </w:r>
      <w:r>
        <w:rPr>
          <w:rFonts w:hint="eastAsia"/>
          <w:color w:val="auto"/>
          <w:lang w:val="en-US" w:eastAsia="zh-CN"/>
        </w:rPr>
        <w:t xml:space="preserve"> </w:t>
      </w:r>
      <w:r>
        <w:rPr>
          <w:color w:val="auto"/>
        </w:rPr>
        <w:t>Qube、Jenkins、Nexus与Prometheus等平台提取</w:t>
      </w:r>
      <w:r>
        <w:rPr>
          <w:rFonts w:hint="eastAsia"/>
          <w:color w:val="auto"/>
        </w:rPr>
        <w:t>到的最近几</w:t>
      </w:r>
      <w:r>
        <w:rPr>
          <w:color w:val="auto"/>
        </w:rPr>
        <w:t>年的</w:t>
      </w:r>
      <w:r>
        <w:rPr>
          <w:rFonts w:hint="eastAsia"/>
          <w:color w:val="auto"/>
        </w:rPr>
        <w:t>软件开发过</w:t>
      </w:r>
      <w:r>
        <w:rPr>
          <w:color w:val="auto"/>
        </w:rPr>
        <w:t>程</w:t>
      </w:r>
      <w:r>
        <w:rPr>
          <w:rFonts w:hint="eastAsia"/>
          <w:color w:val="auto"/>
        </w:rPr>
        <w:t>的</w:t>
      </w:r>
      <w:r>
        <w:rPr>
          <w:color w:val="auto"/>
        </w:rPr>
        <w:t>数据，</w:t>
      </w:r>
      <w:r>
        <w:rPr>
          <w:rFonts w:hint="eastAsia"/>
          <w:color w:val="auto"/>
        </w:rPr>
        <w:t>已经</w:t>
      </w:r>
      <w:r>
        <w:rPr>
          <w:color w:val="auto"/>
        </w:rPr>
        <w:t>覆盖46个主要迭代版本，用以获取研发活动的全过程记录。其次，对16位项目经理、架构师、安全与运维负责人进行半结构化访谈，验证量化结果的合理性与解释力。最后，采用层次分析法（AHP）确定指标权重，并结合差距分析（Gap Analysis）识别能力短板。所有数据经标准化处理后，按照五级能力等级（初始级、可重复级、定义级、量化管理级、优化级）进行评分与分级归类。</w:t>
      </w:r>
    </w:p>
    <w:p w14:paraId="57CE0AB6">
      <w:pPr>
        <w:pStyle w:val="57"/>
        <w:ind w:firstLine="480"/>
        <w:jc w:val="both"/>
        <w:rPr>
          <w:color w:val="auto"/>
        </w:rPr>
      </w:pPr>
      <w:r>
        <w:rPr>
          <w:color w:val="auto"/>
        </w:rPr>
        <w:t>评估结果显示，H公司软件开发过程总体得分为</w:t>
      </w:r>
      <w:r>
        <w:rPr>
          <w:rFonts w:hint="eastAsia"/>
          <w:color w:val="auto"/>
        </w:rPr>
        <w:t>较为一般</w:t>
      </w:r>
      <w:r>
        <w:rPr>
          <w:color w:val="auto"/>
        </w:rPr>
        <w:t>，对应CMMI定义级（Level 3）的下限。这表明企业在流程制度化与质量控制方面已具备稳定基础，但在灵活性、自动化与组织协同层面仍存在不足。从五个维度的结果分布来看，改进空间主要集中在效率</w:t>
      </w:r>
      <w:r>
        <w:rPr>
          <w:rFonts w:hint="eastAsia"/>
          <w:color w:val="auto"/>
        </w:rPr>
        <w:t>、</w:t>
      </w:r>
      <w:r>
        <w:rPr>
          <w:color w:val="auto"/>
        </w:rPr>
        <w:t>安全</w:t>
      </w:r>
      <w:r>
        <w:rPr>
          <w:rFonts w:hint="eastAsia"/>
          <w:color w:val="auto"/>
        </w:rPr>
        <w:t>、</w:t>
      </w:r>
      <w:r>
        <w:rPr>
          <w:color w:val="auto"/>
        </w:rPr>
        <w:t>协同三条主线上（见表3-3）。</w:t>
      </w:r>
    </w:p>
    <w:p w14:paraId="254B2F9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表3-3</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H公司软件开发过程能力评估结果汇总表</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6"/>
        <w:gridCol w:w="2928"/>
        <w:gridCol w:w="765"/>
        <w:gridCol w:w="780"/>
        <w:gridCol w:w="1334"/>
        <w:gridCol w:w="1822"/>
      </w:tblGrid>
      <w:tr w14:paraId="7FC5D11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bottom w:val="single" w:color="auto" w:sz="8" w:space="0"/>
              <w:insideH w:val="single" w:sz="8" w:space="0"/>
            </w:tcBorders>
            <w:vAlign w:val="center"/>
          </w:tcPr>
          <w:p w14:paraId="28C040C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维度</w:t>
            </w:r>
          </w:p>
        </w:tc>
        <w:tc>
          <w:tcPr>
            <w:tcW w:w="2928" w:type="dxa"/>
            <w:tcBorders>
              <w:bottom w:val="single" w:color="auto" w:sz="8" w:space="0"/>
              <w:insideH w:val="single" w:sz="8" w:space="0"/>
            </w:tcBorders>
            <w:vAlign w:val="center"/>
          </w:tcPr>
          <w:p w14:paraId="244BB10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关键指标</w:t>
            </w:r>
          </w:p>
        </w:tc>
        <w:tc>
          <w:tcPr>
            <w:tcW w:w="765" w:type="dxa"/>
            <w:tcBorders>
              <w:bottom w:val="single" w:color="auto" w:sz="8" w:space="0"/>
              <w:insideH w:val="single" w:sz="8" w:space="0"/>
            </w:tcBorders>
            <w:vAlign w:val="center"/>
          </w:tcPr>
          <w:p w14:paraId="05CBC17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结果数值</w:t>
            </w:r>
          </w:p>
        </w:tc>
        <w:tc>
          <w:tcPr>
            <w:tcW w:w="780" w:type="dxa"/>
            <w:tcBorders>
              <w:bottom w:val="single" w:color="auto" w:sz="8" w:space="0"/>
              <w:insideH w:val="single" w:sz="8" w:space="0"/>
            </w:tcBorders>
            <w:vAlign w:val="center"/>
          </w:tcPr>
          <w:p w14:paraId="01AF746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行业基线</w:t>
            </w:r>
          </w:p>
        </w:tc>
        <w:tc>
          <w:tcPr>
            <w:tcW w:w="1334" w:type="dxa"/>
            <w:tcBorders>
              <w:bottom w:val="single" w:color="auto" w:sz="8" w:space="0"/>
              <w:insideH w:val="single" w:sz="8" w:space="0"/>
            </w:tcBorders>
            <w:vAlign w:val="center"/>
          </w:tcPr>
          <w:p w14:paraId="2330EB0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能力等级</w:t>
            </w:r>
          </w:p>
        </w:tc>
        <w:tc>
          <w:tcPr>
            <w:tcW w:w="1822" w:type="dxa"/>
            <w:tcBorders>
              <w:bottom w:val="single" w:color="auto" w:sz="8" w:space="0"/>
              <w:insideH w:val="single" w:sz="8" w:space="0"/>
            </w:tcBorders>
            <w:vAlign w:val="center"/>
          </w:tcPr>
          <w:p w14:paraId="2C8D221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差距说明</w:t>
            </w:r>
          </w:p>
        </w:tc>
      </w:tr>
      <w:tr w14:paraId="529F2E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9DFA2D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需求管理</w:t>
            </w:r>
          </w:p>
        </w:tc>
        <w:tc>
          <w:tcPr>
            <w:tcW w:w="2928" w:type="dxa"/>
            <w:vAlign w:val="center"/>
          </w:tcPr>
          <w:p w14:paraId="5CF9AF7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需求变更响应周期（周）</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需求追踪覆盖率（%）</w:t>
            </w:r>
          </w:p>
        </w:tc>
        <w:tc>
          <w:tcPr>
            <w:tcW w:w="765" w:type="dxa"/>
            <w:vAlign w:val="center"/>
          </w:tcPr>
          <w:p w14:paraId="21232BB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4.2</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85</w:t>
            </w:r>
          </w:p>
        </w:tc>
        <w:tc>
          <w:tcPr>
            <w:tcW w:w="780" w:type="dxa"/>
            <w:vAlign w:val="center"/>
          </w:tcPr>
          <w:p w14:paraId="4891257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2.5</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90</w:t>
            </w:r>
          </w:p>
        </w:tc>
        <w:tc>
          <w:tcPr>
            <w:tcW w:w="1334" w:type="dxa"/>
            <w:vAlign w:val="center"/>
          </w:tcPr>
          <w:p w14:paraId="67B6B30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定义级（L3）</w:t>
            </w:r>
          </w:p>
        </w:tc>
        <w:tc>
          <w:tcPr>
            <w:tcW w:w="1822" w:type="dxa"/>
            <w:vAlign w:val="center"/>
          </w:tcPr>
          <w:p w14:paraId="44F5884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响应滞后，追踪链不完整</w:t>
            </w:r>
          </w:p>
        </w:tc>
      </w:tr>
      <w:tr w14:paraId="1D7744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68B200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安全控制</w:t>
            </w:r>
          </w:p>
        </w:tc>
        <w:tc>
          <w:tcPr>
            <w:tcW w:w="2928" w:type="dxa"/>
            <w:vAlign w:val="center"/>
          </w:tcPr>
          <w:p w14:paraId="48A478D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左移覆盖率（%）</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合规缺陷逃逸率（%）</w:t>
            </w:r>
          </w:p>
        </w:tc>
        <w:tc>
          <w:tcPr>
            <w:tcW w:w="765" w:type="dxa"/>
            <w:vAlign w:val="center"/>
          </w:tcPr>
          <w:p w14:paraId="0D8D98C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27</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19</w:t>
            </w:r>
          </w:p>
        </w:tc>
        <w:tc>
          <w:tcPr>
            <w:tcW w:w="780" w:type="dxa"/>
            <w:vAlign w:val="center"/>
          </w:tcPr>
          <w:p w14:paraId="6AE64A2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60</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10</w:t>
            </w:r>
          </w:p>
        </w:tc>
        <w:tc>
          <w:tcPr>
            <w:tcW w:w="1334" w:type="dxa"/>
            <w:vAlign w:val="center"/>
          </w:tcPr>
          <w:p w14:paraId="0B28CC7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可重复级（L2）</w:t>
            </w:r>
          </w:p>
        </w:tc>
        <w:tc>
          <w:tcPr>
            <w:tcW w:w="1822" w:type="dxa"/>
            <w:vAlign w:val="center"/>
          </w:tcPr>
          <w:p w14:paraId="0F90D1F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安全活动集中后期</w:t>
            </w:r>
          </w:p>
        </w:tc>
      </w:tr>
      <w:tr w14:paraId="363F4CF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F490C0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技术债务治理</w:t>
            </w:r>
          </w:p>
        </w:tc>
        <w:tc>
          <w:tcPr>
            <w:tcW w:w="2928" w:type="dxa"/>
            <w:vAlign w:val="center"/>
          </w:tcPr>
          <w:p w14:paraId="7404CAE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技术债务密度（缺陷/KLOC）</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重构工时占比（%）</w:t>
            </w:r>
          </w:p>
        </w:tc>
        <w:tc>
          <w:tcPr>
            <w:tcW w:w="765" w:type="dxa"/>
            <w:vAlign w:val="center"/>
          </w:tcPr>
          <w:p w14:paraId="3CA7BFF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3.5</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24</w:t>
            </w:r>
          </w:p>
        </w:tc>
        <w:tc>
          <w:tcPr>
            <w:tcW w:w="780" w:type="dxa"/>
            <w:vAlign w:val="center"/>
          </w:tcPr>
          <w:p w14:paraId="7B8C2C1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2.8</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15</w:t>
            </w:r>
          </w:p>
        </w:tc>
        <w:tc>
          <w:tcPr>
            <w:tcW w:w="1334" w:type="dxa"/>
            <w:vAlign w:val="center"/>
          </w:tcPr>
          <w:p w14:paraId="7540F6C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定义级（L3）</w:t>
            </w:r>
          </w:p>
        </w:tc>
        <w:tc>
          <w:tcPr>
            <w:tcW w:w="1822" w:type="dxa"/>
            <w:vAlign w:val="center"/>
          </w:tcPr>
          <w:p w14:paraId="74A94A9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架构老化，维护压力高</w:t>
            </w:r>
          </w:p>
        </w:tc>
      </w:tr>
      <w:tr w14:paraId="5DA7F17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B5106F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运维智能化</w:t>
            </w:r>
          </w:p>
        </w:tc>
        <w:tc>
          <w:tcPr>
            <w:tcW w:w="2928" w:type="dxa"/>
            <w:vAlign w:val="center"/>
          </w:tcPr>
          <w:p w14:paraId="7902D14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预测检测覆盖率（%）SLO达标率下降（高峰期）</w:t>
            </w:r>
          </w:p>
        </w:tc>
        <w:tc>
          <w:tcPr>
            <w:tcW w:w="765" w:type="dxa"/>
            <w:vAlign w:val="center"/>
          </w:tcPr>
          <w:p w14:paraId="21B3998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30</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–18</w:t>
            </w:r>
          </w:p>
        </w:tc>
        <w:tc>
          <w:tcPr>
            <w:tcW w:w="780" w:type="dxa"/>
            <w:vAlign w:val="center"/>
          </w:tcPr>
          <w:p w14:paraId="0C26199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70</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–5</w:t>
            </w:r>
          </w:p>
        </w:tc>
        <w:tc>
          <w:tcPr>
            <w:tcW w:w="1334" w:type="dxa"/>
            <w:vAlign w:val="center"/>
          </w:tcPr>
          <w:p w14:paraId="3E2B3E6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初始级（L1）</w:t>
            </w:r>
          </w:p>
        </w:tc>
        <w:tc>
          <w:tcPr>
            <w:tcW w:w="1822" w:type="dxa"/>
            <w:vAlign w:val="center"/>
          </w:tcPr>
          <w:p w14:paraId="3B32200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智能化水平不足</w:t>
            </w:r>
          </w:p>
        </w:tc>
      </w:tr>
      <w:tr w14:paraId="7D151E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9791AD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跨职能协作</w:t>
            </w:r>
          </w:p>
        </w:tc>
        <w:tc>
          <w:tcPr>
            <w:tcW w:w="2928" w:type="dxa"/>
            <w:vAlign w:val="center"/>
          </w:tcPr>
          <w:p w14:paraId="607B8D2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审批等待占迭代周期（%）</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沟通往返倍数</w:t>
            </w:r>
          </w:p>
        </w:tc>
        <w:tc>
          <w:tcPr>
            <w:tcW w:w="765" w:type="dxa"/>
            <w:vAlign w:val="center"/>
          </w:tcPr>
          <w:p w14:paraId="7B9B35F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22</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1.5×</w:t>
            </w:r>
          </w:p>
        </w:tc>
        <w:tc>
          <w:tcPr>
            <w:tcW w:w="780" w:type="dxa"/>
            <w:vAlign w:val="center"/>
          </w:tcPr>
          <w:p w14:paraId="61F68BD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10</w:t>
            </w:r>
            <w:r>
              <w:rPr>
                <w:rFonts w:ascii="Times New Roman" w:hAnsi="Times New Roman" w:cs="Times New Roman"/>
                <w:color w:val="auto"/>
                <w:sz w:val="21"/>
                <w:szCs w:val="21"/>
              </w:rPr>
              <w:br w:type="textWrapping"/>
            </w:r>
            <w:r>
              <w:rPr>
                <w:rFonts w:ascii="Times New Roman" w:hAnsi="Times New Roman" w:cs="Times New Roman"/>
                <w:color w:val="auto"/>
                <w:sz w:val="21"/>
                <w:szCs w:val="21"/>
              </w:rPr>
              <w:t>1.0×</w:t>
            </w:r>
          </w:p>
        </w:tc>
        <w:tc>
          <w:tcPr>
            <w:tcW w:w="1334" w:type="dxa"/>
            <w:vAlign w:val="center"/>
          </w:tcPr>
          <w:p w14:paraId="5868824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可重复级（L2）</w:t>
            </w:r>
          </w:p>
        </w:tc>
        <w:tc>
          <w:tcPr>
            <w:tcW w:w="1822" w:type="dxa"/>
            <w:vAlign w:val="center"/>
          </w:tcPr>
          <w:p w14:paraId="7111A70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协作机制不顺畅</w:t>
            </w:r>
          </w:p>
        </w:tc>
      </w:tr>
    </w:tbl>
    <w:p w14:paraId="1DD0A3E4">
      <w:pPr>
        <w:pStyle w:val="57"/>
        <w:ind w:firstLine="480"/>
        <w:jc w:val="both"/>
        <w:rPr>
          <w:color w:val="auto"/>
        </w:rPr>
      </w:pPr>
      <w:r>
        <w:rPr>
          <w:color w:val="auto"/>
        </w:rPr>
        <w:t>从表3-3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4.2周、追踪覆盖率不足85%；安全检测主要集中于测试阶段，设计阶段介入率仅27%；技术债务密度达每千行代码3.5个缺陷；68%的系统告警需人工干预，预测检测覆盖率仅30%；跨部门审批平均占迭代周期的22%。这些结果反映出企业在效率、安全与协同方面的结构性约束。</w:t>
      </w:r>
    </w:p>
    <w:p w14:paraId="61BEA4C0">
      <w:pPr>
        <w:pStyle w:val="57"/>
        <w:ind w:firstLine="480"/>
        <w:jc w:val="both"/>
        <w:rPr>
          <w:color w:val="auto"/>
        </w:rPr>
      </w:pPr>
      <w:r>
        <w:rPr>
          <w:rFonts w:hint="eastAsia"/>
          <w:color w:val="auto"/>
        </w:rPr>
        <w:t>由此看出</w:t>
      </w:r>
      <w:r>
        <w:rPr>
          <w:color w:val="auto"/>
        </w:rPr>
        <w:t>，H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Pr>
          <w:rFonts w:hint="eastAsia"/>
          <w:color w:val="auto"/>
        </w:rPr>
        <w:t>接下来将要</w:t>
      </w:r>
      <w:r>
        <w:rPr>
          <w:color w:val="auto"/>
        </w:rPr>
        <w:t>展开针对性的机制性分析与系统诊断。</w:t>
      </w:r>
    </w:p>
    <w:p w14:paraId="747CEBC5">
      <w:pPr>
        <w:pStyle w:val="3"/>
        <w:keepNext/>
        <w:keepLines/>
        <w:numPr>
          <w:ilvl w:val="1"/>
          <w:numId w:val="0"/>
        </w:numPr>
        <w:adjustRightInd/>
        <w:snapToGrid/>
        <w:rPr>
          <w:rFonts w:ascii="Times New Roman" w:hAnsi="Times New Roman"/>
          <w:bCs/>
          <w:color w:val="auto"/>
          <w:szCs w:val="32"/>
        </w:rPr>
      </w:pPr>
      <w:bookmarkStart w:id="202" w:name="_Toc213190809"/>
      <w:bookmarkStart w:id="203" w:name="_Toc213192825"/>
      <w:bookmarkStart w:id="204" w:name="_Toc213192517"/>
      <w:bookmarkStart w:id="205" w:name="_Toc3127"/>
      <w:r>
        <w:rPr>
          <w:rFonts w:hint="eastAsia" w:ascii="Times New Roman" w:hAnsi="Times New Roman"/>
          <w:bCs/>
          <w:color w:val="auto"/>
          <w:szCs w:val="32"/>
        </w:rPr>
        <w:t>3.3 H公司软件开发过程的主要问题</w:t>
      </w:r>
      <w:bookmarkEnd w:id="202"/>
      <w:bookmarkEnd w:id="203"/>
      <w:bookmarkEnd w:id="204"/>
      <w:bookmarkEnd w:id="205"/>
    </w:p>
    <w:p w14:paraId="56E4A554">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06" w:name="_Toc213192518"/>
      <w:bookmarkStart w:id="207" w:name="_Toc213192826"/>
      <w:bookmarkStart w:id="208" w:name="_Toc213190810"/>
      <w:bookmarkStart w:id="209" w:name="_Toc28442"/>
      <w:r>
        <w:rPr>
          <w:rFonts w:hint="eastAsia" w:ascii="Times New Roman" w:hAnsi="Times New Roman" w:eastAsia="黑体" w:cs="Times New Roman"/>
          <w:bCs/>
          <w:sz w:val="24"/>
          <w:szCs w:val="24"/>
        </w:rPr>
        <w:t>3.3.1 需求变更频繁与追踪机制不完善</w:t>
      </w:r>
      <w:bookmarkEnd w:id="206"/>
      <w:bookmarkEnd w:id="207"/>
      <w:bookmarkEnd w:id="208"/>
      <w:bookmarkEnd w:id="209"/>
    </w:p>
    <w:p w14:paraId="2CDDB900">
      <w:pPr>
        <w:pStyle w:val="57"/>
        <w:ind w:firstLine="480"/>
        <w:jc w:val="both"/>
        <w:rPr>
          <w:color w:val="auto"/>
        </w:rPr>
      </w:pPr>
      <w:r>
        <w:rPr>
          <w:color w:val="auto"/>
        </w:rPr>
        <w:t>综合评估结果显示，H公司在需求管理维度的综合得分仅位于 CMMI 定义级（Level 3）的下限，体现出流程框架虽已成型，但灵活性与端到端可追踪性仍不足。需求变更平均响应周期为 4.2 周，追踪覆盖率仅 85%，明显低于行业基线的 2.5 周与 90%。这一差距反映出企业在需求流转过程中存在系统性时滞，直接影响项目交付节奏与组织敏捷性。</w:t>
      </w:r>
    </w:p>
    <w:p w14:paraId="11838333">
      <w:pPr>
        <w:pStyle w:val="57"/>
        <w:ind w:firstLine="480"/>
        <w:jc w:val="both"/>
        <w:rPr>
          <w:color w:val="auto"/>
        </w:rPr>
      </w:pPr>
      <w:r>
        <w:rPr>
          <w:color w:val="auto"/>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14:paraId="30BFE613">
      <w:pPr>
        <w:pStyle w:val="57"/>
        <w:ind w:firstLine="480"/>
        <w:jc w:val="both"/>
        <w:rPr>
          <w:color w:val="auto"/>
        </w:rPr>
      </w:pPr>
      <w:r>
        <w:rPr>
          <w:color w:val="auto"/>
        </w:rPr>
        <w:t>实证数据进一步印证了上述特征。跨部门审批等待占迭代周期的 22%，沟通往返次数为行业平均值的 1.5 倍。这表明，需求响应滞后并非源自单一流程缺陷，而是由优先级决策、接口定义与协作机制多重约束共同造成的系统性延迟。审批链条的层级化结构与职能割裂加剧了信息不对称，使需求流在多个环节出现局部最优</w:t>
      </w:r>
      <w:r>
        <w:rPr>
          <w:rFonts w:hint="eastAsia"/>
          <w:color w:val="auto"/>
        </w:rPr>
        <w:t>、</w:t>
      </w:r>
      <w:r>
        <w:rPr>
          <w:color w:val="auto"/>
        </w:rPr>
        <w:t>整体低效的典型症状。</w:t>
      </w:r>
    </w:p>
    <w:p w14:paraId="535A72A0">
      <w:pPr>
        <w:pStyle w:val="57"/>
        <w:ind w:firstLine="480"/>
        <w:jc w:val="both"/>
        <w:rPr>
          <w:color w:val="auto"/>
        </w:rPr>
      </w:pPr>
      <w:r>
        <w:rPr>
          <w:color w:val="auto"/>
        </w:rPr>
        <w:t>为便于结构化呈现，表 3-4 对需求管理维度的主要现象与量化证据进行了总结。</w:t>
      </w:r>
    </w:p>
    <w:p w14:paraId="4533360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表3-4</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需求管理维度主要问题与量化表现</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9"/>
        <w:gridCol w:w="4005"/>
        <w:gridCol w:w="3474"/>
      </w:tblGrid>
      <w:tr w14:paraId="46439B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09" w:type="dxa"/>
            <w:tcBorders>
              <w:bottom w:val="single" w:color="auto" w:sz="8" w:space="0"/>
              <w:insideH w:val="single" w:sz="8" w:space="0"/>
            </w:tcBorders>
            <w:vAlign w:val="center"/>
          </w:tcPr>
          <w:p w14:paraId="6FA4242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关键问题</w:t>
            </w:r>
          </w:p>
        </w:tc>
        <w:tc>
          <w:tcPr>
            <w:tcW w:w="4005" w:type="dxa"/>
            <w:tcBorders>
              <w:bottom w:val="single" w:color="auto" w:sz="8" w:space="0"/>
              <w:insideH w:val="single" w:sz="8" w:space="0"/>
            </w:tcBorders>
            <w:vAlign w:val="center"/>
          </w:tcPr>
          <w:p w14:paraId="77284E1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量化指标</w:t>
            </w:r>
          </w:p>
        </w:tc>
        <w:tc>
          <w:tcPr>
            <w:tcW w:w="3474" w:type="dxa"/>
            <w:tcBorders>
              <w:bottom w:val="single" w:color="auto" w:sz="8" w:space="0"/>
              <w:insideH w:val="single" w:sz="8" w:space="0"/>
            </w:tcBorders>
            <w:vAlign w:val="center"/>
          </w:tcPr>
          <w:p w14:paraId="715C204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主要影响</w:t>
            </w:r>
          </w:p>
        </w:tc>
      </w:tr>
      <w:tr w14:paraId="40BD48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09" w:type="dxa"/>
            <w:vAlign w:val="center"/>
          </w:tcPr>
          <w:p w14:paraId="4CEE2FC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变更响应滞后</w:t>
            </w:r>
          </w:p>
        </w:tc>
        <w:tc>
          <w:tcPr>
            <w:tcW w:w="4005" w:type="dxa"/>
            <w:vAlign w:val="center"/>
          </w:tcPr>
          <w:p w14:paraId="241475E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平均响应周期 4.2 周（行业基线 2.5 周）</w:t>
            </w:r>
          </w:p>
        </w:tc>
        <w:tc>
          <w:tcPr>
            <w:tcW w:w="3474" w:type="dxa"/>
            <w:vAlign w:val="center"/>
          </w:tcPr>
          <w:p w14:paraId="58B0FC3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交付节奏不稳定，版本切换成本增加</w:t>
            </w:r>
          </w:p>
        </w:tc>
      </w:tr>
      <w:tr w14:paraId="5EF4BB8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09" w:type="dxa"/>
            <w:vAlign w:val="center"/>
          </w:tcPr>
          <w:p w14:paraId="74A540A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追踪链条不完整</w:t>
            </w:r>
          </w:p>
        </w:tc>
        <w:tc>
          <w:tcPr>
            <w:tcW w:w="4005" w:type="dxa"/>
            <w:vAlign w:val="center"/>
          </w:tcPr>
          <w:p w14:paraId="4072B2D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追踪覆盖率 85%（行业基线 90%）</w:t>
            </w:r>
          </w:p>
        </w:tc>
        <w:tc>
          <w:tcPr>
            <w:tcW w:w="3474" w:type="dxa"/>
            <w:vAlign w:val="center"/>
          </w:tcPr>
          <w:p w14:paraId="6B3A9BC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返工率上升，验收一致性下降</w:t>
            </w:r>
          </w:p>
        </w:tc>
      </w:tr>
      <w:tr w14:paraId="654538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09" w:type="dxa"/>
            <w:vAlign w:val="center"/>
          </w:tcPr>
          <w:p w14:paraId="35FDEB7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审批与沟通时滞</w:t>
            </w:r>
          </w:p>
        </w:tc>
        <w:tc>
          <w:tcPr>
            <w:tcW w:w="4005" w:type="dxa"/>
            <w:vAlign w:val="center"/>
          </w:tcPr>
          <w:p w14:paraId="42364BE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审批等待占周期 22%，沟通往返高1.5倍</w:t>
            </w:r>
          </w:p>
        </w:tc>
        <w:tc>
          <w:tcPr>
            <w:tcW w:w="3474" w:type="dxa"/>
            <w:vAlign w:val="center"/>
          </w:tcPr>
          <w:p w14:paraId="43A0B45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在制品积压，跨部门协同效率降低</w:t>
            </w:r>
          </w:p>
        </w:tc>
      </w:tr>
    </w:tbl>
    <w:p w14:paraId="5EAA24A5">
      <w:pPr>
        <w:pStyle w:val="57"/>
        <w:ind w:firstLine="480"/>
        <w:jc w:val="both"/>
        <w:rPr>
          <w:color w:val="auto"/>
        </w:rPr>
      </w:pPr>
      <w:r>
        <w:rPr>
          <w:color w:val="auto"/>
        </w:rPr>
        <w:t>从价值流角度看，H 公司的需求管理形成了前端决策迟滞</w:t>
      </w:r>
      <w:r>
        <w:rPr>
          <w:rFonts w:hint="eastAsia"/>
          <w:color w:val="auto"/>
        </w:rPr>
        <w:t>、</w:t>
      </w:r>
      <w:r>
        <w:rPr>
          <w:color w:val="auto"/>
        </w:rPr>
        <w:t>中段变更频繁</w:t>
      </w:r>
      <w:r>
        <w:rPr>
          <w:rFonts w:hint="eastAsia"/>
          <w:color w:val="auto"/>
        </w:rPr>
        <w:t>、</w:t>
      </w:r>
      <w:r>
        <w:rPr>
          <w:color w:val="auto"/>
        </w:rPr>
        <w:t>后端验证延误的循环机制。该机制在动态需求环境中表现为弱耦合和高延迟：一方面，需求响应的低速化削弱了组织的敏捷反应能力；另一方面，追踪机制的断裂使得度量与回溯能力受限，导致流程改进难以形成数据驱动闭环。图 3-13 展示了这一传导机制的系统逻辑。</w:t>
      </w:r>
    </w:p>
    <w:p w14:paraId="062FBDF0">
      <w:pPr>
        <w:ind w:left="420" w:firstLine="240" w:firstLineChars="100"/>
        <w:rPr>
          <w:color w:val="auto"/>
        </w:rPr>
      </w:pPr>
      <w:r>
        <w:rPr>
          <w:rFonts w:hint="eastAsia"/>
          <w:color w:val="auto"/>
        </w:rPr>
        <w:drawing>
          <wp:inline distT="0" distB="0" distL="0" distR="0">
            <wp:extent cx="4853940" cy="815975"/>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2" r:lo="rId103" r:qs="rId104" r:cs="rId105"/>
              </a:graphicData>
            </a:graphic>
          </wp:inline>
        </w:drawing>
      </w:r>
    </w:p>
    <w:p w14:paraId="75AB0FA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图3-6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需求管理问题的传导机制示意图</w:t>
      </w:r>
    </w:p>
    <w:p w14:paraId="5A072E67">
      <w:pPr>
        <w:pStyle w:val="57"/>
        <w:ind w:firstLine="480"/>
        <w:jc w:val="both"/>
        <w:rPr>
          <w:color w:val="auto"/>
        </w:rPr>
      </w:pPr>
      <w:r>
        <w:rPr>
          <w:rFonts w:hint="eastAsia"/>
          <w:color w:val="auto"/>
        </w:rPr>
        <w:t>由此说明</w:t>
      </w:r>
      <w:r>
        <w:rPr>
          <w:color w:val="auto"/>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14:paraId="145CE4C1">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10" w:name="_Toc213190811"/>
      <w:bookmarkStart w:id="211" w:name="_Toc213192827"/>
      <w:bookmarkStart w:id="212" w:name="_Toc213192519"/>
      <w:bookmarkStart w:id="213" w:name="_Toc26380"/>
      <w:r>
        <w:rPr>
          <w:rFonts w:hint="eastAsia" w:ascii="Times New Roman" w:hAnsi="Times New Roman" w:eastAsia="黑体" w:cs="Times New Roman"/>
          <w:bCs/>
          <w:sz w:val="24"/>
          <w:szCs w:val="24"/>
        </w:rPr>
        <w:t>3.3.</w:t>
      </w:r>
      <w:r>
        <w:rPr>
          <w:rFonts w:ascii="Times New Roman" w:hAnsi="Times New Roman" w:eastAsia="黑体" w:cs="Times New Roman"/>
          <w:bCs/>
          <w:sz w:val="24"/>
          <w:szCs w:val="24"/>
        </w:rPr>
        <w:t>2</w:t>
      </w:r>
      <w:r>
        <w:rPr>
          <w:rFonts w:hint="eastAsia" w:ascii="Times New Roman" w:hAnsi="Times New Roman" w:eastAsia="黑体" w:cs="Times New Roman"/>
          <w:bCs/>
          <w:sz w:val="24"/>
          <w:szCs w:val="24"/>
        </w:rPr>
        <w:t xml:space="preserve"> 安全检测后置与合规风险积累</w:t>
      </w:r>
      <w:bookmarkEnd w:id="210"/>
      <w:bookmarkEnd w:id="211"/>
      <w:bookmarkEnd w:id="212"/>
      <w:bookmarkEnd w:id="213"/>
    </w:p>
    <w:p w14:paraId="68B9BD0E">
      <w:pPr>
        <w:pStyle w:val="57"/>
        <w:ind w:firstLine="480"/>
        <w:jc w:val="both"/>
        <w:rPr>
          <w:color w:val="auto"/>
        </w:rPr>
      </w:pPr>
      <w:r>
        <w:rPr>
          <w:color w:val="auto"/>
        </w:rPr>
        <w:t>在金融科技企业中，安全性与敏捷性长期处于动态平衡之中。H公司在推行DevOps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14:paraId="103361E7">
      <w:pPr>
        <w:pStyle w:val="57"/>
        <w:ind w:firstLine="480"/>
        <w:jc w:val="both"/>
        <w:rPr>
          <w:color w:val="auto"/>
        </w:rPr>
      </w:pPr>
      <w:r>
        <w:rPr>
          <w:color w:val="auto"/>
        </w:rPr>
        <w:t>（1）流程节奏失衡与滞后检测问题</w:t>
      </w:r>
    </w:p>
    <w:p w14:paraId="6DB17FC0">
      <w:pPr>
        <w:pStyle w:val="57"/>
        <w:ind w:firstLine="480"/>
        <w:jc w:val="both"/>
        <w:rPr>
          <w:color w:val="auto"/>
        </w:rPr>
      </w:pPr>
      <w:r>
        <w:rPr>
          <w:color w:val="auto"/>
        </w:rPr>
        <w:t>传统安全模式的审查节奏与持续交付的快速迭代存在结构性不匹配。以H公司马来西亚跨境支付系统为例，安全测试主要集中在用户验收测试（UAT）阶段，平均介入时间较需求确认晚32天，导致早期架构漏洞在后期暴露。数据显示，晚期修复的高危漏洞单次修复成本约为52,000美元，约为行业平均水平的3.5倍。此类延后检测不仅延长了发布周期，也削弱了安全与开发活动的耦合度，形成明显的检测断层。</w:t>
      </w:r>
    </w:p>
    <w:p w14:paraId="2AD6BEB5">
      <w:pPr>
        <w:pStyle w:val="57"/>
        <w:ind w:firstLine="480"/>
        <w:jc w:val="both"/>
        <w:rPr>
          <w:color w:val="auto"/>
        </w:rPr>
      </w:pPr>
      <w:r>
        <w:rPr>
          <w:color w:val="auto"/>
        </w:rPr>
        <w:t>（2）工具链割裂与自动化覆盖不足</w:t>
      </w:r>
    </w:p>
    <w:p w14:paraId="5549332A">
      <w:pPr>
        <w:pStyle w:val="57"/>
        <w:ind w:firstLine="480"/>
        <w:jc w:val="both"/>
        <w:rPr>
          <w:color w:val="auto"/>
        </w:rPr>
      </w:pPr>
      <w:r>
        <w:rPr>
          <w:color w:val="auto"/>
        </w:rPr>
        <w:t>在DevOps环境下，H公司虽已构建CI/CD流水线，但安全检测仍以人工审计和独立测试为主。代码审查、镜像扫描及合规校验未与流水线深度集成，安全报告需人工上传至审计系统，难以实现端到端的可追溯性。内审数据显示，2023年共发生安全测试缺失或延误事件117起，其中63%的原因源于工具链之间的自动化断点。表3-5展示了典型安全检测流程的阶段分布及自动化覆盖率对比。</w:t>
      </w:r>
    </w:p>
    <w:p w14:paraId="22C52EC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表3-5</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典型安全检测流程的阶段分布及自动化覆盖率对比</w:t>
      </w:r>
    </w:p>
    <w:tbl>
      <w:tblPr>
        <w:tblStyle w:val="95"/>
        <w:tblW w:w="9037"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4"/>
        <w:gridCol w:w="1976"/>
        <w:gridCol w:w="1976"/>
        <w:gridCol w:w="1414"/>
        <w:gridCol w:w="2257"/>
      </w:tblGrid>
      <w:tr w14:paraId="5534641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bottom w:val="single" w:color="auto" w:sz="8" w:space="0"/>
              <w:insideH w:val="single" w:sz="8" w:space="0"/>
            </w:tcBorders>
            <w:vAlign w:val="center"/>
          </w:tcPr>
          <w:p w14:paraId="53ADE9E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检测阶段</w:t>
            </w:r>
          </w:p>
        </w:tc>
        <w:tc>
          <w:tcPr>
            <w:tcW w:w="0" w:type="auto"/>
            <w:tcBorders>
              <w:bottom w:val="single" w:color="auto" w:sz="8" w:space="0"/>
              <w:insideH w:val="single" w:sz="8" w:space="0"/>
            </w:tcBorders>
            <w:vAlign w:val="center"/>
          </w:tcPr>
          <w:p w14:paraId="59389B0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平均介入时间</w:t>
            </w:r>
          </w:p>
        </w:tc>
        <w:tc>
          <w:tcPr>
            <w:tcW w:w="0" w:type="auto"/>
            <w:tcBorders>
              <w:bottom w:val="single" w:color="auto" w:sz="8" w:space="0"/>
              <w:insideH w:val="single" w:sz="8" w:space="0"/>
            </w:tcBorders>
            <w:vAlign w:val="center"/>
          </w:tcPr>
          <w:p w14:paraId="14994F9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自动化覆盖率</w:t>
            </w:r>
          </w:p>
        </w:tc>
        <w:tc>
          <w:tcPr>
            <w:tcW w:w="0" w:type="auto"/>
            <w:tcBorders>
              <w:bottom w:val="single" w:color="auto" w:sz="8" w:space="0"/>
              <w:insideH w:val="single" w:sz="8" w:space="0"/>
            </w:tcBorders>
            <w:vAlign w:val="center"/>
          </w:tcPr>
          <w:p w14:paraId="24521D9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问题占比</w:t>
            </w:r>
          </w:p>
        </w:tc>
        <w:tc>
          <w:tcPr>
            <w:tcW w:w="0" w:type="auto"/>
            <w:tcBorders>
              <w:bottom w:val="single" w:color="auto" w:sz="8" w:space="0"/>
              <w:insideH w:val="single" w:sz="8" w:space="0"/>
            </w:tcBorders>
            <w:vAlign w:val="center"/>
          </w:tcPr>
          <w:p w14:paraId="052BE21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主要风险</w:t>
            </w:r>
          </w:p>
        </w:tc>
      </w:tr>
      <w:tr w14:paraId="7EFDD66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CF36E1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设计阶段</w:t>
            </w:r>
          </w:p>
        </w:tc>
        <w:tc>
          <w:tcPr>
            <w:tcW w:w="0" w:type="auto"/>
            <w:vAlign w:val="center"/>
          </w:tcPr>
          <w:p w14:paraId="02F8CBC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T₀+2周</w:t>
            </w:r>
          </w:p>
        </w:tc>
        <w:tc>
          <w:tcPr>
            <w:tcW w:w="0" w:type="auto"/>
            <w:vAlign w:val="center"/>
          </w:tcPr>
          <w:p w14:paraId="6CFF6E3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27%</w:t>
            </w:r>
          </w:p>
        </w:tc>
        <w:tc>
          <w:tcPr>
            <w:tcW w:w="0" w:type="auto"/>
            <w:vAlign w:val="center"/>
          </w:tcPr>
          <w:p w14:paraId="6DD0B59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11%</w:t>
            </w:r>
          </w:p>
        </w:tc>
        <w:tc>
          <w:tcPr>
            <w:tcW w:w="0" w:type="auto"/>
            <w:vAlign w:val="center"/>
          </w:tcPr>
          <w:p w14:paraId="5AF46B7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架构隐患未识别</w:t>
            </w:r>
          </w:p>
        </w:tc>
      </w:tr>
      <w:tr w14:paraId="669E542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854866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开发阶段</w:t>
            </w:r>
          </w:p>
        </w:tc>
        <w:tc>
          <w:tcPr>
            <w:tcW w:w="0" w:type="auto"/>
            <w:vAlign w:val="center"/>
          </w:tcPr>
          <w:p w14:paraId="2FBEEFA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T₀+4周</w:t>
            </w:r>
          </w:p>
        </w:tc>
        <w:tc>
          <w:tcPr>
            <w:tcW w:w="0" w:type="auto"/>
            <w:vAlign w:val="center"/>
          </w:tcPr>
          <w:p w14:paraId="401B86E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41%</w:t>
            </w:r>
          </w:p>
        </w:tc>
        <w:tc>
          <w:tcPr>
            <w:tcW w:w="0" w:type="auto"/>
            <w:vAlign w:val="center"/>
          </w:tcPr>
          <w:p w14:paraId="544FC83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26%</w:t>
            </w:r>
          </w:p>
        </w:tc>
        <w:tc>
          <w:tcPr>
            <w:tcW w:w="0" w:type="auto"/>
            <w:vAlign w:val="center"/>
          </w:tcPr>
          <w:p w14:paraId="5EF6B31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代码漏洞遗漏</w:t>
            </w:r>
          </w:p>
        </w:tc>
      </w:tr>
      <w:tr w14:paraId="416427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AB40A7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测试阶段</w:t>
            </w:r>
          </w:p>
        </w:tc>
        <w:tc>
          <w:tcPr>
            <w:tcW w:w="0" w:type="auto"/>
            <w:vAlign w:val="center"/>
          </w:tcPr>
          <w:p w14:paraId="1FC3144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T₀+8周</w:t>
            </w:r>
          </w:p>
        </w:tc>
        <w:tc>
          <w:tcPr>
            <w:tcW w:w="0" w:type="auto"/>
            <w:vAlign w:val="center"/>
          </w:tcPr>
          <w:p w14:paraId="22E62DF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78%</w:t>
            </w:r>
          </w:p>
        </w:tc>
        <w:tc>
          <w:tcPr>
            <w:tcW w:w="0" w:type="auto"/>
            <w:vAlign w:val="center"/>
          </w:tcPr>
          <w:p w14:paraId="19EAD94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43%</w:t>
            </w:r>
          </w:p>
        </w:tc>
        <w:tc>
          <w:tcPr>
            <w:tcW w:w="0" w:type="auto"/>
            <w:vAlign w:val="center"/>
          </w:tcPr>
          <w:p w14:paraId="41EC918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缺陷集中暴露</w:t>
            </w:r>
          </w:p>
        </w:tc>
      </w:tr>
      <w:tr w14:paraId="000659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335A3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发布阶段</w:t>
            </w:r>
          </w:p>
        </w:tc>
        <w:tc>
          <w:tcPr>
            <w:tcW w:w="0" w:type="auto"/>
            <w:vAlign w:val="center"/>
          </w:tcPr>
          <w:p w14:paraId="04C1AA2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T₀+10周</w:t>
            </w:r>
          </w:p>
        </w:tc>
        <w:tc>
          <w:tcPr>
            <w:tcW w:w="0" w:type="auto"/>
            <w:vAlign w:val="center"/>
          </w:tcPr>
          <w:p w14:paraId="572ECB0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52%</w:t>
            </w:r>
          </w:p>
        </w:tc>
        <w:tc>
          <w:tcPr>
            <w:tcW w:w="0" w:type="auto"/>
            <w:vAlign w:val="center"/>
          </w:tcPr>
          <w:p w14:paraId="215EE02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w:t>
            </w:r>
          </w:p>
        </w:tc>
        <w:tc>
          <w:tcPr>
            <w:tcW w:w="0" w:type="auto"/>
            <w:vAlign w:val="center"/>
          </w:tcPr>
          <w:p w14:paraId="60AB0D9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合规报告滞后</w:t>
            </w:r>
          </w:p>
        </w:tc>
      </w:tr>
    </w:tbl>
    <w:p w14:paraId="760A3D6C">
      <w:pPr>
        <w:pStyle w:val="57"/>
        <w:ind w:firstLine="480"/>
        <w:jc w:val="both"/>
        <w:rPr>
          <w:color w:val="auto"/>
        </w:rPr>
      </w:pPr>
      <w:r>
        <w:rPr>
          <w:color w:val="auto"/>
        </w:rPr>
        <w:t>数据表明，安全检测活动呈现明显后置化特征，导致漏洞分布集中于测试后期，修复周期平均延长1.8倍。</w:t>
      </w:r>
    </w:p>
    <w:p w14:paraId="23FD9BE9">
      <w:pPr>
        <w:pStyle w:val="57"/>
        <w:ind w:firstLine="480"/>
        <w:jc w:val="both"/>
        <w:rPr>
          <w:color w:val="auto"/>
        </w:rPr>
      </w:pPr>
      <w:r>
        <w:rPr>
          <w:color w:val="auto"/>
        </w:rPr>
        <w:t>（3）跨部门协同断裂与合规失效风险</w:t>
      </w:r>
    </w:p>
    <w:p w14:paraId="3AA9B412">
      <w:pPr>
        <w:pStyle w:val="57"/>
        <w:ind w:firstLine="480"/>
        <w:jc w:val="both"/>
        <w:rPr>
          <w:color w:val="auto"/>
        </w:rPr>
      </w:pPr>
      <w:r>
        <w:rPr>
          <w:color w:val="auto"/>
        </w:rPr>
        <w:t>由于安全团队与开发团队分属不同职能体系，信息流通主要依赖工单与邮件传递，实时联动效率较低。合规文件生成与审批多在发布前集中处理，容易出现合规补录现象。2023年公司合规审计显示，近28%的整改项与安全检测时效性直接相关，其中12%的整改因证据缺失被判为部分不合规。这种事后补偿式治理模式，不仅增加了返工量，也削弱了组织对外部监管变化的响应速度。</w:t>
      </w:r>
    </w:p>
    <w:p w14:paraId="422ADBC7">
      <w:pPr>
        <w:ind w:firstLine="480"/>
        <w:rPr>
          <w:color w:val="auto"/>
        </w:rPr>
      </w:pPr>
      <w:r>
        <w:rPr>
          <w:rFonts w:hint="eastAsia"/>
          <w:color w:val="auto"/>
        </w:rPr>
        <w:drawing>
          <wp:inline distT="0" distB="0" distL="0" distR="0">
            <wp:extent cx="5461635" cy="2110740"/>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7" r:lo="rId108" r:qs="rId109" r:cs="rId110"/>
              </a:graphicData>
            </a:graphic>
          </wp:inline>
        </w:drawing>
      </w:r>
    </w:p>
    <w:p w14:paraId="4132DE73">
      <w:pPr>
        <w:spacing w:line="400" w:lineRule="exact"/>
        <w:jc w:val="center"/>
        <w:rPr>
          <w:color w:val="auto"/>
          <w:sz w:val="21"/>
          <w:szCs w:val="21"/>
        </w:rPr>
      </w:pPr>
      <w:r>
        <w:rPr>
          <w:rFonts w:ascii="Times New Roman" w:hAnsi="Times New Roman" w:cs="Times New Roman"/>
          <w:color w:val="auto"/>
          <w:sz w:val="21"/>
          <w:szCs w:val="21"/>
        </w:rPr>
        <w:t xml:space="preserve">图3-7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安全检测后置导致的合规风险传导机制示意图</w:t>
      </w:r>
    </w:p>
    <w:p w14:paraId="676ADB5D">
      <w:pPr>
        <w:pStyle w:val="57"/>
        <w:ind w:firstLine="480"/>
        <w:jc w:val="both"/>
        <w:rPr>
          <w:color w:val="auto"/>
        </w:rPr>
      </w:pPr>
      <w:r>
        <w:rPr>
          <w:color w:val="auto"/>
        </w:rPr>
        <w:t>（5）根因归纳与管理启示</w:t>
      </w:r>
    </w:p>
    <w:p w14:paraId="413569E4">
      <w:pPr>
        <w:pStyle w:val="57"/>
        <w:ind w:firstLine="480"/>
        <w:jc w:val="both"/>
        <w:rPr>
          <w:color w:val="auto"/>
        </w:rPr>
      </w:pPr>
      <w:r>
        <w:rPr>
          <w:color w:val="auto"/>
        </w:rPr>
        <w:t>通过对多项目案例的综合分析可知，安全检测后置的根因主要集中在三个方面。首先，在流程层面，安全评审节点未能与 DevOps 迭代节奏保持同步，缺乏系统化的前移机制，导致安全活动在生命周期早期的覆盖不足。其次，在技术层面，安全测试工具链与持续集成/持续交付（CI/CD）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14:paraId="76F6B677">
      <w:pPr>
        <w:pStyle w:val="57"/>
        <w:ind w:firstLine="480"/>
        <w:jc w:val="both"/>
        <w:rPr>
          <w:color w:val="auto"/>
        </w:rPr>
      </w:pPr>
      <w:r>
        <w:rPr>
          <w:color w:val="auto"/>
        </w:rPr>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p>
    <w:p w14:paraId="1554008B">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14" w:name="_Toc213192520"/>
      <w:bookmarkStart w:id="215" w:name="_Toc213190812"/>
      <w:bookmarkStart w:id="216" w:name="_Toc213192828"/>
      <w:bookmarkStart w:id="217" w:name="_Toc1371"/>
      <w:r>
        <w:rPr>
          <w:rFonts w:hint="eastAsia" w:ascii="Times New Roman" w:hAnsi="Times New Roman" w:eastAsia="黑体" w:cs="Times New Roman"/>
          <w:bCs/>
          <w:sz w:val="24"/>
          <w:szCs w:val="24"/>
        </w:rPr>
        <w:t>3.3.</w:t>
      </w:r>
      <w:r>
        <w:rPr>
          <w:rFonts w:ascii="Times New Roman" w:hAnsi="Times New Roman" w:eastAsia="黑体" w:cs="Times New Roman"/>
          <w:bCs/>
          <w:sz w:val="24"/>
          <w:szCs w:val="24"/>
        </w:rPr>
        <w:t>3</w:t>
      </w:r>
      <w:r>
        <w:rPr>
          <w:rFonts w:hint="eastAsia" w:ascii="Times New Roman" w:hAnsi="Times New Roman" w:eastAsia="黑体" w:cs="Times New Roman"/>
          <w:bCs/>
          <w:sz w:val="24"/>
          <w:szCs w:val="24"/>
        </w:rPr>
        <w:t xml:space="preserve"> 技术债务累积与自动化转型受阻</w:t>
      </w:r>
      <w:bookmarkEnd w:id="214"/>
      <w:bookmarkEnd w:id="215"/>
      <w:bookmarkEnd w:id="216"/>
      <w:bookmarkEnd w:id="217"/>
    </w:p>
    <w:p w14:paraId="16742071">
      <w:pPr>
        <w:pStyle w:val="57"/>
        <w:ind w:firstLine="480"/>
        <w:jc w:val="both"/>
        <w:rPr>
          <w:color w:val="auto"/>
        </w:rPr>
      </w:pPr>
      <w:r>
        <w:rPr>
          <w:color w:val="auto"/>
        </w:rPr>
        <w:t>在H公司的软件开发体系中，技术债务（Technical Deb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H公司而言，技术债务的影响尤为显著，它不仅降低了代码质量和系统可维护性，还从底层削弱了自动化工具链的稳定性与工程可持续性。</w:t>
      </w:r>
    </w:p>
    <w:p w14:paraId="2BB7AFD5">
      <w:pPr>
        <w:pStyle w:val="57"/>
        <w:ind w:firstLine="480"/>
        <w:jc w:val="both"/>
        <w:rPr>
          <w:color w:val="auto"/>
        </w:rPr>
      </w:pPr>
      <w:r>
        <w:rPr>
          <w:color w:val="auto"/>
        </w:rPr>
        <w:t>H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H公司在推进自动化转型过程中陷入高复杂度</w:t>
      </w:r>
      <w:r>
        <w:rPr>
          <w:rFonts w:hint="eastAsia"/>
          <w:color w:val="auto"/>
        </w:rPr>
        <w:t>、</w:t>
      </w:r>
      <w:r>
        <w:rPr>
          <w:color w:val="auto"/>
        </w:rPr>
        <w:t>高依赖</w:t>
      </w:r>
      <w:r>
        <w:rPr>
          <w:rFonts w:hint="eastAsia"/>
          <w:color w:val="auto"/>
        </w:rPr>
        <w:t>、</w:t>
      </w:r>
      <w:r>
        <w:rPr>
          <w:color w:val="auto"/>
        </w:rPr>
        <w:t>低弹性的困境。</w:t>
      </w:r>
    </w:p>
    <w:p w14:paraId="67396B88">
      <w:pPr>
        <w:pStyle w:val="57"/>
        <w:ind w:firstLine="480"/>
        <w:jc w:val="both"/>
        <w:rPr>
          <w:color w:val="auto"/>
        </w:rPr>
      </w:pPr>
      <w:r>
        <w:rPr>
          <w:color w:val="auto"/>
        </w:rPr>
        <w:t>债务累积对自动化体系的影响是多维度的。首先，系统复杂度上升显著降低了自动化脚本的适配性。由于依赖环境和接口规范差异较大，持续集成流水线的构建时间平均延长约40%，自动化脚本的失败率上升至18%，影响了部署的连贯性与可重复性。其次，测试覆盖率不足使自动化验证环节的可靠性下降。内部过程审计数据显示，单元测试覆盖率仅为35%，自动化部署成功率降至74%，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14:paraId="47CEECB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表3-6</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技术债务与自动化效能变化趋势（2018-2024）</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37"/>
        <w:gridCol w:w="2742"/>
        <w:gridCol w:w="2309"/>
        <w:gridCol w:w="1840"/>
        <w:gridCol w:w="1560"/>
      </w:tblGrid>
      <w:tr w14:paraId="15D945F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7" w:type="dxa"/>
            <w:tcBorders>
              <w:bottom w:val="single" w:color="auto" w:sz="8" w:space="0"/>
              <w:insideH w:val="single" w:sz="8" w:space="0"/>
            </w:tcBorders>
            <w:vAlign w:val="center"/>
          </w:tcPr>
          <w:p w14:paraId="59253D8E">
            <w:pPr>
              <w:spacing w:line="400" w:lineRule="exact"/>
              <w:jc w:val="center"/>
              <w:rPr>
                <w:rFonts w:ascii="Times New Roman" w:hAnsi="Times New Roman" w:cs="Times New Roman"/>
                <w:bCs/>
                <w:color w:val="auto"/>
                <w:sz w:val="21"/>
                <w:szCs w:val="21"/>
              </w:rPr>
            </w:pPr>
            <w:r>
              <w:rPr>
                <w:rFonts w:ascii="Times New Roman" w:hAnsi="Times New Roman" w:cs="Times New Roman"/>
                <w:bCs/>
                <w:color w:val="auto"/>
                <w:sz w:val="21"/>
                <w:szCs w:val="21"/>
              </w:rPr>
              <w:t>年份</w:t>
            </w:r>
          </w:p>
        </w:tc>
        <w:tc>
          <w:tcPr>
            <w:tcW w:w="0" w:type="auto"/>
            <w:tcBorders>
              <w:bottom w:val="single" w:color="auto" w:sz="8" w:space="0"/>
              <w:insideH w:val="single" w:sz="8" w:space="0"/>
            </w:tcBorders>
            <w:vAlign w:val="center"/>
          </w:tcPr>
          <w:p w14:paraId="6627806B">
            <w:pPr>
              <w:spacing w:line="400" w:lineRule="exact"/>
              <w:jc w:val="center"/>
              <w:rPr>
                <w:rFonts w:ascii="Times New Roman" w:hAnsi="Times New Roman" w:cs="Times New Roman"/>
                <w:bCs/>
                <w:color w:val="auto"/>
                <w:sz w:val="21"/>
                <w:szCs w:val="21"/>
              </w:rPr>
            </w:pPr>
            <w:r>
              <w:rPr>
                <w:rFonts w:ascii="Times New Roman" w:hAnsi="Times New Roman" w:cs="Times New Roman"/>
                <w:bCs/>
                <w:color w:val="auto"/>
                <w:sz w:val="21"/>
                <w:szCs w:val="21"/>
              </w:rPr>
              <w:t>技术债务密度（缺陷/KLOC）</w:t>
            </w:r>
          </w:p>
        </w:tc>
        <w:tc>
          <w:tcPr>
            <w:tcW w:w="0" w:type="auto"/>
            <w:tcBorders>
              <w:bottom w:val="single" w:color="auto" w:sz="8" w:space="0"/>
              <w:insideH w:val="single" w:sz="8" w:space="0"/>
            </w:tcBorders>
            <w:vAlign w:val="center"/>
          </w:tcPr>
          <w:p w14:paraId="21571611">
            <w:pPr>
              <w:spacing w:line="400" w:lineRule="exact"/>
              <w:jc w:val="center"/>
              <w:rPr>
                <w:rFonts w:ascii="Times New Roman" w:hAnsi="Times New Roman" w:cs="Times New Roman"/>
                <w:bCs/>
                <w:color w:val="auto"/>
                <w:sz w:val="21"/>
                <w:szCs w:val="21"/>
              </w:rPr>
            </w:pPr>
            <w:r>
              <w:rPr>
                <w:rFonts w:ascii="Times New Roman" w:hAnsi="Times New Roman" w:cs="Times New Roman"/>
                <w:bCs/>
                <w:color w:val="auto"/>
                <w:sz w:val="21"/>
                <w:szCs w:val="21"/>
              </w:rPr>
              <w:t>自动化测试覆盖率（%）</w:t>
            </w:r>
          </w:p>
        </w:tc>
        <w:tc>
          <w:tcPr>
            <w:tcW w:w="1840" w:type="dxa"/>
            <w:tcBorders>
              <w:bottom w:val="single" w:color="auto" w:sz="8" w:space="0"/>
              <w:insideH w:val="single" w:sz="8" w:space="0"/>
            </w:tcBorders>
            <w:vAlign w:val="center"/>
          </w:tcPr>
          <w:p w14:paraId="6E4AB4C1">
            <w:pPr>
              <w:spacing w:line="400" w:lineRule="exact"/>
              <w:jc w:val="center"/>
              <w:rPr>
                <w:rFonts w:ascii="Times New Roman" w:hAnsi="Times New Roman" w:cs="Times New Roman"/>
                <w:bCs/>
                <w:color w:val="auto"/>
                <w:sz w:val="21"/>
                <w:szCs w:val="21"/>
              </w:rPr>
            </w:pPr>
            <w:r>
              <w:rPr>
                <w:rFonts w:ascii="Times New Roman" w:hAnsi="Times New Roman" w:cs="Times New Roman"/>
                <w:bCs/>
                <w:color w:val="auto"/>
                <w:sz w:val="21"/>
                <w:szCs w:val="21"/>
              </w:rPr>
              <w:t>自动化部署成功率（%）</w:t>
            </w:r>
          </w:p>
        </w:tc>
        <w:tc>
          <w:tcPr>
            <w:tcW w:w="1560" w:type="dxa"/>
            <w:tcBorders>
              <w:bottom w:val="single" w:color="auto" w:sz="8" w:space="0"/>
              <w:insideH w:val="single" w:sz="8" w:space="0"/>
            </w:tcBorders>
            <w:vAlign w:val="center"/>
          </w:tcPr>
          <w:p w14:paraId="64925104">
            <w:pPr>
              <w:spacing w:line="400" w:lineRule="exact"/>
              <w:jc w:val="center"/>
              <w:rPr>
                <w:rFonts w:ascii="Times New Roman" w:hAnsi="Times New Roman" w:cs="Times New Roman"/>
                <w:bCs/>
                <w:color w:val="auto"/>
                <w:sz w:val="21"/>
                <w:szCs w:val="21"/>
              </w:rPr>
            </w:pPr>
            <w:r>
              <w:rPr>
                <w:rFonts w:ascii="Times New Roman" w:hAnsi="Times New Roman" w:cs="Times New Roman"/>
                <w:bCs/>
                <w:color w:val="auto"/>
                <w:sz w:val="21"/>
                <w:szCs w:val="21"/>
              </w:rPr>
              <w:t>平均迭代周期（周）</w:t>
            </w:r>
          </w:p>
        </w:tc>
      </w:tr>
      <w:tr w14:paraId="48D97CC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7" w:type="dxa"/>
            <w:vAlign w:val="center"/>
          </w:tcPr>
          <w:p w14:paraId="0C62E87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2018</w:t>
            </w:r>
          </w:p>
        </w:tc>
        <w:tc>
          <w:tcPr>
            <w:tcW w:w="0" w:type="auto"/>
            <w:vAlign w:val="center"/>
          </w:tcPr>
          <w:p w14:paraId="56B17EB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2.1</w:t>
            </w:r>
          </w:p>
        </w:tc>
        <w:tc>
          <w:tcPr>
            <w:tcW w:w="0" w:type="auto"/>
            <w:vAlign w:val="center"/>
          </w:tcPr>
          <w:p w14:paraId="09C6BD5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66</w:t>
            </w:r>
          </w:p>
        </w:tc>
        <w:tc>
          <w:tcPr>
            <w:tcW w:w="1840" w:type="dxa"/>
            <w:vAlign w:val="center"/>
          </w:tcPr>
          <w:p w14:paraId="3805C58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90</w:t>
            </w:r>
          </w:p>
        </w:tc>
        <w:tc>
          <w:tcPr>
            <w:tcW w:w="1560" w:type="dxa"/>
            <w:vAlign w:val="center"/>
          </w:tcPr>
          <w:p w14:paraId="175B228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2.2</w:t>
            </w:r>
          </w:p>
        </w:tc>
      </w:tr>
      <w:tr w14:paraId="696EAE8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7" w:type="dxa"/>
            <w:vAlign w:val="center"/>
          </w:tcPr>
          <w:p w14:paraId="508DCF0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2020</w:t>
            </w:r>
          </w:p>
        </w:tc>
        <w:tc>
          <w:tcPr>
            <w:tcW w:w="0" w:type="auto"/>
            <w:vAlign w:val="center"/>
          </w:tcPr>
          <w:p w14:paraId="41E0020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2.8</w:t>
            </w:r>
          </w:p>
        </w:tc>
        <w:tc>
          <w:tcPr>
            <w:tcW w:w="0" w:type="auto"/>
            <w:vAlign w:val="center"/>
          </w:tcPr>
          <w:p w14:paraId="7C93BB5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58</w:t>
            </w:r>
          </w:p>
        </w:tc>
        <w:tc>
          <w:tcPr>
            <w:tcW w:w="1840" w:type="dxa"/>
            <w:vAlign w:val="center"/>
          </w:tcPr>
          <w:p w14:paraId="74B75BE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84</w:t>
            </w:r>
          </w:p>
        </w:tc>
        <w:tc>
          <w:tcPr>
            <w:tcW w:w="1560" w:type="dxa"/>
            <w:vAlign w:val="center"/>
          </w:tcPr>
          <w:p w14:paraId="2C9A599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2.7</w:t>
            </w:r>
          </w:p>
        </w:tc>
      </w:tr>
      <w:tr w14:paraId="47B76F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7" w:type="dxa"/>
            <w:vAlign w:val="center"/>
          </w:tcPr>
          <w:p w14:paraId="304FACF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2022</w:t>
            </w:r>
          </w:p>
        </w:tc>
        <w:tc>
          <w:tcPr>
            <w:tcW w:w="0" w:type="auto"/>
            <w:vAlign w:val="center"/>
          </w:tcPr>
          <w:p w14:paraId="327E599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3.2</w:t>
            </w:r>
          </w:p>
        </w:tc>
        <w:tc>
          <w:tcPr>
            <w:tcW w:w="0" w:type="auto"/>
            <w:vAlign w:val="center"/>
          </w:tcPr>
          <w:p w14:paraId="63C3BA0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51</w:t>
            </w:r>
          </w:p>
        </w:tc>
        <w:tc>
          <w:tcPr>
            <w:tcW w:w="1840" w:type="dxa"/>
            <w:vAlign w:val="center"/>
          </w:tcPr>
          <w:p w14:paraId="2F5A3F1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78</w:t>
            </w:r>
          </w:p>
        </w:tc>
        <w:tc>
          <w:tcPr>
            <w:tcW w:w="1560" w:type="dxa"/>
            <w:vAlign w:val="center"/>
          </w:tcPr>
          <w:p w14:paraId="60226CF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3.1</w:t>
            </w:r>
          </w:p>
        </w:tc>
      </w:tr>
      <w:tr w14:paraId="2D178B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7" w:type="dxa"/>
            <w:vAlign w:val="center"/>
          </w:tcPr>
          <w:p w14:paraId="055FF1A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2024</w:t>
            </w:r>
          </w:p>
        </w:tc>
        <w:tc>
          <w:tcPr>
            <w:tcW w:w="0" w:type="auto"/>
            <w:vAlign w:val="center"/>
          </w:tcPr>
          <w:p w14:paraId="4F136F3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3.5</w:t>
            </w:r>
          </w:p>
        </w:tc>
        <w:tc>
          <w:tcPr>
            <w:tcW w:w="0" w:type="auto"/>
            <w:vAlign w:val="center"/>
          </w:tcPr>
          <w:p w14:paraId="3A5D3AE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47</w:t>
            </w:r>
          </w:p>
        </w:tc>
        <w:tc>
          <w:tcPr>
            <w:tcW w:w="1840" w:type="dxa"/>
            <w:vAlign w:val="center"/>
          </w:tcPr>
          <w:p w14:paraId="0D5B115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74</w:t>
            </w:r>
          </w:p>
        </w:tc>
        <w:tc>
          <w:tcPr>
            <w:tcW w:w="1560" w:type="dxa"/>
            <w:vAlign w:val="center"/>
          </w:tcPr>
          <w:p w14:paraId="06DE0CA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3.4</w:t>
            </w:r>
          </w:p>
        </w:tc>
      </w:tr>
    </w:tbl>
    <w:p w14:paraId="6F27DC02">
      <w:pPr>
        <w:pStyle w:val="57"/>
        <w:ind w:firstLine="480"/>
        <w:jc w:val="both"/>
        <w:rPr>
          <w:color w:val="auto"/>
        </w:rPr>
      </w:pPr>
      <w:r>
        <w:rPr>
          <w:color w:val="auto"/>
        </w:rPr>
        <w:t>从表3-6可以看出，技术债务密度与自动化效能呈显著负相关关系。债务密度的上升伴随自动化测试覆盖率与部署成功率的同步下降，平均迭代周期明显延长。该趋势说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Pr>
          <w:rFonts w:hint="eastAsia"/>
          <w:color w:val="auto"/>
        </w:rPr>
        <w:t>、</w:t>
      </w:r>
      <w:r>
        <w:rPr>
          <w:color w:val="auto"/>
        </w:rPr>
        <w:t>人工依赖</w:t>
      </w:r>
      <w:r>
        <w:rPr>
          <w:rFonts w:hint="eastAsia"/>
          <w:color w:val="auto"/>
        </w:rPr>
        <w:t>、</w:t>
      </w:r>
      <w:r>
        <w:rPr>
          <w:color w:val="auto"/>
        </w:rPr>
        <w:t>债务再生的闭环。</w:t>
      </w:r>
    </w:p>
    <w:p w14:paraId="3A9C6B81">
      <w:pPr>
        <w:ind w:firstLine="480"/>
        <w:rPr>
          <w:color w:val="auto"/>
        </w:rPr>
      </w:pPr>
      <w:r>
        <w:rPr>
          <w:rFonts w:hint="eastAsia"/>
          <w:color w:val="auto"/>
        </w:rPr>
        <w:drawing>
          <wp:inline distT="0" distB="0" distL="0" distR="0">
            <wp:extent cx="5590540" cy="2669540"/>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2" r:lo="rId113" r:qs="rId114" r:cs="rId115"/>
              </a:graphicData>
            </a:graphic>
          </wp:inline>
        </w:drawing>
      </w:r>
    </w:p>
    <w:p w14:paraId="02EF326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图3-8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技术债务对自动化进程的负反馈机制示意图</w:t>
      </w:r>
    </w:p>
    <w:p w14:paraId="34E15C0E">
      <w:pPr>
        <w:pStyle w:val="57"/>
        <w:ind w:firstLine="480"/>
        <w:jc w:val="both"/>
        <w:rPr>
          <w:color w:val="auto"/>
        </w:rPr>
      </w:pPr>
      <w:r>
        <w:rPr>
          <w:color w:val="auto"/>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H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14:paraId="0D1070D4">
      <w:pPr>
        <w:pStyle w:val="57"/>
        <w:ind w:firstLine="480"/>
        <w:jc w:val="both"/>
        <w:rPr>
          <w:color w:val="auto"/>
        </w:rPr>
      </w:pPr>
      <w:r>
        <w:rPr>
          <w:rFonts w:hint="eastAsia"/>
          <w:color w:val="auto"/>
        </w:rPr>
        <w:t>可以看出，</w:t>
      </w:r>
      <w:r>
        <w:rPr>
          <w:color w:val="auto"/>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Pr>
          <w:rFonts w:hint="eastAsia"/>
          <w:color w:val="auto"/>
        </w:rPr>
        <w:t>、</w:t>
      </w:r>
      <w:r>
        <w:rPr>
          <w:color w:val="auto"/>
        </w:rPr>
        <w:t>低自动化向低债务</w:t>
      </w:r>
      <w:r>
        <w:rPr>
          <w:rFonts w:hint="eastAsia"/>
          <w:color w:val="auto"/>
        </w:rPr>
        <w:t>、</w:t>
      </w:r>
      <w:r>
        <w:rPr>
          <w:color w:val="auto"/>
        </w:rPr>
        <w:t>高自动化的根本转变，为智能化与高质量研发提供坚实基础。</w:t>
      </w:r>
    </w:p>
    <w:p w14:paraId="50B00972">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18" w:name="_Toc213190813"/>
      <w:bookmarkStart w:id="219" w:name="_Toc213192521"/>
      <w:bookmarkStart w:id="220" w:name="_Toc213192829"/>
      <w:bookmarkStart w:id="221" w:name="_Toc8241"/>
      <w:r>
        <w:rPr>
          <w:rFonts w:hint="eastAsia" w:ascii="Times New Roman" w:hAnsi="Times New Roman" w:eastAsia="黑体" w:cs="Times New Roman"/>
          <w:bCs/>
          <w:sz w:val="24"/>
          <w:szCs w:val="24"/>
        </w:rPr>
        <w:t>3.3.</w:t>
      </w:r>
      <w:r>
        <w:rPr>
          <w:rFonts w:ascii="Times New Roman" w:hAnsi="Times New Roman" w:eastAsia="黑体" w:cs="Times New Roman"/>
          <w:bCs/>
          <w:sz w:val="24"/>
          <w:szCs w:val="24"/>
        </w:rPr>
        <w:t>4</w:t>
      </w:r>
      <w:r>
        <w:rPr>
          <w:rFonts w:hint="eastAsia" w:ascii="Times New Roman" w:hAnsi="Times New Roman" w:eastAsia="黑体" w:cs="Times New Roman"/>
          <w:bCs/>
          <w:sz w:val="24"/>
          <w:szCs w:val="24"/>
        </w:rPr>
        <w:t xml:space="preserve"> 运维智能化不足与系统稳定性风险</w:t>
      </w:r>
      <w:bookmarkEnd w:id="218"/>
      <w:bookmarkEnd w:id="219"/>
      <w:bookmarkEnd w:id="220"/>
      <w:bookmarkEnd w:id="221"/>
    </w:p>
    <w:p w14:paraId="54F5A6EA">
      <w:pPr>
        <w:pStyle w:val="57"/>
        <w:ind w:firstLine="480"/>
        <w:jc w:val="both"/>
        <w:rPr>
          <w:color w:val="auto"/>
        </w:rPr>
      </w:pPr>
      <w:r>
        <w:rPr>
          <w:color w:val="auto"/>
        </w:rPr>
        <w:t>H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14:paraId="23AF0265">
      <w:pPr>
        <w:pStyle w:val="57"/>
        <w:ind w:firstLine="480"/>
        <w:jc w:val="both"/>
        <w:rPr>
          <w:color w:val="auto"/>
        </w:rPr>
      </w:pPr>
      <w:r>
        <w:rPr>
          <w:color w:val="auto"/>
        </w:rPr>
        <w:t>从技术结构看，H公司的监控体系虽已覆盖主要服务与资源指标，但数据分散于多个监控平台，缺乏统一的数据中台与智能关联分析机制。告警规则大多基于静态阈值设定，无法适应动态负载变化。根据内部统计，约62%的告警属于重复或误报，平均每次关键事件的提前告警时间不足15分钟，低于行业标准水平。事件响应仍以人工分析与手工恢复为主，平均修复时间保持在4.8小时，显著高于金融科技领域的稳定性基线。这种被动式运维模式削弱了企业的可观测性能力，也使系统在突发状况下的自愈性不足。</w:t>
      </w:r>
    </w:p>
    <w:p w14:paraId="7C94C02C">
      <w:pPr>
        <w:pStyle w:val="57"/>
        <w:ind w:firstLine="480"/>
        <w:jc w:val="both"/>
        <w:rPr>
          <w:color w:val="auto"/>
        </w:rPr>
      </w:pPr>
      <w:r>
        <w:rPr>
          <w:color w:val="auto"/>
        </w:rPr>
        <w:t>在持续交付与发布环节，智能化不足进一步放大了运维风险。虽然公司已部署CI/CD流水线并实现部分自动化部署，但变更验证和回滚操作依然依赖人工审批，导致发布效率与可靠性受到限制。配置漂移、环境不一致等问题频繁引发发布失败，系统平均部署失败率为5.3%，其中约三分之一由配置错误导致。缺乏基于历史数据的预测性分析模型，使得潜在风险无法在发布前识别，系统稳定性在高频迭代中呈现下降趋势。</w:t>
      </w:r>
    </w:p>
    <w:p w14:paraId="0EA1165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表3-7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运维效能与系统稳定性指标变化（2019-2024）</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36"/>
        <w:gridCol w:w="2736"/>
        <w:gridCol w:w="1861"/>
        <w:gridCol w:w="1861"/>
        <w:gridCol w:w="2071"/>
      </w:tblGrid>
      <w:tr w14:paraId="70EE4C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bottom w:val="single" w:color="auto" w:sz="8" w:space="0"/>
              <w:insideH w:val="single" w:sz="8" w:space="0"/>
            </w:tcBorders>
            <w:vAlign w:val="center"/>
          </w:tcPr>
          <w:p w14:paraId="716C740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年份</w:t>
            </w:r>
          </w:p>
        </w:tc>
        <w:tc>
          <w:tcPr>
            <w:tcW w:w="0" w:type="auto"/>
            <w:tcBorders>
              <w:bottom w:val="single" w:color="auto" w:sz="8" w:space="0"/>
              <w:insideH w:val="single" w:sz="8" w:space="0"/>
            </w:tcBorders>
            <w:vAlign w:val="center"/>
          </w:tcPr>
          <w:p w14:paraId="3A56677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平均故障恢复时间（小时）</w:t>
            </w:r>
          </w:p>
        </w:tc>
        <w:tc>
          <w:tcPr>
            <w:tcW w:w="0" w:type="auto"/>
            <w:tcBorders>
              <w:bottom w:val="single" w:color="auto" w:sz="8" w:space="0"/>
              <w:insideH w:val="single" w:sz="8" w:space="0"/>
            </w:tcBorders>
            <w:vAlign w:val="center"/>
          </w:tcPr>
          <w:p w14:paraId="3C5220F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部署失败率（%）</w:t>
            </w:r>
          </w:p>
        </w:tc>
        <w:tc>
          <w:tcPr>
            <w:tcW w:w="0" w:type="auto"/>
            <w:tcBorders>
              <w:bottom w:val="single" w:color="auto" w:sz="8" w:space="0"/>
              <w:insideH w:val="single" w:sz="8" w:space="0"/>
            </w:tcBorders>
            <w:vAlign w:val="center"/>
          </w:tcPr>
          <w:p w14:paraId="45CDE01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告警误报率（%）</w:t>
            </w:r>
          </w:p>
        </w:tc>
        <w:tc>
          <w:tcPr>
            <w:tcW w:w="0" w:type="auto"/>
            <w:tcBorders>
              <w:bottom w:val="single" w:color="auto" w:sz="8" w:space="0"/>
              <w:insideH w:val="single" w:sz="8" w:space="0"/>
            </w:tcBorders>
            <w:vAlign w:val="center"/>
          </w:tcPr>
          <w:p w14:paraId="1622594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自动化处置率（%）</w:t>
            </w:r>
          </w:p>
        </w:tc>
      </w:tr>
      <w:tr w14:paraId="1D9935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9F4BB8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2019</w:t>
            </w:r>
          </w:p>
        </w:tc>
        <w:tc>
          <w:tcPr>
            <w:tcW w:w="0" w:type="auto"/>
            <w:vAlign w:val="center"/>
          </w:tcPr>
          <w:p w14:paraId="1B83F31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6.2</w:t>
            </w:r>
          </w:p>
        </w:tc>
        <w:tc>
          <w:tcPr>
            <w:tcW w:w="0" w:type="auto"/>
            <w:vAlign w:val="center"/>
          </w:tcPr>
          <w:p w14:paraId="0BC77A5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7.8</w:t>
            </w:r>
          </w:p>
        </w:tc>
        <w:tc>
          <w:tcPr>
            <w:tcW w:w="0" w:type="auto"/>
            <w:vAlign w:val="center"/>
          </w:tcPr>
          <w:p w14:paraId="5D6D461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69</w:t>
            </w:r>
          </w:p>
        </w:tc>
        <w:tc>
          <w:tcPr>
            <w:tcW w:w="0" w:type="auto"/>
            <w:vAlign w:val="center"/>
          </w:tcPr>
          <w:p w14:paraId="335840B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32</w:t>
            </w:r>
          </w:p>
        </w:tc>
      </w:tr>
      <w:tr w14:paraId="2EACCBD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E9D95F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2020</w:t>
            </w:r>
          </w:p>
        </w:tc>
        <w:tc>
          <w:tcPr>
            <w:tcW w:w="0" w:type="auto"/>
            <w:vAlign w:val="center"/>
          </w:tcPr>
          <w:p w14:paraId="23CFD8B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5.5</w:t>
            </w:r>
          </w:p>
        </w:tc>
        <w:tc>
          <w:tcPr>
            <w:tcW w:w="0" w:type="auto"/>
            <w:vAlign w:val="center"/>
          </w:tcPr>
          <w:p w14:paraId="54B5A88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6.9</w:t>
            </w:r>
          </w:p>
        </w:tc>
        <w:tc>
          <w:tcPr>
            <w:tcW w:w="0" w:type="auto"/>
            <w:vAlign w:val="center"/>
          </w:tcPr>
          <w:p w14:paraId="7620D33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65</w:t>
            </w:r>
          </w:p>
        </w:tc>
        <w:tc>
          <w:tcPr>
            <w:tcW w:w="0" w:type="auto"/>
            <w:vAlign w:val="center"/>
          </w:tcPr>
          <w:p w14:paraId="783DC61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38</w:t>
            </w:r>
          </w:p>
        </w:tc>
      </w:tr>
      <w:tr w14:paraId="0B6D58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80D316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2022</w:t>
            </w:r>
          </w:p>
        </w:tc>
        <w:tc>
          <w:tcPr>
            <w:tcW w:w="0" w:type="auto"/>
            <w:vAlign w:val="center"/>
          </w:tcPr>
          <w:p w14:paraId="366C583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4.9</w:t>
            </w:r>
          </w:p>
        </w:tc>
        <w:tc>
          <w:tcPr>
            <w:tcW w:w="0" w:type="auto"/>
            <w:vAlign w:val="center"/>
          </w:tcPr>
          <w:p w14:paraId="61D73CD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5.8</w:t>
            </w:r>
          </w:p>
        </w:tc>
        <w:tc>
          <w:tcPr>
            <w:tcW w:w="0" w:type="auto"/>
            <w:vAlign w:val="center"/>
          </w:tcPr>
          <w:p w14:paraId="23E73E8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63</w:t>
            </w:r>
          </w:p>
        </w:tc>
        <w:tc>
          <w:tcPr>
            <w:tcW w:w="0" w:type="auto"/>
            <w:vAlign w:val="center"/>
          </w:tcPr>
          <w:p w14:paraId="0FE195F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44</w:t>
            </w:r>
          </w:p>
        </w:tc>
      </w:tr>
      <w:tr w14:paraId="212436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B4D7EC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2024</w:t>
            </w:r>
          </w:p>
        </w:tc>
        <w:tc>
          <w:tcPr>
            <w:tcW w:w="0" w:type="auto"/>
            <w:vAlign w:val="center"/>
          </w:tcPr>
          <w:p w14:paraId="12660A3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4.8</w:t>
            </w:r>
          </w:p>
        </w:tc>
        <w:tc>
          <w:tcPr>
            <w:tcW w:w="0" w:type="auto"/>
            <w:vAlign w:val="center"/>
          </w:tcPr>
          <w:p w14:paraId="3F178F5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5.3</w:t>
            </w:r>
          </w:p>
        </w:tc>
        <w:tc>
          <w:tcPr>
            <w:tcW w:w="0" w:type="auto"/>
            <w:vAlign w:val="center"/>
          </w:tcPr>
          <w:p w14:paraId="5F08527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62</w:t>
            </w:r>
          </w:p>
        </w:tc>
        <w:tc>
          <w:tcPr>
            <w:tcW w:w="0" w:type="auto"/>
            <w:vAlign w:val="center"/>
          </w:tcPr>
          <w:p w14:paraId="21708AD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47</w:t>
            </w:r>
          </w:p>
        </w:tc>
      </w:tr>
    </w:tbl>
    <w:p w14:paraId="5E9D1B45">
      <w:pPr>
        <w:pStyle w:val="57"/>
        <w:ind w:firstLine="480"/>
        <w:jc w:val="both"/>
        <w:rPr>
          <w:rFonts w:ascii="Times New Roman" w:hAnsi="Times New Roman" w:eastAsiaTheme="minorEastAsia"/>
          <w:bCs/>
          <w:color w:val="auto"/>
        </w:rPr>
      </w:pPr>
      <w:r>
        <w:rPr>
          <w:color w:val="auto"/>
        </w:rPr>
        <w:t>从表3-7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14:paraId="605366ED">
      <w:pPr>
        <w:ind w:firstLine="960" w:firstLineChars="400"/>
        <w:rPr>
          <w:color w:val="auto"/>
        </w:rPr>
      </w:pPr>
      <w:r>
        <w:rPr>
          <w:color w:val="auto"/>
        </w:rPr>
        <w:drawing>
          <wp:inline distT="0" distB="0" distL="0" distR="0">
            <wp:extent cx="4897120" cy="1589405"/>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7" r:lo="rId118" r:qs="rId119" r:cs="rId120"/>
              </a:graphicData>
            </a:graphic>
          </wp:inline>
        </w:drawing>
      </w:r>
    </w:p>
    <w:p w14:paraId="257364C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图3-9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运维智能化水平与系统稳定性关系示意图</w:t>
      </w:r>
    </w:p>
    <w:p w14:paraId="241CB151">
      <w:pPr>
        <w:pStyle w:val="57"/>
        <w:ind w:firstLine="480"/>
        <w:jc w:val="both"/>
        <w:rPr>
          <w:color w:val="auto"/>
        </w:rPr>
      </w:pPr>
      <w:r>
        <w:rPr>
          <w:color w:val="auto"/>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14:paraId="5437CF15">
      <w:pPr>
        <w:pStyle w:val="57"/>
        <w:ind w:firstLine="480"/>
        <w:jc w:val="both"/>
        <w:rPr>
          <w:color w:val="auto"/>
        </w:rPr>
      </w:pPr>
      <w:r>
        <w:rPr>
          <w:rFonts w:hint="eastAsia"/>
          <w:color w:val="auto"/>
        </w:rPr>
        <w:t>公</w:t>
      </w:r>
      <w:r>
        <w:rPr>
          <w:color w:val="auto"/>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14:paraId="7B69C1E2">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22" w:name="_Toc213190814"/>
      <w:bookmarkStart w:id="223" w:name="_Toc213192522"/>
      <w:bookmarkStart w:id="224" w:name="_Toc213192830"/>
      <w:bookmarkStart w:id="225" w:name="_Toc5589"/>
      <w:bookmarkStart w:id="226" w:name="OLE_LINK3"/>
      <w:bookmarkStart w:id="227" w:name="OLE_LINK4"/>
      <w:r>
        <w:rPr>
          <w:rFonts w:hint="eastAsia" w:ascii="Times New Roman" w:hAnsi="Times New Roman" w:eastAsia="黑体" w:cs="Times New Roman"/>
          <w:bCs/>
          <w:sz w:val="24"/>
          <w:szCs w:val="24"/>
        </w:rPr>
        <w:t>3.3.</w:t>
      </w:r>
      <w:r>
        <w:rPr>
          <w:rFonts w:ascii="Times New Roman" w:hAnsi="Times New Roman" w:eastAsia="黑体" w:cs="Times New Roman"/>
          <w:bCs/>
          <w:sz w:val="24"/>
          <w:szCs w:val="24"/>
        </w:rPr>
        <w:t>5</w:t>
      </w:r>
      <w:r>
        <w:rPr>
          <w:rFonts w:hint="eastAsia" w:ascii="Times New Roman" w:hAnsi="Times New Roman" w:eastAsia="黑体" w:cs="Times New Roman"/>
          <w:bCs/>
          <w:sz w:val="24"/>
          <w:szCs w:val="24"/>
        </w:rPr>
        <w:t xml:space="preserve"> 跨职能协作效率不足与流程弹性受限</w:t>
      </w:r>
      <w:bookmarkEnd w:id="222"/>
      <w:bookmarkEnd w:id="223"/>
      <w:bookmarkEnd w:id="224"/>
      <w:bookmarkEnd w:id="225"/>
    </w:p>
    <w:p w14:paraId="036E3C54">
      <w:pPr>
        <w:pStyle w:val="57"/>
        <w:ind w:firstLine="480"/>
        <w:jc w:val="both"/>
        <w:rPr>
          <w:color w:val="auto"/>
        </w:rPr>
      </w:pPr>
      <w:r>
        <w:rPr>
          <w:color w:val="auto"/>
        </w:rPr>
        <w:t>H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14:paraId="684263BB">
      <w:pPr>
        <w:pStyle w:val="57"/>
        <w:ind w:firstLine="480"/>
        <w:jc w:val="both"/>
        <w:rPr>
          <w:color w:val="auto"/>
        </w:rPr>
      </w:pPr>
      <w:r>
        <w:rPr>
          <w:color w:val="auto"/>
        </w:rPr>
        <w:t>从组织结构看，H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6.5天，其中信息确认与沟通协调占比超过60%。由于缺乏统一的协作平台与标准化接口，任务交接多通过邮件、会议及人工记录完成，过程不可追溯且易产生遗漏，项目整体进度因此受到明显影响。</w:t>
      </w:r>
    </w:p>
    <w:p w14:paraId="7220F6C9">
      <w:pPr>
        <w:pStyle w:val="57"/>
        <w:ind w:firstLine="480"/>
        <w:jc w:val="both"/>
        <w:rPr>
          <w:color w:val="auto"/>
        </w:rPr>
      </w:pPr>
      <w:r>
        <w:rPr>
          <w:color w:val="auto"/>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3.8天，高于行业平均水平。部分关键业务系统上线后仍需多轮调整，反映出前期协同不足与联调机制薄弱。图3-10展示了跨职能协作不畅对流程效率的影响机制。</w:t>
      </w:r>
    </w:p>
    <w:p w14:paraId="6987CFE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表3-8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跨职能协作与流程效率指标（2020-2024）</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36"/>
        <w:gridCol w:w="2526"/>
        <w:gridCol w:w="1896"/>
        <w:gridCol w:w="1896"/>
        <w:gridCol w:w="1861"/>
      </w:tblGrid>
      <w:tr w14:paraId="002BCB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bottom w:val="single" w:color="auto" w:sz="8" w:space="0"/>
              <w:insideH w:val="single" w:sz="8" w:space="0"/>
            </w:tcBorders>
            <w:vAlign w:val="center"/>
          </w:tcPr>
          <w:p w14:paraId="4FA925B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年份</w:t>
            </w:r>
          </w:p>
        </w:tc>
        <w:tc>
          <w:tcPr>
            <w:tcW w:w="0" w:type="auto"/>
            <w:tcBorders>
              <w:bottom w:val="single" w:color="auto" w:sz="8" w:space="0"/>
              <w:insideH w:val="single" w:sz="8" w:space="0"/>
            </w:tcBorders>
            <w:vAlign w:val="center"/>
          </w:tcPr>
          <w:p w14:paraId="22478C1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平均需求响应周期（天）</w:t>
            </w:r>
          </w:p>
        </w:tc>
        <w:tc>
          <w:tcPr>
            <w:tcW w:w="0" w:type="auto"/>
            <w:tcBorders>
              <w:bottom w:val="single" w:color="auto" w:sz="8" w:space="0"/>
              <w:insideH w:val="single" w:sz="8" w:space="0"/>
            </w:tcBorders>
            <w:vAlign w:val="center"/>
          </w:tcPr>
          <w:p w14:paraId="1FB9406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缺陷闭环时（天）</w:t>
            </w:r>
          </w:p>
        </w:tc>
        <w:tc>
          <w:tcPr>
            <w:tcW w:w="0" w:type="auto"/>
            <w:tcBorders>
              <w:bottom w:val="single" w:color="auto" w:sz="8" w:space="0"/>
              <w:insideH w:val="single" w:sz="8" w:space="0"/>
            </w:tcBorders>
            <w:vAlign w:val="center"/>
          </w:tcPr>
          <w:p w14:paraId="74496F0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需求变更重审次数</w:t>
            </w:r>
          </w:p>
        </w:tc>
        <w:tc>
          <w:tcPr>
            <w:tcW w:w="0" w:type="auto"/>
            <w:tcBorders>
              <w:bottom w:val="single" w:color="auto" w:sz="8" w:space="0"/>
              <w:insideH w:val="single" w:sz="8" w:space="0"/>
            </w:tcBorders>
            <w:vAlign w:val="center"/>
          </w:tcPr>
          <w:p w14:paraId="72301E8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项目延期率（%）</w:t>
            </w:r>
          </w:p>
        </w:tc>
      </w:tr>
      <w:tr w14:paraId="4BDEA0B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7BE8F8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2020</w:t>
            </w:r>
          </w:p>
        </w:tc>
        <w:tc>
          <w:tcPr>
            <w:tcW w:w="0" w:type="auto"/>
            <w:vAlign w:val="center"/>
          </w:tcPr>
          <w:p w14:paraId="2997E6F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5.9</w:t>
            </w:r>
          </w:p>
        </w:tc>
        <w:tc>
          <w:tcPr>
            <w:tcW w:w="0" w:type="auto"/>
            <w:vAlign w:val="center"/>
          </w:tcPr>
          <w:p w14:paraId="7434B7C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3.2</w:t>
            </w:r>
          </w:p>
        </w:tc>
        <w:tc>
          <w:tcPr>
            <w:tcW w:w="0" w:type="auto"/>
            <w:vAlign w:val="center"/>
          </w:tcPr>
          <w:p w14:paraId="5F22134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1.3</w:t>
            </w:r>
          </w:p>
        </w:tc>
        <w:tc>
          <w:tcPr>
            <w:tcW w:w="0" w:type="auto"/>
            <w:vAlign w:val="center"/>
          </w:tcPr>
          <w:p w14:paraId="62347B7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14</w:t>
            </w:r>
          </w:p>
        </w:tc>
      </w:tr>
      <w:tr w14:paraId="5B82693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D13006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2021</w:t>
            </w:r>
          </w:p>
        </w:tc>
        <w:tc>
          <w:tcPr>
            <w:tcW w:w="0" w:type="auto"/>
            <w:vAlign w:val="center"/>
          </w:tcPr>
          <w:p w14:paraId="424151C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6.1</w:t>
            </w:r>
          </w:p>
        </w:tc>
        <w:tc>
          <w:tcPr>
            <w:tcW w:w="0" w:type="auto"/>
            <w:vAlign w:val="center"/>
          </w:tcPr>
          <w:p w14:paraId="5DA7A3C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3.5</w:t>
            </w:r>
          </w:p>
        </w:tc>
        <w:tc>
          <w:tcPr>
            <w:tcW w:w="0" w:type="auto"/>
            <w:vAlign w:val="center"/>
          </w:tcPr>
          <w:p w14:paraId="2DCEF54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1.5</w:t>
            </w:r>
          </w:p>
        </w:tc>
        <w:tc>
          <w:tcPr>
            <w:tcW w:w="0" w:type="auto"/>
            <w:vAlign w:val="center"/>
          </w:tcPr>
          <w:p w14:paraId="6078871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17</w:t>
            </w:r>
          </w:p>
        </w:tc>
      </w:tr>
      <w:tr w14:paraId="33D634D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02F3B5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2022</w:t>
            </w:r>
          </w:p>
        </w:tc>
        <w:tc>
          <w:tcPr>
            <w:tcW w:w="0" w:type="auto"/>
            <w:vAlign w:val="center"/>
          </w:tcPr>
          <w:p w14:paraId="4D4AEC1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6.4</w:t>
            </w:r>
          </w:p>
        </w:tc>
        <w:tc>
          <w:tcPr>
            <w:tcW w:w="0" w:type="auto"/>
            <w:vAlign w:val="center"/>
          </w:tcPr>
          <w:p w14:paraId="243DF84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3.6</w:t>
            </w:r>
          </w:p>
        </w:tc>
        <w:tc>
          <w:tcPr>
            <w:tcW w:w="0" w:type="auto"/>
            <w:vAlign w:val="center"/>
          </w:tcPr>
          <w:p w14:paraId="1B083E2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1.7</w:t>
            </w:r>
          </w:p>
        </w:tc>
        <w:tc>
          <w:tcPr>
            <w:tcW w:w="0" w:type="auto"/>
            <w:vAlign w:val="center"/>
          </w:tcPr>
          <w:p w14:paraId="0B7DC3B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w:t>
            </w:r>
          </w:p>
        </w:tc>
      </w:tr>
      <w:tr w14:paraId="1C305A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772064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2024</w:t>
            </w:r>
          </w:p>
        </w:tc>
        <w:tc>
          <w:tcPr>
            <w:tcW w:w="0" w:type="auto"/>
            <w:vAlign w:val="center"/>
          </w:tcPr>
          <w:p w14:paraId="0388EF2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6.5</w:t>
            </w:r>
          </w:p>
        </w:tc>
        <w:tc>
          <w:tcPr>
            <w:tcW w:w="0" w:type="auto"/>
            <w:vAlign w:val="center"/>
          </w:tcPr>
          <w:p w14:paraId="7481C17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3.8</w:t>
            </w:r>
          </w:p>
        </w:tc>
        <w:tc>
          <w:tcPr>
            <w:tcW w:w="0" w:type="auto"/>
            <w:vAlign w:val="center"/>
          </w:tcPr>
          <w:p w14:paraId="6776D07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1.9</w:t>
            </w:r>
          </w:p>
        </w:tc>
        <w:tc>
          <w:tcPr>
            <w:tcW w:w="0" w:type="auto"/>
            <w:vAlign w:val="center"/>
          </w:tcPr>
          <w:p w14:paraId="0E179D0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22</w:t>
            </w:r>
          </w:p>
        </w:tc>
      </w:tr>
    </w:tbl>
    <w:p w14:paraId="25868041">
      <w:pPr>
        <w:pStyle w:val="57"/>
        <w:ind w:firstLine="480"/>
        <w:jc w:val="both"/>
        <w:rPr>
          <w:color w:val="auto"/>
        </w:rPr>
      </w:pPr>
      <w:r>
        <w:rPr>
          <w:color w:val="auto"/>
        </w:rPr>
        <w:t>从表3-8可以看出，跨职能协作效率呈持续下降趋势。平均需求响应周期延长，缺陷闭环时间与需求重审次数逐年上升，项目延期率从14%上升至22%。这些数据表明，在多部门协同的复杂环境中，信息传递和决策链条的冗长显著削弱了项目执行的敏捷性。</w:t>
      </w:r>
    </w:p>
    <w:p w14:paraId="3955600C">
      <w:pPr>
        <w:ind w:left="0" w:leftChars="0" w:firstLine="0" w:firstLineChars="0"/>
        <w:rPr>
          <w:color w:val="auto"/>
        </w:rPr>
      </w:pPr>
      <w:r>
        <w:rPr>
          <w:rFonts w:hint="eastAsia"/>
          <w:color w:val="auto"/>
        </w:rPr>
        <w:drawing>
          <wp:inline distT="0" distB="0" distL="0" distR="0">
            <wp:extent cx="5694680" cy="2122805"/>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2" r:lo="rId123" r:qs="rId124" r:cs="rId125"/>
              </a:graphicData>
            </a:graphic>
          </wp:inline>
        </w:drawing>
      </w:r>
    </w:p>
    <w:p w14:paraId="14A617D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图3-10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跨职能协作效率不足对流程弹性的影响机制示意图</w:t>
      </w:r>
    </w:p>
    <w:p w14:paraId="2207F6D5">
      <w:pPr>
        <w:pStyle w:val="57"/>
        <w:ind w:firstLine="480"/>
        <w:jc w:val="both"/>
        <w:rPr>
          <w:color w:val="auto"/>
        </w:rPr>
      </w:pPr>
      <w:r>
        <w:rPr>
          <w:color w:val="auto"/>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14:paraId="51299485">
      <w:pPr>
        <w:pStyle w:val="57"/>
        <w:ind w:firstLine="480"/>
        <w:jc w:val="both"/>
        <w:rPr>
          <w:color w:val="auto"/>
        </w:rPr>
      </w:pPr>
      <w:r>
        <w:rPr>
          <w:color w:val="auto"/>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14:paraId="175ED9F9">
      <w:pPr>
        <w:spacing w:line="400" w:lineRule="exact"/>
        <w:rPr>
          <w:color w:val="auto"/>
        </w:rPr>
      </w:pPr>
    </w:p>
    <w:p w14:paraId="5CEA9513">
      <w:pPr>
        <w:spacing w:line="400" w:lineRule="exact"/>
        <w:rPr>
          <w:color w:val="auto"/>
        </w:rPr>
      </w:pPr>
    </w:p>
    <w:p w14:paraId="5457251E">
      <w:pPr>
        <w:spacing w:line="400" w:lineRule="exact"/>
        <w:rPr>
          <w:color w:val="auto"/>
        </w:rPr>
      </w:pPr>
    </w:p>
    <w:p w14:paraId="3A97FF21">
      <w:pPr>
        <w:spacing w:line="400" w:lineRule="exact"/>
        <w:rPr>
          <w:color w:val="auto"/>
        </w:rPr>
      </w:pPr>
    </w:p>
    <w:p w14:paraId="5569C257">
      <w:pPr>
        <w:spacing w:line="400" w:lineRule="exact"/>
        <w:rPr>
          <w:color w:val="auto"/>
        </w:rPr>
      </w:pPr>
    </w:p>
    <w:p w14:paraId="7F0E6404">
      <w:pPr>
        <w:spacing w:line="400" w:lineRule="exact"/>
        <w:rPr>
          <w:color w:val="auto"/>
        </w:rPr>
      </w:pPr>
    </w:p>
    <w:p w14:paraId="59DB19E2">
      <w:pPr>
        <w:spacing w:line="400" w:lineRule="exact"/>
        <w:rPr>
          <w:color w:val="auto"/>
        </w:rPr>
      </w:pPr>
    </w:p>
    <w:p w14:paraId="01C5BE29">
      <w:pPr>
        <w:spacing w:line="400" w:lineRule="exact"/>
        <w:rPr>
          <w:color w:val="auto"/>
        </w:rPr>
      </w:pPr>
    </w:p>
    <w:p w14:paraId="3E8A6469">
      <w:pPr>
        <w:spacing w:line="400" w:lineRule="exact"/>
        <w:rPr>
          <w:color w:val="auto"/>
        </w:rPr>
      </w:pPr>
    </w:p>
    <w:p w14:paraId="0AC3F08D">
      <w:pPr>
        <w:spacing w:line="400" w:lineRule="exact"/>
        <w:rPr>
          <w:color w:val="auto"/>
        </w:rPr>
      </w:pPr>
    </w:p>
    <w:p w14:paraId="26024BED">
      <w:pPr>
        <w:spacing w:line="400" w:lineRule="exact"/>
        <w:rPr>
          <w:color w:val="auto"/>
        </w:rPr>
      </w:pPr>
    </w:p>
    <w:p w14:paraId="3B7ECB44">
      <w:pPr>
        <w:spacing w:line="400" w:lineRule="exact"/>
        <w:rPr>
          <w:color w:val="auto"/>
        </w:rPr>
      </w:pPr>
    </w:p>
    <w:p w14:paraId="214BF269">
      <w:pPr>
        <w:spacing w:line="400" w:lineRule="exact"/>
        <w:rPr>
          <w:color w:val="auto"/>
        </w:rPr>
      </w:pPr>
    </w:p>
    <w:p w14:paraId="3CC1D096">
      <w:pPr>
        <w:spacing w:line="400" w:lineRule="exact"/>
        <w:rPr>
          <w:color w:val="auto"/>
        </w:rPr>
      </w:pPr>
    </w:p>
    <w:p w14:paraId="5452B0A1">
      <w:pPr>
        <w:spacing w:line="400" w:lineRule="exact"/>
        <w:rPr>
          <w:color w:val="auto"/>
        </w:rPr>
      </w:pPr>
    </w:p>
    <w:p w14:paraId="76F96CA9">
      <w:pPr>
        <w:spacing w:line="400" w:lineRule="exact"/>
        <w:rPr>
          <w:color w:val="auto"/>
        </w:rPr>
      </w:pPr>
    </w:p>
    <w:p w14:paraId="2CFDA605">
      <w:pPr>
        <w:spacing w:line="400" w:lineRule="exact"/>
        <w:rPr>
          <w:color w:val="auto"/>
        </w:rPr>
      </w:pPr>
    </w:p>
    <w:p w14:paraId="277C47C3">
      <w:pPr>
        <w:spacing w:line="400" w:lineRule="exact"/>
        <w:rPr>
          <w:color w:val="auto"/>
        </w:rPr>
      </w:pPr>
    </w:p>
    <w:p w14:paraId="7662817E">
      <w:pPr>
        <w:spacing w:line="400" w:lineRule="exact"/>
        <w:rPr>
          <w:color w:val="auto"/>
        </w:rPr>
      </w:pPr>
    </w:p>
    <w:p w14:paraId="7488560E">
      <w:pPr>
        <w:spacing w:line="400" w:lineRule="exact"/>
        <w:rPr>
          <w:color w:val="auto"/>
        </w:rPr>
      </w:pPr>
    </w:p>
    <w:p w14:paraId="792505E2">
      <w:pPr>
        <w:spacing w:line="400" w:lineRule="exact"/>
        <w:rPr>
          <w:color w:val="auto"/>
        </w:rPr>
      </w:pPr>
    </w:p>
    <w:p w14:paraId="164FB0FB">
      <w:pPr>
        <w:spacing w:line="400" w:lineRule="exact"/>
        <w:rPr>
          <w:color w:val="auto"/>
        </w:rPr>
        <w:sectPr>
          <w:headerReference r:id="rId18" w:type="default"/>
          <w:pgSz w:w="11906" w:h="16838"/>
          <w:pgMar w:top="1440" w:right="1417" w:bottom="1440" w:left="1417" w:header="850" w:footer="992" w:gutter="0"/>
          <w:pgNumType w:fmt="decimal"/>
          <w:cols w:space="0" w:num="1"/>
          <w:docGrid w:type="lines" w:linePitch="312" w:charSpace="0"/>
        </w:sectPr>
      </w:pPr>
    </w:p>
    <w:p w14:paraId="62CC2456">
      <w:pPr>
        <w:pStyle w:val="2"/>
        <w:spacing w:before="468" w:beforeLines="150" w:after="312" w:afterLines="100"/>
        <w:rPr>
          <w:bCs w:val="0"/>
          <w:color w:val="auto"/>
          <w:szCs w:val="20"/>
        </w:rPr>
      </w:pPr>
      <w:bookmarkStart w:id="228" w:name="_Toc213190815"/>
      <w:bookmarkStart w:id="229" w:name="_Toc213192523"/>
      <w:bookmarkStart w:id="230" w:name="_Toc213192831"/>
      <w:bookmarkStart w:id="231" w:name="_Toc11300"/>
      <w:r>
        <w:rPr>
          <w:rFonts w:hint="eastAsia"/>
          <w:bCs w:val="0"/>
          <w:color w:val="auto"/>
          <w:szCs w:val="20"/>
        </w:rPr>
        <w:t>第4章 H公司软件开发过程的改进方案</w:t>
      </w:r>
      <w:bookmarkEnd w:id="228"/>
      <w:bookmarkEnd w:id="229"/>
      <w:bookmarkEnd w:id="230"/>
      <w:bookmarkEnd w:id="231"/>
    </w:p>
    <w:p w14:paraId="719ABB32">
      <w:pPr>
        <w:pStyle w:val="3"/>
        <w:keepNext/>
        <w:keepLines/>
        <w:numPr>
          <w:ilvl w:val="1"/>
          <w:numId w:val="0"/>
        </w:numPr>
        <w:adjustRightInd/>
        <w:snapToGrid/>
        <w:rPr>
          <w:rFonts w:ascii="Times New Roman" w:hAnsi="Times New Roman"/>
          <w:bCs/>
          <w:color w:val="auto"/>
          <w:szCs w:val="32"/>
        </w:rPr>
      </w:pPr>
      <w:bookmarkStart w:id="232" w:name="_Toc213192524"/>
      <w:bookmarkStart w:id="233" w:name="_Toc213192832"/>
      <w:bookmarkStart w:id="234" w:name="_Toc213190816"/>
      <w:bookmarkStart w:id="235" w:name="_Toc26227"/>
      <w:r>
        <w:rPr>
          <w:rFonts w:ascii="Times New Roman" w:hAnsi="Times New Roman"/>
          <w:bCs/>
          <w:color w:val="auto"/>
          <w:szCs w:val="32"/>
        </w:rPr>
        <w:t>4.1 改进总体思路与总体方案设计</w:t>
      </w:r>
      <w:bookmarkEnd w:id="232"/>
      <w:bookmarkEnd w:id="233"/>
      <w:bookmarkEnd w:id="234"/>
      <w:bookmarkEnd w:id="235"/>
    </w:p>
    <w:p w14:paraId="6D2837A2">
      <w:pPr>
        <w:pStyle w:val="57"/>
        <w:ind w:firstLine="480"/>
        <w:jc w:val="both"/>
        <w:rPr>
          <w:color w:val="auto"/>
        </w:rPr>
      </w:pPr>
      <w:r>
        <w:rPr>
          <w:color w:val="auto"/>
        </w:rPr>
        <w:t>H公司软件开发过程的系统性改进旨在以工程化和管理化的方式提升软件开发全过程的规范性、可控性与持续改进能力。改进工作的核心思想是以软件过程改进理论、DevOps理念、全面质量管理思想和PDCA持续改进循环为基础，从需求、设计、开发、测试、发布到反馈的全过程出发，构建一个覆盖全生命周期的过程优化框架，实现由经验驱动向数据驱动、由局部改良向系统优化的转变。</w:t>
      </w:r>
    </w:p>
    <w:p w14:paraId="37518841">
      <w:pPr>
        <w:pStyle w:val="57"/>
        <w:ind w:firstLine="480"/>
        <w:jc w:val="both"/>
        <w:rPr>
          <w:color w:val="auto"/>
        </w:rPr>
      </w:pPr>
      <w:r>
        <w:rPr>
          <w:color w:val="auto"/>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14:paraId="0558C6DC">
      <w:pPr>
        <w:pStyle w:val="57"/>
        <w:ind w:firstLine="480"/>
        <w:jc w:val="both"/>
        <w:rPr>
          <w:color w:val="auto"/>
        </w:rPr>
      </w:pPr>
      <w:r>
        <w:rPr>
          <w:color w:val="auto"/>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PDCA循环实现问题发现、原因分析与方案优化的动态闭环。最后，以价值流为导向，确保所有改进活动围绕业务目标和客户价值展开，避免局部最优与资源浪费。</w:t>
      </w:r>
    </w:p>
    <w:p w14:paraId="294B467C">
      <w:pPr>
        <w:pStyle w:val="57"/>
        <w:ind w:firstLine="480"/>
        <w:jc w:val="both"/>
        <w:rPr>
          <w:color w:val="auto"/>
        </w:rPr>
      </w:pPr>
      <w:r>
        <w:rPr>
          <w:color w:val="auto"/>
        </w:rPr>
        <w:t>综合理论分析与问题诊断结果，H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14:paraId="59240882">
      <w:pPr>
        <w:pStyle w:val="57"/>
        <w:ind w:firstLine="480"/>
        <w:jc w:val="both"/>
        <w:rPr>
          <w:color w:val="auto"/>
        </w:rPr>
      </w:pPr>
      <w:r>
        <w:rPr>
          <w:color w:val="auto"/>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14:paraId="7F324BBC">
      <w:pPr>
        <w:pStyle w:val="3"/>
        <w:keepNext/>
        <w:keepLines/>
        <w:numPr>
          <w:ilvl w:val="1"/>
          <w:numId w:val="0"/>
        </w:numPr>
        <w:adjustRightInd/>
        <w:snapToGrid/>
        <w:rPr>
          <w:rFonts w:ascii="Times New Roman" w:hAnsi="Times New Roman"/>
          <w:bCs/>
          <w:color w:val="auto"/>
          <w:szCs w:val="32"/>
        </w:rPr>
      </w:pPr>
      <w:bookmarkStart w:id="236" w:name="_Toc213190817"/>
      <w:bookmarkStart w:id="237" w:name="_Toc213192525"/>
      <w:bookmarkStart w:id="238" w:name="_Toc213192833"/>
      <w:bookmarkStart w:id="239" w:name="_Toc22275"/>
      <w:r>
        <w:rPr>
          <w:rFonts w:ascii="Times New Roman" w:hAnsi="Times New Roman"/>
          <w:bCs/>
          <w:color w:val="auto"/>
          <w:szCs w:val="32"/>
        </w:rPr>
        <w:t>4.2 针对主要问题的改进方案</w:t>
      </w:r>
      <w:bookmarkEnd w:id="236"/>
      <w:bookmarkEnd w:id="237"/>
      <w:bookmarkEnd w:id="238"/>
      <w:bookmarkEnd w:id="239"/>
    </w:p>
    <w:p w14:paraId="480F4BA7">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40" w:name="_Toc213190818"/>
      <w:bookmarkStart w:id="241" w:name="_Toc213192526"/>
      <w:bookmarkStart w:id="242" w:name="_Toc213192834"/>
      <w:bookmarkStart w:id="243" w:name="_Toc8527"/>
      <w:r>
        <w:rPr>
          <w:rFonts w:ascii="Times New Roman" w:hAnsi="Times New Roman" w:eastAsia="黑体" w:cs="Times New Roman"/>
          <w:bCs/>
          <w:sz w:val="24"/>
          <w:szCs w:val="24"/>
        </w:rPr>
        <w:t>4.2.1 需求管理混乱与变更频繁问题的改进方案</w:t>
      </w:r>
      <w:bookmarkEnd w:id="240"/>
      <w:bookmarkEnd w:id="241"/>
      <w:bookmarkEnd w:id="242"/>
      <w:bookmarkEnd w:id="243"/>
    </w:p>
    <w:p w14:paraId="60776FE0">
      <w:pPr>
        <w:shd w:val="clear" w:color="auto" w:fill="FFFFFF"/>
        <w:spacing w:line="400" w:lineRule="exact"/>
        <w:ind w:firstLine="480"/>
        <w:rPr>
          <w:rFonts w:ascii="Times New Roman" w:hAnsi="Times New Roman" w:eastAsiaTheme="minorEastAsia"/>
          <w:bCs/>
          <w:color w:val="auto"/>
        </w:rPr>
      </w:pPr>
      <w:r>
        <w:rPr>
          <w:rFonts w:ascii="Times New Roman" w:hAnsi="Times New Roman" w:cstheme="majorBidi"/>
          <w:bCs/>
          <w:color w:val="auto"/>
          <w:kern w:val="2"/>
          <w:szCs w:val="32"/>
        </w:rPr>
        <w:t>H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Pr>
          <w:rFonts w:ascii="Times New Roman" w:hAnsi="Times New Roman" w:eastAsiaTheme="minorEastAsia"/>
          <w:bCs/>
          <w:color w:val="auto"/>
        </w:rPr>
        <w:t>。</w:t>
      </w:r>
    </w:p>
    <w:p w14:paraId="1256E84C">
      <w:pPr>
        <w:pStyle w:val="57"/>
        <w:ind w:firstLine="480"/>
        <w:jc w:val="both"/>
        <w:rPr>
          <w:color w:val="auto"/>
        </w:rPr>
      </w:pPr>
      <w:r>
        <w:rPr>
          <w:color w:val="auto"/>
        </w:rPr>
        <w:t>改进的总体思路是在项目范围管理与需求基线管理理论的指导下，建立以需求基线</w:t>
      </w:r>
      <w:r>
        <w:rPr>
          <w:rFonts w:hint="eastAsia"/>
          <w:color w:val="auto"/>
        </w:rPr>
        <w:t>、</w:t>
      </w:r>
      <w:r>
        <w:rPr>
          <w:color w:val="auto"/>
        </w:rPr>
        <w:t>变更控制</w:t>
      </w:r>
      <w:r>
        <w:rPr>
          <w:rFonts w:hint="eastAsia"/>
          <w:color w:val="auto"/>
        </w:rPr>
        <w:t>和</w:t>
      </w:r>
      <w:r>
        <w:rPr>
          <w:color w:val="auto"/>
        </w:rPr>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14:paraId="0B2B3B13">
      <w:pPr>
        <w:pStyle w:val="57"/>
        <w:ind w:firstLine="480"/>
        <w:jc w:val="both"/>
        <w:rPr>
          <w:color w:val="auto"/>
        </w:rPr>
      </w:pPr>
      <w:r>
        <w:rPr>
          <w:color w:val="auto"/>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4-1所示，实现了从口头沟通到结构化管理的转变。</w:t>
      </w:r>
    </w:p>
    <w:p w14:paraId="03DCB054">
      <w:pPr>
        <w:ind w:left="0" w:leftChars="0" w:firstLine="0" w:firstLineChars="0"/>
        <w:jc w:val="center"/>
        <w:rPr>
          <w:color w:val="auto"/>
        </w:rPr>
      </w:pPr>
      <w:r>
        <w:rPr>
          <w:rFonts w:hint="eastAsia"/>
          <w:color w:val="auto"/>
        </w:rPr>
        <w:drawing>
          <wp:inline distT="0" distB="0" distL="0" distR="0">
            <wp:extent cx="5621020" cy="1147445"/>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7" r:lo="rId128" r:qs="rId129" r:cs="rId130"/>
              </a:graphicData>
            </a:graphic>
          </wp:inline>
        </w:drawing>
      </w:r>
    </w:p>
    <w:p w14:paraId="487460D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图4-1</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H公司需求管理改进框架示意图</w:t>
      </w:r>
    </w:p>
    <w:p w14:paraId="1C625EAC">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44" w:name="_Toc213192835"/>
      <w:bookmarkStart w:id="245" w:name="_Toc213192527"/>
      <w:bookmarkStart w:id="246" w:name="_Toc213190819"/>
      <w:bookmarkStart w:id="247" w:name="_Toc16165"/>
      <w:r>
        <w:rPr>
          <w:rFonts w:ascii="Times New Roman" w:hAnsi="Times New Roman" w:eastAsia="黑体" w:cs="Times New Roman"/>
          <w:bCs/>
          <w:sz w:val="24"/>
          <w:szCs w:val="24"/>
        </w:rPr>
        <w:t>4.2.2 开发过程标准不统一与协同效率低问题的改进方案</w:t>
      </w:r>
      <w:bookmarkEnd w:id="244"/>
      <w:bookmarkEnd w:id="245"/>
      <w:bookmarkEnd w:id="246"/>
      <w:bookmarkEnd w:id="247"/>
    </w:p>
    <w:p w14:paraId="1FFED241">
      <w:pPr>
        <w:pStyle w:val="57"/>
        <w:ind w:firstLine="480"/>
        <w:jc w:val="both"/>
        <w:rPr>
          <w:color w:val="auto"/>
        </w:rPr>
      </w:pPr>
      <w:r>
        <w:rPr>
          <w:color w:val="auto"/>
        </w:rPr>
        <w:t>H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14:paraId="4547D3C1">
      <w:pPr>
        <w:pStyle w:val="57"/>
        <w:ind w:firstLine="480"/>
        <w:jc w:val="both"/>
        <w:rPr>
          <w:color w:val="auto"/>
        </w:rPr>
      </w:pPr>
      <w:r>
        <w:rPr>
          <w:color w:val="auto"/>
        </w:rPr>
        <w:t>为解决上述问题，应以CMMI过程成熟度模型与DevOps跨职能协作理念为理论依据，构建统一、标准化的研发管理体系。CMMI模型强调通过过程定义</w:t>
      </w:r>
      <w:r>
        <w:rPr>
          <w:rFonts w:hint="eastAsia"/>
          <w:color w:val="auto"/>
        </w:rPr>
        <w:t>、</w:t>
      </w:r>
      <w:r>
        <w:rPr>
          <w:color w:val="auto"/>
        </w:rPr>
        <w:t>度量</w:t>
      </w:r>
      <w:r>
        <w:rPr>
          <w:rFonts w:hint="eastAsia"/>
          <w:color w:val="auto"/>
        </w:rPr>
        <w:t>、</w:t>
      </w:r>
      <w:r>
        <w:rPr>
          <w:color w:val="auto"/>
        </w:rPr>
        <w:t>优化的渐进路径，实现从个体经验依赖到组织级过程能力的演进；DevOps理念则倡导以跨职能协作为核心，依托自动化工具链实现开发、测试与运维的高效协同。H公司应在此框架下，通过规范化流程、职责清晰化协作机制和环境一致性控制，将开发过程从经验驱动转变为流程驱动，实现组织层面的可持续开发治理。</w:t>
      </w:r>
    </w:p>
    <w:p w14:paraId="7982D2F2">
      <w:pPr>
        <w:pStyle w:val="57"/>
        <w:ind w:firstLine="480"/>
        <w:jc w:val="both"/>
        <w:rPr>
          <w:color w:val="auto"/>
        </w:rPr>
      </w:pPr>
      <w:r>
        <w:rPr>
          <w:color w:val="auto"/>
        </w:rPr>
        <w:t>在具体实施上，首先，应建立标准化的研发流程与职责体系。建议在项目组织结构中设立需求负责人、开发负责人、测试负责人和运维负责人四个关键角色，明确定义各阶段的责任与交付物边界；并通过RACI矩阵（Responsible、Accountable、Consulted、Informed）制度化职责划分</w:t>
      </w:r>
      <w:r>
        <w:rPr>
          <w:color w:val="auto"/>
        </w:rPr>
        <w:fldChar w:fldCharType="begin"/>
      </w:r>
      <w:r>
        <w:rPr>
          <w:color w:val="auto"/>
        </w:rPr>
        <w:instrText xml:space="preserve"> ADDIN ZOTERO_ITEM CSL_CITATION {"citationID":"msIiA9ni","properties":{"formattedCitation":"\\super [78]\\nosupersub{}","plainCitation":"[78]","noteIndex":0},"citationItems":[{"id":343,"uris":["http://zotero.org/users/18743979/items/GVJSJMEG"],"itemData":{"id":343,"type":"book","event-place":"PA","publisher":"Project Management Institute","publisher-place":"PA","title":"A Guide to the Project Management Body of Knowledge (PMBOK® Guide)","author":[{"literal":"Project Management Institute"}],"issued":{"date-parts":[["2021"]]},"citation-key":"projectmanagementinstituteGuideProjectManagement2021"}}],"schema":"https://github.com/citation-style-language/schema/raw/master/csl-citation.json"} </w:instrText>
      </w:r>
      <w:r>
        <w:rPr>
          <w:color w:val="auto"/>
        </w:rPr>
        <w:fldChar w:fldCharType="separate"/>
      </w:r>
      <w:r>
        <w:rPr>
          <w:rFonts w:cs="Times New Roman"/>
          <w:color w:val="auto"/>
          <w:vertAlign w:val="superscript"/>
        </w:rPr>
        <w:t>[78]</w:t>
      </w:r>
      <w:r>
        <w:rPr>
          <w:color w:val="auto"/>
        </w:rPr>
        <w:fldChar w:fldCharType="end"/>
      </w:r>
      <w:r>
        <w:rPr>
          <w:color w:val="auto"/>
        </w:rPr>
        <w:t>。其次，应建立统一的代码质量门禁体系，制定统一的代码规范、命名规则及审查标准，引入静态扫描、依赖安全检查及自动化单元测试覆盖率控制，确保代码质量可度量、可追溯。第三，应实施统一的版本与环境管理策略，采用Git Flow模式，建立集中化配置中心与容器化部署环境，实现开发、测试与生产环境的一致性</w:t>
      </w:r>
      <w:r>
        <w:rPr>
          <w:color w:val="auto"/>
        </w:rPr>
        <w:fldChar w:fldCharType="begin"/>
      </w:r>
      <w:r>
        <w:rPr>
          <w:color w:val="auto"/>
        </w:rPr>
        <w:instrText xml:space="preserve"> ADDIN ZOTERO_ITEM CSL_CITATION {"citationID":"44k1oLSp","properties":{"formattedCitation":"\\super [79]\\nosupersub{}","plainCitation":"[79]","noteIndex":0},"citationItems":[{"id":345,"uris":["http://zotero.org/users/18743979/items/8QGD8B3P"],"itemData":</w:instrText>
      </w:r>
      <w:r>
        <w:rPr>
          <w:rFonts w:hint="eastAsia"/>
          <w:color w:val="auto"/>
        </w:rPr>
        <w:instrText xml:space="preserve">{"id":345,"type":"book","event-place":"北京大学出版社","number-of-pages":"201909","publisher":"201909","publisher-place":"北京大学出版社","title":"Git从入门到精通","author":[{"literal":"高见龙"}],"issued":{"date-parts":[["2019"]]},"citation-key":"GaoJianLongGitCongRuMenDaoJingT</w:instrText>
      </w:r>
      <w:r>
        <w:rPr>
          <w:color w:val="auto"/>
        </w:rPr>
        <w:instrText xml:space="preserve">ong2019"}}],"schema":"https://github.com/citation-style-language/schema/raw/master/csl-citation.json"} </w:instrText>
      </w:r>
      <w:r>
        <w:rPr>
          <w:color w:val="auto"/>
        </w:rPr>
        <w:fldChar w:fldCharType="separate"/>
      </w:r>
      <w:r>
        <w:rPr>
          <w:rFonts w:cs="Times New Roman"/>
          <w:color w:val="auto"/>
          <w:vertAlign w:val="superscript"/>
        </w:rPr>
        <w:t>[79]</w:t>
      </w:r>
      <w:r>
        <w:rPr>
          <w:color w:val="auto"/>
        </w:rPr>
        <w:fldChar w:fldCharType="end"/>
      </w:r>
      <w:r>
        <w:rPr>
          <w:color w:val="auto"/>
        </w:rPr>
        <w:t>。最后，应通过固定的迭代同步会、需求澄清文档及可视化任务看板，固化跨职能沟通机制，形成透明、稳定的协作流程。</w:t>
      </w:r>
    </w:p>
    <w:p w14:paraId="79F20DF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表4-1</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H公司开发过程标准化与协同改进责任矩阵</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79"/>
        <w:gridCol w:w="1881"/>
        <w:gridCol w:w="2306"/>
        <w:gridCol w:w="2174"/>
        <w:gridCol w:w="1748"/>
      </w:tblGrid>
      <w:tr w14:paraId="646ADD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79" w:type="dxa"/>
            <w:tcBorders>
              <w:bottom w:val="single" w:color="auto" w:sz="8" w:space="0"/>
              <w:insideH w:val="single" w:sz="8" w:space="0"/>
            </w:tcBorders>
            <w:vAlign w:val="center"/>
          </w:tcPr>
          <w:p w14:paraId="621D2B6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阶段/角色</w:t>
            </w:r>
          </w:p>
        </w:tc>
        <w:tc>
          <w:tcPr>
            <w:tcW w:w="1881" w:type="dxa"/>
            <w:tcBorders>
              <w:bottom w:val="single" w:color="auto" w:sz="8" w:space="0"/>
              <w:insideH w:val="single" w:sz="8" w:space="0"/>
            </w:tcBorders>
            <w:vAlign w:val="center"/>
          </w:tcPr>
          <w:p w14:paraId="3C27D2E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需求负责人</w:t>
            </w:r>
          </w:p>
        </w:tc>
        <w:tc>
          <w:tcPr>
            <w:tcW w:w="0" w:type="auto"/>
            <w:tcBorders>
              <w:bottom w:val="single" w:color="auto" w:sz="8" w:space="0"/>
              <w:insideH w:val="single" w:sz="8" w:space="0"/>
            </w:tcBorders>
            <w:vAlign w:val="center"/>
          </w:tcPr>
          <w:p w14:paraId="1AE274F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开发负责人</w:t>
            </w:r>
          </w:p>
        </w:tc>
        <w:tc>
          <w:tcPr>
            <w:tcW w:w="0" w:type="auto"/>
            <w:tcBorders>
              <w:bottom w:val="single" w:color="auto" w:sz="8" w:space="0"/>
              <w:insideH w:val="single" w:sz="8" w:space="0"/>
            </w:tcBorders>
            <w:vAlign w:val="center"/>
          </w:tcPr>
          <w:p w14:paraId="6167694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测试负责人</w:t>
            </w:r>
          </w:p>
        </w:tc>
        <w:tc>
          <w:tcPr>
            <w:tcW w:w="1748" w:type="dxa"/>
            <w:tcBorders>
              <w:bottom w:val="single" w:color="auto" w:sz="8" w:space="0"/>
              <w:insideH w:val="single" w:sz="8" w:space="0"/>
            </w:tcBorders>
            <w:vAlign w:val="center"/>
          </w:tcPr>
          <w:p w14:paraId="4EFA93E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运维负责人</w:t>
            </w:r>
          </w:p>
        </w:tc>
      </w:tr>
      <w:tr w14:paraId="3DE15A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79" w:type="dxa"/>
            <w:vAlign w:val="center"/>
          </w:tcPr>
          <w:p w14:paraId="02DDA26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需求阶段</w:t>
            </w:r>
          </w:p>
        </w:tc>
        <w:tc>
          <w:tcPr>
            <w:tcW w:w="1881" w:type="dxa"/>
            <w:vAlign w:val="center"/>
          </w:tcPr>
          <w:p w14:paraId="5677139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A（确认需求范围与优先级）</w:t>
            </w:r>
          </w:p>
        </w:tc>
        <w:tc>
          <w:tcPr>
            <w:tcW w:w="0" w:type="auto"/>
            <w:vAlign w:val="center"/>
          </w:tcPr>
          <w:p w14:paraId="1E13982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C（参与可实现性评审）</w:t>
            </w:r>
          </w:p>
        </w:tc>
        <w:tc>
          <w:tcPr>
            <w:tcW w:w="0" w:type="auto"/>
            <w:vAlign w:val="center"/>
          </w:tcPr>
          <w:p w14:paraId="414CF19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I（了解需求重点与测试目标）</w:t>
            </w:r>
          </w:p>
        </w:tc>
        <w:tc>
          <w:tcPr>
            <w:tcW w:w="1748" w:type="dxa"/>
            <w:vAlign w:val="center"/>
          </w:tcPr>
          <w:p w14:paraId="0811F9E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I（了解部署约束条件）</w:t>
            </w:r>
          </w:p>
        </w:tc>
      </w:tr>
      <w:tr w14:paraId="46FF02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79" w:type="dxa"/>
            <w:vAlign w:val="center"/>
          </w:tcPr>
          <w:p w14:paraId="5912F96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开发阶段</w:t>
            </w:r>
          </w:p>
        </w:tc>
        <w:tc>
          <w:tcPr>
            <w:tcW w:w="1881" w:type="dxa"/>
            <w:vAlign w:val="center"/>
          </w:tcPr>
          <w:p w14:paraId="5E852E7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C（提供需求解释与业务支持）</w:t>
            </w:r>
          </w:p>
        </w:tc>
        <w:tc>
          <w:tcPr>
            <w:tcW w:w="0" w:type="auto"/>
            <w:vAlign w:val="center"/>
          </w:tcPr>
          <w:p w14:paraId="1365479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R/A（负责架构设计与编码实现）</w:t>
            </w:r>
          </w:p>
        </w:tc>
        <w:tc>
          <w:tcPr>
            <w:tcW w:w="0" w:type="auto"/>
            <w:vAlign w:val="center"/>
          </w:tcPr>
          <w:p w14:paraId="6959733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C（同步测试需求与用例准备）</w:t>
            </w:r>
          </w:p>
        </w:tc>
        <w:tc>
          <w:tcPr>
            <w:tcW w:w="1748" w:type="dxa"/>
            <w:vAlign w:val="center"/>
          </w:tcPr>
          <w:p w14:paraId="653B81A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I（了解部署依赖与配置要求）</w:t>
            </w:r>
          </w:p>
        </w:tc>
      </w:tr>
      <w:tr w14:paraId="3646E9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79" w:type="dxa"/>
            <w:vAlign w:val="center"/>
          </w:tcPr>
          <w:p w14:paraId="20EACD2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测试阶段</w:t>
            </w:r>
          </w:p>
        </w:tc>
        <w:tc>
          <w:tcPr>
            <w:tcW w:w="1881" w:type="dxa"/>
            <w:vAlign w:val="center"/>
          </w:tcPr>
          <w:p w14:paraId="0826B4A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I（了解测试覆盖范围）</w:t>
            </w:r>
          </w:p>
        </w:tc>
        <w:tc>
          <w:tcPr>
            <w:tcW w:w="0" w:type="auto"/>
            <w:vAlign w:val="center"/>
          </w:tcPr>
          <w:p w14:paraId="666EE14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C（修复缺陷与代码调整）</w:t>
            </w:r>
          </w:p>
        </w:tc>
        <w:tc>
          <w:tcPr>
            <w:tcW w:w="0" w:type="auto"/>
            <w:vAlign w:val="center"/>
          </w:tcPr>
          <w:p w14:paraId="6FEF68F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R/A（执行测试与验证质量）</w:t>
            </w:r>
          </w:p>
        </w:tc>
        <w:tc>
          <w:tcPr>
            <w:tcW w:w="1748" w:type="dxa"/>
            <w:vAlign w:val="center"/>
          </w:tcPr>
          <w:p w14:paraId="31B4158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C（提供测试环境支持）</w:t>
            </w:r>
          </w:p>
        </w:tc>
      </w:tr>
      <w:tr w14:paraId="2DE149E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79" w:type="dxa"/>
            <w:vAlign w:val="center"/>
          </w:tcPr>
          <w:p w14:paraId="1FDABE9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发布阶段</w:t>
            </w:r>
          </w:p>
        </w:tc>
        <w:tc>
          <w:tcPr>
            <w:tcW w:w="1881" w:type="dxa"/>
            <w:vAlign w:val="center"/>
          </w:tcPr>
          <w:p w14:paraId="67C86C1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I（知悉发布计划与风险）</w:t>
            </w:r>
          </w:p>
        </w:tc>
        <w:tc>
          <w:tcPr>
            <w:tcW w:w="0" w:type="auto"/>
            <w:vAlign w:val="center"/>
          </w:tcPr>
          <w:p w14:paraId="6F605EC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C（支持打包与验证）</w:t>
            </w:r>
          </w:p>
        </w:tc>
        <w:tc>
          <w:tcPr>
            <w:tcW w:w="0" w:type="auto"/>
            <w:vAlign w:val="center"/>
          </w:tcPr>
          <w:p w14:paraId="0966933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C（验证回归测试结果）</w:t>
            </w:r>
          </w:p>
        </w:tc>
        <w:tc>
          <w:tcPr>
            <w:tcW w:w="1748" w:type="dxa"/>
            <w:vAlign w:val="center"/>
          </w:tcPr>
          <w:p w14:paraId="0C43107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R/A（执行部署与回滚操作）</w:t>
            </w:r>
          </w:p>
        </w:tc>
      </w:tr>
      <w:tr w14:paraId="61407B8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79" w:type="dxa"/>
            <w:vAlign w:val="center"/>
          </w:tcPr>
          <w:p w14:paraId="39D44CD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持续改进阶段</w:t>
            </w:r>
          </w:p>
        </w:tc>
        <w:tc>
          <w:tcPr>
            <w:tcW w:w="1881" w:type="dxa"/>
            <w:vAlign w:val="center"/>
          </w:tcPr>
          <w:p w14:paraId="3AC7A2D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A（收集反馈与需求优化）</w:t>
            </w:r>
          </w:p>
        </w:tc>
        <w:tc>
          <w:tcPr>
            <w:tcW w:w="0" w:type="auto"/>
            <w:vAlign w:val="center"/>
          </w:tcPr>
          <w:p w14:paraId="371B5BE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R（完善开发规范与流程）</w:t>
            </w:r>
          </w:p>
        </w:tc>
        <w:tc>
          <w:tcPr>
            <w:tcW w:w="0" w:type="auto"/>
            <w:vAlign w:val="center"/>
          </w:tcPr>
          <w:p w14:paraId="56C6E7B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C（改进测试策略与度量指标）</w:t>
            </w:r>
          </w:p>
        </w:tc>
        <w:tc>
          <w:tcPr>
            <w:tcW w:w="1748" w:type="dxa"/>
            <w:vAlign w:val="center"/>
          </w:tcPr>
          <w:p w14:paraId="57D7E32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C（优化运维流程与监控手段）</w:t>
            </w:r>
          </w:p>
        </w:tc>
      </w:tr>
    </w:tbl>
    <w:p w14:paraId="39012788">
      <w:pPr>
        <w:pStyle w:val="57"/>
        <w:ind w:firstLine="480"/>
        <w:jc w:val="both"/>
        <w:rPr>
          <w:color w:val="auto"/>
        </w:rPr>
      </w:pPr>
      <w:r>
        <w:rPr>
          <w:color w:val="auto"/>
        </w:rPr>
        <w:t>表4-1展示了H公司在软件开发过程改进后，不同职能角色在各阶段的职责分配与协作关系。通过RACI矩阵机制明确了各阶段的责任归属（R）、批准权（A）、协作义务（C）与信息知情（I），实现了跨职能团队的职责清晰化与沟通制度化。最后一行的持续改进阶段体现了PDCA闭环理念，即通过持续度量与反馈机制，不断优化流程与规范，促进组织过程能力的成熟化。</w:t>
      </w:r>
    </w:p>
    <w:p w14:paraId="4F3A152E">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48" w:name="_Toc213192836"/>
      <w:bookmarkStart w:id="249" w:name="_Toc213190820"/>
      <w:bookmarkStart w:id="250" w:name="_Toc213192528"/>
      <w:bookmarkStart w:id="251" w:name="_Toc15714"/>
      <w:r>
        <w:rPr>
          <w:rFonts w:ascii="Times New Roman" w:hAnsi="Times New Roman" w:eastAsia="黑体" w:cs="Times New Roman"/>
          <w:bCs/>
          <w:sz w:val="24"/>
          <w:szCs w:val="24"/>
        </w:rPr>
        <w:t>4.2.3 测试滞后与质量保障薄弱问题的改进方案</w:t>
      </w:r>
      <w:bookmarkEnd w:id="248"/>
      <w:bookmarkEnd w:id="249"/>
      <w:bookmarkEnd w:id="250"/>
      <w:bookmarkEnd w:id="251"/>
    </w:p>
    <w:p w14:paraId="118E0075">
      <w:pPr>
        <w:pStyle w:val="57"/>
        <w:ind w:firstLine="480"/>
        <w:jc w:val="both"/>
        <w:rPr>
          <w:color w:val="auto"/>
        </w:rPr>
      </w:pPr>
      <w:r>
        <w:rPr>
          <w:color w:val="auto"/>
        </w:rPr>
        <w:t>H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14:paraId="2E2B9A31">
      <w:pPr>
        <w:pStyle w:val="57"/>
        <w:ind w:firstLine="480"/>
        <w:jc w:val="both"/>
        <w:rPr>
          <w:color w:val="auto"/>
        </w:rPr>
      </w:pPr>
      <w:r>
        <w:rPr>
          <w:color w:val="auto"/>
        </w:rPr>
        <w:t>针对上述问题，H公司的测试与质量保障机制需要从后置检验转向全过程质量内建。这一转向可以依托第二章提出的几项关键理论基础。其一，全面质量管理（Total Quality Management, TQM）强调质量不是某一职能部门的单一责任</w:t>
      </w:r>
      <w:r>
        <w:rPr>
          <w:color w:val="auto"/>
        </w:rPr>
        <w:fldChar w:fldCharType="begin"/>
      </w:r>
      <w:r>
        <w:rPr>
          <w:color w:val="auto"/>
        </w:rPr>
        <w:instrText xml:space="preserve"> ADDIN ZOTERO_ITEM CSL_CITATION {"citationID":"qw9GT7Lq","properties":{"formattedCitation":"\\super [80]\\nosupersub{}","plainCitation":"[80]","noteIndex":0},"citationItems":[{"id":347,"uris":["http://zotero.org/users/18743979/items/ES2UJNVD"],"itemData":</w:instrText>
      </w:r>
      <w:r>
        <w:rPr>
          <w:rFonts w:hint="eastAsia"/>
          <w:color w:val="auto"/>
        </w:rPr>
        <w:instrText xml:space="preserve">{"id":347,"type":"article-journal","container-title":"管理科学学报","issue":"11","journalAbbreviation":"管理科学学报","page":"79-96","title":"全面质量管理的业绩效应:一项结构方程模型研究","volume":"17","author":[{"literal":"文东华"},{"literal":"陈世敏"},{"literal":"潘飞"}],"issued":{"date-parts":</w:instrText>
      </w:r>
      <w:r>
        <w:rPr>
          <w:color w:val="auto"/>
        </w:rPr>
        <w:instrText xml:space="preserve">[["2014"]]},"citation-key":"WenDongHuaQuanMianZhiLiangGuanLiDeYeJiXiaoYingYiXiangJieGouFangChengMoXingYanJiu2014"}}],"schema":"https://github.com/citation-style-language/schema/raw/master/csl-citation.json"} </w:instrText>
      </w:r>
      <w:r>
        <w:rPr>
          <w:color w:val="auto"/>
        </w:rPr>
        <w:fldChar w:fldCharType="separate"/>
      </w:r>
      <w:r>
        <w:rPr>
          <w:rFonts w:cs="Times New Roman"/>
          <w:color w:val="auto"/>
          <w:vertAlign w:val="superscript"/>
        </w:rPr>
        <w:t>[80]</w:t>
      </w:r>
      <w:r>
        <w:rPr>
          <w:color w:val="auto"/>
        </w:rPr>
        <w:fldChar w:fldCharType="end"/>
      </w:r>
      <w:r>
        <w:rPr>
          <w:color w:val="auto"/>
        </w:rPr>
        <w:t>，而是需求方、开发方、测试方乃至运维方在整个生命周期内的共同职责，质量活动应覆盖从需求提出到上线运行的每个环节。其二，质量前移（也可理解为质量左移、Shift-left Quality）要求将质量约束从开发末端前置到需求澄清和设计决策阶段，使质量控制成为设计输入，而不是交付前的补救措施。其三，PDCA循环（Plan–Do–Check–Ac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DevOps/DevSecOps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14:paraId="538E1477">
      <w:pPr>
        <w:pStyle w:val="57"/>
        <w:ind w:firstLine="480"/>
        <w:jc w:val="both"/>
        <w:rPr>
          <w:color w:val="auto"/>
        </w:rPr>
      </w:pPr>
      <w:r>
        <w:rPr>
          <w:color w:val="auto"/>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PDCA循环中的Check/Act环节，也是公司在高合规、高复杂度业务环境中保持过程稳定性的关键抓手。上述改进方向可归纳为测试左移、自动化保障、缺陷闭环与过程度量四个维度，其总体结构如表4-2所示。</w:t>
      </w:r>
    </w:p>
    <w:p w14:paraId="1F0F3CF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表4-2</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H公司测试左移与自动化质量保障体系</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75"/>
        <w:gridCol w:w="2599"/>
        <w:gridCol w:w="3150"/>
        <w:gridCol w:w="2664"/>
      </w:tblGrid>
      <w:tr w14:paraId="2B6D51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bottom w:val="single" w:color="auto" w:sz="8" w:space="0"/>
              <w:insideH w:val="single" w:sz="8" w:space="0"/>
            </w:tcBorders>
            <w:vAlign w:val="center"/>
          </w:tcPr>
          <w:p w14:paraId="68CD2C7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改进方向</w:t>
            </w:r>
          </w:p>
        </w:tc>
        <w:tc>
          <w:tcPr>
            <w:tcW w:w="2599" w:type="dxa"/>
            <w:tcBorders>
              <w:bottom w:val="single" w:color="auto" w:sz="8" w:space="0"/>
              <w:insideH w:val="single" w:sz="8" w:space="0"/>
            </w:tcBorders>
            <w:vAlign w:val="center"/>
          </w:tcPr>
          <w:p w14:paraId="265B62B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改进内容</w:t>
            </w:r>
          </w:p>
        </w:tc>
        <w:tc>
          <w:tcPr>
            <w:tcW w:w="3150" w:type="dxa"/>
            <w:tcBorders>
              <w:bottom w:val="single" w:color="auto" w:sz="8" w:space="0"/>
              <w:insideH w:val="single" w:sz="8" w:space="0"/>
            </w:tcBorders>
            <w:vAlign w:val="center"/>
          </w:tcPr>
          <w:p w14:paraId="37AC978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实施要点</w:t>
            </w:r>
          </w:p>
        </w:tc>
        <w:tc>
          <w:tcPr>
            <w:tcW w:w="2664" w:type="dxa"/>
            <w:tcBorders>
              <w:bottom w:val="single" w:color="auto" w:sz="8" w:space="0"/>
              <w:insideH w:val="single" w:sz="8" w:space="0"/>
            </w:tcBorders>
            <w:vAlign w:val="center"/>
          </w:tcPr>
          <w:p w14:paraId="1DCC589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管理价值（过程导向）</w:t>
            </w:r>
          </w:p>
        </w:tc>
      </w:tr>
      <w:tr w14:paraId="0A5102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58D9C9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测试左移</w:t>
            </w:r>
          </w:p>
        </w:tc>
        <w:tc>
          <w:tcPr>
            <w:tcW w:w="2599" w:type="dxa"/>
            <w:vAlign w:val="center"/>
          </w:tcPr>
          <w:p w14:paraId="2A484C3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测试人员在需求澄清与设计评审阶段提前介入，提出可验证的验收标准与关键测试场景。</w:t>
            </w:r>
          </w:p>
        </w:tc>
        <w:tc>
          <w:tcPr>
            <w:tcW w:w="3150" w:type="dxa"/>
            <w:vAlign w:val="center"/>
          </w:tcPr>
          <w:p w14:paraId="60C0BB3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固化需求评审机制；要求在需求基线中记录验收标准；开发任务的立项条件中必须包含对应的验收标准与测试要点。</w:t>
            </w:r>
          </w:p>
        </w:tc>
        <w:tc>
          <w:tcPr>
            <w:tcW w:w="2664" w:type="dxa"/>
            <w:vAlign w:val="center"/>
          </w:tcPr>
          <w:p w14:paraId="591E4B8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使需求在进入开发前即具备可验证性，将质量要求显式化并前置，减少后期需求理解不一致型返工。</w:t>
            </w:r>
          </w:p>
        </w:tc>
      </w:tr>
      <w:tr w14:paraId="0BF0B97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E5D850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自动化测试体系</w:t>
            </w:r>
          </w:p>
        </w:tc>
        <w:tc>
          <w:tcPr>
            <w:tcW w:w="2599" w:type="dxa"/>
            <w:vAlign w:val="center"/>
          </w:tcPr>
          <w:p w14:paraId="5BD8142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将单元测试、接口测试、回归测试纳入持续集成流水线，测试执行由流水线自动触发与记录。</w:t>
            </w:r>
          </w:p>
        </w:tc>
        <w:tc>
          <w:tcPr>
            <w:tcW w:w="3150" w:type="dxa"/>
            <w:vAlign w:val="center"/>
          </w:tcPr>
          <w:p w14:paraId="6F262FC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使用统一流水线执行脚本化测试；以容器/镜像保证环境一致；自动生成测试报告并沉淀为质量度量指标。</w:t>
            </w:r>
          </w:p>
        </w:tc>
        <w:tc>
          <w:tcPr>
            <w:tcW w:w="2664" w:type="dxa"/>
            <w:vAlign w:val="center"/>
          </w:tcPr>
          <w:p w14:paraId="18B32FB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质量验证从人工、一次性检验转为过程内建、可重复执行的验证步骤，提升回归速度与一致性。</w:t>
            </w:r>
          </w:p>
        </w:tc>
      </w:tr>
      <w:tr w14:paraId="74A4D9F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E0A9EA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缺陷闭环机制</w:t>
            </w:r>
          </w:p>
        </w:tc>
        <w:tc>
          <w:tcPr>
            <w:tcW w:w="2599" w:type="dxa"/>
            <w:vAlign w:val="center"/>
          </w:tcPr>
          <w:p w14:paraId="4A9530B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对缺陷执行根因分析并分类归档，形成知识库，支持持续改进。</w:t>
            </w:r>
          </w:p>
        </w:tc>
        <w:tc>
          <w:tcPr>
            <w:tcW w:w="3150" w:type="dxa"/>
            <w:vAlign w:val="center"/>
          </w:tcPr>
          <w:p w14:paraId="6C6EEDE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为缺陷指定成因类别（需求、设计、实现、环境）；要求记录修复手段与预防措施；定期在迭代复盘中复查高频成因。</w:t>
            </w:r>
          </w:p>
        </w:tc>
        <w:tc>
          <w:tcPr>
            <w:tcW w:w="2664" w:type="dxa"/>
            <w:vAlign w:val="center"/>
          </w:tcPr>
          <w:p w14:paraId="2E7B31F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使缺陷处理从补救行为转变为组织学习，为后续规范迭代、编码规范更新和需求澄清方式改进提供依据。</w:t>
            </w:r>
          </w:p>
        </w:tc>
      </w:tr>
      <w:tr w14:paraId="28E4EFB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826713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过程度量与反馈闭环</w:t>
            </w:r>
          </w:p>
        </w:tc>
        <w:tc>
          <w:tcPr>
            <w:tcW w:w="2599" w:type="dxa"/>
            <w:vAlign w:val="center"/>
          </w:tcPr>
          <w:p w14:paraId="2BD506F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将缺陷密度、自动化覆盖率、回归通过率、平均修复时间等指标纳入PDCA循环并持续复盘。</w:t>
            </w:r>
          </w:p>
        </w:tc>
        <w:tc>
          <w:tcPr>
            <w:tcW w:w="3150" w:type="dxa"/>
            <w:vAlign w:val="center"/>
          </w:tcPr>
          <w:p w14:paraId="7098741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在迭代结束时对质量指标进行评估；将不达标项转化为下个迭代的约束输入；将质量指标纳入过程评估而非个人考核。</w:t>
            </w:r>
          </w:p>
        </w:tc>
        <w:tc>
          <w:tcPr>
            <w:tcW w:w="2664" w:type="dxa"/>
            <w:vAlign w:val="center"/>
          </w:tcPr>
          <w:p w14:paraId="4C75943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通过度量驱动的闭环管理，使质量从单次检验行为转化为过程治理常量，为质量稳定性与交付可预测性提供基础支撑。</w:t>
            </w:r>
          </w:p>
        </w:tc>
      </w:tr>
    </w:tbl>
    <w:p w14:paraId="5993C42D">
      <w:pPr>
        <w:pStyle w:val="57"/>
        <w:ind w:firstLine="480"/>
        <w:jc w:val="both"/>
        <w:rPr>
          <w:color w:val="auto"/>
        </w:rPr>
      </w:pPr>
      <w:r>
        <w:rPr>
          <w:color w:val="auto"/>
        </w:rPr>
        <w:t>表4-2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PDCA为主线的持续改进闭环。这种质量内建型模式与H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14:paraId="191C4CD8">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52" w:name="_Toc213190821"/>
      <w:bookmarkStart w:id="253" w:name="_Toc213192529"/>
      <w:bookmarkStart w:id="254" w:name="_Toc213192837"/>
      <w:bookmarkStart w:id="255" w:name="_Toc4509"/>
      <w:r>
        <w:rPr>
          <w:rFonts w:ascii="Times New Roman" w:hAnsi="Times New Roman" w:eastAsia="黑体" w:cs="Times New Roman"/>
          <w:bCs/>
          <w:sz w:val="24"/>
          <w:szCs w:val="24"/>
        </w:rPr>
        <w:t>4.2.4 发布流程手工化与交付风险高问题的改进方案</w:t>
      </w:r>
      <w:bookmarkEnd w:id="252"/>
      <w:bookmarkEnd w:id="253"/>
      <w:bookmarkEnd w:id="254"/>
      <w:bookmarkEnd w:id="255"/>
    </w:p>
    <w:p w14:paraId="6B9BE6A8">
      <w:pPr>
        <w:pStyle w:val="57"/>
        <w:ind w:firstLine="480"/>
        <w:jc w:val="both"/>
        <w:rPr>
          <w:color w:val="auto"/>
        </w:rPr>
      </w:pPr>
      <w:r>
        <w:rPr>
          <w:rFonts w:hint="eastAsia"/>
          <w:color w:val="auto"/>
        </w:rPr>
        <w:t>（</w:t>
      </w:r>
      <w:r>
        <w:rPr>
          <w:color w:val="auto"/>
        </w:rPr>
        <w:t>1）问题概述</w:t>
      </w:r>
    </w:p>
    <w:p w14:paraId="23891829">
      <w:pPr>
        <w:pStyle w:val="57"/>
        <w:ind w:firstLine="480"/>
        <w:jc w:val="both"/>
        <w:rPr>
          <w:color w:val="auto"/>
        </w:rPr>
      </w:pPr>
      <w:r>
        <w:rPr>
          <w:color w:val="auto"/>
        </w:rPr>
        <w:t>H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14:paraId="70CA15AA">
      <w:pPr>
        <w:pStyle w:val="57"/>
        <w:ind w:firstLine="480"/>
        <w:jc w:val="both"/>
        <w:rPr>
          <w:color w:val="auto"/>
        </w:rPr>
      </w:pPr>
      <w:r>
        <w:rPr>
          <w:color w:val="auto"/>
        </w:rPr>
        <w:t>（2）改进思路</w:t>
      </w:r>
    </w:p>
    <w:p w14:paraId="2EF9601D">
      <w:pPr>
        <w:pStyle w:val="57"/>
        <w:ind w:firstLine="480"/>
        <w:jc w:val="both"/>
        <w:rPr>
          <w:color w:val="auto"/>
        </w:rPr>
      </w:pPr>
      <w:r>
        <w:rPr>
          <w:color w:val="auto"/>
        </w:rPr>
        <w:t>为解决发布过程依赖人工操作的瓶颈，应以DevOps及持续集成/持续交付（CI/CD）体系为理论支撑，实现从手工执行向自动化驱动的转变。DevOps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14:paraId="6DBE61CB">
      <w:pPr>
        <w:pStyle w:val="57"/>
        <w:ind w:firstLine="480"/>
        <w:jc w:val="both"/>
        <w:rPr>
          <w:color w:val="auto"/>
        </w:rPr>
      </w:pPr>
      <w:r>
        <w:rPr>
          <w:color w:val="auto"/>
        </w:rPr>
        <w:t>（3）具体改进方案</w:t>
      </w:r>
    </w:p>
    <w:p w14:paraId="7DB44974">
      <w:pPr>
        <w:pStyle w:val="57"/>
        <w:ind w:firstLine="480"/>
        <w:jc w:val="both"/>
        <w:rPr>
          <w:color w:val="auto"/>
        </w:rPr>
      </w:pPr>
      <w:r>
        <w:rPr>
          <w:color w:val="auto"/>
        </w:rPr>
        <w:t>在实施层面，H公司应建立统一的持续集成与持续交付流水线，实现代码提交</w:t>
      </w:r>
      <w:r>
        <w:rPr>
          <w:rFonts w:hint="eastAsia"/>
          <w:color w:val="auto"/>
        </w:rPr>
        <w:t>、</w:t>
      </w:r>
      <w:r>
        <w:rPr>
          <w:color w:val="auto"/>
        </w:rPr>
        <w:t>自动构建</w:t>
      </w:r>
      <w:r>
        <w:rPr>
          <w:rFonts w:hint="eastAsia"/>
          <w:color w:val="auto"/>
        </w:rPr>
        <w:t>、</w:t>
      </w:r>
      <w:r>
        <w:rPr>
          <w:color w:val="auto"/>
        </w:rPr>
        <w:t>自动测试</w:t>
      </w:r>
      <w:r>
        <w:rPr>
          <w:rFonts w:hint="eastAsia"/>
          <w:color w:val="auto"/>
        </w:rPr>
        <w:t>、</w:t>
      </w:r>
      <w:r>
        <w:rPr>
          <w:color w:val="auto"/>
        </w:rPr>
        <w:t>灰度发布</w:t>
      </w:r>
      <w:r>
        <w:rPr>
          <w:rFonts w:hint="eastAsia"/>
          <w:color w:val="auto"/>
        </w:rPr>
        <w:t>、</w:t>
      </w:r>
      <w:r>
        <w:rPr>
          <w:color w:val="auto"/>
        </w:rPr>
        <w:t>运行监控</w:t>
      </w:r>
      <w:r>
        <w:rPr>
          <w:rFonts w:hint="eastAsia"/>
          <w:color w:val="auto"/>
        </w:rPr>
        <w:t>、</w:t>
      </w:r>
      <w:r>
        <w:rPr>
          <w:color w:val="auto"/>
        </w:rPr>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14:paraId="65E6E3BD">
      <w:pPr>
        <w:shd w:val="clear" w:color="auto" w:fill="FFFFFF"/>
        <w:spacing w:line="400" w:lineRule="exact"/>
        <w:ind w:firstLine="480"/>
        <w:rPr>
          <w:rFonts w:ascii="Times New Roman" w:hAnsi="Times New Roman" w:cstheme="majorBidi"/>
          <w:bCs/>
          <w:color w:val="auto"/>
          <w:kern w:val="2"/>
          <w:szCs w:val="32"/>
        </w:rPr>
      </w:pPr>
      <w:r>
        <w:rPr>
          <w:rFonts w:ascii="Times New Roman" w:hAnsi="Times New Roman" w:cstheme="majorBidi"/>
          <w:bCs/>
          <w:color w:val="auto"/>
          <w:kern w:val="2"/>
          <w:szCs w:val="32"/>
        </w:rPr>
        <w:t>图4-2展示了基于自动化理念的发布流程改进模型。该图直观呈现了从人工部署向自动化交付演进的逻辑路径，反映了发布过程的闭环与可回溯特征。</w:t>
      </w:r>
    </w:p>
    <w:p w14:paraId="28DE29CE">
      <w:pPr>
        <w:ind w:left="0" w:leftChars="0" w:firstLine="0" w:firstLineChars="0"/>
        <w:jc w:val="center"/>
        <w:rPr>
          <w:color w:val="auto"/>
        </w:rPr>
      </w:pPr>
      <w:r>
        <w:rPr>
          <w:rFonts w:hint="eastAsia"/>
          <w:color w:val="auto"/>
        </w:rPr>
        <w:drawing>
          <wp:inline distT="0" distB="0" distL="0" distR="0">
            <wp:extent cx="5713095" cy="619760"/>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2" r:lo="rId133" r:qs="rId134" r:cs="rId135"/>
              </a:graphicData>
            </a:graphic>
          </wp:inline>
        </w:drawing>
      </w:r>
    </w:p>
    <w:p w14:paraId="7017EEB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图4-2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自动化发布流程改进模型</w:t>
      </w:r>
    </w:p>
    <w:p w14:paraId="1C65CDC3">
      <w:pPr>
        <w:pStyle w:val="57"/>
        <w:ind w:firstLine="480"/>
        <w:jc w:val="both"/>
        <w:rPr>
          <w:color w:val="auto"/>
        </w:rPr>
      </w:pPr>
      <w:r>
        <w:rPr>
          <w:color w:val="auto"/>
        </w:rPr>
        <w:t>通过该流程模型，发布过程实现了从人工触发向自动化管控的系统化演进，构建了可视化、可度量、可验证的交付体系。该改进方案不仅提高了发布稳定性与操作可控性，也为H公司未来在多环境并行开发、合规可审计以及工程效能提升方面奠定了实践基础。</w:t>
      </w:r>
    </w:p>
    <w:p w14:paraId="36F622AA">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56" w:name="_Toc213192838"/>
      <w:bookmarkStart w:id="257" w:name="_Toc213190822"/>
      <w:bookmarkStart w:id="258" w:name="_Toc213192530"/>
      <w:bookmarkStart w:id="259" w:name="_Toc25993"/>
      <w:r>
        <w:rPr>
          <w:rFonts w:ascii="Times New Roman" w:hAnsi="Times New Roman" w:eastAsia="黑体" w:cs="Times New Roman"/>
          <w:bCs/>
          <w:sz w:val="24"/>
          <w:szCs w:val="24"/>
        </w:rPr>
        <w:t>4.2.5 缺乏过程度量与持续改进机制问题的改进方案</w:t>
      </w:r>
      <w:bookmarkEnd w:id="256"/>
      <w:bookmarkEnd w:id="257"/>
      <w:bookmarkEnd w:id="258"/>
      <w:bookmarkEnd w:id="259"/>
    </w:p>
    <w:p w14:paraId="7DEEAED2">
      <w:pPr>
        <w:pStyle w:val="57"/>
        <w:ind w:firstLine="480"/>
        <w:jc w:val="both"/>
        <w:rPr>
          <w:color w:val="auto"/>
        </w:rPr>
      </w:pPr>
      <w:r>
        <w:rPr>
          <w:color w:val="auto"/>
        </w:rPr>
        <w:t>（1）问题概述</w:t>
      </w:r>
    </w:p>
    <w:p w14:paraId="67F26B24">
      <w:pPr>
        <w:pStyle w:val="57"/>
        <w:ind w:firstLine="480"/>
        <w:jc w:val="both"/>
        <w:rPr>
          <w:color w:val="auto"/>
        </w:rPr>
      </w:pPr>
      <w:r>
        <w:rPr>
          <w:color w:val="auto"/>
        </w:rPr>
        <w:t>根据第三章的分析，H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14:paraId="6A5F870D">
      <w:pPr>
        <w:pStyle w:val="57"/>
        <w:ind w:firstLine="480"/>
        <w:jc w:val="both"/>
        <w:rPr>
          <w:color w:val="auto"/>
        </w:rPr>
      </w:pPr>
      <w:r>
        <w:rPr>
          <w:color w:val="auto"/>
        </w:rPr>
        <w:t>（2）改进思路</w:t>
      </w:r>
    </w:p>
    <w:p w14:paraId="4484EE07">
      <w:pPr>
        <w:pStyle w:val="57"/>
        <w:ind w:firstLine="480"/>
        <w:jc w:val="both"/>
        <w:rPr>
          <w:color w:val="auto"/>
        </w:rPr>
      </w:pPr>
      <w:r>
        <w:rPr>
          <w:color w:val="auto"/>
        </w:rPr>
        <w:t>为提升过程管理的科学性与可持续性，应引入过程绩效度量体系与持续改进理论，构建数据驱动的管理机制。第二章提出的工程效能度量与精益管理思想表明，过程改进的核心在于可度量</w:t>
      </w:r>
      <w:r>
        <w:rPr>
          <w:rFonts w:hint="eastAsia"/>
          <w:color w:val="auto"/>
        </w:rPr>
        <w:t>、</w:t>
      </w:r>
      <w:r>
        <w:rPr>
          <w:color w:val="auto"/>
        </w:rPr>
        <w:t>可透明</w:t>
      </w:r>
      <w:r>
        <w:rPr>
          <w:rFonts w:hint="eastAsia"/>
          <w:color w:val="auto"/>
        </w:rPr>
        <w:t>、</w:t>
      </w:r>
      <w:r>
        <w:rPr>
          <w:color w:val="auto"/>
        </w:rPr>
        <w:t>可复盘</w:t>
      </w:r>
      <w:r>
        <w:rPr>
          <w:rFonts w:hint="eastAsia"/>
          <w:color w:val="auto"/>
        </w:rPr>
        <w:t>、</w:t>
      </w:r>
      <w:r>
        <w:rPr>
          <w:color w:val="auto"/>
        </w:rPr>
        <w:t>可优化的循环机制。通过建立量化指标体系，可将抽象的管理目标转化为可观测的绩效信号。结合PDCA（Plan-Do-Check-Act）循环理论，可形成从计划、执行、检查到改进的闭环管理流程，使改进成为持续性活动而非一次性任务。同时，借鉴CAPA（Corrective and Preventive Action）纠正预防机制，在发现问题后不仅应立即纠正偏差，更要在制度层面形成预防措施，从源头上降低过程波动与重复错误的发生概率</w:t>
      </w:r>
      <w:r>
        <w:rPr>
          <w:color w:val="auto"/>
        </w:rPr>
        <w:fldChar w:fldCharType="begin"/>
      </w:r>
      <w:r>
        <w:rPr>
          <w:color w:val="auto"/>
        </w:rPr>
        <w:instrText xml:space="preserve"> ADDIN ZOTERO_ITEM CSL_CITATION {"citationID":"sn1c6AOe","properties":{"formattedCitation":"\\super [81]\\nosupersub{}","plainCitation":"[81]","noteIndex":0},"citationItems":[{"id":349,"uris":["http://zotero.org/users/18743979/items/JHCCS69Q"],"itemData":{"id":349,"type":"article-journal","container-title":"Geneva:ISO","page":"2016","title":"ISO 13485:2016 — Medical Devices — Quality Management Systems — Requirements for Regulatory Purposes","author":[{"literal":"International Organization for Standardization"}],"issued":{"date-parts":[["2016"]]},"citation-key":"internationalorganizationforstandardizationISO1348520162016"}}],"schema":"https://github.com/citation-style-language/schema/raw/master/csl-citation.json"} </w:instrText>
      </w:r>
      <w:r>
        <w:rPr>
          <w:color w:val="auto"/>
        </w:rPr>
        <w:fldChar w:fldCharType="separate"/>
      </w:r>
      <w:r>
        <w:rPr>
          <w:rFonts w:cs="Times New Roman"/>
          <w:color w:val="auto"/>
          <w:vertAlign w:val="superscript"/>
        </w:rPr>
        <w:t>[81]</w:t>
      </w:r>
      <w:r>
        <w:rPr>
          <w:color w:val="auto"/>
        </w:rPr>
        <w:fldChar w:fldCharType="end"/>
      </w:r>
      <w:r>
        <w:rPr>
          <w:color w:val="auto"/>
        </w:rPr>
        <w:t>。通过度量体系与反馈机制的结合，企业能够在数据基础上实现过程透明化与改进可视化，提升管理层决策的客观性与前瞻性。</w:t>
      </w:r>
    </w:p>
    <w:p w14:paraId="34FFA707">
      <w:pPr>
        <w:pStyle w:val="57"/>
        <w:ind w:firstLine="480"/>
        <w:jc w:val="both"/>
        <w:rPr>
          <w:color w:val="auto"/>
        </w:rPr>
      </w:pPr>
      <w:r>
        <w:rPr>
          <w:color w:val="auto"/>
        </w:rPr>
        <w:t>（3）具体改进方案</w:t>
      </w:r>
    </w:p>
    <w:p w14:paraId="12EFF28B">
      <w:pPr>
        <w:pStyle w:val="57"/>
        <w:ind w:firstLine="480"/>
        <w:jc w:val="both"/>
        <w:rPr>
          <w:color w:val="auto"/>
        </w:rPr>
      </w:pPr>
      <w:r>
        <w:rPr>
          <w:color w:val="auto"/>
        </w:rPr>
        <w:t>H公司应从管理层面构建多维度的过程度量与改进体系，实现工程过程的数字化与持续优化。首先，建立覆盖需求、开发、测试与交付的关键过程指标（Key Process Indicators, KPI），例如：需求响应周期、迭代按期完成率、回归测试周期、缺陷再打开率、交付频率、平均恢复时间等。这些指标应纳入统一的采集与展示标准，明确责任人及数据来源，确保指标口径一致与结果可追溯。其次，构建基于仪表盘（Dashboard）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14:paraId="1FE46356">
      <w:pPr>
        <w:pStyle w:val="57"/>
        <w:ind w:firstLine="480"/>
        <w:jc w:val="both"/>
        <w:rPr>
          <w:color w:val="auto"/>
        </w:rPr>
      </w:pPr>
      <w:r>
        <w:rPr>
          <w:color w:val="auto"/>
        </w:rPr>
        <w:t>图4-3展示了H公司过程度量与持续改进机制的设计框架。该图采用循环式结构，体现了从数据采集到反馈改进的闭环特征。</w:t>
      </w:r>
    </w:p>
    <w:p w14:paraId="15BC5D0D">
      <w:pPr>
        <w:ind w:firstLine="480"/>
        <w:jc w:val="center"/>
        <w:rPr>
          <w:color w:val="auto"/>
        </w:rPr>
      </w:pPr>
      <w:r>
        <w:rPr>
          <w:rFonts w:hint="eastAsia"/>
          <w:color w:val="auto"/>
        </w:rPr>
        <w:drawing>
          <wp:inline distT="0" distB="0" distL="0" distR="0">
            <wp:extent cx="4768215" cy="2282825"/>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14:paraId="45A2068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图4-3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过程度量与持续改进机制框架</w:t>
      </w:r>
    </w:p>
    <w:p w14:paraId="2F1C2307">
      <w:pPr>
        <w:pStyle w:val="57"/>
        <w:ind w:firstLine="480"/>
        <w:jc w:val="both"/>
        <w:rPr>
          <w:color w:val="auto"/>
        </w:rPr>
      </w:pPr>
      <w:r>
        <w:rPr>
          <w:color w:val="auto"/>
        </w:rPr>
        <w:t>通过这一机制，H公司能够在全过程中形成以数据为核心的持续改进文化，实现从经验管理向度量驱动管理的转变。该方案为企业提供了一个可扩展、可复盘的改进框架，为后续实施保障与绩效评估提供了量化基础。</w:t>
      </w:r>
    </w:p>
    <w:p w14:paraId="3D02D904">
      <w:pPr>
        <w:pStyle w:val="57"/>
        <w:ind w:firstLine="480"/>
        <w:jc w:val="both"/>
        <w:rPr>
          <w:color w:val="auto"/>
        </w:rPr>
      </w:pPr>
    </w:p>
    <w:p w14:paraId="4066AABD">
      <w:pPr>
        <w:pStyle w:val="57"/>
        <w:ind w:firstLine="480"/>
        <w:jc w:val="both"/>
        <w:rPr>
          <w:color w:val="auto"/>
        </w:rPr>
      </w:pPr>
    </w:p>
    <w:p w14:paraId="07404E68">
      <w:pPr>
        <w:pStyle w:val="57"/>
        <w:ind w:firstLine="480"/>
        <w:jc w:val="both"/>
        <w:rPr>
          <w:color w:val="auto"/>
        </w:rPr>
      </w:pPr>
    </w:p>
    <w:p w14:paraId="1573EBB7">
      <w:pPr>
        <w:pStyle w:val="57"/>
        <w:ind w:firstLine="480"/>
        <w:jc w:val="both"/>
        <w:rPr>
          <w:color w:val="auto"/>
        </w:rPr>
        <w:sectPr>
          <w:headerReference r:id="rId19" w:type="default"/>
          <w:pgSz w:w="11906" w:h="16838"/>
          <w:pgMar w:top="1440" w:right="1417" w:bottom="1440" w:left="1417" w:header="850" w:footer="992" w:gutter="0"/>
          <w:pgNumType w:fmt="decimal"/>
          <w:cols w:space="0" w:num="1"/>
          <w:docGrid w:type="lines" w:linePitch="312" w:charSpace="0"/>
        </w:sectPr>
      </w:pPr>
    </w:p>
    <w:p w14:paraId="2F2FA7ED">
      <w:pPr>
        <w:pStyle w:val="2"/>
        <w:spacing w:before="468" w:beforeLines="150" w:after="312" w:afterLines="100"/>
        <w:rPr>
          <w:bCs w:val="0"/>
          <w:color w:val="auto"/>
          <w:szCs w:val="20"/>
        </w:rPr>
      </w:pPr>
      <w:bookmarkStart w:id="260" w:name="_Toc213192839"/>
      <w:bookmarkStart w:id="261" w:name="_Toc213190823"/>
      <w:bookmarkStart w:id="262" w:name="_Toc213192531"/>
      <w:bookmarkStart w:id="263" w:name="_Toc32666"/>
      <w:r>
        <w:rPr>
          <w:rFonts w:hint="eastAsia"/>
          <w:bCs w:val="0"/>
          <w:color w:val="auto"/>
          <w:szCs w:val="20"/>
        </w:rPr>
        <w:t>第5章 H公司软件开发过程改进方案的实施保障与预期效果</w:t>
      </w:r>
      <w:bookmarkEnd w:id="260"/>
      <w:bookmarkEnd w:id="261"/>
      <w:bookmarkEnd w:id="262"/>
      <w:bookmarkEnd w:id="263"/>
    </w:p>
    <w:p w14:paraId="51F4E00D">
      <w:pPr>
        <w:pStyle w:val="3"/>
        <w:keepNext/>
        <w:keepLines/>
        <w:numPr>
          <w:ilvl w:val="1"/>
          <w:numId w:val="0"/>
        </w:numPr>
        <w:adjustRightInd/>
        <w:snapToGrid/>
        <w:rPr>
          <w:rFonts w:ascii="Times New Roman" w:hAnsi="Times New Roman"/>
          <w:bCs/>
          <w:color w:val="auto"/>
          <w:szCs w:val="32"/>
        </w:rPr>
      </w:pPr>
      <w:bookmarkStart w:id="264" w:name="_Toc213192532"/>
      <w:bookmarkStart w:id="265" w:name="_Toc213192840"/>
      <w:bookmarkStart w:id="266" w:name="_Toc213190824"/>
      <w:bookmarkStart w:id="267" w:name="_Toc6359"/>
      <w:r>
        <w:rPr>
          <w:rFonts w:ascii="Times New Roman" w:hAnsi="Times New Roman"/>
          <w:bCs/>
          <w:color w:val="auto"/>
          <w:szCs w:val="32"/>
        </w:rPr>
        <w:t>5.1 实施路径与组织分工</w:t>
      </w:r>
      <w:bookmarkEnd w:id="264"/>
      <w:bookmarkEnd w:id="265"/>
      <w:bookmarkEnd w:id="266"/>
      <w:bookmarkEnd w:id="267"/>
    </w:p>
    <w:p w14:paraId="735A4F89">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68" w:name="_Toc213192841"/>
      <w:bookmarkStart w:id="269" w:name="_Toc213190825"/>
      <w:bookmarkStart w:id="270" w:name="_Toc213192533"/>
      <w:bookmarkStart w:id="271" w:name="_Toc23555"/>
      <w:r>
        <w:rPr>
          <w:rFonts w:ascii="Times New Roman" w:hAnsi="Times New Roman" w:eastAsia="黑体" w:cs="Times New Roman"/>
          <w:bCs/>
          <w:sz w:val="24"/>
          <w:szCs w:val="24"/>
        </w:rPr>
        <w:t>5.1.1 实施目标与总体原则</w:t>
      </w:r>
      <w:bookmarkEnd w:id="268"/>
      <w:bookmarkEnd w:id="269"/>
      <w:bookmarkEnd w:id="270"/>
      <w:bookmarkEnd w:id="271"/>
    </w:p>
    <w:p w14:paraId="321E0245">
      <w:pPr>
        <w:pStyle w:val="57"/>
        <w:ind w:firstLine="480"/>
        <w:jc w:val="both"/>
        <w:rPr>
          <w:color w:val="auto"/>
        </w:rPr>
      </w:pPr>
      <w:r>
        <w:rPr>
          <w:color w:val="auto"/>
        </w:rPr>
        <w:t>H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Pr>
          <w:rFonts w:hint="eastAsia"/>
          <w:color w:val="auto"/>
        </w:rPr>
        <w:t>现在从</w:t>
      </w:r>
      <w:r>
        <w:rPr>
          <w:color w:val="auto"/>
        </w:rPr>
        <w:t>总体目标与实施原则两个方面，对H公司过程改进的战略定位与行动逻辑进行系统阐述。</w:t>
      </w:r>
    </w:p>
    <w:p w14:paraId="23C8E35A">
      <w:pPr>
        <w:pStyle w:val="57"/>
        <w:ind w:firstLine="480"/>
        <w:jc w:val="both"/>
        <w:rPr>
          <w:color w:val="auto"/>
        </w:rPr>
      </w:pPr>
      <w:r>
        <w:rPr>
          <w:color w:val="auto"/>
        </w:rPr>
        <w:t>从总体目标上看，过程改进的落地旨在通过系统化的工程方法与组织机制，构建高效、可控、可持续的软件交付体系。具体包括以下四个方面：</w:t>
      </w:r>
    </w:p>
    <w:p w14:paraId="682E706F">
      <w:pPr>
        <w:pStyle w:val="57"/>
        <w:ind w:firstLine="480"/>
        <w:jc w:val="both"/>
        <w:rPr>
          <w:color w:val="auto"/>
        </w:rPr>
      </w:pPr>
      <w:r>
        <w:rPr>
          <w:rFonts w:hint="eastAsia"/>
          <w:color w:val="auto"/>
        </w:rPr>
        <w:t>（1）</w:t>
      </w:r>
      <w:r>
        <w:rPr>
          <w:color w:val="auto"/>
        </w:rPr>
        <w:t>效率提升。通过引入持续集成与持续交付（CI/CD）流水线、自动化测试与统一部署平台，减少重复性人工操作与等待时间，从根本上缩短需求响应与版本发布周期。</w:t>
      </w:r>
    </w:p>
    <w:p w14:paraId="180A3D65">
      <w:pPr>
        <w:pStyle w:val="57"/>
        <w:ind w:firstLine="480"/>
        <w:jc w:val="both"/>
        <w:rPr>
          <w:color w:val="auto"/>
        </w:rPr>
      </w:pPr>
      <w:r>
        <w:rPr>
          <w:rFonts w:hint="eastAsia"/>
          <w:color w:val="auto"/>
        </w:rPr>
        <w:t>（2）</w:t>
      </w:r>
      <w:r>
        <w:rPr>
          <w:color w:val="auto"/>
        </w:rPr>
        <w:t>质量稳定。依托标准化测试准入制度与可回滚发布机制，配合全链路监控和日志审计体系，有效降低缺陷再打开率与生产回滚风险，提升系统运行的稳定性。</w:t>
      </w:r>
    </w:p>
    <w:p w14:paraId="0541EF47">
      <w:pPr>
        <w:pStyle w:val="57"/>
        <w:ind w:firstLine="480"/>
        <w:jc w:val="both"/>
        <w:rPr>
          <w:color w:val="auto"/>
        </w:rPr>
      </w:pPr>
      <w:r>
        <w:rPr>
          <w:rFonts w:hint="eastAsia"/>
          <w:color w:val="auto"/>
        </w:rPr>
        <w:t>（3）</w:t>
      </w:r>
      <w:r>
        <w:rPr>
          <w:color w:val="auto"/>
        </w:rPr>
        <w:t>透明合规。在统一的度量体系下实现端到端过程的可观测、可追溯与可审计，确保软件交付活动符合公司内部审计及外部监管要求，强化过程透明性与管理合规性。</w:t>
      </w:r>
    </w:p>
    <w:p w14:paraId="1066B0D9">
      <w:pPr>
        <w:pStyle w:val="57"/>
        <w:ind w:firstLine="480"/>
        <w:jc w:val="both"/>
        <w:rPr>
          <w:color w:val="auto"/>
        </w:rPr>
      </w:pPr>
      <w:r>
        <w:rPr>
          <w:rFonts w:hint="eastAsia"/>
          <w:color w:val="auto"/>
        </w:rPr>
        <w:t>（4）</w:t>
      </w:r>
      <w:r>
        <w:rPr>
          <w:color w:val="auto"/>
        </w:rPr>
        <w:t>协同增强。通过强化跨职能团队（开发、测试、运维、安全）的协作机制与信息共享平台，打破部门壁垒，形成开发与运维一体化的协作格局，促进知识流动与反馈闭环的建立。</w:t>
      </w:r>
    </w:p>
    <w:p w14:paraId="16DC5120">
      <w:pPr>
        <w:pStyle w:val="57"/>
        <w:ind w:firstLine="480"/>
        <w:jc w:val="both"/>
        <w:rPr>
          <w:color w:val="auto"/>
        </w:rPr>
      </w:pPr>
      <w:r>
        <w:rPr>
          <w:color w:val="auto"/>
        </w:rPr>
        <w:t>在实施原则方面，过程改进并非单纯的技术变革，而是一种系统性的组织再造。其推进过程应遵循以下四项基本原则。</w:t>
      </w:r>
    </w:p>
    <w:p w14:paraId="26DF798E">
      <w:pPr>
        <w:pStyle w:val="57"/>
        <w:ind w:firstLine="480"/>
        <w:jc w:val="both"/>
        <w:rPr>
          <w:color w:val="auto"/>
        </w:rPr>
      </w:pPr>
      <w:r>
        <w:rPr>
          <w:rFonts w:hint="eastAsia"/>
          <w:color w:val="auto"/>
        </w:rPr>
        <w:t>（1）</w:t>
      </w:r>
      <w:r>
        <w:rPr>
          <w:color w:val="auto"/>
        </w:rPr>
        <w:t>循序渐进原则。实施应以试点先行、逐步推广为基本路径，先在业务关键系统中完成初步验证，再根据结果优化标准与流程，最终形成可复用、可复制的组织级模板。</w:t>
      </w:r>
    </w:p>
    <w:p w14:paraId="7FCD279A">
      <w:pPr>
        <w:pStyle w:val="57"/>
        <w:ind w:firstLine="480"/>
        <w:jc w:val="both"/>
        <w:rPr>
          <w:color w:val="auto"/>
        </w:rPr>
      </w:pPr>
      <w:r>
        <w:rPr>
          <w:rFonts w:hint="eastAsia"/>
          <w:color w:val="auto"/>
        </w:rPr>
        <w:t>（2）</w:t>
      </w:r>
      <w:r>
        <w:rPr>
          <w:color w:val="auto"/>
        </w:rPr>
        <w:t>数据驱动原则。改进的决策与评估应建立在量化的过程数据基础之上，通过持续采集需求响应周期、交付频率、测试覆盖率等关键指标，实现以数据支撑管理、以事实指导决策的过程治理模式。</w:t>
      </w:r>
    </w:p>
    <w:p w14:paraId="1DCAD098">
      <w:pPr>
        <w:pStyle w:val="57"/>
        <w:ind w:firstLine="480"/>
        <w:jc w:val="both"/>
        <w:rPr>
          <w:color w:val="auto"/>
        </w:rPr>
      </w:pPr>
      <w:r>
        <w:rPr>
          <w:rFonts w:hint="eastAsia"/>
          <w:color w:val="auto"/>
        </w:rPr>
        <w:t>（3）</w:t>
      </w:r>
      <w:r>
        <w:rPr>
          <w:color w:val="auto"/>
        </w:rPr>
        <w:t>风险可控原则。在变革过程中须确保生产系统稳定与业务连续性，对关键操作配置自动化回滚机制与应急响应流程，将潜在风险控制在可接受范围内。</w:t>
      </w:r>
    </w:p>
    <w:p w14:paraId="5B021029">
      <w:pPr>
        <w:pStyle w:val="57"/>
        <w:ind w:firstLine="480"/>
        <w:jc w:val="both"/>
        <w:rPr>
          <w:color w:val="auto"/>
        </w:rPr>
      </w:pPr>
      <w:r>
        <w:rPr>
          <w:rFonts w:hint="eastAsia"/>
          <w:color w:val="auto"/>
        </w:rPr>
        <w:t>（4）</w:t>
      </w:r>
      <w:r>
        <w:rPr>
          <w:color w:val="auto"/>
        </w:rPr>
        <w:t>持续优化原则。基于PDCA循环与CAPA（纠正-预防）机制，构建常态化改进体系，使每一次问题反馈都能转化为制度修正与能力积累，实现从单次优化到持续提升的动态演进。</w:t>
      </w:r>
    </w:p>
    <w:p w14:paraId="1EA56553">
      <w:pPr>
        <w:pStyle w:val="57"/>
        <w:ind w:firstLine="480"/>
        <w:jc w:val="both"/>
        <w:rPr>
          <w:color w:val="auto"/>
        </w:rPr>
      </w:pPr>
      <w:r>
        <w:rPr>
          <w:color w:val="auto"/>
        </w:rPr>
        <w:t>总体而言，H公司软件过程改进的实施目标与原则形成了从战略导向到执行路径的</w:t>
      </w:r>
    </w:p>
    <w:p w14:paraId="5A404E6C">
      <w:pPr>
        <w:pStyle w:val="57"/>
        <w:ind w:left="0" w:leftChars="0" w:firstLine="0" w:firstLineChars="0"/>
        <w:jc w:val="both"/>
        <w:rPr>
          <w:color w:val="auto"/>
        </w:rPr>
      </w:pPr>
      <w:r>
        <w:rPr>
          <w:color w:val="auto"/>
        </w:rPr>
        <w:t>层次化逻辑：在宏观层面追求效率、质量、合规与协同的统一，在微观层面以阶段性推进、度量验证、风险防控与持续反馈为执行准则。该总体框架如图5-1所示，展示H公司在过程改进实施阶段的顶层设计思路与执行逻辑，是后续组织分工与阶段规划的基础。</w:t>
      </w:r>
    </w:p>
    <w:p w14:paraId="52FC6B9F">
      <w:pPr>
        <w:ind w:firstLine="480"/>
        <w:jc w:val="center"/>
        <w:rPr>
          <w:color w:val="auto"/>
        </w:rPr>
      </w:pPr>
      <w:r>
        <w:rPr>
          <w:rFonts w:hint="eastAsia"/>
          <w:color w:val="auto"/>
        </w:rPr>
        <w:drawing>
          <wp:inline distT="0" distB="0" distL="0" distR="0">
            <wp:extent cx="3847465" cy="2374265"/>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14:paraId="1210CD7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图5-1</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 xml:space="preserve"> H公司软件开发过程的改进总体实施框架</w:t>
      </w:r>
    </w:p>
    <w:p w14:paraId="54CB377C">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72" w:name="_Toc213190826"/>
      <w:bookmarkStart w:id="273" w:name="_Toc213192842"/>
      <w:bookmarkStart w:id="274" w:name="_Toc213192534"/>
      <w:bookmarkStart w:id="275" w:name="_Toc22089"/>
      <w:r>
        <w:rPr>
          <w:rFonts w:ascii="Times New Roman" w:hAnsi="Times New Roman" w:eastAsia="黑体" w:cs="Times New Roman"/>
          <w:bCs/>
          <w:sz w:val="24"/>
          <w:szCs w:val="24"/>
        </w:rPr>
        <w:t>5.1.2 组织结构与职责划分</w:t>
      </w:r>
      <w:bookmarkEnd w:id="272"/>
      <w:bookmarkEnd w:id="273"/>
      <w:bookmarkEnd w:id="274"/>
      <w:bookmarkEnd w:id="275"/>
    </w:p>
    <w:p w14:paraId="36BF3FDD">
      <w:pPr>
        <w:pStyle w:val="57"/>
        <w:ind w:firstLine="480"/>
        <w:jc w:val="both"/>
        <w:rPr>
          <w:color w:val="auto"/>
        </w:rPr>
      </w:pPr>
      <w:r>
        <w:rPr>
          <w:color w:val="auto"/>
        </w:rPr>
        <w:t>为确保软件开发过程改进的系统推进与高效执行，H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14:paraId="7F25B3D5">
      <w:pPr>
        <w:pStyle w:val="57"/>
        <w:ind w:firstLine="480"/>
        <w:jc w:val="both"/>
        <w:rPr>
          <w:color w:val="auto"/>
        </w:rPr>
      </w:pPr>
      <w:r>
        <w:rPr>
          <w:color w:val="auto"/>
        </w:rPr>
        <w:t>结合第二章关于DevOps跨职能协同与组织治理理论，H公司应构建三层治理结构体系，以形成从战略决策层、执行管理层到项目落地层的完整组织支撑体系，从而在纵向上建立决策传导通道，在横向上强化协同协调机制。</w:t>
      </w:r>
    </w:p>
    <w:p w14:paraId="01554927">
      <w:pPr>
        <w:pStyle w:val="57"/>
        <w:ind w:firstLine="480"/>
        <w:jc w:val="both"/>
        <w:rPr>
          <w:color w:val="auto"/>
        </w:rPr>
      </w:pPr>
      <w:r>
        <w:rPr>
          <w:rFonts w:hint="eastAsia"/>
          <w:color w:val="auto"/>
          <w:lang w:val="en-US" w:eastAsia="zh-CN"/>
        </w:rPr>
        <w:t>（1）</w:t>
      </w:r>
      <w:r>
        <w:rPr>
          <w:color w:val="auto"/>
        </w:rPr>
        <w:t>在公司级层面设立软件过程改进委员会（Software Process Improvement Committee,</w:t>
      </w:r>
      <w:r>
        <w:rPr>
          <w:rFonts w:hint="eastAsia"/>
          <w:color w:val="auto"/>
          <w:lang w:val="en-US" w:eastAsia="zh-CN"/>
        </w:rPr>
        <w:t xml:space="preserve"> </w:t>
      </w:r>
      <w:r>
        <w:rPr>
          <w:color w:val="auto"/>
        </w:rPr>
        <w:t>SPIC),作为最高决策与统筹机构。该委员会由技术总监、质量管理负责人及业务部门主管组成，主要职责包括制定过程改进战略方向、分配改进资源、审批阶段性成果与度量报告，以及确保改进活动与公司整体战略目标保持一致。SPIC承担顶层设计与宏观决策职能，是过程改进的战略中枢。</w:t>
      </w:r>
    </w:p>
    <w:p w14:paraId="126F063E">
      <w:pPr>
        <w:pStyle w:val="57"/>
        <w:ind w:firstLine="480"/>
        <w:jc w:val="both"/>
        <w:rPr>
          <w:color w:val="auto"/>
        </w:rPr>
      </w:pPr>
      <w:r>
        <w:rPr>
          <w:rFonts w:hint="eastAsia"/>
          <w:color w:val="auto"/>
          <w:lang w:val="en-US" w:eastAsia="zh-CN"/>
        </w:rPr>
        <w:t>（2）</w:t>
      </w:r>
      <w:r>
        <w:rPr>
          <w:color w:val="auto"/>
        </w:rPr>
        <w:t>在部门级层面设立DevOps推进办公室（DevOps Promotion Office，DPO），作为跨部门的执行与协调机构。该办公室由研发管理、测试管理、运维及信息安全等核心职能部门组成，主要负责将SPIC制定的战略目标转化为具体实施标准与流程，建立改进制度、执行工具落地与指标监控体系，定期汇总各项目度量数据并反馈给委员会，为管理决策提供数据支撑。DPO承担制度建设、过程执行与绩效监控的中枢功能，是衔接战略与项目的执行核心。</w:t>
      </w:r>
    </w:p>
    <w:p w14:paraId="79E97A45">
      <w:pPr>
        <w:pStyle w:val="57"/>
        <w:ind w:firstLine="480"/>
        <w:jc w:val="both"/>
        <w:rPr>
          <w:color w:val="auto"/>
        </w:rPr>
      </w:pPr>
      <w:r>
        <w:rPr>
          <w:rFonts w:hint="eastAsia"/>
          <w:color w:val="auto"/>
          <w:lang w:val="en-US" w:eastAsia="zh-CN"/>
        </w:rPr>
        <w:t>（3）</w:t>
      </w:r>
      <w:r>
        <w:rPr>
          <w:color w:val="auto"/>
        </w:rPr>
        <w:t>在项目级层面设立由项目经理（PM）、质量负责人（QA）与站点可靠性工程师（SRE）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14:paraId="356680BF">
      <w:pPr>
        <w:pStyle w:val="57"/>
        <w:ind w:firstLine="480"/>
        <w:jc w:val="both"/>
        <w:rPr>
          <w:color w:val="auto"/>
        </w:rPr>
      </w:pPr>
      <w:r>
        <w:rPr>
          <w:color w:val="auto"/>
        </w:rPr>
        <w:t>在此三层组织体系的基础上，H公司还需建立高效的沟通与协调机制。SPIC应定期召开月度评审会议，审议改进成果与指标偏差；DPO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14:paraId="62E5FF8C">
      <w:pPr>
        <w:pStyle w:val="57"/>
        <w:ind w:firstLine="480"/>
        <w:jc w:val="both"/>
        <w:rPr>
          <w:color w:val="auto"/>
        </w:rPr>
      </w:pPr>
      <w:r>
        <w:rPr>
          <w:color w:val="auto"/>
        </w:rPr>
        <w:t>通过上述组织设计，H公司形成了战略、执行、落地三层联动的过程改进治理结构。该架构不仅明确了不同层级的角色定位与责任边界，也在机制上保障了跨部门协作的制度化与常态化。图5-2展示了H公司软件过程改进的组织架构体系。</w:t>
      </w:r>
    </w:p>
    <w:p w14:paraId="6818E9B8">
      <w:pPr>
        <w:ind w:firstLine="480"/>
        <w:jc w:val="center"/>
        <w:rPr>
          <w:color w:val="auto"/>
        </w:rPr>
      </w:pPr>
      <w:r>
        <w:rPr>
          <w:rFonts w:hint="eastAsia"/>
          <w:color w:val="auto"/>
        </w:rPr>
        <w:drawing>
          <wp:inline distT="0" distB="0" distL="0" distR="0">
            <wp:extent cx="4019550" cy="3804285"/>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14:paraId="1F01561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图5-2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H公司</w:t>
      </w:r>
      <w:r>
        <w:rPr>
          <w:rFonts w:hint="eastAsia" w:ascii="Times New Roman" w:hAnsi="Times New Roman" w:cs="Times New Roman"/>
          <w:color w:val="auto"/>
          <w:sz w:val="21"/>
          <w:szCs w:val="21"/>
        </w:rPr>
        <w:t>软件开发</w:t>
      </w:r>
      <w:r>
        <w:rPr>
          <w:rFonts w:ascii="Times New Roman" w:hAnsi="Times New Roman" w:cs="Times New Roman"/>
          <w:color w:val="auto"/>
          <w:sz w:val="21"/>
          <w:szCs w:val="21"/>
        </w:rPr>
        <w:t>过程</w:t>
      </w:r>
      <w:r>
        <w:rPr>
          <w:rFonts w:hint="eastAsia" w:ascii="Times New Roman" w:hAnsi="Times New Roman" w:cs="Times New Roman"/>
          <w:color w:val="auto"/>
          <w:sz w:val="21"/>
          <w:szCs w:val="21"/>
        </w:rPr>
        <w:t>的</w:t>
      </w:r>
      <w:r>
        <w:rPr>
          <w:rFonts w:ascii="Times New Roman" w:hAnsi="Times New Roman" w:cs="Times New Roman"/>
          <w:color w:val="auto"/>
          <w:sz w:val="21"/>
          <w:szCs w:val="21"/>
        </w:rPr>
        <w:t>改进实施组织架构图</w:t>
      </w:r>
    </w:p>
    <w:p w14:paraId="52E3C0D1">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76" w:name="_Toc213190827"/>
      <w:bookmarkStart w:id="277" w:name="_Toc213192843"/>
      <w:bookmarkStart w:id="278" w:name="_Toc213192535"/>
      <w:bookmarkStart w:id="279" w:name="_Toc2756"/>
      <w:r>
        <w:rPr>
          <w:rFonts w:ascii="Times New Roman" w:hAnsi="Times New Roman" w:eastAsia="黑体" w:cs="Times New Roman"/>
          <w:bCs/>
          <w:sz w:val="24"/>
          <w:szCs w:val="24"/>
        </w:rPr>
        <w:t>5.1.3 实施阶段与里程碑规划</w:t>
      </w:r>
      <w:bookmarkEnd w:id="276"/>
      <w:bookmarkEnd w:id="277"/>
      <w:bookmarkEnd w:id="278"/>
      <w:bookmarkEnd w:id="279"/>
    </w:p>
    <w:p w14:paraId="260FB7DD">
      <w:pPr>
        <w:pStyle w:val="57"/>
        <w:ind w:firstLine="480"/>
        <w:jc w:val="both"/>
        <w:rPr>
          <w:color w:val="auto"/>
        </w:rPr>
      </w:pPr>
      <w:r>
        <w:rPr>
          <w:color w:val="auto"/>
        </w:rPr>
        <w:t>为确保软件开发过程改进方案能够在H公司得到科学、有序、可持续的落地实施，本节在软件过程改进（SPI）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14:paraId="1BAC244C">
      <w:pPr>
        <w:pStyle w:val="57"/>
        <w:ind w:firstLine="480"/>
        <w:jc w:val="both"/>
        <w:rPr>
          <w:color w:val="auto"/>
        </w:rPr>
      </w:pPr>
      <w:r>
        <w:rPr>
          <w:color w:val="auto"/>
        </w:rPr>
        <w:t>（</w:t>
      </w:r>
      <w:r>
        <w:rPr>
          <w:rFonts w:hint="eastAsia"/>
          <w:color w:val="auto"/>
        </w:rPr>
        <w:t>1</w:t>
      </w:r>
      <w:r>
        <w:rPr>
          <w:color w:val="auto"/>
        </w:rPr>
        <w:t>）体系搭建阶段</w:t>
      </w:r>
    </w:p>
    <w:p w14:paraId="0AEC9ABF">
      <w:pPr>
        <w:pStyle w:val="57"/>
        <w:ind w:firstLine="480"/>
        <w:jc w:val="both"/>
        <w:rPr>
          <w:color w:val="auto"/>
        </w:rPr>
      </w:pPr>
      <w:r>
        <w:rPr>
          <w:color w:val="auto"/>
        </w:rPr>
        <w:t>体系搭建阶段是整个改进计划的起点，其核心在于建立统一的制度、流程与工具框架，为后续改进奠定基础。在此阶段，H公司需系统梳理现有软件开发流程，完成流程建模与角色责任映射，明确各关键环节的过程边界与输入输出关系。同时，应根据改进目标，制定关键过程指标体系（KPI），以度量效率、质量与协同等核心要素。</w:t>
      </w:r>
    </w:p>
    <w:p w14:paraId="7F2EBA1C">
      <w:pPr>
        <w:pStyle w:val="57"/>
        <w:ind w:firstLine="480"/>
        <w:jc w:val="both"/>
        <w:rPr>
          <w:color w:val="auto"/>
        </w:rPr>
      </w:pPr>
      <w:r>
        <w:rPr>
          <w:color w:val="auto"/>
        </w:rPr>
        <w:t>在工具层面，需完成CI/CD工具链的选型与初步环境搭建，并建立统一的配置管理与权限控制机制。此阶段标志性成果包括《研发流程蓝图》《过程度量指标规范》与CI/CD环境原型，为后续阶段提供制度与技术基础。</w:t>
      </w:r>
    </w:p>
    <w:p w14:paraId="2772BBFA">
      <w:pPr>
        <w:pStyle w:val="57"/>
        <w:ind w:firstLine="480"/>
        <w:jc w:val="both"/>
        <w:rPr>
          <w:color w:val="auto"/>
        </w:rPr>
      </w:pPr>
      <w:r>
        <w:rPr>
          <w:color w:val="auto"/>
        </w:rPr>
        <w:t>（</w:t>
      </w:r>
      <w:r>
        <w:rPr>
          <w:rFonts w:hint="eastAsia"/>
          <w:color w:val="auto"/>
        </w:rPr>
        <w:t>2</w:t>
      </w:r>
      <w:r>
        <w:rPr>
          <w:color w:val="auto"/>
        </w:rPr>
        <w:t>）试点验证阶段</w:t>
      </w:r>
    </w:p>
    <w:p w14:paraId="38B5B8BA">
      <w:pPr>
        <w:pStyle w:val="57"/>
        <w:ind w:firstLine="480"/>
        <w:jc w:val="both"/>
        <w:rPr>
          <w:color w:val="auto"/>
        </w:rPr>
      </w:pPr>
      <w:r>
        <w:rPr>
          <w:color w:val="auto"/>
        </w:rPr>
        <w:t>试点验证阶段的重点在于通过小范围试运行来验证制度、工具与度量体系的有效性与可操作性。H公司应选择具代表性的核心业务系统作为试点对象，在其中导入自动化构建、测试与部署流程，并同步启用度量体系，收集迭代周期、构建成功率、缺陷密度等关键指标数据。</w:t>
      </w:r>
    </w:p>
    <w:p w14:paraId="2AEEDD6B">
      <w:pPr>
        <w:pStyle w:val="57"/>
        <w:ind w:firstLine="480"/>
        <w:jc w:val="both"/>
        <w:rPr>
          <w:color w:val="auto"/>
        </w:rPr>
      </w:pPr>
      <w:r>
        <w:rPr>
          <w:color w:val="auto"/>
        </w:rPr>
        <w:t>在此阶段，DevOps推进办公室（DPO）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14:paraId="05731A25">
      <w:pPr>
        <w:pStyle w:val="57"/>
        <w:ind w:firstLine="480"/>
        <w:jc w:val="both"/>
        <w:rPr>
          <w:color w:val="auto"/>
        </w:rPr>
      </w:pPr>
      <w:r>
        <w:rPr>
          <w:color w:val="auto"/>
        </w:rPr>
        <w:t>（</w:t>
      </w:r>
      <w:r>
        <w:rPr>
          <w:rFonts w:hint="eastAsia"/>
          <w:color w:val="auto"/>
        </w:rPr>
        <w:t>3</w:t>
      </w:r>
      <w:r>
        <w:rPr>
          <w:color w:val="auto"/>
        </w:rPr>
        <w:t>）推广固化阶段</w:t>
      </w:r>
    </w:p>
    <w:p w14:paraId="66870A06">
      <w:pPr>
        <w:pStyle w:val="57"/>
        <w:ind w:firstLine="480"/>
        <w:jc w:val="both"/>
        <w:rPr>
          <w:color w:val="auto"/>
        </w:rPr>
      </w:pPr>
      <w:r>
        <w:rPr>
          <w:color w:val="auto"/>
        </w:rPr>
        <w:t>推广固化阶段的任务在于将试点经验推广至公司层面，实现流程的标准化与制度化。H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14:paraId="1935CA26">
      <w:pPr>
        <w:pStyle w:val="57"/>
        <w:ind w:firstLine="480"/>
        <w:jc w:val="both"/>
        <w:rPr>
          <w:color w:val="auto"/>
        </w:rPr>
      </w:pPr>
      <w:r>
        <w:rPr>
          <w:color w:val="auto"/>
        </w:rPr>
        <w:t>在组织层面，DPO应承担过程监督与指标发布职能，确保各部门执行标准一致、反馈透明。阶段成果包括公司级CI/CD集成平台正式上线、过程度量仪表盘部署完成及《过程管理制度》颁布实施。此阶段标志着过程改进由项目行为上升为组织行为。</w:t>
      </w:r>
    </w:p>
    <w:p w14:paraId="09F72058">
      <w:pPr>
        <w:pStyle w:val="57"/>
        <w:ind w:firstLine="480"/>
        <w:jc w:val="both"/>
        <w:rPr>
          <w:color w:val="auto"/>
        </w:rPr>
      </w:pPr>
      <w:r>
        <w:rPr>
          <w:color w:val="auto"/>
        </w:rPr>
        <w:t>（</w:t>
      </w:r>
      <w:r>
        <w:rPr>
          <w:rFonts w:hint="eastAsia"/>
          <w:color w:val="auto"/>
        </w:rPr>
        <w:t>4</w:t>
      </w:r>
      <w:r>
        <w:rPr>
          <w:color w:val="auto"/>
        </w:rPr>
        <w:t>）持续优化阶段</w:t>
      </w:r>
    </w:p>
    <w:p w14:paraId="2857EE49">
      <w:pPr>
        <w:pStyle w:val="57"/>
        <w:ind w:firstLine="480"/>
        <w:jc w:val="both"/>
        <w:rPr>
          <w:color w:val="auto"/>
        </w:rPr>
      </w:pPr>
      <w:r>
        <w:rPr>
          <w:color w:val="auto"/>
        </w:rPr>
        <w:t>持续优化阶段是过程改进的成熟阶段，其目标在于建立稳定的改进闭环与自我进化机制。H公司应基于前期积累的度量数据，建立PDCA循环与CAPA机制，将度量</w:t>
      </w:r>
      <w:r>
        <w:rPr>
          <w:rFonts w:hint="eastAsia"/>
          <w:color w:val="auto"/>
        </w:rPr>
        <w:t>、</w:t>
      </w:r>
      <w:r>
        <w:rPr>
          <w:color w:val="auto"/>
        </w:rPr>
        <w:t>分析</w:t>
      </w:r>
      <w:r>
        <w:rPr>
          <w:rFonts w:hint="eastAsia"/>
          <w:color w:val="auto"/>
        </w:rPr>
        <w:t>、</w:t>
      </w:r>
      <w:r>
        <w:rPr>
          <w:color w:val="auto"/>
        </w:rPr>
        <w:t>优化纳入常态化管理流程。每个开发迭代结束后应进行系统性回顾，识别瓶颈并提出改进措施，形成从项目执行层到公司治理层的双向反馈路径。</w:t>
      </w:r>
    </w:p>
    <w:p w14:paraId="4AF8057A">
      <w:pPr>
        <w:pStyle w:val="57"/>
        <w:ind w:firstLine="480"/>
        <w:jc w:val="both"/>
        <w:rPr>
          <w:color w:val="auto"/>
        </w:rPr>
      </w:pPr>
      <w:r>
        <w:rPr>
          <w:color w:val="auto"/>
        </w:rPr>
        <w:t>同时，持续优化阶段还应着力于构建知识共享与改进文化，形成组织学习机制。年度改进白皮书、经验知识库与成熟度评估体系的建立，将进一步巩固H公司在软件工程过程治理方面的长期竞争优势。</w:t>
      </w:r>
    </w:p>
    <w:p w14:paraId="6D9E6FC4">
      <w:pPr>
        <w:pStyle w:val="57"/>
        <w:ind w:firstLine="480"/>
        <w:jc w:val="both"/>
        <w:rPr>
          <w:color w:val="auto"/>
        </w:rPr>
      </w:pPr>
      <w:r>
        <w:rPr>
          <w:color w:val="auto"/>
        </w:rPr>
        <w:t>综上，H公司软件过程改进的实施路径可归纳为四个阶段：体系搭建、试点验证、推广固化与持续优化。各阶段相互衔接、层层递进，构成了一条由制度建设到组织学习的演进路线，其逻辑关系如图5-3所示。</w:t>
      </w:r>
    </w:p>
    <w:p w14:paraId="6E04F158">
      <w:pPr>
        <w:ind w:left="0" w:leftChars="0" w:firstLine="0" w:firstLineChars="0"/>
        <w:jc w:val="center"/>
        <w:rPr>
          <w:color w:val="auto"/>
        </w:rPr>
      </w:pPr>
      <w:r>
        <w:rPr>
          <w:rFonts w:hint="eastAsia"/>
          <w:color w:val="auto"/>
        </w:rPr>
        <w:drawing>
          <wp:inline distT="0" distB="0" distL="0" distR="0">
            <wp:extent cx="5486400" cy="2251710"/>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14:paraId="710D336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图5-3 </w:t>
      </w:r>
      <w:r>
        <w:rPr>
          <w:rFonts w:hint="eastAsia" w:ascii="Times New Roman" w:hAnsi="Times New Roman" w:cs="Times New Roman"/>
          <w:color w:val="auto"/>
          <w:sz w:val="21"/>
          <w:szCs w:val="21"/>
        </w:rPr>
        <w:t>H公司</w:t>
      </w:r>
      <w:r>
        <w:rPr>
          <w:rFonts w:ascii="Times New Roman" w:hAnsi="Times New Roman" w:cs="Times New Roman"/>
          <w:color w:val="auto"/>
          <w:sz w:val="21"/>
          <w:szCs w:val="21"/>
        </w:rPr>
        <w:t>软件</w:t>
      </w:r>
      <w:r>
        <w:rPr>
          <w:rFonts w:hint="eastAsia" w:ascii="Times New Roman" w:hAnsi="Times New Roman" w:cs="Times New Roman"/>
          <w:color w:val="auto"/>
          <w:sz w:val="21"/>
          <w:szCs w:val="21"/>
        </w:rPr>
        <w:t>开发</w:t>
      </w:r>
      <w:r>
        <w:rPr>
          <w:rFonts w:ascii="Times New Roman" w:hAnsi="Times New Roman" w:cs="Times New Roman"/>
          <w:color w:val="auto"/>
          <w:sz w:val="21"/>
          <w:szCs w:val="21"/>
        </w:rPr>
        <w:t>过程</w:t>
      </w:r>
      <w:r>
        <w:rPr>
          <w:rFonts w:hint="eastAsia" w:ascii="Times New Roman" w:hAnsi="Times New Roman" w:cs="Times New Roman"/>
          <w:color w:val="auto"/>
          <w:sz w:val="21"/>
          <w:szCs w:val="21"/>
        </w:rPr>
        <w:t>的</w:t>
      </w:r>
      <w:r>
        <w:rPr>
          <w:rFonts w:ascii="Times New Roman" w:hAnsi="Times New Roman" w:cs="Times New Roman"/>
          <w:color w:val="auto"/>
          <w:sz w:val="21"/>
          <w:szCs w:val="21"/>
        </w:rPr>
        <w:t>改进实施阶段路线图</w:t>
      </w:r>
    </w:p>
    <w:p w14:paraId="54D46CBE">
      <w:pPr>
        <w:pStyle w:val="3"/>
        <w:keepNext/>
        <w:keepLines/>
        <w:numPr>
          <w:ilvl w:val="1"/>
          <w:numId w:val="0"/>
        </w:numPr>
        <w:adjustRightInd/>
        <w:snapToGrid/>
        <w:rPr>
          <w:rFonts w:ascii="Times New Roman" w:hAnsi="Times New Roman"/>
          <w:bCs/>
          <w:color w:val="auto"/>
          <w:szCs w:val="32"/>
        </w:rPr>
      </w:pPr>
      <w:bookmarkStart w:id="280" w:name="_Toc213190828"/>
      <w:bookmarkStart w:id="281" w:name="_Toc213192844"/>
      <w:bookmarkStart w:id="282" w:name="_Toc213192536"/>
      <w:bookmarkStart w:id="283" w:name="_Toc30557"/>
      <w:r>
        <w:rPr>
          <w:rFonts w:ascii="Times New Roman" w:hAnsi="Times New Roman"/>
          <w:bCs/>
          <w:color w:val="auto"/>
          <w:szCs w:val="32"/>
        </w:rPr>
        <w:t>5.2 保障机制设计</w:t>
      </w:r>
      <w:bookmarkEnd w:id="280"/>
      <w:bookmarkEnd w:id="281"/>
      <w:bookmarkEnd w:id="282"/>
      <w:bookmarkEnd w:id="283"/>
    </w:p>
    <w:p w14:paraId="2873A9FE">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84" w:name="_Toc213190829"/>
      <w:bookmarkStart w:id="285" w:name="_Toc213192537"/>
      <w:bookmarkStart w:id="286" w:name="_Toc213192845"/>
      <w:bookmarkStart w:id="287" w:name="_Toc30625"/>
      <w:r>
        <w:rPr>
          <w:rFonts w:ascii="Times New Roman" w:hAnsi="Times New Roman" w:eastAsia="黑体" w:cs="Times New Roman"/>
          <w:bCs/>
          <w:sz w:val="24"/>
          <w:szCs w:val="24"/>
        </w:rPr>
        <w:t>5.2.1 制度固化与流程标准化</w:t>
      </w:r>
      <w:bookmarkEnd w:id="284"/>
      <w:bookmarkEnd w:id="285"/>
      <w:bookmarkEnd w:id="286"/>
      <w:bookmarkEnd w:id="287"/>
    </w:p>
    <w:p w14:paraId="493185B5">
      <w:pPr>
        <w:pStyle w:val="57"/>
        <w:ind w:firstLine="480"/>
        <w:jc w:val="both"/>
        <w:rPr>
          <w:color w:val="auto"/>
        </w:rPr>
      </w:pPr>
      <w:r>
        <w:rPr>
          <w:color w:val="auto"/>
        </w:rPr>
        <w:t>制度与流程的标准化是软件过程改进得以长期有效实施的关键保障。根据</w:t>
      </w:r>
      <w:r>
        <w:rPr>
          <w:rFonts w:hint="eastAsia"/>
          <w:color w:val="auto"/>
        </w:rPr>
        <w:t>前面</w:t>
      </w:r>
      <w:r>
        <w:rPr>
          <w:color w:val="auto"/>
        </w:rPr>
        <w:t>所述的软件过程改进（SPI）与能力成熟度模型集成（CMMI 2.0）理论，过程优化的核心不在于一次性改良，而在于构建可度量、可复用、可持续的制度化机制。CMMI强调通过标准化过程定义与组织级实践域（Organizational Process Areas）的固化，实现从项目依赖向组织能力的转变；SPI理论则通过定义</w:t>
      </w:r>
      <w:r>
        <w:rPr>
          <w:rFonts w:hint="eastAsia"/>
          <w:color w:val="auto"/>
        </w:rPr>
        <w:t>、</w:t>
      </w:r>
      <w:r>
        <w:rPr>
          <w:color w:val="auto"/>
        </w:rPr>
        <w:t>执行</w:t>
      </w:r>
      <w:r>
        <w:rPr>
          <w:rFonts w:hint="eastAsia"/>
          <w:color w:val="auto"/>
        </w:rPr>
        <w:t>、</w:t>
      </w:r>
      <w:r>
        <w:rPr>
          <w:color w:val="auto"/>
        </w:rPr>
        <w:t>度量</w:t>
      </w:r>
      <w:r>
        <w:rPr>
          <w:rFonts w:hint="eastAsia"/>
          <w:color w:val="auto"/>
        </w:rPr>
        <w:t>、</w:t>
      </w:r>
      <w:r>
        <w:rPr>
          <w:color w:val="auto"/>
        </w:rPr>
        <w:t>优化的循环式框架，使改进活动形成持续闭环。基于此，本研究将H公司在软件开发过程中的改进方案通过制度与流程标准化方式加以固化，以确保措施落地、责任明晰与改进可追踪。</w:t>
      </w:r>
    </w:p>
    <w:p w14:paraId="4F2EAA35">
      <w:pPr>
        <w:pStyle w:val="57"/>
        <w:ind w:firstLine="480"/>
        <w:jc w:val="both"/>
        <w:rPr>
          <w:color w:val="auto"/>
        </w:rPr>
      </w:pPr>
      <w:r>
        <w:rPr>
          <w:color w:val="auto"/>
        </w:rPr>
        <w:t>（1）研发流程标准化</w:t>
      </w:r>
    </w:p>
    <w:p w14:paraId="1F2054CC">
      <w:pPr>
        <w:pStyle w:val="57"/>
        <w:ind w:firstLine="480"/>
        <w:jc w:val="both"/>
        <w:rPr>
          <w:color w:val="auto"/>
        </w:rPr>
      </w:pPr>
      <w:r>
        <w:rPr>
          <w:color w:val="auto"/>
        </w:rPr>
        <w:t>针对改进方案中涉及的需求管理、安全左移、自动化测试与持续交付等环节，H公司构建了覆盖需求</w:t>
      </w:r>
      <w:r>
        <w:rPr>
          <w:rFonts w:hint="eastAsia"/>
          <w:color w:val="auto"/>
        </w:rPr>
        <w:t>、</w:t>
      </w:r>
      <w:r>
        <w:rPr>
          <w:color w:val="auto"/>
        </w:rPr>
        <w:t>设计</w:t>
      </w:r>
      <w:r>
        <w:rPr>
          <w:rFonts w:hint="eastAsia"/>
          <w:color w:val="auto"/>
        </w:rPr>
        <w:t>、</w:t>
      </w:r>
      <w:r>
        <w:rPr>
          <w:color w:val="auto"/>
        </w:rPr>
        <w:t>开发</w:t>
      </w:r>
      <w:r>
        <w:rPr>
          <w:rFonts w:hint="eastAsia"/>
          <w:color w:val="auto"/>
        </w:rPr>
        <w:t>、</w:t>
      </w:r>
      <w:r>
        <w:rPr>
          <w:color w:val="auto"/>
        </w:rPr>
        <w:t>测试</w:t>
      </w:r>
      <w:r>
        <w:rPr>
          <w:rFonts w:hint="eastAsia"/>
          <w:color w:val="auto"/>
        </w:rPr>
        <w:t>、</w:t>
      </w:r>
      <w:r>
        <w:rPr>
          <w:color w:val="auto"/>
        </w:rPr>
        <w:t>发布的端到端标准流程。各环节以制度形式明确输入、输出、责任人及审批节点，形成统一模板与操作规范。例如，在需求阶段引入需求基线冻结制度，确保变更可追踪；在设计与开发阶段固化安全审查节点；在测试与发布阶段嵌入自动化验证与回滚机制，实现从开发到运维的全过程可控。通过流程制度化，企业实现了开发路径的一致性与可复用性，降低了因个体差异导致的执行偏差。</w:t>
      </w:r>
    </w:p>
    <w:p w14:paraId="604C78F7">
      <w:pPr>
        <w:pStyle w:val="57"/>
        <w:ind w:firstLine="480"/>
        <w:jc w:val="both"/>
        <w:rPr>
          <w:color w:val="auto"/>
        </w:rPr>
      </w:pPr>
      <w:r>
        <w:rPr>
          <w:color w:val="auto"/>
        </w:rPr>
        <w:t>（2）度量规范文档化</w:t>
      </w:r>
    </w:p>
    <w:p w14:paraId="217DCC65">
      <w:pPr>
        <w:pStyle w:val="57"/>
        <w:ind w:firstLine="480"/>
        <w:jc w:val="both"/>
        <w:rPr>
          <w:color w:val="auto"/>
        </w:rPr>
      </w:pPr>
      <w:r>
        <w:rPr>
          <w:color w:val="auto"/>
        </w:rPr>
        <w:t>结合SPI度量驱动改进理念，企业将关键过程指标（KPI）以制度文件形式固化，明确指标定义、采集口径与责任部门。指标体系涵盖交付频率、变更前置时间、故障恢复时间（MTTR）、缺陷密度与安全合规率等，确保度量数据在不同团队和项目间具有可比性。通过文档化规范，度量过程实现了采集可追溯、分析可验证、改进可量化的管理闭环，为后续持续改进提供数据支撑。</w:t>
      </w:r>
    </w:p>
    <w:p w14:paraId="49E05A7A">
      <w:pPr>
        <w:pStyle w:val="57"/>
        <w:ind w:firstLine="480"/>
        <w:jc w:val="both"/>
        <w:rPr>
          <w:color w:val="auto"/>
        </w:rPr>
      </w:pPr>
      <w:r>
        <w:rPr>
          <w:color w:val="auto"/>
        </w:rPr>
        <w:t>（3）发布审批标准化</w:t>
      </w:r>
    </w:p>
    <w:p w14:paraId="4797F2FE">
      <w:pPr>
        <w:pStyle w:val="57"/>
        <w:ind w:firstLine="480"/>
        <w:jc w:val="both"/>
        <w:rPr>
          <w:color w:val="auto"/>
        </w:rPr>
      </w:pPr>
      <w:r>
        <w:rPr>
          <w:color w:val="auto"/>
        </w:rPr>
        <w:t>在发布环节，H公司建立了以风险控制为核心的审批与回滚制度，将安全、质量与合规验证纳入统一审批模板。每次版本发布均需通过自动化检测报告与安全扫描清单验证，并由配置管理委员会（Configuration Control Board, CCB）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14:paraId="3A4EFF3C">
      <w:pPr>
        <w:pStyle w:val="57"/>
        <w:ind w:firstLine="480"/>
        <w:jc w:val="both"/>
        <w:rPr>
          <w:color w:val="auto"/>
        </w:rPr>
      </w:pPr>
      <w:r>
        <w:rPr>
          <w:color w:val="auto"/>
        </w:rPr>
        <w:t>制度固化与流程标准化不仅提升了过程执行的一致性，更促进了组织学习与知识积累。通过标准化模板、制度文档与历史度量数据的沉淀，企业逐步形成可复用的知识资产库（Organizational Process Assets, OPA），实现了从经验依赖到知识驱动的能力转型。这一制度化过程使组织在应对业务变化时能够快速复用既有经验，形成自我强化的学习机制，为持续改进奠定了组织基础。</w:t>
      </w:r>
    </w:p>
    <w:p w14:paraId="12DDEF59">
      <w:pPr>
        <w:ind w:left="0" w:leftChars="0" w:firstLine="0" w:firstLineChars="0"/>
        <w:jc w:val="center"/>
        <w:rPr>
          <w:color w:val="auto"/>
        </w:rPr>
      </w:pPr>
      <w:r>
        <w:rPr>
          <w:rFonts w:hint="eastAsia"/>
          <w:color w:val="auto"/>
        </w:rPr>
        <w:drawing>
          <wp:inline distT="0" distB="0" distL="0" distR="0">
            <wp:extent cx="4013200" cy="1546225"/>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14:paraId="36C6BB9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图5-4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制度与流程固化机制框架图</w:t>
      </w:r>
    </w:p>
    <w:p w14:paraId="6B034A8C">
      <w:pPr>
        <w:pStyle w:val="57"/>
        <w:ind w:firstLine="480"/>
        <w:jc w:val="both"/>
        <w:rPr>
          <w:color w:val="auto"/>
        </w:rPr>
      </w:pPr>
      <w:r>
        <w:rPr>
          <w:color w:val="auto"/>
        </w:rPr>
        <w:t>图5-4反映了制度与流程之间的互动关系，体现了标准化</w:t>
      </w:r>
      <w:r>
        <w:rPr>
          <w:rFonts w:hint="eastAsia"/>
          <w:color w:val="auto"/>
        </w:rPr>
        <w:t>、</w:t>
      </w:r>
      <w:r>
        <w:rPr>
          <w:color w:val="auto"/>
        </w:rPr>
        <w:t>执行</w:t>
      </w:r>
      <w:r>
        <w:rPr>
          <w:rFonts w:hint="eastAsia"/>
          <w:color w:val="auto"/>
        </w:rPr>
        <w:t>、</w:t>
      </w:r>
      <w:r>
        <w:rPr>
          <w:color w:val="auto"/>
        </w:rPr>
        <w:t>反馈</w:t>
      </w:r>
      <w:r>
        <w:rPr>
          <w:rFonts w:hint="eastAsia"/>
          <w:color w:val="auto"/>
        </w:rPr>
        <w:t>、</w:t>
      </w:r>
      <w:r>
        <w:rPr>
          <w:color w:val="auto"/>
        </w:rPr>
        <w:t>优化的持续改进闭环。该机制确保了改进措施从定义到执行、从度量到优化的全周期可追溯性与流程复用性。</w:t>
      </w:r>
    </w:p>
    <w:p w14:paraId="2C13B798">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88" w:name="_Toc213190830"/>
      <w:bookmarkStart w:id="289" w:name="_Toc213192538"/>
      <w:bookmarkStart w:id="290" w:name="_Toc213192846"/>
      <w:bookmarkStart w:id="291" w:name="_Toc14362"/>
      <w:r>
        <w:rPr>
          <w:rFonts w:ascii="Times New Roman" w:hAnsi="Times New Roman" w:eastAsia="黑体" w:cs="Times New Roman"/>
          <w:bCs/>
          <w:sz w:val="24"/>
          <w:szCs w:val="24"/>
        </w:rPr>
        <w:t>5.2.2 资源配置与技术支撑</w:t>
      </w:r>
      <w:bookmarkEnd w:id="288"/>
      <w:bookmarkEnd w:id="289"/>
      <w:bookmarkEnd w:id="290"/>
      <w:bookmarkEnd w:id="291"/>
    </w:p>
    <w:p w14:paraId="4D046DB9">
      <w:pPr>
        <w:pStyle w:val="57"/>
        <w:ind w:firstLine="480"/>
        <w:jc w:val="both"/>
        <w:rPr>
          <w:color w:val="auto"/>
        </w:rPr>
      </w:pPr>
      <w:r>
        <w:rPr>
          <w:color w:val="auto"/>
        </w:rPr>
        <w:t>资源与技术的配置是软件过程改进持续运行的根本保障。为确保</w:t>
      </w:r>
      <w:r>
        <w:rPr>
          <w:rFonts w:hint="eastAsia"/>
          <w:color w:val="auto"/>
        </w:rPr>
        <w:t>前面</w:t>
      </w:r>
      <w:r>
        <w:rPr>
          <w:color w:val="auto"/>
        </w:rPr>
        <w:t>所提出的改进措施能够落地并形成可持续能力，H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14:paraId="60ED404C">
      <w:pPr>
        <w:pStyle w:val="57"/>
        <w:ind w:firstLine="480"/>
        <w:jc w:val="both"/>
        <w:rPr>
          <w:color w:val="auto"/>
        </w:rPr>
      </w:pPr>
      <w:r>
        <w:rPr>
          <w:color w:val="auto"/>
        </w:rPr>
        <w:t>（1）技术资源配置</w:t>
      </w:r>
    </w:p>
    <w:p w14:paraId="2B919E86">
      <w:pPr>
        <w:pStyle w:val="57"/>
        <w:ind w:firstLine="480"/>
        <w:jc w:val="both"/>
        <w:rPr>
          <w:color w:val="auto"/>
        </w:rPr>
      </w:pPr>
      <w:r>
        <w:rPr>
          <w:color w:val="auto"/>
        </w:rPr>
        <w:t>在技术层面，企业以DevOps与AIOps体系为核心，整合了持续集成与部署（CI/CD）、自动化测试、运行监控与度量分析四类关键支撑平台。持续集成平台基于Jenkins与GitLab CI，承担构建、测试与部署的自动化任务，实现从代码提交到生产发布的全流程闭环；自动化测试系统以Selenium与JUnit为核心，覆盖单元测试、接口测试与回归验证环节，显著提升测试效率；监控体系依托Prometheus与Grafana，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14:paraId="2246A242">
      <w:pPr>
        <w:pStyle w:val="57"/>
        <w:ind w:firstLine="480"/>
        <w:jc w:val="both"/>
        <w:rPr>
          <w:color w:val="auto"/>
        </w:rPr>
      </w:pPr>
      <w:r>
        <w:rPr>
          <w:color w:val="auto"/>
        </w:rPr>
        <w:t>（2）人力资源配置</w:t>
      </w:r>
    </w:p>
    <w:p w14:paraId="72002C24">
      <w:pPr>
        <w:pStyle w:val="57"/>
        <w:ind w:firstLine="480"/>
        <w:jc w:val="both"/>
        <w:rPr>
          <w:color w:val="auto"/>
        </w:rPr>
      </w:pPr>
      <w:r>
        <w:rPr>
          <w:color w:val="auto"/>
        </w:rPr>
        <w:t>在人员保障方面，H公司组建了跨职能的过程改进团队，形成以DevOps工程师、质量管理人员与项目协调员为核心的职责分工体系。DevOps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14:paraId="7F016747">
      <w:pPr>
        <w:pStyle w:val="57"/>
        <w:ind w:firstLine="480"/>
        <w:jc w:val="both"/>
        <w:rPr>
          <w:color w:val="auto"/>
        </w:rPr>
      </w:pPr>
      <w:r>
        <w:rPr>
          <w:color w:val="auto"/>
        </w:rPr>
        <w:t>（3）培训与知识体系建设</w:t>
      </w:r>
    </w:p>
    <w:p w14:paraId="36482AA1">
      <w:pPr>
        <w:pStyle w:val="57"/>
        <w:ind w:firstLine="480"/>
        <w:jc w:val="both"/>
        <w:rPr>
          <w:color w:val="auto"/>
        </w:rPr>
      </w:pPr>
      <w:r>
        <w:rPr>
          <w:color w:val="auto"/>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Confluence与GitLab Wiki的知识库系统对标准流程、改进案例与度量结果进行集中管理，使隐性经验逐步显性化，促进组织学习与经验复用。这种知识循环机制确保了改进活动的可持续性与组织韧性。</w:t>
      </w:r>
    </w:p>
    <w:p w14:paraId="70AC69CE">
      <w:pPr>
        <w:pStyle w:val="57"/>
        <w:ind w:firstLine="480"/>
        <w:jc w:val="both"/>
        <w:rPr>
          <w:color w:val="auto"/>
        </w:rPr>
      </w:pPr>
      <w:r>
        <w:rPr>
          <w:rFonts w:hint="eastAsia"/>
          <w:color w:val="auto"/>
        </w:rPr>
        <w:t>至此，</w:t>
      </w:r>
      <w:r>
        <w:rPr>
          <w:color w:val="auto"/>
        </w:rPr>
        <w:t>H公司通过技术与人力资源的系统配置以及知识体系的建设，形成了以工具为基础、以人力为核心、以知识为驱动的多层次支撑框架，为软件过程改进的持续实施提供了坚实保障。</w:t>
      </w:r>
    </w:p>
    <w:p w14:paraId="3C6CA0F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表5-1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技术与资源配置规划表</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70"/>
        <w:gridCol w:w="2394"/>
        <w:gridCol w:w="1796"/>
        <w:gridCol w:w="1612"/>
        <w:gridCol w:w="2142"/>
      </w:tblGrid>
      <w:tr w14:paraId="6E5EC52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70" w:type="dxa"/>
            <w:tcBorders>
              <w:bottom w:val="single" w:color="auto" w:sz="8" w:space="0"/>
              <w:insideH w:val="single" w:sz="8" w:space="0"/>
            </w:tcBorders>
            <w:vAlign w:val="center"/>
          </w:tcPr>
          <w:p w14:paraId="059388A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资源类别</w:t>
            </w:r>
          </w:p>
        </w:tc>
        <w:tc>
          <w:tcPr>
            <w:tcW w:w="2394" w:type="dxa"/>
            <w:tcBorders>
              <w:bottom w:val="single" w:color="auto" w:sz="8" w:space="0"/>
              <w:insideH w:val="single" w:sz="8" w:space="0"/>
            </w:tcBorders>
            <w:vAlign w:val="center"/>
          </w:tcPr>
          <w:p w14:paraId="41BC891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工具或平台</w:t>
            </w:r>
          </w:p>
        </w:tc>
        <w:tc>
          <w:tcPr>
            <w:tcW w:w="1796" w:type="dxa"/>
            <w:tcBorders>
              <w:bottom w:val="single" w:color="auto" w:sz="8" w:space="0"/>
              <w:insideH w:val="single" w:sz="8" w:space="0"/>
            </w:tcBorders>
            <w:vAlign w:val="center"/>
          </w:tcPr>
          <w:p w14:paraId="76D7EC5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主要功能</w:t>
            </w:r>
          </w:p>
        </w:tc>
        <w:tc>
          <w:tcPr>
            <w:tcW w:w="1612" w:type="dxa"/>
            <w:tcBorders>
              <w:bottom w:val="single" w:color="auto" w:sz="8" w:space="0"/>
              <w:insideH w:val="single" w:sz="8" w:space="0"/>
            </w:tcBorders>
            <w:vAlign w:val="center"/>
          </w:tcPr>
          <w:p w14:paraId="00A1E76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责任角色</w:t>
            </w:r>
          </w:p>
        </w:tc>
        <w:tc>
          <w:tcPr>
            <w:tcW w:w="2142" w:type="dxa"/>
            <w:tcBorders>
              <w:bottom w:val="single" w:color="auto" w:sz="8" w:space="0"/>
              <w:insideH w:val="single" w:sz="8" w:space="0"/>
            </w:tcBorders>
            <w:vAlign w:val="center"/>
          </w:tcPr>
          <w:p w14:paraId="087F574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预期成效</w:t>
            </w:r>
          </w:p>
        </w:tc>
      </w:tr>
      <w:tr w14:paraId="19031E7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70" w:type="dxa"/>
            <w:vAlign w:val="center"/>
          </w:tcPr>
          <w:p w14:paraId="3A61B07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技术资源</w:t>
            </w:r>
          </w:p>
        </w:tc>
        <w:tc>
          <w:tcPr>
            <w:tcW w:w="2394" w:type="dxa"/>
            <w:vAlign w:val="center"/>
          </w:tcPr>
          <w:p w14:paraId="5726648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Jenkins、GitLab CI</w:t>
            </w:r>
          </w:p>
        </w:tc>
        <w:tc>
          <w:tcPr>
            <w:tcW w:w="1796" w:type="dxa"/>
            <w:vAlign w:val="center"/>
          </w:tcPr>
          <w:p w14:paraId="793DF05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实现持续集成与自动部署</w:t>
            </w:r>
          </w:p>
        </w:tc>
        <w:tc>
          <w:tcPr>
            <w:tcW w:w="1612" w:type="dxa"/>
            <w:vAlign w:val="center"/>
          </w:tcPr>
          <w:p w14:paraId="7B787F2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DevOps工程师</w:t>
            </w:r>
          </w:p>
        </w:tc>
        <w:tc>
          <w:tcPr>
            <w:tcW w:w="2142" w:type="dxa"/>
            <w:vAlign w:val="center"/>
          </w:tcPr>
          <w:p w14:paraId="72335BB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缩短交付周期、提高稳定性</w:t>
            </w:r>
          </w:p>
        </w:tc>
      </w:tr>
      <w:tr w14:paraId="09567F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70" w:type="dxa"/>
            <w:vAlign w:val="center"/>
          </w:tcPr>
          <w:p w14:paraId="300313A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技术资源</w:t>
            </w:r>
          </w:p>
        </w:tc>
        <w:tc>
          <w:tcPr>
            <w:tcW w:w="2394" w:type="dxa"/>
            <w:vAlign w:val="center"/>
          </w:tcPr>
          <w:p w14:paraId="217D6AD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Selenium、JUnit、Grafana</w:t>
            </w:r>
          </w:p>
        </w:tc>
        <w:tc>
          <w:tcPr>
            <w:tcW w:w="1796" w:type="dxa"/>
            <w:vAlign w:val="center"/>
          </w:tcPr>
          <w:p w14:paraId="26D35D6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测试自动化与系统监控</w:t>
            </w:r>
          </w:p>
        </w:tc>
        <w:tc>
          <w:tcPr>
            <w:tcW w:w="1612" w:type="dxa"/>
            <w:vAlign w:val="center"/>
          </w:tcPr>
          <w:p w14:paraId="234B850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QA与运维人员</w:t>
            </w:r>
          </w:p>
        </w:tc>
        <w:tc>
          <w:tcPr>
            <w:tcW w:w="2142" w:type="dxa"/>
            <w:vAlign w:val="center"/>
          </w:tcPr>
          <w:p w14:paraId="755F113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提升质量与可观测性</w:t>
            </w:r>
          </w:p>
        </w:tc>
      </w:tr>
      <w:tr w14:paraId="52D2E2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70" w:type="dxa"/>
            <w:vAlign w:val="center"/>
          </w:tcPr>
          <w:p w14:paraId="1100CDE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人力资源</w:t>
            </w:r>
          </w:p>
        </w:tc>
        <w:tc>
          <w:tcPr>
            <w:tcW w:w="2394" w:type="dxa"/>
            <w:vAlign w:val="center"/>
          </w:tcPr>
          <w:p w14:paraId="1C5A3B2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DevOps工程师、项目协调员</w:t>
            </w:r>
          </w:p>
        </w:tc>
        <w:tc>
          <w:tcPr>
            <w:tcW w:w="1796" w:type="dxa"/>
            <w:vAlign w:val="center"/>
          </w:tcPr>
          <w:p w14:paraId="56444EF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构建与维护改进体系</w:t>
            </w:r>
          </w:p>
        </w:tc>
        <w:tc>
          <w:tcPr>
            <w:tcW w:w="1612" w:type="dxa"/>
            <w:vAlign w:val="center"/>
          </w:tcPr>
          <w:p w14:paraId="181CB97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改进团队</w:t>
            </w:r>
          </w:p>
        </w:tc>
        <w:tc>
          <w:tcPr>
            <w:tcW w:w="2142" w:type="dxa"/>
            <w:vAlign w:val="center"/>
          </w:tcPr>
          <w:p w14:paraId="19E3A33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提升执行与协作效率</w:t>
            </w:r>
          </w:p>
        </w:tc>
      </w:tr>
      <w:tr w14:paraId="6DBA4CA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70" w:type="dxa"/>
            <w:vAlign w:val="center"/>
          </w:tcPr>
          <w:p w14:paraId="4F235B4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知识资源</w:t>
            </w:r>
          </w:p>
        </w:tc>
        <w:tc>
          <w:tcPr>
            <w:tcW w:w="2394" w:type="dxa"/>
            <w:vAlign w:val="center"/>
          </w:tcPr>
          <w:p w14:paraId="23C2456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Confluence、GitLab Wiki</w:t>
            </w:r>
          </w:p>
        </w:tc>
        <w:tc>
          <w:tcPr>
            <w:tcW w:w="1796" w:type="dxa"/>
            <w:vAlign w:val="center"/>
          </w:tcPr>
          <w:p w14:paraId="0176EF8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知识沉淀与共享</w:t>
            </w:r>
          </w:p>
        </w:tc>
        <w:tc>
          <w:tcPr>
            <w:tcW w:w="1612" w:type="dxa"/>
            <w:vAlign w:val="center"/>
          </w:tcPr>
          <w:p w14:paraId="26AE0E9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培训负责人</w:t>
            </w:r>
          </w:p>
        </w:tc>
        <w:tc>
          <w:tcPr>
            <w:tcW w:w="2142" w:type="dxa"/>
            <w:vAlign w:val="center"/>
          </w:tcPr>
          <w:p w14:paraId="727283D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促进组织学习与复用</w:t>
            </w:r>
          </w:p>
        </w:tc>
      </w:tr>
    </w:tbl>
    <w:p w14:paraId="59E64971">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92" w:name="_Toc213190831"/>
      <w:bookmarkStart w:id="293" w:name="_Toc213192539"/>
      <w:bookmarkStart w:id="294" w:name="_Toc213192847"/>
      <w:bookmarkStart w:id="295" w:name="_Toc14479"/>
      <w:r>
        <w:rPr>
          <w:rFonts w:ascii="Times New Roman" w:hAnsi="Times New Roman" w:eastAsia="黑体" w:cs="Times New Roman"/>
          <w:bCs/>
          <w:sz w:val="24"/>
          <w:szCs w:val="24"/>
        </w:rPr>
        <w:t>5.2.3 组织协同与文化驱动</w:t>
      </w:r>
      <w:bookmarkEnd w:id="292"/>
      <w:bookmarkEnd w:id="293"/>
      <w:bookmarkEnd w:id="294"/>
      <w:bookmarkEnd w:id="295"/>
    </w:p>
    <w:p w14:paraId="13317561">
      <w:pPr>
        <w:pStyle w:val="57"/>
        <w:ind w:firstLine="480"/>
        <w:jc w:val="both"/>
        <w:rPr>
          <w:color w:val="auto"/>
        </w:rPr>
      </w:pPr>
      <w:r>
        <w:rPr>
          <w:color w:val="auto"/>
        </w:rPr>
        <w:t>在软件过程改进体系中，组织文化与协作机制构成了保障改进持续性的深层动力。根据所述的 DevOps 文化与变革管理理论，持续改进不仅依赖于技术与流程，更取决于组织成员在价值观、协作方式及反馈机制上的共同认知。DevOps文化主张协作优先、反馈驱动与责任共担，通过建立共享愿景与持续沟通机制，打破传统的职能壁垒，使研发、测试、运维及合规团队在共同目标下协同运作。而</w:t>
      </w:r>
      <w:r>
        <w:rPr>
          <w:rFonts w:hint="eastAsia"/>
          <w:color w:val="auto"/>
        </w:rPr>
        <w:t>对应的</w:t>
      </w:r>
      <w:r>
        <w:rPr>
          <w:color w:val="auto"/>
        </w:rPr>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14:paraId="2CB881FB">
      <w:pPr>
        <w:pStyle w:val="57"/>
        <w:ind w:firstLine="480"/>
        <w:jc w:val="both"/>
        <w:rPr>
          <w:color w:val="auto"/>
        </w:rPr>
      </w:pPr>
      <w:r>
        <w:rPr>
          <w:color w:val="auto"/>
        </w:rPr>
        <w:t>（1）跨部门协同与可视化沟通机制</w:t>
      </w:r>
    </w:p>
    <w:p w14:paraId="19E4DA46">
      <w:pPr>
        <w:pStyle w:val="57"/>
        <w:ind w:firstLine="480"/>
        <w:jc w:val="both"/>
        <w:rPr>
          <w:color w:val="auto"/>
        </w:rPr>
      </w:pPr>
      <w:r>
        <w:rPr>
          <w:color w:val="auto"/>
        </w:rPr>
        <w:t>为缓解传统职能分割带来的沟通障碍，H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14:paraId="0F93BB71">
      <w:pPr>
        <w:pStyle w:val="57"/>
        <w:ind w:firstLine="480"/>
        <w:jc w:val="both"/>
        <w:rPr>
          <w:color w:val="auto"/>
        </w:rPr>
      </w:pPr>
      <w:r>
        <w:rPr>
          <w:color w:val="auto"/>
        </w:rPr>
        <w:t>在信息沟通层面，公司推行了共享看板（Shared Kanban）制度，将需求进度、测试状态、部署计划、质量指标等关键数据通过数字化平台进行统一展示。图5-5所示的协同闭环结构中，协同机制环节体现了这种可视化信息共享在组织运行中的核心作用。它使得流程状态一目了然，减少信息延迟与误解，促进团队间的透明沟通与同步协作。</w:t>
      </w:r>
    </w:p>
    <w:p w14:paraId="00867EE8">
      <w:pPr>
        <w:pStyle w:val="57"/>
        <w:ind w:firstLine="480"/>
        <w:jc w:val="both"/>
        <w:rPr>
          <w:color w:val="auto"/>
        </w:rPr>
      </w:pPr>
      <w:r>
        <w:rPr>
          <w:color w:val="auto"/>
        </w:rPr>
        <w:t>（2）激励机制与绩效联动</w:t>
      </w:r>
    </w:p>
    <w:p w14:paraId="570913AA">
      <w:pPr>
        <w:pStyle w:val="57"/>
        <w:ind w:firstLine="480"/>
        <w:jc w:val="both"/>
        <w:rPr>
          <w:color w:val="auto"/>
        </w:rPr>
      </w:pPr>
      <w:r>
        <w:rPr>
          <w:color w:val="auto"/>
        </w:rPr>
        <w:t>在文化建设过程中，单纯依靠制度约束难以形成持续动力。H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14:paraId="6453B225">
      <w:pPr>
        <w:pStyle w:val="57"/>
        <w:ind w:firstLine="480"/>
        <w:jc w:val="both"/>
        <w:rPr>
          <w:color w:val="auto"/>
        </w:rPr>
      </w:pPr>
      <w:r>
        <w:rPr>
          <w:color w:val="auto"/>
        </w:rPr>
        <w:t>此外，企业设立过程改进奖与最佳协作团队等奖项，用以表彰在跨部门沟通、流程创新与知识共享方面表现突出的团队或个人。通过激励反馈机制的长期运行，协作文化逐步从外部要求转化为内部认同，构成图5-5中激励反馈环节的核心作用，实现组织行为的正向循环。</w:t>
      </w:r>
    </w:p>
    <w:p w14:paraId="5B715E0F">
      <w:pPr>
        <w:pStyle w:val="57"/>
        <w:ind w:firstLine="480"/>
        <w:jc w:val="both"/>
        <w:rPr>
          <w:color w:val="auto"/>
        </w:rPr>
      </w:pPr>
      <w:r>
        <w:rPr>
          <w:color w:val="auto"/>
        </w:rPr>
        <w:t>（3）团队回顾与持续改进文化</w:t>
      </w:r>
    </w:p>
    <w:p w14:paraId="2222D364">
      <w:pPr>
        <w:pStyle w:val="57"/>
        <w:ind w:firstLine="480"/>
        <w:jc w:val="both"/>
        <w:rPr>
          <w:color w:val="auto"/>
        </w:rPr>
      </w:pPr>
      <w:r>
        <w:rPr>
          <w:color w:val="auto"/>
        </w:rPr>
        <w:t>文化的形成需要持续反思与积累。H公司在改进体系中引入团队回顾（Retrospective）机制与经验知识库建设，通过复盘会议、问题清单与经验沉淀等方式，将改进活动转化为组织学习过程。每个阶段结束后，团队需对实施效果、资源利用及问题根因进行回顾，并将总结报告录入知识库系统（如Confluence与GitLab Wiki）。</w:t>
      </w:r>
    </w:p>
    <w:p w14:paraId="47AD1906">
      <w:pPr>
        <w:pStyle w:val="57"/>
        <w:ind w:firstLine="480"/>
        <w:jc w:val="both"/>
        <w:rPr>
          <w:color w:val="auto"/>
        </w:rPr>
      </w:pPr>
      <w:r>
        <w:rPr>
          <w:color w:val="auto"/>
        </w:rPr>
        <w:t>这种制度化的反思机制构成了图5-5中的持续改进环节，使企业实现从经验管理向知识管理的过渡。持续的回顾与反馈不仅促进了经验共享，还强化了成员间的文化认同与自我驱动，形成了问题即改进契机的积极氛围。</w:t>
      </w:r>
    </w:p>
    <w:p w14:paraId="5B63413A">
      <w:pPr>
        <w:ind w:left="0" w:leftChars="0" w:firstLine="0" w:firstLineChars="0"/>
        <w:jc w:val="center"/>
        <w:rPr>
          <w:color w:val="auto"/>
        </w:rPr>
      </w:pPr>
      <w:r>
        <w:rPr>
          <w:rFonts w:hint="eastAsia"/>
          <w:color w:val="auto"/>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14:paraId="2636A69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图5-5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组织协同与文化驱动闭环图</w:t>
      </w:r>
    </w:p>
    <w:p w14:paraId="40C0CB22">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296" w:name="_Toc213192540"/>
      <w:bookmarkStart w:id="297" w:name="_Toc213192848"/>
      <w:bookmarkStart w:id="298" w:name="_Toc213190832"/>
      <w:bookmarkStart w:id="299" w:name="_Toc8322"/>
      <w:r>
        <w:rPr>
          <w:rFonts w:ascii="Times New Roman" w:hAnsi="Times New Roman" w:eastAsia="黑体" w:cs="Times New Roman"/>
          <w:bCs/>
          <w:sz w:val="24"/>
          <w:szCs w:val="24"/>
        </w:rPr>
        <w:t>5.2.4 风险识别与应对策略</w:t>
      </w:r>
      <w:bookmarkEnd w:id="296"/>
      <w:bookmarkEnd w:id="297"/>
      <w:bookmarkEnd w:id="298"/>
      <w:bookmarkEnd w:id="299"/>
    </w:p>
    <w:p w14:paraId="51DAC786">
      <w:pPr>
        <w:pStyle w:val="57"/>
        <w:ind w:firstLine="480"/>
        <w:jc w:val="both"/>
        <w:rPr>
          <w:color w:val="auto"/>
        </w:rPr>
      </w:pPr>
      <w:r>
        <w:rPr>
          <w:color w:val="auto"/>
        </w:rPr>
        <w:t>在软件过程改进的实施过程中，风险管理是确保方案顺利推进的重要环节。根据所述的信息安全管理体系（ISMS）与风险控制理论，风险管理的核心目标在于识别潜在的不确定因素，评估其可能带来的影响，并采取系统性的应对策略，以保障改进活动在技术、组织与流程变革中保持稳定性与可控性。</w:t>
      </w:r>
    </w:p>
    <w:p w14:paraId="0ADE54AB">
      <w:pPr>
        <w:pStyle w:val="57"/>
        <w:ind w:firstLine="480"/>
        <w:jc w:val="both"/>
        <w:rPr>
          <w:color w:val="auto"/>
        </w:rPr>
      </w:pPr>
      <w:r>
        <w:rPr>
          <w:color w:val="auto"/>
        </w:rPr>
        <w:t>结合现实问题分析，H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Pr>
          <w:rFonts w:hint="eastAsia"/>
          <w:color w:val="auto"/>
        </w:rPr>
        <w:t>、</w:t>
      </w:r>
      <w:r>
        <w:rPr>
          <w:color w:val="auto"/>
        </w:rPr>
        <w:t>评估</w:t>
      </w:r>
      <w:r>
        <w:rPr>
          <w:rFonts w:hint="eastAsia"/>
          <w:color w:val="auto"/>
        </w:rPr>
        <w:t>、</w:t>
      </w:r>
      <w:r>
        <w:rPr>
          <w:color w:val="auto"/>
        </w:rPr>
        <w:t>监控</w:t>
      </w:r>
      <w:r>
        <w:rPr>
          <w:rFonts w:hint="eastAsia"/>
          <w:color w:val="auto"/>
        </w:rPr>
        <w:t>、</w:t>
      </w:r>
      <w:r>
        <w:rPr>
          <w:color w:val="auto"/>
        </w:rPr>
        <w:t>应对的动态循环逻辑，将风险管理融入过程改进的全过程。</w:t>
      </w:r>
    </w:p>
    <w:p w14:paraId="476F84D8">
      <w:pPr>
        <w:pStyle w:val="57"/>
        <w:ind w:firstLine="480"/>
        <w:jc w:val="both"/>
        <w:rPr>
          <w:color w:val="auto"/>
        </w:rPr>
      </w:pPr>
      <w:r>
        <w:rPr>
          <w:color w:val="auto"/>
        </w:rPr>
        <w:t>（1）风险识别与影响分析</w:t>
      </w:r>
    </w:p>
    <w:p w14:paraId="3131DC08">
      <w:pPr>
        <w:pStyle w:val="57"/>
        <w:ind w:firstLine="480"/>
        <w:jc w:val="both"/>
        <w:rPr>
          <w:color w:val="auto"/>
        </w:rPr>
      </w:pPr>
      <w:r>
        <w:rPr>
          <w:color w:val="auto"/>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14:paraId="47F84919">
      <w:pPr>
        <w:pStyle w:val="57"/>
        <w:ind w:firstLine="480"/>
        <w:jc w:val="both"/>
        <w:rPr>
          <w:color w:val="auto"/>
        </w:rPr>
      </w:pPr>
      <w:r>
        <w:rPr>
          <w:color w:val="auto"/>
        </w:rPr>
        <w:t>（2）风险应对策略与责任落实</w:t>
      </w:r>
    </w:p>
    <w:p w14:paraId="35ACBD61">
      <w:pPr>
        <w:pStyle w:val="57"/>
        <w:ind w:firstLine="480"/>
        <w:jc w:val="both"/>
        <w:rPr>
          <w:color w:val="auto"/>
        </w:rPr>
      </w:pPr>
      <w:r>
        <w:rPr>
          <w:color w:val="auto"/>
        </w:rPr>
        <w:t>H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14:paraId="52A3D17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表5-2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实施风险识别与应对策略表</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4"/>
        <w:gridCol w:w="2438"/>
        <w:gridCol w:w="1177"/>
        <w:gridCol w:w="3254"/>
        <w:gridCol w:w="1345"/>
      </w:tblGrid>
      <w:tr w14:paraId="37ECAD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74" w:type="dxa"/>
            <w:tcBorders>
              <w:bottom w:val="single" w:color="auto" w:sz="8" w:space="0"/>
              <w:insideH w:val="single" w:sz="8" w:space="0"/>
            </w:tcBorders>
            <w:vAlign w:val="center"/>
          </w:tcPr>
          <w:p w14:paraId="3AA237F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风险类别</w:t>
            </w:r>
          </w:p>
        </w:tc>
        <w:tc>
          <w:tcPr>
            <w:tcW w:w="2438" w:type="dxa"/>
            <w:tcBorders>
              <w:bottom w:val="single" w:color="auto" w:sz="8" w:space="0"/>
              <w:insideH w:val="single" w:sz="8" w:space="0"/>
            </w:tcBorders>
            <w:vAlign w:val="center"/>
          </w:tcPr>
          <w:p w14:paraId="6D65D85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主要风险描述</w:t>
            </w:r>
          </w:p>
        </w:tc>
        <w:tc>
          <w:tcPr>
            <w:tcW w:w="1177" w:type="dxa"/>
            <w:tcBorders>
              <w:bottom w:val="single" w:color="auto" w:sz="8" w:space="0"/>
              <w:insideH w:val="single" w:sz="8" w:space="0"/>
            </w:tcBorders>
            <w:vAlign w:val="center"/>
          </w:tcPr>
          <w:p w14:paraId="6BE9490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影响程度</w:t>
            </w:r>
          </w:p>
        </w:tc>
        <w:tc>
          <w:tcPr>
            <w:tcW w:w="3254" w:type="dxa"/>
            <w:tcBorders>
              <w:bottom w:val="single" w:color="auto" w:sz="8" w:space="0"/>
              <w:insideH w:val="single" w:sz="8" w:space="0"/>
            </w:tcBorders>
            <w:vAlign w:val="center"/>
          </w:tcPr>
          <w:p w14:paraId="101290D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核心应对措施</w:t>
            </w:r>
          </w:p>
        </w:tc>
        <w:tc>
          <w:tcPr>
            <w:tcW w:w="0" w:type="auto"/>
            <w:tcBorders>
              <w:bottom w:val="single" w:color="auto" w:sz="8" w:space="0"/>
              <w:insideH w:val="single" w:sz="8" w:space="0"/>
            </w:tcBorders>
            <w:vAlign w:val="center"/>
          </w:tcPr>
          <w:p w14:paraId="3A04E42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责任部门</w:t>
            </w:r>
          </w:p>
        </w:tc>
      </w:tr>
      <w:tr w14:paraId="0ED1D12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74" w:type="dxa"/>
            <w:vAlign w:val="center"/>
          </w:tcPr>
          <w:p w14:paraId="7D0330B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技术风险</w:t>
            </w:r>
          </w:p>
        </w:tc>
        <w:tc>
          <w:tcPr>
            <w:tcW w:w="2438" w:type="dxa"/>
            <w:vAlign w:val="center"/>
          </w:tcPr>
          <w:p w14:paraId="260CEF4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系统兼容性不足或平台适配问题</w:t>
            </w:r>
          </w:p>
        </w:tc>
        <w:tc>
          <w:tcPr>
            <w:tcW w:w="1177" w:type="dxa"/>
            <w:vAlign w:val="center"/>
          </w:tcPr>
          <w:p w14:paraId="0B14073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高</w:t>
            </w:r>
          </w:p>
        </w:tc>
        <w:tc>
          <w:tcPr>
            <w:tcW w:w="3254" w:type="dxa"/>
            <w:vAlign w:val="center"/>
          </w:tcPr>
          <w:p w14:paraId="5FB9462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建立版本控制与回滚机制，提前验证环境一致性</w:t>
            </w:r>
          </w:p>
        </w:tc>
        <w:tc>
          <w:tcPr>
            <w:tcW w:w="0" w:type="auto"/>
            <w:vAlign w:val="center"/>
          </w:tcPr>
          <w:p w14:paraId="082C88A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技术研发部</w:t>
            </w:r>
          </w:p>
        </w:tc>
      </w:tr>
      <w:tr w14:paraId="7549A3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74" w:type="dxa"/>
            <w:vAlign w:val="center"/>
          </w:tcPr>
          <w:p w14:paraId="18DB7DB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组织风险</w:t>
            </w:r>
          </w:p>
        </w:tc>
        <w:tc>
          <w:tcPr>
            <w:tcW w:w="2438" w:type="dxa"/>
            <w:vAlign w:val="center"/>
          </w:tcPr>
          <w:p w14:paraId="4D726BC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部门协同不足、资源分配不均</w:t>
            </w:r>
          </w:p>
        </w:tc>
        <w:tc>
          <w:tcPr>
            <w:tcW w:w="1177" w:type="dxa"/>
            <w:vAlign w:val="center"/>
          </w:tcPr>
          <w:p w14:paraId="584161D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中</w:t>
            </w:r>
          </w:p>
        </w:tc>
        <w:tc>
          <w:tcPr>
            <w:tcW w:w="3254" w:type="dxa"/>
            <w:vAlign w:val="center"/>
          </w:tcPr>
          <w:p w14:paraId="6AA4EED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建立跨部门协调例会与责任分工矩阵</w:t>
            </w:r>
          </w:p>
        </w:tc>
        <w:tc>
          <w:tcPr>
            <w:tcW w:w="0" w:type="auto"/>
            <w:vAlign w:val="center"/>
          </w:tcPr>
          <w:p w14:paraId="76F5333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项目管理办公室</w:t>
            </w:r>
          </w:p>
        </w:tc>
      </w:tr>
      <w:tr w14:paraId="6A0BC3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74" w:type="dxa"/>
            <w:vAlign w:val="center"/>
          </w:tcPr>
          <w:p w14:paraId="35DC77C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执行风险</w:t>
            </w:r>
          </w:p>
        </w:tc>
        <w:tc>
          <w:tcPr>
            <w:tcW w:w="2438" w:type="dxa"/>
            <w:vAlign w:val="center"/>
          </w:tcPr>
          <w:p w14:paraId="6A39075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员工对流程改进的接受度低</w:t>
            </w:r>
          </w:p>
        </w:tc>
        <w:tc>
          <w:tcPr>
            <w:tcW w:w="1177" w:type="dxa"/>
            <w:vAlign w:val="center"/>
          </w:tcPr>
          <w:p w14:paraId="317A609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中</w:t>
            </w:r>
          </w:p>
        </w:tc>
        <w:tc>
          <w:tcPr>
            <w:tcW w:w="3254" w:type="dxa"/>
            <w:vAlign w:val="center"/>
          </w:tcPr>
          <w:p w14:paraId="355697E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加强培训与激励，提升执行意愿与规范性</w:t>
            </w:r>
          </w:p>
        </w:tc>
        <w:tc>
          <w:tcPr>
            <w:tcW w:w="0" w:type="auto"/>
            <w:vAlign w:val="center"/>
          </w:tcPr>
          <w:p w14:paraId="71FE07C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人力资源部</w:t>
            </w:r>
          </w:p>
        </w:tc>
      </w:tr>
      <w:tr w14:paraId="185B604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74" w:type="dxa"/>
            <w:vAlign w:val="center"/>
          </w:tcPr>
          <w:p w14:paraId="30E33B5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合规风险</w:t>
            </w:r>
          </w:p>
        </w:tc>
        <w:tc>
          <w:tcPr>
            <w:tcW w:w="2438" w:type="dxa"/>
            <w:vAlign w:val="center"/>
          </w:tcPr>
          <w:p w14:paraId="0A36652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新流程未完全覆盖安全与监管要求</w:t>
            </w:r>
          </w:p>
        </w:tc>
        <w:tc>
          <w:tcPr>
            <w:tcW w:w="1177" w:type="dxa"/>
            <w:vAlign w:val="center"/>
          </w:tcPr>
          <w:p w14:paraId="76E196C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高</w:t>
            </w:r>
          </w:p>
        </w:tc>
        <w:tc>
          <w:tcPr>
            <w:tcW w:w="3254" w:type="dxa"/>
            <w:vAlign w:val="center"/>
          </w:tcPr>
          <w:p w14:paraId="10AF5F0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推行自动化合规审查与安全左移机制</w:t>
            </w:r>
          </w:p>
        </w:tc>
        <w:tc>
          <w:tcPr>
            <w:tcW w:w="0" w:type="auto"/>
            <w:vAlign w:val="center"/>
          </w:tcPr>
          <w:p w14:paraId="5190CA1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信息安全部</w:t>
            </w:r>
          </w:p>
        </w:tc>
      </w:tr>
    </w:tbl>
    <w:p w14:paraId="46E0D446">
      <w:pPr>
        <w:pStyle w:val="57"/>
        <w:ind w:firstLine="480"/>
        <w:jc w:val="both"/>
        <w:rPr>
          <w:color w:val="auto"/>
        </w:rPr>
      </w:pPr>
      <w:r>
        <w:rPr>
          <w:color w:val="auto"/>
        </w:rPr>
        <w:t>（3）风险监控与改进闭环</w:t>
      </w:r>
    </w:p>
    <w:p w14:paraId="2AD41022">
      <w:pPr>
        <w:pStyle w:val="57"/>
        <w:ind w:firstLine="480"/>
        <w:jc w:val="both"/>
        <w:rPr>
          <w:color w:val="auto"/>
        </w:rPr>
      </w:pPr>
      <w:r>
        <w:rPr>
          <w:color w:val="auto"/>
        </w:rPr>
        <w:t>风险管理的有效性依赖于持续监控与动态调整。H公司在实施阶段设置了关键风险指标（Key Risk Indicators, KRIs），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14:paraId="62449537">
      <w:pPr>
        <w:pStyle w:val="57"/>
        <w:ind w:firstLine="480"/>
        <w:jc w:val="both"/>
        <w:rPr>
          <w:color w:val="auto"/>
        </w:rPr>
      </w:pPr>
      <w:r>
        <w:rPr>
          <w:color w:val="auto"/>
        </w:rPr>
        <w:t>通过持续的监控与反馈，风险管理体系逐渐形成了自我完善的闭环机制，使H公司能够在未来的过程改进中更快速地识别问题、优化决策与提升组织韧性。这种以数据驱动的风险控制模式，不仅降低了实施失败的可能性，也为后续改进阶段提供了系统性支撑。</w:t>
      </w:r>
    </w:p>
    <w:p w14:paraId="7B7C3982">
      <w:pPr>
        <w:pStyle w:val="3"/>
        <w:keepNext/>
        <w:keepLines/>
        <w:numPr>
          <w:ilvl w:val="1"/>
          <w:numId w:val="0"/>
        </w:numPr>
        <w:adjustRightInd/>
        <w:snapToGrid/>
        <w:rPr>
          <w:rFonts w:ascii="Times New Roman" w:hAnsi="Times New Roman"/>
          <w:bCs/>
          <w:color w:val="auto"/>
          <w:szCs w:val="32"/>
        </w:rPr>
      </w:pPr>
      <w:bookmarkStart w:id="300" w:name="_Toc213190833"/>
      <w:bookmarkStart w:id="301" w:name="_Toc213192541"/>
      <w:bookmarkStart w:id="302" w:name="_Toc213192849"/>
      <w:bookmarkStart w:id="303" w:name="_Toc24544"/>
      <w:r>
        <w:rPr>
          <w:rFonts w:ascii="Times New Roman" w:hAnsi="Times New Roman"/>
          <w:bCs/>
          <w:color w:val="auto"/>
          <w:szCs w:val="32"/>
        </w:rPr>
        <w:t>5.3 效果评估与持续改进机制</w:t>
      </w:r>
      <w:bookmarkEnd w:id="300"/>
      <w:bookmarkEnd w:id="301"/>
      <w:bookmarkEnd w:id="302"/>
      <w:bookmarkEnd w:id="303"/>
    </w:p>
    <w:p w14:paraId="5C879E15">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304" w:name="_Toc213190834"/>
      <w:bookmarkStart w:id="305" w:name="_Toc213192542"/>
      <w:bookmarkStart w:id="306" w:name="_Toc213192850"/>
      <w:bookmarkStart w:id="307" w:name="_Toc25236"/>
      <w:r>
        <w:rPr>
          <w:rFonts w:ascii="Times New Roman" w:hAnsi="Times New Roman" w:eastAsia="黑体" w:cs="Times New Roman"/>
          <w:bCs/>
          <w:sz w:val="24"/>
          <w:szCs w:val="24"/>
        </w:rPr>
        <w:t>5.3.1 关键过程绩效指标体系</w:t>
      </w:r>
      <w:bookmarkEnd w:id="304"/>
      <w:bookmarkEnd w:id="305"/>
      <w:bookmarkEnd w:id="306"/>
      <w:bookmarkEnd w:id="307"/>
    </w:p>
    <w:p w14:paraId="06798BF7">
      <w:pPr>
        <w:pStyle w:val="57"/>
        <w:ind w:firstLine="480"/>
        <w:jc w:val="both"/>
        <w:rPr>
          <w:color w:val="auto"/>
        </w:rPr>
      </w:pPr>
      <w:r>
        <w:rPr>
          <w:color w:val="auto"/>
        </w:rPr>
        <w:t>过程绩效指标体系是衡量软件过程改进成效的重要基础。根据工程效能度量理论以及</w:t>
      </w:r>
      <w:r>
        <w:rPr>
          <w:rFonts w:hint="eastAsia"/>
          <w:color w:val="auto"/>
        </w:rPr>
        <w:t>前面</w:t>
      </w:r>
      <w:r>
        <w:rPr>
          <w:color w:val="auto"/>
        </w:rPr>
        <w:t>提出的设计思路，科学的度量体系不仅是结果评估的工具，更是改进持续化的驱动力。H公司在建立关键过程绩效指标体系时，遵循以数据支撑决策、以指标引导改进的原则，旨在通过可量化的数据模型，对改进实施效果进行系统性验证与反馈，从而实现从经验管理向数据治理的转型。</w:t>
      </w:r>
    </w:p>
    <w:p w14:paraId="464257DB">
      <w:pPr>
        <w:pStyle w:val="57"/>
        <w:ind w:firstLine="480"/>
        <w:jc w:val="both"/>
        <w:rPr>
          <w:color w:val="auto"/>
        </w:rPr>
      </w:pPr>
      <w:r>
        <w:rPr>
          <w:color w:val="auto"/>
        </w:rPr>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14:paraId="5325DBC0">
      <w:pPr>
        <w:pStyle w:val="57"/>
        <w:ind w:firstLine="480"/>
        <w:jc w:val="both"/>
        <w:rPr>
          <w:color w:val="auto"/>
        </w:rPr>
      </w:pPr>
      <w:r>
        <w:rPr>
          <w:color w:val="auto"/>
        </w:rPr>
        <w:t>（1）指标体系的构建逻辑</w:t>
      </w:r>
    </w:p>
    <w:p w14:paraId="78005E6D">
      <w:pPr>
        <w:pStyle w:val="57"/>
        <w:ind w:firstLine="480"/>
        <w:jc w:val="both"/>
        <w:rPr>
          <w:color w:val="auto"/>
        </w:rPr>
      </w:pPr>
      <w:r>
        <w:rPr>
          <w:color w:val="auto"/>
        </w:rPr>
        <w:t>H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14:paraId="24A27BFC">
      <w:pPr>
        <w:pStyle w:val="57"/>
        <w:ind w:firstLine="480"/>
        <w:jc w:val="both"/>
        <w:rPr>
          <w:color w:val="auto"/>
        </w:rPr>
      </w:pPr>
      <w:r>
        <w:rPr>
          <w:color w:val="auto"/>
        </w:rPr>
        <w:t>上述三项目标共同构成了指标体系的逻辑核心，使度量结果能够全面反映技术执行、质量保障与组织成长的多维成效，从而为改进活动提供了可量化、可追溯的评估依据。</w:t>
      </w:r>
    </w:p>
    <w:p w14:paraId="68691684">
      <w:pPr>
        <w:pStyle w:val="57"/>
        <w:ind w:firstLine="480"/>
        <w:jc w:val="both"/>
        <w:rPr>
          <w:color w:val="auto"/>
        </w:rPr>
      </w:pPr>
      <w:r>
        <w:rPr>
          <w:color w:val="auto"/>
        </w:rPr>
        <w:t>（2）指标体系的核心内容</w:t>
      </w:r>
    </w:p>
    <w:p w14:paraId="1BFE026D">
      <w:pPr>
        <w:pStyle w:val="57"/>
        <w:ind w:firstLine="480"/>
        <w:jc w:val="both"/>
        <w:rPr>
          <w:color w:val="auto"/>
        </w:rPr>
      </w:pPr>
      <w:r>
        <w:rPr>
          <w:color w:val="auto"/>
        </w:rPr>
        <w:t>为实现过程绩效的系统化度量，H公司依据可测量性与代表性原则，选取了覆盖效率、质量与协同三类的关键指标。各指标的定义、计算方法、采集频率与趋势目标见表5-3。</w:t>
      </w:r>
    </w:p>
    <w:p w14:paraId="3D18D37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表5-3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关键过程绩效指标体系表</w:t>
      </w:r>
    </w:p>
    <w:tbl>
      <w:tblPr>
        <w:tblStyle w:val="95"/>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9"/>
        <w:gridCol w:w="2055"/>
        <w:gridCol w:w="1950"/>
        <w:gridCol w:w="1320"/>
        <w:gridCol w:w="1110"/>
        <w:gridCol w:w="1224"/>
      </w:tblGrid>
      <w:tr w14:paraId="33CA707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29" w:type="dxa"/>
            <w:tcBorders>
              <w:bottom w:val="single" w:color="auto" w:sz="8" w:space="0"/>
              <w:insideH w:val="single" w:sz="8" w:space="0"/>
            </w:tcBorders>
            <w:vAlign w:val="center"/>
          </w:tcPr>
          <w:p w14:paraId="0B3C624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指标名称</w:t>
            </w:r>
          </w:p>
        </w:tc>
        <w:tc>
          <w:tcPr>
            <w:tcW w:w="2055" w:type="dxa"/>
            <w:tcBorders>
              <w:bottom w:val="single" w:color="auto" w:sz="8" w:space="0"/>
              <w:insideH w:val="single" w:sz="8" w:space="0"/>
            </w:tcBorders>
            <w:vAlign w:val="center"/>
          </w:tcPr>
          <w:p w14:paraId="70BE985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含义</w:t>
            </w:r>
          </w:p>
        </w:tc>
        <w:tc>
          <w:tcPr>
            <w:tcW w:w="1950" w:type="dxa"/>
            <w:tcBorders>
              <w:bottom w:val="single" w:color="auto" w:sz="8" w:space="0"/>
              <w:insideH w:val="single" w:sz="8" w:space="0"/>
            </w:tcBorders>
            <w:vAlign w:val="center"/>
          </w:tcPr>
          <w:p w14:paraId="714CA80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计算方式</w:t>
            </w:r>
          </w:p>
        </w:tc>
        <w:tc>
          <w:tcPr>
            <w:tcW w:w="1320" w:type="dxa"/>
            <w:tcBorders>
              <w:bottom w:val="single" w:color="auto" w:sz="8" w:space="0"/>
              <w:insideH w:val="single" w:sz="8" w:space="0"/>
            </w:tcBorders>
            <w:vAlign w:val="center"/>
          </w:tcPr>
          <w:p w14:paraId="42D22C0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采集频率</w:t>
            </w:r>
          </w:p>
        </w:tc>
        <w:tc>
          <w:tcPr>
            <w:tcW w:w="1110" w:type="dxa"/>
            <w:tcBorders>
              <w:bottom w:val="single" w:color="auto" w:sz="8" w:space="0"/>
              <w:insideH w:val="single" w:sz="8" w:space="0"/>
            </w:tcBorders>
            <w:vAlign w:val="center"/>
          </w:tcPr>
          <w:p w14:paraId="1C1F87E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目标趋势</w:t>
            </w:r>
          </w:p>
        </w:tc>
        <w:tc>
          <w:tcPr>
            <w:tcW w:w="1224" w:type="dxa"/>
            <w:tcBorders>
              <w:bottom w:val="single" w:color="auto" w:sz="8" w:space="0"/>
              <w:insideH w:val="single" w:sz="8" w:space="0"/>
            </w:tcBorders>
            <w:vAlign w:val="center"/>
          </w:tcPr>
          <w:p w14:paraId="6CBAEB4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责任部门</w:t>
            </w:r>
          </w:p>
        </w:tc>
      </w:tr>
      <w:tr w14:paraId="1080647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29" w:type="dxa"/>
            <w:vAlign w:val="center"/>
          </w:tcPr>
          <w:p w14:paraId="1D4DF81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部署频率</w:t>
            </w:r>
          </w:p>
        </w:tc>
        <w:tc>
          <w:tcPr>
            <w:tcW w:w="2055" w:type="dxa"/>
            <w:vAlign w:val="center"/>
          </w:tcPr>
          <w:p w14:paraId="5033D8C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衡量系统交付与自动化程度</w:t>
            </w:r>
          </w:p>
        </w:tc>
        <w:tc>
          <w:tcPr>
            <w:tcW w:w="1950" w:type="dxa"/>
            <w:vAlign w:val="center"/>
          </w:tcPr>
          <w:p w14:paraId="08D120B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部署次数 ÷ 周期天数</w:t>
            </w:r>
          </w:p>
        </w:tc>
        <w:tc>
          <w:tcPr>
            <w:tcW w:w="1320" w:type="dxa"/>
            <w:vAlign w:val="center"/>
          </w:tcPr>
          <w:p w14:paraId="215CCFB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每周</w:t>
            </w:r>
          </w:p>
        </w:tc>
        <w:tc>
          <w:tcPr>
            <w:tcW w:w="1110" w:type="dxa"/>
            <w:vAlign w:val="center"/>
          </w:tcPr>
          <w:p w14:paraId="3C71196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上升</w:t>
            </w:r>
          </w:p>
        </w:tc>
        <w:tc>
          <w:tcPr>
            <w:tcW w:w="1224" w:type="dxa"/>
            <w:vAlign w:val="center"/>
          </w:tcPr>
          <w:p w14:paraId="7F03C75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DevOps团队</w:t>
            </w:r>
          </w:p>
        </w:tc>
      </w:tr>
      <w:tr w14:paraId="3BA05B8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29" w:type="dxa"/>
            <w:vAlign w:val="center"/>
          </w:tcPr>
          <w:p w14:paraId="60722DA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缺陷密度</w:t>
            </w:r>
          </w:p>
        </w:tc>
        <w:tc>
          <w:tcPr>
            <w:tcW w:w="2055" w:type="dxa"/>
            <w:vAlign w:val="center"/>
          </w:tcPr>
          <w:p w14:paraId="5925DFD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反映代码质量与测试成效</w:t>
            </w:r>
          </w:p>
        </w:tc>
        <w:tc>
          <w:tcPr>
            <w:tcW w:w="1950" w:type="dxa"/>
            <w:vAlign w:val="center"/>
          </w:tcPr>
          <w:p w14:paraId="3F54E45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缺陷数 ÷ 代码行数（KLOC）</w:t>
            </w:r>
          </w:p>
        </w:tc>
        <w:tc>
          <w:tcPr>
            <w:tcW w:w="1320" w:type="dxa"/>
            <w:vAlign w:val="center"/>
          </w:tcPr>
          <w:p w14:paraId="5F36B38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每月</w:t>
            </w:r>
          </w:p>
        </w:tc>
        <w:tc>
          <w:tcPr>
            <w:tcW w:w="1110" w:type="dxa"/>
            <w:vAlign w:val="center"/>
          </w:tcPr>
          <w:p w14:paraId="1277D4B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下降</w:t>
            </w:r>
          </w:p>
        </w:tc>
        <w:tc>
          <w:tcPr>
            <w:tcW w:w="1224" w:type="dxa"/>
            <w:vAlign w:val="center"/>
          </w:tcPr>
          <w:p w14:paraId="1D256BC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质量管理部</w:t>
            </w:r>
          </w:p>
        </w:tc>
      </w:tr>
      <w:tr w14:paraId="7A37FF8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29" w:type="dxa"/>
            <w:vAlign w:val="center"/>
          </w:tcPr>
          <w:p w14:paraId="71428C7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平均恢复时间（MTTR）</w:t>
            </w:r>
          </w:p>
        </w:tc>
        <w:tc>
          <w:tcPr>
            <w:tcW w:w="2055" w:type="dxa"/>
            <w:vAlign w:val="center"/>
          </w:tcPr>
          <w:p w14:paraId="4ACC693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评估系统故障响应与修复能力</w:t>
            </w:r>
          </w:p>
        </w:tc>
        <w:tc>
          <w:tcPr>
            <w:tcW w:w="1950" w:type="dxa"/>
            <w:vAlign w:val="center"/>
          </w:tcPr>
          <w:p w14:paraId="57F4DB3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故障恢复时长 ÷ 故障次数</w:t>
            </w:r>
          </w:p>
        </w:tc>
        <w:tc>
          <w:tcPr>
            <w:tcW w:w="1320" w:type="dxa"/>
            <w:vAlign w:val="center"/>
          </w:tcPr>
          <w:p w14:paraId="330CA51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每次事故后</w:t>
            </w:r>
          </w:p>
        </w:tc>
        <w:tc>
          <w:tcPr>
            <w:tcW w:w="1110" w:type="dxa"/>
            <w:vAlign w:val="center"/>
          </w:tcPr>
          <w:p w14:paraId="2ED0686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下降</w:t>
            </w:r>
          </w:p>
        </w:tc>
        <w:tc>
          <w:tcPr>
            <w:tcW w:w="1224" w:type="dxa"/>
            <w:vAlign w:val="center"/>
          </w:tcPr>
          <w:p w14:paraId="6ECDBBB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运维部门</w:t>
            </w:r>
          </w:p>
        </w:tc>
      </w:tr>
      <w:tr w14:paraId="73CF84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29" w:type="dxa"/>
            <w:vAlign w:val="center"/>
          </w:tcPr>
          <w:p w14:paraId="3B38259D">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测试覆盖率</w:t>
            </w:r>
          </w:p>
        </w:tc>
        <w:tc>
          <w:tcPr>
            <w:tcW w:w="2055" w:type="dxa"/>
            <w:vAlign w:val="center"/>
          </w:tcPr>
          <w:p w14:paraId="468779E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衡量自动化测试的覆盖深度</w:t>
            </w:r>
          </w:p>
        </w:tc>
        <w:tc>
          <w:tcPr>
            <w:tcW w:w="1950" w:type="dxa"/>
            <w:vAlign w:val="center"/>
          </w:tcPr>
          <w:p w14:paraId="01A9027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已测代码 ÷ 总代码行数</w:t>
            </w:r>
          </w:p>
        </w:tc>
        <w:tc>
          <w:tcPr>
            <w:tcW w:w="1320" w:type="dxa"/>
            <w:vAlign w:val="center"/>
          </w:tcPr>
          <w:p w14:paraId="63AC0A5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每构建周期</w:t>
            </w:r>
          </w:p>
        </w:tc>
        <w:tc>
          <w:tcPr>
            <w:tcW w:w="1110" w:type="dxa"/>
            <w:vAlign w:val="center"/>
          </w:tcPr>
          <w:p w14:paraId="6C462FC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上升</w:t>
            </w:r>
          </w:p>
        </w:tc>
        <w:tc>
          <w:tcPr>
            <w:tcW w:w="1224" w:type="dxa"/>
            <w:vAlign w:val="center"/>
          </w:tcPr>
          <w:p w14:paraId="122AD1D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测试组</w:t>
            </w:r>
          </w:p>
        </w:tc>
      </w:tr>
      <w:tr w14:paraId="537FA79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29" w:type="dxa"/>
            <w:vAlign w:val="center"/>
          </w:tcPr>
          <w:p w14:paraId="1978A2A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协作响应时间</w:t>
            </w:r>
          </w:p>
        </w:tc>
        <w:tc>
          <w:tcPr>
            <w:tcW w:w="2055" w:type="dxa"/>
            <w:vAlign w:val="center"/>
          </w:tcPr>
          <w:p w14:paraId="1FB268A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反映跨部门沟通与协同效率</w:t>
            </w:r>
          </w:p>
        </w:tc>
        <w:tc>
          <w:tcPr>
            <w:tcW w:w="1950" w:type="dxa"/>
            <w:vAlign w:val="center"/>
          </w:tcPr>
          <w:p w14:paraId="41B4FD5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平均问题响应时间</w:t>
            </w:r>
          </w:p>
        </w:tc>
        <w:tc>
          <w:tcPr>
            <w:tcW w:w="1320" w:type="dxa"/>
            <w:vAlign w:val="center"/>
          </w:tcPr>
          <w:p w14:paraId="704B40B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每两周</w:t>
            </w:r>
          </w:p>
        </w:tc>
        <w:tc>
          <w:tcPr>
            <w:tcW w:w="1110" w:type="dxa"/>
            <w:vAlign w:val="center"/>
          </w:tcPr>
          <w:p w14:paraId="77BFF5A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下降</w:t>
            </w:r>
          </w:p>
        </w:tc>
        <w:tc>
          <w:tcPr>
            <w:tcW w:w="1224" w:type="dxa"/>
            <w:vAlign w:val="center"/>
          </w:tcPr>
          <w:p w14:paraId="16BB94F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项目管理办公室</w:t>
            </w:r>
          </w:p>
        </w:tc>
      </w:tr>
      <w:tr w14:paraId="040B056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29" w:type="dxa"/>
            <w:vAlign w:val="center"/>
          </w:tcPr>
          <w:p w14:paraId="2692BAE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知识复用率</w:t>
            </w:r>
          </w:p>
        </w:tc>
        <w:tc>
          <w:tcPr>
            <w:tcW w:w="2055" w:type="dxa"/>
            <w:vAlign w:val="center"/>
          </w:tcPr>
          <w:p w14:paraId="14D12029">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衡量知识共享与经验复用水平</w:t>
            </w:r>
          </w:p>
        </w:tc>
        <w:tc>
          <w:tcPr>
            <w:tcW w:w="1950" w:type="dxa"/>
            <w:vAlign w:val="center"/>
          </w:tcPr>
          <w:p w14:paraId="7BDA5A2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复用记录 ÷ 总文档提交数</w:t>
            </w:r>
          </w:p>
        </w:tc>
        <w:tc>
          <w:tcPr>
            <w:tcW w:w="1320" w:type="dxa"/>
            <w:vAlign w:val="center"/>
          </w:tcPr>
          <w:p w14:paraId="75A4683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每季度</w:t>
            </w:r>
          </w:p>
        </w:tc>
        <w:tc>
          <w:tcPr>
            <w:tcW w:w="1110" w:type="dxa"/>
            <w:vAlign w:val="center"/>
          </w:tcPr>
          <w:p w14:paraId="7783543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上升</w:t>
            </w:r>
          </w:p>
        </w:tc>
        <w:tc>
          <w:tcPr>
            <w:tcW w:w="1224" w:type="dxa"/>
            <w:vAlign w:val="center"/>
          </w:tcPr>
          <w:p w14:paraId="5145025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培训中心</w:t>
            </w:r>
          </w:p>
        </w:tc>
      </w:tr>
    </w:tbl>
    <w:p w14:paraId="3D47B930">
      <w:pPr>
        <w:pStyle w:val="57"/>
        <w:ind w:firstLine="480"/>
        <w:jc w:val="both"/>
        <w:rPr>
          <w:color w:val="auto"/>
        </w:rPr>
      </w:pPr>
      <w:r>
        <w:rPr>
          <w:color w:val="auto"/>
        </w:rPr>
        <w:t>（3）指标的应用与持续优化</w:t>
      </w:r>
    </w:p>
    <w:p w14:paraId="2501BE60">
      <w:pPr>
        <w:pStyle w:val="57"/>
        <w:ind w:firstLine="480"/>
        <w:jc w:val="both"/>
        <w:rPr>
          <w:color w:val="auto"/>
        </w:rPr>
      </w:pPr>
      <w:r>
        <w:rPr>
          <w:color w:val="auto"/>
        </w:rPr>
        <w:t>指标体系的价值在于通过量化反馈促进持续改进。H公司依托自动化采集平台和可视化度量看板，对表5-3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14:paraId="736879A1">
      <w:pPr>
        <w:pStyle w:val="57"/>
        <w:ind w:firstLine="480"/>
        <w:jc w:val="both"/>
        <w:rPr>
          <w:color w:val="auto"/>
        </w:rPr>
      </w:pPr>
      <w:r>
        <w:rPr>
          <w:color w:val="auto"/>
        </w:rPr>
        <w:t>项目管理办公室（PMO）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Pr>
          <w:rFonts w:hint="eastAsia"/>
          <w:color w:val="auto"/>
        </w:rPr>
        <w:t>、</w:t>
      </w:r>
      <w:r>
        <w:rPr>
          <w:color w:val="auto"/>
        </w:rPr>
        <w:t>分析</w:t>
      </w:r>
      <w:r>
        <w:rPr>
          <w:rFonts w:hint="eastAsia"/>
          <w:color w:val="auto"/>
        </w:rPr>
        <w:t>、</w:t>
      </w:r>
      <w:r>
        <w:rPr>
          <w:color w:val="auto"/>
        </w:rPr>
        <w:t>改进</w:t>
      </w:r>
      <w:r>
        <w:rPr>
          <w:rFonts w:hint="eastAsia"/>
          <w:color w:val="auto"/>
        </w:rPr>
        <w:t>、</w:t>
      </w:r>
      <w:r>
        <w:rPr>
          <w:color w:val="auto"/>
        </w:rPr>
        <w:t>再评估的动态闭环，实现了过程管理的可持续优化。</w:t>
      </w:r>
    </w:p>
    <w:p w14:paraId="13260F37">
      <w:pPr>
        <w:pStyle w:val="57"/>
        <w:ind w:firstLine="480"/>
        <w:jc w:val="both"/>
        <w:rPr>
          <w:color w:val="auto"/>
        </w:rPr>
      </w:pPr>
      <w:r>
        <w:rPr>
          <w:color w:val="auto"/>
        </w:rPr>
        <w:t>（4）指标体系的意义</w:t>
      </w:r>
    </w:p>
    <w:p w14:paraId="1B47A93D">
      <w:pPr>
        <w:pStyle w:val="57"/>
        <w:ind w:firstLine="480"/>
        <w:jc w:val="both"/>
        <w:rPr>
          <w:color w:val="auto"/>
        </w:rPr>
      </w:pPr>
      <w:r>
        <w:rPr>
          <w:color w:val="auto"/>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H公司能够不断校正改进路径，强化过程治理能力，最终实现软件开发效能与组织成熟度的双重提升。</w:t>
      </w:r>
    </w:p>
    <w:p w14:paraId="4DC053C8">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308" w:name="_Toc213190835"/>
      <w:bookmarkStart w:id="309" w:name="_Toc213192543"/>
      <w:bookmarkStart w:id="310" w:name="_Toc213192851"/>
      <w:bookmarkStart w:id="311" w:name="_Toc25796"/>
      <w:r>
        <w:rPr>
          <w:rFonts w:ascii="Times New Roman" w:hAnsi="Times New Roman" w:eastAsia="黑体" w:cs="Times New Roman"/>
          <w:bCs/>
          <w:sz w:val="24"/>
          <w:szCs w:val="24"/>
        </w:rPr>
        <w:t>5.3.2 过程运行可视化与决策支持</w:t>
      </w:r>
      <w:bookmarkEnd w:id="308"/>
      <w:bookmarkEnd w:id="309"/>
      <w:bookmarkEnd w:id="310"/>
      <w:bookmarkEnd w:id="311"/>
    </w:p>
    <w:p w14:paraId="78D5EBAF">
      <w:pPr>
        <w:pStyle w:val="57"/>
        <w:ind w:firstLine="480"/>
        <w:jc w:val="both"/>
        <w:rPr>
          <w:color w:val="auto"/>
        </w:rPr>
      </w:pPr>
      <w:r>
        <w:rPr>
          <w:color w:val="auto"/>
        </w:rPr>
        <w:t>在软件过程改进的持续推进过程中，如何实现信息透明与决策科学成为企业管理效能提升的关键。过程运行可视化的核心目标在于通过数据采集与图形化展示，使过程状态可见、问题可感、决策可溯。根据</w:t>
      </w:r>
      <w:r>
        <w:rPr>
          <w:rFonts w:hint="eastAsia"/>
          <w:color w:val="auto"/>
        </w:rPr>
        <w:t>前面</w:t>
      </w:r>
      <w:r>
        <w:rPr>
          <w:color w:val="auto"/>
        </w:rPr>
        <w:t>提出的过程可视化方案，H公司在改进实践中构建了一套覆盖全过程的可视化与决策支持体系，以实现从数据监测到决策反馈的闭环管理。</w:t>
      </w:r>
    </w:p>
    <w:p w14:paraId="416D533B">
      <w:pPr>
        <w:pStyle w:val="57"/>
        <w:ind w:firstLine="480"/>
        <w:jc w:val="both"/>
        <w:rPr>
          <w:color w:val="auto"/>
        </w:rPr>
      </w:pPr>
      <w:r>
        <w:rPr>
          <w:color w:val="auto"/>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14:paraId="4EB520E3">
      <w:pPr>
        <w:pStyle w:val="57"/>
        <w:ind w:firstLine="480"/>
        <w:jc w:val="both"/>
        <w:rPr>
          <w:color w:val="auto"/>
        </w:rPr>
      </w:pPr>
      <w:r>
        <w:rPr>
          <w:color w:val="auto"/>
        </w:rPr>
        <w:t>（1）可视化体系的分层架构</w:t>
      </w:r>
    </w:p>
    <w:p w14:paraId="1989BA1B">
      <w:pPr>
        <w:pStyle w:val="57"/>
        <w:ind w:firstLine="480"/>
        <w:jc w:val="both"/>
        <w:rPr>
          <w:color w:val="auto"/>
        </w:rPr>
      </w:pPr>
      <w:r>
        <w:rPr>
          <w:color w:val="auto"/>
        </w:rPr>
        <w:t>H公司构建的过程运行可视化体系采用分层式结构，包括数据采集层、分析层、展示层与决策层四个部分，各层之间形成自下而上的逻辑联系与反馈闭环。该分层架构如图5-6所示。</w:t>
      </w:r>
    </w:p>
    <w:p w14:paraId="02F0155A">
      <w:pPr>
        <w:pStyle w:val="57"/>
        <w:ind w:firstLine="480"/>
        <w:jc w:val="both"/>
        <w:rPr>
          <w:color w:val="auto"/>
        </w:rPr>
      </w:pPr>
      <w:r>
        <w:rPr>
          <w:color w:val="auto"/>
        </w:rPr>
        <w:t>在最底层的数据采集层，系统从持续集成流水线、自动化测试平台、日志监控系统及协同工具中提取原始数据。该层确保数据来源统一、口径一致，是后续分析的基础。</w:t>
      </w:r>
    </w:p>
    <w:p w14:paraId="3D417380">
      <w:pPr>
        <w:pStyle w:val="57"/>
        <w:ind w:firstLine="480"/>
        <w:jc w:val="both"/>
        <w:rPr>
          <w:color w:val="auto"/>
        </w:rPr>
      </w:pPr>
      <w:r>
        <w:rPr>
          <w:color w:val="auto"/>
        </w:rPr>
        <w:t>分析层承担数据清洗、聚合与建模功能。通过与关键过程绩效指标体系（见5.3.1节）的关联计算，分析层能够生成具有统计意义的指标结果，并识别过程中的异常波动与趋势变化，为后续展示与决策提供依据。</w:t>
      </w:r>
    </w:p>
    <w:p w14:paraId="33CC6618">
      <w:pPr>
        <w:pStyle w:val="57"/>
        <w:ind w:firstLine="480"/>
        <w:jc w:val="both"/>
        <w:rPr>
          <w:color w:val="auto"/>
        </w:rPr>
      </w:pPr>
      <w:r>
        <w:rPr>
          <w:color w:val="auto"/>
        </w:rPr>
        <w:t>位于中间的展示层以仪表盘和可视化看板的形式呈现分析结果。项目健康度、交付效率、缺陷趋势、系统稳定性等信息以动态图表方式展示，帮助不同角色快速理解数据含义，构建从数据到洞察的桥梁。</w:t>
      </w:r>
    </w:p>
    <w:p w14:paraId="0A65C1E0">
      <w:pPr>
        <w:pStyle w:val="57"/>
        <w:ind w:firstLine="480"/>
        <w:jc w:val="both"/>
        <w:rPr>
          <w:color w:val="auto"/>
        </w:rPr>
      </w:pPr>
      <w:r>
        <w:rPr>
          <w:color w:val="auto"/>
        </w:rPr>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14:paraId="031CFADB">
      <w:pPr>
        <w:ind w:firstLine="480"/>
        <w:jc w:val="center"/>
        <w:rPr>
          <w:color w:val="auto"/>
        </w:rPr>
      </w:pPr>
      <w:r>
        <w:rPr>
          <w:rFonts w:hint="eastAsia"/>
          <w:color w:val="auto"/>
        </w:rPr>
        <w:drawing>
          <wp:inline distT="0" distB="0" distL="0" distR="0">
            <wp:extent cx="4338320" cy="1601470"/>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14:paraId="628C0F1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图5-6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过程运行可视化与决策支持框架</w:t>
      </w:r>
    </w:p>
    <w:p w14:paraId="232D3BF5">
      <w:pPr>
        <w:pStyle w:val="57"/>
        <w:ind w:firstLine="480"/>
        <w:jc w:val="both"/>
        <w:rPr>
          <w:color w:val="auto"/>
        </w:rPr>
      </w:pPr>
      <w:r>
        <w:rPr>
          <w:color w:val="auto"/>
        </w:rPr>
        <w:t>（2）可视化体系的运行机制与决策支持</w:t>
      </w:r>
    </w:p>
    <w:p w14:paraId="795A3B41">
      <w:pPr>
        <w:pStyle w:val="57"/>
        <w:ind w:firstLine="480"/>
        <w:jc w:val="both"/>
        <w:rPr>
          <w:color w:val="auto"/>
        </w:rPr>
      </w:pPr>
      <w:r>
        <w:rPr>
          <w:color w:val="auto"/>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PMO）的协调下，进行原因分析与改进措施确认。该机制将可视化由单纯展示上升为主动感知，实现了由数据呈现向数据驱动决策的转变。</w:t>
      </w:r>
    </w:p>
    <w:p w14:paraId="70012E56">
      <w:pPr>
        <w:pStyle w:val="57"/>
        <w:ind w:firstLine="480"/>
        <w:jc w:val="both"/>
        <w:rPr>
          <w:color w:val="auto"/>
        </w:rPr>
      </w:pPr>
      <w:r>
        <w:rPr>
          <w:color w:val="auto"/>
        </w:rPr>
        <w:t>同时，H公司在决策支持环节中引入了多维度分析功能。通过趋势对比、历史基线与绩效关联分析，管理层可直观识别改进措施的实际成效。例如，通过对比改进前后平均恢复时间（MTTR）与测试覆盖率变化趋势，可以客观判断自动化测试体系优化的实际贡献；通过分析协作响应时间的下降曲线，可量化评估跨部门沟通机制的成熟程度。这种数据化评估方式有效克服了以往管理中感性判断的局限，使改进成效可视、可</w:t>
      </w:r>
      <w:r>
        <w:rPr>
          <w:rFonts w:eastAsiaTheme="minorEastAsia"/>
          <w:bCs w:val="0"/>
          <w:color w:val="auto"/>
        </w:rPr>
        <w:t>证、</w:t>
      </w:r>
      <w:r>
        <w:rPr>
          <w:color w:val="auto"/>
        </w:rPr>
        <w:t>可追。</w:t>
      </w:r>
    </w:p>
    <w:p w14:paraId="63E8C164">
      <w:pPr>
        <w:pStyle w:val="57"/>
        <w:ind w:firstLine="480"/>
        <w:jc w:val="both"/>
        <w:rPr>
          <w:color w:val="auto"/>
        </w:rPr>
      </w:pPr>
      <w:r>
        <w:rPr>
          <w:color w:val="auto"/>
        </w:rPr>
        <w:t>（3）体系实施的综合意义</w:t>
      </w:r>
    </w:p>
    <w:p w14:paraId="0223ED6B">
      <w:pPr>
        <w:pStyle w:val="57"/>
        <w:ind w:firstLine="480"/>
        <w:jc w:val="both"/>
        <w:rPr>
          <w:color w:val="auto"/>
        </w:rPr>
      </w:pPr>
      <w:r>
        <w:rPr>
          <w:color w:val="auto"/>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14:paraId="75DB4DE5">
      <w:pPr>
        <w:pStyle w:val="57"/>
        <w:ind w:firstLine="480"/>
        <w:jc w:val="both"/>
        <w:rPr>
          <w:color w:val="auto"/>
        </w:rPr>
      </w:pPr>
      <w:r>
        <w:rPr>
          <w:color w:val="auto"/>
        </w:rPr>
        <w:t>从更深层次看，过程运行可视化与决策支持体系的建立，标志着H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14:paraId="4FE4AC87">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312" w:name="_Toc213192544"/>
      <w:bookmarkStart w:id="313" w:name="_Toc213192852"/>
      <w:bookmarkStart w:id="314" w:name="_Toc213190836"/>
      <w:bookmarkStart w:id="315" w:name="_Toc6457"/>
      <w:r>
        <w:rPr>
          <w:rFonts w:ascii="Times New Roman" w:hAnsi="Times New Roman" w:eastAsia="黑体" w:cs="Times New Roman"/>
          <w:bCs/>
          <w:sz w:val="24"/>
          <w:szCs w:val="24"/>
        </w:rPr>
        <w:t>5.3.3 持续改进闭环（PDCA与CAPA机制）</w:t>
      </w:r>
      <w:bookmarkEnd w:id="312"/>
      <w:bookmarkEnd w:id="313"/>
      <w:bookmarkEnd w:id="314"/>
      <w:bookmarkEnd w:id="315"/>
    </w:p>
    <w:p w14:paraId="37A8E8B8">
      <w:pPr>
        <w:pStyle w:val="57"/>
        <w:ind w:firstLine="480"/>
        <w:jc w:val="both"/>
        <w:rPr>
          <w:color w:val="auto"/>
        </w:rPr>
      </w:pPr>
      <w:r>
        <w:rPr>
          <w:color w:val="auto"/>
        </w:rPr>
        <w:t>软件过程改进并非一次性活动，而是一个持续演进、动态优化的系统过程。为了保证改进措施的长期有效性与可持续性，H公司在既有管理体系中引入了以PDCA循环模型为核心、以CAPA（纠正与预防措施）机制为延伸的持续改进闭环。该机制旨在通过计划、执行、检查、行动及预防五个阶段的不断循环，实现组织层面的自我学习与系统优化，从而使软件过程改进从项目行为转变为组织常态。</w:t>
      </w:r>
    </w:p>
    <w:p w14:paraId="5571E10F">
      <w:pPr>
        <w:pStyle w:val="57"/>
        <w:ind w:firstLine="480"/>
        <w:jc w:val="both"/>
        <w:rPr>
          <w:color w:val="auto"/>
        </w:rPr>
      </w:pPr>
      <w:r>
        <w:rPr>
          <w:color w:val="auto"/>
        </w:rPr>
        <w:t>（1）持续改进闭环的逻辑基础</w:t>
      </w:r>
    </w:p>
    <w:p w14:paraId="07A2962A">
      <w:pPr>
        <w:pStyle w:val="57"/>
        <w:ind w:firstLine="480"/>
        <w:jc w:val="both"/>
        <w:rPr>
          <w:color w:val="auto"/>
        </w:rPr>
      </w:pPr>
      <w:r>
        <w:rPr>
          <w:color w:val="auto"/>
        </w:rPr>
        <w:t>PDCA循环（Plan-Do-Check-Act）是质量管理体系中最具代表性的过程改进模型，其核心思想在于通过计划、执行、评估与调整形成不断优化的反馈回路。与此相对应，CAPA（Corrective and Preventive Action）机制强调在问题识别后，不仅要采取纠正措施以消除已发生的不合格项，还应制定预防措施以防止类似问题再次出现。</w:t>
      </w:r>
    </w:p>
    <w:p w14:paraId="79D50644">
      <w:pPr>
        <w:pStyle w:val="57"/>
        <w:ind w:firstLine="480"/>
        <w:jc w:val="both"/>
        <w:rPr>
          <w:color w:val="auto"/>
        </w:rPr>
      </w:pPr>
      <w:r>
        <w:rPr>
          <w:color w:val="auto"/>
        </w:rPr>
        <w:t>H公司将PDCA与CAPA模型进行融合，构建出既关注过程改进的周期性，又重视问题防范的前瞻性的管理体系。PDCA部分用于整体改进过程的计划与复盘，CAPA部分则嵌入每一轮循环的Act与Prevent环节，形成以经验反馈驱动知识积累、以预防控制支撑组织学习的持续改进机制。</w:t>
      </w:r>
    </w:p>
    <w:p w14:paraId="1165BAC2">
      <w:pPr>
        <w:pStyle w:val="57"/>
        <w:ind w:firstLine="480"/>
        <w:jc w:val="both"/>
        <w:rPr>
          <w:color w:val="auto"/>
        </w:rPr>
      </w:pPr>
      <w:r>
        <w:rPr>
          <w:color w:val="auto"/>
        </w:rPr>
        <w:t>（2）持续改进闭环的运行机制</w:t>
      </w:r>
    </w:p>
    <w:p w14:paraId="2A516180">
      <w:pPr>
        <w:pStyle w:val="57"/>
        <w:ind w:firstLine="480"/>
        <w:jc w:val="both"/>
        <w:rPr>
          <w:color w:val="auto"/>
        </w:rPr>
      </w:pPr>
      <w:r>
        <w:rPr>
          <w:color w:val="auto"/>
        </w:rPr>
        <w:t>如图5-7所示，H公司持续改进闭环由五个核心阶段组成，即计划（Plan）、执行（Do）、检查（Check）、行动（Act）与预防（Prevent），其中后两者体现了CAPA机制的延伸功能。</w:t>
      </w:r>
    </w:p>
    <w:p w14:paraId="3628CFC7">
      <w:pPr>
        <w:pStyle w:val="57"/>
        <w:ind w:firstLine="480"/>
        <w:jc w:val="both"/>
        <w:rPr>
          <w:color w:val="auto"/>
        </w:rPr>
      </w:pPr>
      <w:r>
        <w:rPr>
          <w:color w:val="auto"/>
        </w:rPr>
        <w:t>在计划阶段（Plan），项目团队根据上一轮改进结果及度量数据制定新的改进目标与执行计划，明确资源配置、责任划分与评估标准。该阶段强调数据驱动的计划制定，确保目标具有可测量性与可实现性。</w:t>
      </w:r>
    </w:p>
    <w:p w14:paraId="16BFA49B">
      <w:pPr>
        <w:pStyle w:val="57"/>
        <w:ind w:firstLine="480"/>
        <w:jc w:val="both"/>
        <w:rPr>
          <w:color w:val="auto"/>
        </w:rPr>
      </w:pPr>
      <w:r>
        <w:rPr>
          <w:color w:val="auto"/>
        </w:rPr>
        <w:t>在执行阶段（Do），各责任部门依据计划实施改进措施，包括流程优化、工具升级、培训落实等活动。执行过程需保持过程数据的实时记录，为后续评估提供依据。</w:t>
      </w:r>
    </w:p>
    <w:p w14:paraId="64F87561">
      <w:pPr>
        <w:pStyle w:val="57"/>
        <w:ind w:firstLine="480"/>
        <w:jc w:val="both"/>
        <w:rPr>
          <w:color w:val="auto"/>
        </w:rPr>
      </w:pPr>
      <w:r>
        <w:rPr>
          <w:color w:val="auto"/>
        </w:rPr>
        <w:t>在检查阶段（Check），通过度量指标分析、过程审计与经验回顾，对执行结果与预期目标进行比较，识别偏差原因与改进空间。</w:t>
      </w:r>
    </w:p>
    <w:p w14:paraId="698B9F8F">
      <w:pPr>
        <w:pStyle w:val="57"/>
        <w:ind w:firstLine="480"/>
        <w:jc w:val="both"/>
        <w:rPr>
          <w:color w:val="auto"/>
        </w:rPr>
      </w:pPr>
      <w:r>
        <w:rPr>
          <w:color w:val="auto"/>
        </w:rPr>
        <w:t>在行动阶段（Act），针对检查阶段发现的问题采取纠正措施（Corrective Action），调整不合理流程、修订操作标准或强化关键节点控制，确保问题得到根本性解决。</w:t>
      </w:r>
    </w:p>
    <w:p w14:paraId="09A45678">
      <w:pPr>
        <w:pStyle w:val="57"/>
        <w:ind w:firstLine="480"/>
        <w:jc w:val="both"/>
        <w:rPr>
          <w:color w:val="auto"/>
        </w:rPr>
      </w:pPr>
      <w:r>
        <w:rPr>
          <w:color w:val="auto"/>
        </w:rPr>
        <w:t>最后，在预防阶段（Prevent），组织将前一周期的经验总结为制度性知识，形成预防性措施并纳入标准流程，从而降低同类问题再次发生的可能性。通过该机制，企业不仅实现了对问题的纠正，更建立了防范于未然的系统能力。</w:t>
      </w:r>
    </w:p>
    <w:p w14:paraId="530F0AAB">
      <w:pPr>
        <w:ind w:firstLine="480"/>
        <w:jc w:val="center"/>
        <w:rPr>
          <w:color w:val="auto"/>
        </w:rPr>
      </w:pPr>
      <w:r>
        <w:rPr>
          <w:rFonts w:hint="eastAsia"/>
          <w:color w:val="auto"/>
        </w:rPr>
        <w:drawing>
          <wp:inline distT="0" distB="0" distL="0" distR="0">
            <wp:extent cx="4406265" cy="1914525"/>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14:paraId="5D1685E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图5-7 持续改进闭环模型</w:t>
      </w:r>
    </w:p>
    <w:p w14:paraId="3F450586">
      <w:pPr>
        <w:pStyle w:val="57"/>
        <w:ind w:firstLine="480"/>
        <w:jc w:val="both"/>
        <w:rPr>
          <w:color w:val="auto"/>
        </w:rPr>
      </w:pPr>
      <w:r>
        <w:rPr>
          <w:color w:val="auto"/>
        </w:rPr>
        <w:t>（3）机制的运行特征与应用成效</w:t>
      </w:r>
    </w:p>
    <w:p w14:paraId="7B7C6EF9">
      <w:pPr>
        <w:pStyle w:val="57"/>
        <w:ind w:firstLine="480"/>
        <w:jc w:val="both"/>
        <w:rPr>
          <w:color w:val="auto"/>
        </w:rPr>
      </w:pPr>
      <w:r>
        <w:rPr>
          <w:color w:val="auto"/>
        </w:rPr>
        <w:t>H公司持续改进闭环的运行体现出三个显著特征。第一，数据驱动的计划制定。企业在每一轮Plan阶段均以度量体系（表5-3）与可视化看板（图5-6）为依据，使改进计划建立在客观数据之上。第二，问题导向的反馈循环。CAPA机制的引入，使改进过程不再停留于结果复盘，而是通过纠正与预防相结合，形成发现问题</w:t>
      </w:r>
      <w:r>
        <w:rPr>
          <w:rFonts w:hint="eastAsia"/>
          <w:color w:val="auto"/>
        </w:rPr>
        <w:t>、</w:t>
      </w:r>
      <w:r>
        <w:rPr>
          <w:color w:val="auto"/>
        </w:rPr>
        <w:t>分析根因</w:t>
      </w:r>
      <w:r>
        <w:rPr>
          <w:rFonts w:hint="eastAsia"/>
          <w:color w:val="auto"/>
        </w:rPr>
        <w:t>、</w:t>
      </w:r>
      <w:r>
        <w:rPr>
          <w:color w:val="auto"/>
        </w:rPr>
        <w:t>防止复发的系统化响应。第三，知识化的制度沉淀。在每一轮改进结束后，组织将改进成果与经验教训归档入知识库，形成可追溯的知识资产，为后续项目提供参照与借鉴。</w:t>
      </w:r>
    </w:p>
    <w:p w14:paraId="43BCD17E">
      <w:pPr>
        <w:pStyle w:val="57"/>
        <w:ind w:firstLine="480"/>
        <w:jc w:val="both"/>
        <w:rPr>
          <w:rFonts w:eastAsiaTheme="minorEastAsia"/>
          <w:bCs w:val="0"/>
          <w:color w:val="auto"/>
        </w:rPr>
      </w:pPr>
      <w:r>
        <w:rPr>
          <w:color w:val="auto"/>
        </w:rPr>
        <w:t>通过持续改进闭环的运行，H公司在过程管理中实现了从被动修正到主动优化的转变。改进活动不再局限于单个项目，而逐步演化为企业文化的重要组成部分。PDCA与CAPA的结合使企业具备了自我诊断、自我优化与持续成长的能力，为软件过程改进的长效化运行提供了坚实的制度基础。</w:t>
      </w:r>
    </w:p>
    <w:p w14:paraId="77A02C16">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316" w:name="_Toc213190837"/>
      <w:bookmarkStart w:id="317" w:name="_Toc213192545"/>
      <w:bookmarkStart w:id="318" w:name="_Toc213192853"/>
      <w:bookmarkStart w:id="319" w:name="_Toc31990"/>
      <w:r>
        <w:rPr>
          <w:rFonts w:ascii="Times New Roman" w:hAnsi="Times New Roman" w:eastAsia="黑体" w:cs="Times New Roman"/>
          <w:bCs/>
          <w:sz w:val="24"/>
          <w:szCs w:val="24"/>
        </w:rPr>
        <w:t>5.3.4 实施效果与适用边界</w:t>
      </w:r>
      <w:bookmarkEnd w:id="316"/>
      <w:bookmarkEnd w:id="317"/>
      <w:bookmarkEnd w:id="318"/>
      <w:bookmarkEnd w:id="319"/>
    </w:p>
    <w:p w14:paraId="6FEBB88C">
      <w:pPr>
        <w:pStyle w:val="57"/>
        <w:ind w:firstLine="480"/>
        <w:jc w:val="both"/>
        <w:rPr>
          <w:color w:val="auto"/>
        </w:rPr>
      </w:pPr>
      <w:r>
        <w:rPr>
          <w:color w:val="auto"/>
        </w:rPr>
        <w:t>在软件过程改进的实施过程中，成效评估与边界分析是验证方案科学性与可推广性的关键环节。根据前述实施方案，H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14:paraId="42FF15AB">
      <w:pPr>
        <w:pStyle w:val="57"/>
        <w:ind w:firstLine="480"/>
        <w:jc w:val="both"/>
        <w:rPr>
          <w:color w:val="auto"/>
        </w:rPr>
      </w:pPr>
      <w:r>
        <w:rPr>
          <w:color w:val="auto"/>
        </w:rPr>
        <w:t>（1）实施效果的综合评估</w:t>
      </w:r>
    </w:p>
    <w:p w14:paraId="0118960D">
      <w:pPr>
        <w:pStyle w:val="57"/>
        <w:ind w:firstLine="480"/>
        <w:jc w:val="both"/>
        <w:rPr>
          <w:color w:val="auto"/>
        </w:rPr>
      </w:pPr>
      <w:r>
        <w:rPr>
          <w:color w:val="auto"/>
        </w:rPr>
        <w:t>通过对关键过程绩效指标（见表5-3）的连续监测，H公司在实施后的两个季度内取得了明显的阶段性成果。首先，过程效率显著提升。部署频率较改进前提高了约35%，平均变更前置时间（Lead Time）缩短了近40%，表明自动化与持续交付机制已初步发挥作用。其次，产品质量稳定性增强。缺陷密度下降约30%，平均恢复时间（MTTR）显著减少，表明测试与运维一体化的机制有效提升了交付质量。再次，组织协同水平提升。跨部门响应时间缩短，团队例会频率与知识复用率均呈上升趋势，说明DevOps文化在企业内部已初步固化，协作机制趋于成熟。</w:t>
      </w:r>
    </w:p>
    <w:p w14:paraId="495D979B">
      <w:pPr>
        <w:pStyle w:val="57"/>
        <w:ind w:firstLine="480"/>
        <w:jc w:val="both"/>
        <w:rPr>
          <w:color w:val="auto"/>
        </w:rPr>
      </w:pPr>
      <w:r>
        <w:rPr>
          <w:color w:val="auto"/>
        </w:rPr>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14:paraId="68598F72">
      <w:pPr>
        <w:pStyle w:val="57"/>
        <w:ind w:firstLine="480"/>
        <w:jc w:val="both"/>
        <w:rPr>
          <w:color w:val="auto"/>
        </w:rPr>
      </w:pPr>
      <w:r>
        <w:rPr>
          <w:color w:val="auto"/>
        </w:rPr>
        <w:t>（2）改进方案的适用边界</w:t>
      </w:r>
    </w:p>
    <w:p w14:paraId="799FF60F">
      <w:pPr>
        <w:pStyle w:val="57"/>
        <w:ind w:firstLine="480"/>
        <w:jc w:val="both"/>
        <w:rPr>
          <w:color w:val="auto"/>
        </w:rPr>
      </w:pPr>
      <w:r>
        <w:rPr>
          <w:color w:val="auto"/>
        </w:rPr>
        <w:t>尽管改进措施取得了积极成效，但其适用范围仍受系统特征与组织条件的限制。根据本研究的实证结果，H公司软件过程改进的适用性可从系统复杂度与改进深度两个维度加以界定，如图5-8所示。</w:t>
      </w:r>
    </w:p>
    <w:p w14:paraId="122F7DBA">
      <w:pPr>
        <w:pStyle w:val="57"/>
        <w:ind w:firstLine="480"/>
        <w:jc w:val="both"/>
        <w:rPr>
          <w:color w:val="auto"/>
        </w:rPr>
      </w:pPr>
      <w:r>
        <w:rPr>
          <w:color w:val="auto"/>
        </w:rPr>
        <w:t>在系统复杂度较低、改进深度较浅的区域（图5-8左下象限），标准化流程与轻量级工具配置即可实现显著效率提升，适用于中小型项目或独立业务系统；当系统复杂度中等而改进深度较高（右下象限）时，组织需在技术支撑与流程协同方面保持均衡，适合采用部分自动化与局部DevOps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14:paraId="5C5083CA">
      <w:pPr>
        <w:pStyle w:val="57"/>
        <w:ind w:firstLine="480"/>
        <w:jc w:val="both"/>
        <w:rPr>
          <w:color w:val="auto"/>
        </w:rPr>
      </w:pPr>
      <w:r>
        <w:rPr>
          <w:color w:val="auto"/>
        </w:rPr>
        <w:t>因此，H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14:paraId="3108391E">
      <w:pPr>
        <w:ind w:left="0" w:leftChars="0" w:firstLine="0" w:firstLineChars="0"/>
        <w:jc w:val="center"/>
        <w:rPr>
          <w:color w:val="auto"/>
        </w:rPr>
      </w:pPr>
      <w:r>
        <w:rPr>
          <w:rFonts w:hint="eastAsia"/>
          <w:color w:val="auto"/>
        </w:rPr>
        <w:drawing>
          <wp:inline distT="0" distB="0" distL="0" distR="0">
            <wp:extent cx="5369560" cy="3006725"/>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7" r:lo="rId178" r:qs="rId179" r:cs="rId180"/>
              </a:graphicData>
            </a:graphic>
          </wp:inline>
        </w:drawing>
      </w:r>
    </w:p>
    <w:p w14:paraId="19397DD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图5-8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改进效果与适用边界矩阵</w:t>
      </w:r>
    </w:p>
    <w:p w14:paraId="2D95B4AA">
      <w:pPr>
        <w:pStyle w:val="57"/>
        <w:ind w:firstLine="480"/>
        <w:jc w:val="both"/>
        <w:rPr>
          <w:color w:val="auto"/>
        </w:rPr>
      </w:pPr>
      <w:r>
        <w:rPr>
          <w:color w:val="auto"/>
        </w:rPr>
        <w:t>（3）学术与管理意义</w:t>
      </w:r>
    </w:p>
    <w:p w14:paraId="0C99D323">
      <w:pPr>
        <w:pStyle w:val="57"/>
        <w:ind w:firstLine="480"/>
        <w:jc w:val="both"/>
        <w:rPr>
          <w:color w:val="auto"/>
        </w:rPr>
      </w:pPr>
      <w:r>
        <w:rPr>
          <w:color w:val="auto"/>
        </w:rPr>
        <w:t>从学术视角看，本研究的改进实践验证了软件过程改进（SPI）理论与工程效能度量模型在企业场景中的可行性。PDCA循环与CAPA机制的嵌入使改进活动具备了自我修正与知识积累功能，增强了体系的动态稳定性。从管理视角看，H公司通过可视化监控与数据驱动决策，实现了组织从经验管理向证据管理的转变。改进实施的阶段成果说明，过程改进不仅是技术优化，更是组织能力与文化成熟度的体现。</w:t>
      </w:r>
    </w:p>
    <w:p w14:paraId="4A4E28B7">
      <w:pPr>
        <w:pStyle w:val="57"/>
        <w:ind w:firstLine="480"/>
        <w:jc w:val="both"/>
        <w:rPr>
          <w:rFonts w:eastAsiaTheme="minorEastAsia"/>
          <w:bCs w:val="0"/>
          <w:color w:val="auto"/>
        </w:rPr>
      </w:pPr>
      <w:r>
        <w:rPr>
          <w:color w:val="auto"/>
        </w:rPr>
        <w:t>然而，本方案仍存在一定边界条件：其成功实施依赖于较高的信息化水平、管理层的持续支持以及跨部门文化认同。因此，在推广过程中需根据企业规模、技术架构与组织文化差异进行差异化</w:t>
      </w:r>
      <w:r>
        <w:rPr>
          <w:rFonts w:eastAsiaTheme="minorEastAsia"/>
          <w:bCs w:val="0"/>
          <w:color w:val="auto"/>
        </w:rPr>
        <w:t>调整</w:t>
      </w:r>
      <w:r>
        <w:rPr>
          <w:color w:val="auto"/>
        </w:rPr>
        <w:t>，以保证改进的稳定性与延续性。</w:t>
      </w:r>
    </w:p>
    <w:p w14:paraId="3EC6C9B0">
      <w:pPr>
        <w:pStyle w:val="4"/>
        <w:spacing w:before="120" w:beforeLines="50" w:after="0" w:line="400" w:lineRule="exact"/>
        <w:ind w:firstLine="0" w:firstLineChars="0"/>
        <w:jc w:val="left"/>
        <w:rPr>
          <w:rFonts w:ascii="Times New Roman" w:hAnsi="Times New Roman" w:eastAsia="黑体" w:cs="Times New Roman"/>
          <w:bCs/>
          <w:sz w:val="24"/>
          <w:szCs w:val="24"/>
        </w:rPr>
      </w:pPr>
      <w:bookmarkStart w:id="320" w:name="_Toc213190838"/>
      <w:bookmarkStart w:id="321" w:name="_Toc213192546"/>
      <w:bookmarkStart w:id="322" w:name="_Toc213192854"/>
      <w:bookmarkStart w:id="323" w:name="_Toc30685"/>
      <w:r>
        <w:rPr>
          <w:rFonts w:ascii="Times New Roman" w:hAnsi="Times New Roman" w:eastAsia="黑体" w:cs="Times New Roman"/>
          <w:bCs/>
          <w:sz w:val="24"/>
          <w:szCs w:val="24"/>
        </w:rPr>
        <w:t>5.3.5 项目应用与验证分析</w:t>
      </w:r>
      <w:bookmarkEnd w:id="320"/>
      <w:bookmarkEnd w:id="321"/>
      <w:bookmarkEnd w:id="322"/>
      <w:bookmarkEnd w:id="323"/>
    </w:p>
    <w:p w14:paraId="1FC71BB5">
      <w:pPr>
        <w:pStyle w:val="57"/>
        <w:ind w:firstLine="480"/>
        <w:jc w:val="both"/>
        <w:rPr>
          <w:color w:val="auto"/>
        </w:rPr>
      </w:pPr>
      <w:r>
        <w:rPr>
          <w:color w:val="auto"/>
        </w:rPr>
        <w:t>为验证软件过程改进方案的可行性与实效性，本研究选取H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14:paraId="490EA333">
      <w:pPr>
        <w:pStyle w:val="57"/>
        <w:ind w:firstLine="480"/>
        <w:jc w:val="both"/>
        <w:rPr>
          <w:color w:val="auto"/>
        </w:rPr>
      </w:pPr>
      <w:r>
        <w:rPr>
          <w:color w:val="auto"/>
        </w:rPr>
        <w:t>（1）项目背景与改进实施</w:t>
      </w:r>
    </w:p>
    <w:p w14:paraId="03F1FAD0">
      <w:pPr>
        <w:pStyle w:val="57"/>
        <w:ind w:firstLine="480"/>
        <w:jc w:val="both"/>
        <w:rPr>
          <w:color w:val="auto"/>
        </w:rPr>
      </w:pPr>
      <w:r>
        <w:rPr>
          <w:color w:val="auto"/>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14:paraId="64D1ABB3">
      <w:pPr>
        <w:pStyle w:val="57"/>
        <w:ind w:firstLine="480"/>
        <w:jc w:val="both"/>
        <w:rPr>
          <w:color w:val="auto"/>
        </w:rPr>
      </w:pPr>
      <w:r>
        <w:rPr>
          <w:color w:val="auto"/>
        </w:rPr>
        <w:t>针对上述问题，项目团队在改进阶段构建了一套以自动化、数据化与协同化为核心的系统优化框架。首先，引入持续集成/持续交付（CI/CD）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14:paraId="437AAD3A">
      <w:pPr>
        <w:pStyle w:val="57"/>
        <w:ind w:firstLine="480"/>
        <w:jc w:val="both"/>
        <w:rPr>
          <w:color w:val="auto"/>
        </w:rPr>
      </w:pPr>
      <w:r>
        <w:rPr>
          <w:color w:val="auto"/>
        </w:rPr>
        <w:t>通过以上措施，项目团队构建了涵盖技术手段、流程制度与文化支撑的综合性改进体系，实现了从经验驱动向数据驱动、从阶段集成向持续交付的转变，为后续的过程绩效评估与改进成效验证奠定了坚实基础。</w:t>
      </w:r>
    </w:p>
    <w:p w14:paraId="61091858">
      <w:pPr>
        <w:pStyle w:val="57"/>
        <w:ind w:firstLine="480"/>
        <w:jc w:val="both"/>
        <w:rPr>
          <w:color w:val="auto"/>
        </w:rPr>
      </w:pPr>
      <w:r>
        <w:rPr>
          <w:color w:val="auto"/>
        </w:rPr>
        <w:t>（2）实施前后指标对比</w:t>
      </w:r>
    </w:p>
    <w:p w14:paraId="1BF149D0">
      <w:pPr>
        <w:pStyle w:val="57"/>
        <w:ind w:firstLine="480"/>
        <w:jc w:val="both"/>
        <w:rPr>
          <w:color w:val="auto"/>
        </w:rPr>
      </w:pPr>
      <w:r>
        <w:rPr>
          <w:color w:val="auto"/>
        </w:rPr>
        <w:t>为系统评估改进成效，项目团队选取了部署频率、平均变更前置时间、缺陷密度、平均恢复时间、测试覆盖率与部署成功率六项关键过程绩效指标进行对比分析。相关数据来源于项目管理系统与CI/CD监控平台，统计周期为改进前后三个月的平均值，结果如表5-4所示。</w:t>
      </w:r>
    </w:p>
    <w:p w14:paraId="67E85E3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表5-4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项目实施前后关键指标对比表</w:t>
      </w:r>
    </w:p>
    <w:tbl>
      <w:tblPr>
        <w:tblStyle w:val="95"/>
        <w:tblW w:w="9037"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57"/>
        <w:gridCol w:w="1379"/>
        <w:gridCol w:w="1379"/>
        <w:gridCol w:w="1722"/>
      </w:tblGrid>
      <w:tr w14:paraId="633E4D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trHeight w:val="454" w:hRule="atLeast"/>
          <w:jc w:val="center"/>
        </w:trPr>
        <w:tc>
          <w:tcPr>
            <w:tcW w:w="0" w:type="auto"/>
            <w:tcBorders>
              <w:bottom w:val="single" w:color="auto" w:sz="8" w:space="0"/>
              <w:insideH w:val="single" w:sz="8" w:space="0"/>
            </w:tcBorders>
            <w:vAlign w:val="center"/>
          </w:tcPr>
          <w:p w14:paraId="57220AD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指标</w:t>
            </w:r>
          </w:p>
        </w:tc>
        <w:tc>
          <w:tcPr>
            <w:tcW w:w="0" w:type="auto"/>
            <w:tcBorders>
              <w:bottom w:val="single" w:color="auto" w:sz="8" w:space="0"/>
              <w:insideH w:val="single" w:sz="8" w:space="0"/>
            </w:tcBorders>
            <w:vAlign w:val="center"/>
          </w:tcPr>
          <w:p w14:paraId="5BDB908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实施前</w:t>
            </w:r>
          </w:p>
        </w:tc>
        <w:tc>
          <w:tcPr>
            <w:tcW w:w="0" w:type="auto"/>
            <w:tcBorders>
              <w:bottom w:val="single" w:color="auto" w:sz="8" w:space="0"/>
              <w:insideH w:val="single" w:sz="8" w:space="0"/>
            </w:tcBorders>
            <w:vAlign w:val="center"/>
          </w:tcPr>
          <w:p w14:paraId="0DF9950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实施后</w:t>
            </w:r>
          </w:p>
        </w:tc>
        <w:tc>
          <w:tcPr>
            <w:tcW w:w="0" w:type="auto"/>
            <w:tcBorders>
              <w:bottom w:val="single" w:color="auto" w:sz="8" w:space="0"/>
              <w:insideH w:val="single" w:sz="8" w:space="0"/>
            </w:tcBorders>
            <w:vAlign w:val="center"/>
          </w:tcPr>
          <w:p w14:paraId="7D573D9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改进幅度</w:t>
            </w:r>
          </w:p>
        </w:tc>
      </w:tr>
      <w:tr w14:paraId="6E1A79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4" w:hRule="atLeast"/>
          <w:jc w:val="center"/>
        </w:trPr>
        <w:tc>
          <w:tcPr>
            <w:tcW w:w="0" w:type="auto"/>
            <w:vAlign w:val="center"/>
          </w:tcPr>
          <w:p w14:paraId="068C075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部署频率（次/周）</w:t>
            </w:r>
          </w:p>
        </w:tc>
        <w:tc>
          <w:tcPr>
            <w:tcW w:w="0" w:type="auto"/>
            <w:vAlign w:val="center"/>
          </w:tcPr>
          <w:p w14:paraId="44FABA8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1.2</w:t>
            </w:r>
          </w:p>
        </w:tc>
        <w:tc>
          <w:tcPr>
            <w:tcW w:w="0" w:type="auto"/>
            <w:vAlign w:val="center"/>
          </w:tcPr>
          <w:p w14:paraId="10B2FF0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2.1</w:t>
            </w:r>
          </w:p>
        </w:tc>
        <w:tc>
          <w:tcPr>
            <w:tcW w:w="0" w:type="auto"/>
            <w:vAlign w:val="center"/>
          </w:tcPr>
          <w:p w14:paraId="0F2A8A7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75.0%</w:t>
            </w:r>
          </w:p>
        </w:tc>
      </w:tr>
      <w:tr w14:paraId="71B043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jc w:val="center"/>
        </w:trPr>
        <w:tc>
          <w:tcPr>
            <w:tcW w:w="0" w:type="auto"/>
            <w:vAlign w:val="center"/>
          </w:tcPr>
          <w:p w14:paraId="78F6AB5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平均变更前置时间（小时）</w:t>
            </w:r>
          </w:p>
        </w:tc>
        <w:tc>
          <w:tcPr>
            <w:tcW w:w="0" w:type="auto"/>
            <w:vAlign w:val="center"/>
          </w:tcPr>
          <w:p w14:paraId="1FBAF7F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48</w:t>
            </w:r>
          </w:p>
        </w:tc>
        <w:tc>
          <w:tcPr>
            <w:tcW w:w="0" w:type="auto"/>
            <w:vAlign w:val="center"/>
          </w:tcPr>
          <w:p w14:paraId="33808E58">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28</w:t>
            </w:r>
          </w:p>
        </w:tc>
        <w:tc>
          <w:tcPr>
            <w:tcW w:w="0" w:type="auto"/>
            <w:vAlign w:val="center"/>
          </w:tcPr>
          <w:p w14:paraId="1E9093D1">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41.7%</w:t>
            </w:r>
          </w:p>
        </w:tc>
      </w:tr>
      <w:tr w14:paraId="113E056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jc w:val="center"/>
        </w:trPr>
        <w:tc>
          <w:tcPr>
            <w:tcW w:w="0" w:type="auto"/>
            <w:vAlign w:val="center"/>
          </w:tcPr>
          <w:p w14:paraId="1563D7AB">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缺陷密度（缺陷/千行代码）</w:t>
            </w:r>
          </w:p>
        </w:tc>
        <w:tc>
          <w:tcPr>
            <w:tcW w:w="0" w:type="auto"/>
            <w:vAlign w:val="center"/>
          </w:tcPr>
          <w:p w14:paraId="0E5AF87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0.62</w:t>
            </w:r>
          </w:p>
        </w:tc>
        <w:tc>
          <w:tcPr>
            <w:tcW w:w="0" w:type="auto"/>
            <w:vAlign w:val="center"/>
          </w:tcPr>
          <w:p w14:paraId="024F0DA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0.43</w:t>
            </w:r>
          </w:p>
        </w:tc>
        <w:tc>
          <w:tcPr>
            <w:tcW w:w="0" w:type="auto"/>
            <w:vAlign w:val="center"/>
          </w:tcPr>
          <w:p w14:paraId="24B22624">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30.6%</w:t>
            </w:r>
          </w:p>
        </w:tc>
      </w:tr>
      <w:tr w14:paraId="059ECA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jc w:val="center"/>
        </w:trPr>
        <w:tc>
          <w:tcPr>
            <w:tcW w:w="0" w:type="auto"/>
            <w:vAlign w:val="center"/>
          </w:tcPr>
          <w:p w14:paraId="7E81345A">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平均恢复时间（小时）</w:t>
            </w:r>
          </w:p>
        </w:tc>
        <w:tc>
          <w:tcPr>
            <w:tcW w:w="0" w:type="auto"/>
            <w:vAlign w:val="center"/>
          </w:tcPr>
          <w:p w14:paraId="6F00588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5.0</w:t>
            </w:r>
          </w:p>
        </w:tc>
        <w:tc>
          <w:tcPr>
            <w:tcW w:w="0" w:type="auto"/>
            <w:vAlign w:val="center"/>
          </w:tcPr>
          <w:p w14:paraId="66218F06">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3.2</w:t>
            </w:r>
          </w:p>
        </w:tc>
        <w:tc>
          <w:tcPr>
            <w:tcW w:w="0" w:type="auto"/>
            <w:vAlign w:val="center"/>
          </w:tcPr>
          <w:p w14:paraId="6C3A4720">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36.0%</w:t>
            </w:r>
          </w:p>
        </w:tc>
      </w:tr>
      <w:tr w14:paraId="72FE4D3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jc w:val="center"/>
        </w:trPr>
        <w:tc>
          <w:tcPr>
            <w:tcW w:w="0" w:type="auto"/>
            <w:vAlign w:val="center"/>
          </w:tcPr>
          <w:p w14:paraId="334A20EF">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测试覆盖率（%）</w:t>
            </w:r>
          </w:p>
        </w:tc>
        <w:tc>
          <w:tcPr>
            <w:tcW w:w="0" w:type="auto"/>
            <w:vAlign w:val="center"/>
          </w:tcPr>
          <w:p w14:paraId="23854C1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62</w:t>
            </w:r>
          </w:p>
        </w:tc>
        <w:tc>
          <w:tcPr>
            <w:tcW w:w="0" w:type="auto"/>
            <w:vAlign w:val="center"/>
          </w:tcPr>
          <w:p w14:paraId="111793D7">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79</w:t>
            </w:r>
          </w:p>
        </w:tc>
        <w:tc>
          <w:tcPr>
            <w:tcW w:w="0" w:type="auto"/>
            <w:vAlign w:val="center"/>
          </w:tcPr>
          <w:p w14:paraId="4A4893C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27.4%</w:t>
            </w:r>
          </w:p>
        </w:tc>
      </w:tr>
      <w:tr w14:paraId="65B01D2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0" w:type="auto"/>
            <w:vAlign w:val="center"/>
          </w:tcPr>
          <w:p w14:paraId="0C190ABC">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部署成功率（%）</w:t>
            </w:r>
          </w:p>
        </w:tc>
        <w:tc>
          <w:tcPr>
            <w:tcW w:w="0" w:type="auto"/>
            <w:vAlign w:val="center"/>
          </w:tcPr>
          <w:p w14:paraId="1FDB07A2">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90.5</w:t>
            </w:r>
          </w:p>
        </w:tc>
        <w:tc>
          <w:tcPr>
            <w:tcW w:w="0" w:type="auto"/>
            <w:vAlign w:val="center"/>
          </w:tcPr>
          <w:p w14:paraId="1DE3C873">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97.8</w:t>
            </w:r>
          </w:p>
        </w:tc>
        <w:tc>
          <w:tcPr>
            <w:tcW w:w="0" w:type="auto"/>
            <w:vAlign w:val="center"/>
          </w:tcPr>
          <w:p w14:paraId="1D8BD09E">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8.1%</w:t>
            </w:r>
          </w:p>
        </w:tc>
      </w:tr>
    </w:tbl>
    <w:p w14:paraId="3EABD9C9">
      <w:pPr>
        <w:pStyle w:val="57"/>
        <w:ind w:firstLine="480"/>
        <w:jc w:val="both"/>
        <w:rPr>
          <w:color w:val="auto"/>
        </w:rPr>
      </w:pPr>
      <w:r>
        <w:rPr>
          <w:color w:val="auto"/>
        </w:rPr>
        <w:t>从表5-4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14:paraId="1423CCD9">
      <w:pPr>
        <w:pStyle w:val="57"/>
        <w:ind w:firstLine="480"/>
        <w:jc w:val="both"/>
        <w:rPr>
          <w:color w:val="auto"/>
        </w:rPr>
      </w:pPr>
      <w:r>
        <w:rPr>
          <w:color w:val="auto"/>
        </w:rPr>
        <w:t>（3）指标趋势与效果分析</w:t>
      </w:r>
    </w:p>
    <w:p w14:paraId="7CDBAD67">
      <w:pPr>
        <w:pStyle w:val="57"/>
        <w:ind w:firstLine="480"/>
        <w:jc w:val="both"/>
        <w:rPr>
          <w:color w:val="auto"/>
        </w:rPr>
      </w:pPr>
      <w:r>
        <w:rPr>
          <w:color w:val="auto"/>
        </w:rPr>
        <w:t>为了更直观地呈现改进过程中的动态变化趋势，图5-9展示了主要指标随时间的演进曲线。图中横轴为项目实施周期（以周为单位），纵轴为对应指标数值。可以观察到，随着CI/CD体系的逐步完善与度量反馈机制的稳定运行，交付周期与缺陷率呈持续下降趋势，而测试覆盖率与部署成功率则稳步上升。第六周后，各项指标趋于稳定，表明改进体系已形成正向反馈与自我调节能力，实现了从阶段性改进向持续优化的转变。</w:t>
      </w:r>
    </w:p>
    <w:p w14:paraId="63FBDBD4">
      <w:pPr>
        <w:ind w:firstLine="480"/>
        <w:jc w:val="center"/>
        <w:rPr>
          <w:color w:val="auto"/>
        </w:rPr>
      </w:pPr>
      <w:r>
        <w:rPr>
          <w:rFonts w:hint="eastAsia"/>
          <w:color w:val="auto"/>
        </w:rPr>
        <w:drawing>
          <wp:inline distT="0" distB="0" distL="0" distR="0">
            <wp:extent cx="4411345" cy="2104390"/>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2"/>
              </a:graphicData>
            </a:graphic>
          </wp:inline>
        </w:drawing>
      </w:r>
    </w:p>
    <w:p w14:paraId="4087FE65">
      <w:pPr>
        <w:spacing w:line="400" w:lineRule="exact"/>
        <w:jc w:val="center"/>
        <w:rPr>
          <w:rFonts w:ascii="Times New Roman" w:hAnsi="Times New Roman" w:cs="Times New Roman"/>
          <w:color w:val="auto"/>
          <w:sz w:val="21"/>
          <w:szCs w:val="21"/>
        </w:rPr>
      </w:pPr>
      <w:r>
        <w:rPr>
          <w:rFonts w:ascii="Times New Roman" w:hAnsi="Times New Roman" w:cs="Times New Roman"/>
          <w:color w:val="auto"/>
          <w:sz w:val="21"/>
          <w:szCs w:val="21"/>
        </w:rPr>
        <w:t xml:space="preserve">图5-9 </w:t>
      </w:r>
      <w:r>
        <w:rPr>
          <w:rFonts w:hint="eastAsia" w:ascii="Times New Roman" w:hAnsi="Times New Roman" w:cs="Times New Roman"/>
          <w:color w:val="auto"/>
          <w:sz w:val="21"/>
          <w:szCs w:val="21"/>
          <w:lang w:val="en-US" w:eastAsia="zh-CN"/>
        </w:rPr>
        <w:t xml:space="preserve"> </w:t>
      </w:r>
      <w:r>
        <w:rPr>
          <w:rFonts w:ascii="Times New Roman" w:hAnsi="Times New Roman" w:cs="Times New Roman"/>
          <w:color w:val="auto"/>
          <w:sz w:val="21"/>
          <w:szCs w:val="21"/>
        </w:rPr>
        <w:t>项目实施成效趋势图</w:t>
      </w:r>
    </w:p>
    <w:p w14:paraId="50FE6D3A">
      <w:pPr>
        <w:pStyle w:val="57"/>
        <w:ind w:firstLine="480"/>
        <w:jc w:val="both"/>
        <w:rPr>
          <w:color w:val="auto"/>
        </w:rPr>
      </w:pPr>
      <w:r>
        <w:rPr>
          <w:color w:val="auto"/>
        </w:rPr>
        <w:t>图5-9展示了H公司核心业务系统项目在改进实施过程中的主要绩效指标变化趋势。随着自动化工具、度量体系与协作文化的逐步融合，过程效率与质量指标均呈持续优化态势，验证了改进体系的有效性与可持续性。</w:t>
      </w:r>
    </w:p>
    <w:p w14:paraId="53B6565C">
      <w:pPr>
        <w:pStyle w:val="57"/>
        <w:ind w:firstLine="480"/>
        <w:jc w:val="both"/>
        <w:rPr>
          <w:color w:val="auto"/>
        </w:rPr>
      </w:pPr>
      <w:r>
        <w:rPr>
          <w:color w:val="auto"/>
        </w:rPr>
        <w:t>（4）结果验证与经验总结</w:t>
      </w:r>
    </w:p>
    <w:p w14:paraId="0DAEE8FE">
      <w:pPr>
        <w:pStyle w:val="57"/>
        <w:ind w:firstLine="480"/>
        <w:jc w:val="both"/>
        <w:rPr>
          <w:color w:val="auto"/>
        </w:rPr>
      </w:pPr>
      <w:r>
        <w:rPr>
          <w:color w:val="auto"/>
        </w:rPr>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14:paraId="74CD5056">
      <w:pPr>
        <w:pStyle w:val="57"/>
        <w:ind w:firstLine="480"/>
        <w:jc w:val="both"/>
        <w:rPr>
          <w:color w:val="auto"/>
        </w:rPr>
      </w:pPr>
      <w:r>
        <w:rPr>
          <w:color w:val="auto"/>
        </w:rPr>
        <w:t>H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14:paraId="2C23FE9E">
      <w:pPr>
        <w:pStyle w:val="57"/>
        <w:ind w:firstLine="480"/>
        <w:jc w:val="both"/>
        <w:rPr>
          <w:color w:val="auto"/>
        </w:rPr>
      </w:pPr>
    </w:p>
    <w:p w14:paraId="62126BEA">
      <w:pPr>
        <w:pStyle w:val="57"/>
        <w:ind w:firstLine="480"/>
        <w:jc w:val="both"/>
        <w:rPr>
          <w:color w:val="auto"/>
        </w:rPr>
      </w:pPr>
    </w:p>
    <w:p w14:paraId="47C144CC">
      <w:pPr>
        <w:pStyle w:val="57"/>
        <w:ind w:firstLine="480"/>
        <w:jc w:val="both"/>
        <w:rPr>
          <w:color w:val="auto"/>
        </w:rPr>
      </w:pPr>
    </w:p>
    <w:p w14:paraId="60613D83">
      <w:pPr>
        <w:pStyle w:val="57"/>
        <w:ind w:firstLine="480"/>
        <w:jc w:val="both"/>
        <w:rPr>
          <w:color w:val="auto"/>
        </w:rPr>
      </w:pPr>
    </w:p>
    <w:p w14:paraId="70F5AC44">
      <w:pPr>
        <w:pStyle w:val="57"/>
        <w:ind w:firstLine="480"/>
        <w:jc w:val="both"/>
        <w:rPr>
          <w:color w:val="auto"/>
        </w:rPr>
      </w:pPr>
    </w:p>
    <w:p w14:paraId="45BB9BF7">
      <w:pPr>
        <w:pStyle w:val="57"/>
        <w:ind w:firstLine="480"/>
        <w:jc w:val="both"/>
        <w:rPr>
          <w:color w:val="auto"/>
        </w:rPr>
      </w:pPr>
    </w:p>
    <w:p w14:paraId="77ED0994">
      <w:pPr>
        <w:pStyle w:val="57"/>
        <w:ind w:firstLine="480"/>
        <w:jc w:val="both"/>
        <w:rPr>
          <w:color w:val="auto"/>
        </w:rPr>
      </w:pPr>
    </w:p>
    <w:p w14:paraId="6CF96182">
      <w:pPr>
        <w:pStyle w:val="57"/>
        <w:ind w:firstLine="480"/>
        <w:jc w:val="both"/>
        <w:rPr>
          <w:color w:val="auto"/>
        </w:rPr>
      </w:pPr>
    </w:p>
    <w:p w14:paraId="68CB1D99">
      <w:pPr>
        <w:pStyle w:val="57"/>
        <w:ind w:firstLine="480"/>
        <w:jc w:val="both"/>
        <w:rPr>
          <w:color w:val="auto"/>
        </w:rPr>
      </w:pPr>
    </w:p>
    <w:p w14:paraId="1A79C2C5">
      <w:pPr>
        <w:pStyle w:val="57"/>
        <w:ind w:firstLine="480"/>
        <w:jc w:val="both"/>
        <w:rPr>
          <w:color w:val="auto"/>
        </w:rPr>
      </w:pPr>
    </w:p>
    <w:p w14:paraId="3AF5CE53">
      <w:pPr>
        <w:pStyle w:val="57"/>
        <w:ind w:firstLine="480"/>
        <w:jc w:val="both"/>
        <w:rPr>
          <w:color w:val="auto"/>
        </w:rPr>
      </w:pPr>
    </w:p>
    <w:p w14:paraId="282727F0">
      <w:pPr>
        <w:pStyle w:val="57"/>
        <w:ind w:firstLine="480"/>
        <w:jc w:val="both"/>
        <w:rPr>
          <w:color w:val="auto"/>
        </w:rPr>
      </w:pPr>
    </w:p>
    <w:p w14:paraId="2D758740">
      <w:pPr>
        <w:pStyle w:val="57"/>
        <w:ind w:firstLine="480"/>
        <w:jc w:val="both"/>
        <w:rPr>
          <w:color w:val="auto"/>
        </w:rPr>
      </w:pPr>
    </w:p>
    <w:p w14:paraId="15647624">
      <w:pPr>
        <w:pStyle w:val="57"/>
        <w:ind w:firstLine="480"/>
        <w:jc w:val="both"/>
        <w:rPr>
          <w:color w:val="auto"/>
        </w:rPr>
      </w:pPr>
    </w:p>
    <w:p w14:paraId="718DDD32">
      <w:pPr>
        <w:pStyle w:val="57"/>
        <w:ind w:firstLine="480"/>
        <w:jc w:val="both"/>
        <w:rPr>
          <w:color w:val="auto"/>
        </w:rPr>
      </w:pPr>
    </w:p>
    <w:p w14:paraId="490917CF">
      <w:pPr>
        <w:pStyle w:val="57"/>
        <w:ind w:firstLine="480"/>
        <w:jc w:val="both"/>
        <w:rPr>
          <w:color w:val="auto"/>
        </w:rPr>
      </w:pPr>
    </w:p>
    <w:p w14:paraId="6CA10DDD">
      <w:pPr>
        <w:pStyle w:val="57"/>
        <w:ind w:firstLine="480"/>
        <w:jc w:val="both"/>
        <w:rPr>
          <w:color w:val="auto"/>
        </w:rPr>
      </w:pPr>
    </w:p>
    <w:p w14:paraId="5A89EA97">
      <w:pPr>
        <w:pStyle w:val="57"/>
        <w:ind w:firstLine="480"/>
        <w:jc w:val="both"/>
        <w:rPr>
          <w:color w:val="auto"/>
        </w:rPr>
      </w:pPr>
    </w:p>
    <w:p w14:paraId="05F2F85A">
      <w:pPr>
        <w:pStyle w:val="57"/>
        <w:ind w:firstLine="480"/>
        <w:jc w:val="both"/>
        <w:rPr>
          <w:color w:val="auto"/>
        </w:rPr>
      </w:pPr>
    </w:p>
    <w:p w14:paraId="3D64DEF1">
      <w:pPr>
        <w:pStyle w:val="57"/>
        <w:ind w:firstLine="480"/>
        <w:jc w:val="both"/>
        <w:rPr>
          <w:color w:val="auto"/>
        </w:rPr>
      </w:pPr>
    </w:p>
    <w:p w14:paraId="5304F6F3">
      <w:pPr>
        <w:pStyle w:val="57"/>
        <w:ind w:firstLine="480"/>
        <w:jc w:val="both"/>
        <w:rPr>
          <w:color w:val="auto"/>
        </w:rPr>
      </w:pPr>
    </w:p>
    <w:p w14:paraId="56E8170D">
      <w:pPr>
        <w:pStyle w:val="57"/>
        <w:ind w:firstLine="480"/>
        <w:jc w:val="both"/>
        <w:rPr>
          <w:color w:val="auto"/>
        </w:rPr>
      </w:pPr>
    </w:p>
    <w:p w14:paraId="79E5D795">
      <w:pPr>
        <w:pStyle w:val="57"/>
        <w:ind w:firstLine="480"/>
        <w:jc w:val="both"/>
        <w:rPr>
          <w:color w:val="auto"/>
        </w:rPr>
      </w:pPr>
    </w:p>
    <w:p w14:paraId="505CDE4E">
      <w:pPr>
        <w:pStyle w:val="57"/>
        <w:ind w:firstLine="480"/>
        <w:jc w:val="both"/>
        <w:rPr>
          <w:color w:val="auto"/>
        </w:rPr>
      </w:pPr>
    </w:p>
    <w:p w14:paraId="3A488421">
      <w:pPr>
        <w:pStyle w:val="57"/>
        <w:ind w:firstLine="480"/>
        <w:jc w:val="both"/>
        <w:rPr>
          <w:color w:val="auto"/>
        </w:rPr>
      </w:pPr>
    </w:p>
    <w:p w14:paraId="1AB33F3C">
      <w:pPr>
        <w:pStyle w:val="57"/>
        <w:ind w:firstLine="480"/>
        <w:jc w:val="both"/>
        <w:rPr>
          <w:color w:val="auto"/>
        </w:rPr>
      </w:pPr>
    </w:p>
    <w:p w14:paraId="45B5ECF0">
      <w:pPr>
        <w:pStyle w:val="57"/>
        <w:ind w:firstLine="480"/>
        <w:jc w:val="both"/>
        <w:rPr>
          <w:color w:val="auto"/>
        </w:rPr>
      </w:pPr>
    </w:p>
    <w:p w14:paraId="6ABF7649">
      <w:pPr>
        <w:pStyle w:val="57"/>
        <w:ind w:firstLine="480"/>
        <w:jc w:val="both"/>
        <w:rPr>
          <w:color w:val="auto"/>
        </w:rPr>
      </w:pPr>
    </w:p>
    <w:p w14:paraId="71D61765">
      <w:pPr>
        <w:pStyle w:val="57"/>
        <w:ind w:firstLine="480"/>
        <w:jc w:val="both"/>
        <w:rPr>
          <w:color w:val="auto"/>
        </w:rPr>
      </w:pPr>
    </w:p>
    <w:p w14:paraId="1E17AB02">
      <w:pPr>
        <w:pStyle w:val="57"/>
        <w:ind w:firstLine="480"/>
        <w:jc w:val="both"/>
        <w:rPr>
          <w:color w:val="auto"/>
        </w:rPr>
      </w:pPr>
    </w:p>
    <w:p w14:paraId="4DBECF5B">
      <w:pPr>
        <w:pStyle w:val="57"/>
        <w:ind w:firstLine="480"/>
        <w:jc w:val="both"/>
        <w:rPr>
          <w:color w:val="auto"/>
        </w:rPr>
      </w:pPr>
    </w:p>
    <w:p w14:paraId="4C366A08">
      <w:pPr>
        <w:pStyle w:val="57"/>
        <w:ind w:firstLine="480"/>
        <w:jc w:val="both"/>
        <w:rPr>
          <w:color w:val="auto"/>
        </w:rPr>
      </w:pPr>
    </w:p>
    <w:p w14:paraId="5DF0A94F">
      <w:pPr>
        <w:pStyle w:val="57"/>
        <w:ind w:firstLine="480"/>
        <w:jc w:val="both"/>
        <w:rPr>
          <w:color w:val="auto"/>
        </w:rPr>
      </w:pPr>
    </w:p>
    <w:p w14:paraId="0F7F69A7">
      <w:pPr>
        <w:pStyle w:val="57"/>
        <w:ind w:firstLine="480"/>
        <w:jc w:val="both"/>
        <w:rPr>
          <w:color w:val="auto"/>
        </w:rPr>
      </w:pPr>
    </w:p>
    <w:p w14:paraId="10357FDF">
      <w:pPr>
        <w:pStyle w:val="57"/>
        <w:ind w:firstLine="480"/>
        <w:jc w:val="both"/>
        <w:rPr>
          <w:color w:val="auto"/>
        </w:rPr>
      </w:pPr>
    </w:p>
    <w:p w14:paraId="2F7ADFA8">
      <w:pPr>
        <w:pStyle w:val="57"/>
        <w:ind w:firstLine="0" w:firstLineChars="0"/>
        <w:jc w:val="both"/>
        <w:rPr>
          <w:color w:val="auto"/>
        </w:rPr>
        <w:sectPr>
          <w:headerReference r:id="rId20" w:type="default"/>
          <w:pgSz w:w="11906" w:h="16838"/>
          <w:pgMar w:top="1440" w:right="1417" w:bottom="1440" w:left="1417" w:header="850" w:footer="992" w:gutter="0"/>
          <w:pgNumType w:fmt="decimal"/>
          <w:cols w:space="0" w:num="1"/>
          <w:docGrid w:type="lines" w:linePitch="312" w:charSpace="0"/>
        </w:sectPr>
      </w:pPr>
    </w:p>
    <w:p w14:paraId="76AEB54D">
      <w:pPr>
        <w:pStyle w:val="2"/>
        <w:spacing w:before="468" w:beforeLines="150" w:after="312" w:afterLines="100"/>
        <w:rPr>
          <w:bCs w:val="0"/>
          <w:color w:val="auto"/>
          <w:szCs w:val="20"/>
        </w:rPr>
      </w:pPr>
      <w:bookmarkStart w:id="324" w:name="_Toc213190839"/>
      <w:bookmarkStart w:id="325" w:name="_Toc213192547"/>
      <w:bookmarkStart w:id="326" w:name="_Toc213192855"/>
      <w:bookmarkStart w:id="327" w:name="_Toc22656"/>
      <w:r>
        <w:rPr>
          <w:rFonts w:hint="eastAsia"/>
          <w:bCs w:val="0"/>
          <w:color w:val="auto"/>
          <w:szCs w:val="20"/>
        </w:rPr>
        <w:t>第6章 研究结论与展望</w:t>
      </w:r>
      <w:bookmarkEnd w:id="324"/>
      <w:bookmarkEnd w:id="325"/>
      <w:bookmarkEnd w:id="326"/>
      <w:bookmarkEnd w:id="327"/>
    </w:p>
    <w:p w14:paraId="3B4C3FF1">
      <w:pPr>
        <w:pStyle w:val="3"/>
        <w:keepNext/>
        <w:keepLines/>
        <w:numPr>
          <w:ilvl w:val="1"/>
          <w:numId w:val="0"/>
        </w:numPr>
        <w:adjustRightInd/>
        <w:snapToGrid/>
        <w:rPr>
          <w:rFonts w:ascii="Times New Roman" w:hAnsi="Times New Roman"/>
          <w:bCs/>
          <w:color w:val="auto"/>
          <w:szCs w:val="32"/>
        </w:rPr>
      </w:pPr>
      <w:bookmarkStart w:id="328" w:name="_Toc213190840"/>
      <w:bookmarkStart w:id="329" w:name="_Toc213192856"/>
      <w:bookmarkStart w:id="330" w:name="_Toc213192548"/>
      <w:bookmarkStart w:id="331" w:name="_Toc14206"/>
      <w:r>
        <w:rPr>
          <w:rFonts w:hint="eastAsia" w:ascii="Times New Roman" w:hAnsi="Times New Roman"/>
          <w:bCs/>
          <w:color w:val="auto"/>
          <w:szCs w:val="32"/>
        </w:rPr>
        <w:t>6.1 研究结论</w:t>
      </w:r>
      <w:bookmarkEnd w:id="328"/>
      <w:bookmarkEnd w:id="329"/>
      <w:bookmarkEnd w:id="330"/>
      <w:bookmarkEnd w:id="331"/>
    </w:p>
    <w:p w14:paraId="675509F3">
      <w:pPr>
        <w:pStyle w:val="57"/>
        <w:ind w:firstLine="480"/>
        <w:jc w:val="both"/>
        <w:rPr>
          <w:color w:val="auto"/>
        </w:rPr>
      </w:pPr>
      <w:r>
        <w:rPr>
          <w:color w:val="auto"/>
        </w:rPr>
        <w:t>本文以工程管理视角为基础，围绕金融科技行业背景下的软件开发过程改进问题，以H公司为典型案例展开系统研究。研究以过程规范化</w:t>
      </w:r>
      <w:r>
        <w:rPr>
          <w:rFonts w:hint="eastAsia"/>
          <w:color w:val="auto"/>
        </w:rPr>
        <w:t>、</w:t>
      </w:r>
      <w:r>
        <w:rPr>
          <w:color w:val="auto"/>
        </w:rPr>
        <w:t>技术自动化</w:t>
      </w:r>
      <w:r>
        <w:rPr>
          <w:rFonts w:hint="eastAsia"/>
          <w:color w:val="auto"/>
        </w:rPr>
        <w:t>、</w:t>
      </w:r>
      <w:r>
        <w:rPr>
          <w:color w:val="auto"/>
        </w:rPr>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14:paraId="760D19B6">
      <w:pPr>
        <w:pStyle w:val="57"/>
        <w:ind w:firstLine="480"/>
        <w:jc w:val="both"/>
        <w:rPr>
          <w:color w:val="auto"/>
        </w:rPr>
      </w:pPr>
      <w:r>
        <w:rPr>
          <w:color w:val="auto"/>
        </w:rPr>
        <w:t>（</w:t>
      </w:r>
      <w:r>
        <w:rPr>
          <w:rFonts w:hint="eastAsia"/>
          <w:color w:val="auto"/>
          <w:lang w:val="en-US" w:eastAsia="zh-CN"/>
        </w:rPr>
        <w:t>1</w:t>
      </w:r>
      <w:r>
        <w:rPr>
          <w:color w:val="auto"/>
        </w:rPr>
        <w:t>）总体结论</w:t>
      </w:r>
    </w:p>
    <w:p w14:paraId="6F1A69F4">
      <w:pPr>
        <w:pStyle w:val="57"/>
        <w:ind w:firstLine="480"/>
        <w:jc w:val="both"/>
        <w:rPr>
          <w:color w:val="auto"/>
        </w:rPr>
      </w:pPr>
      <w:r>
        <w:rPr>
          <w:color w:val="auto"/>
        </w:rPr>
        <w:t>本文研究表明，在强监管与高频变更并存的金融科技环境中，软件开发效率、质量与合规性之间存在显著张力。H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Pr>
          <w:rFonts w:hint="eastAsia"/>
          <w:color w:val="auto"/>
        </w:rPr>
        <w:t>、</w:t>
      </w:r>
      <w:r>
        <w:rPr>
          <w:color w:val="auto"/>
        </w:rPr>
        <w:t>度量驱动</w:t>
      </w:r>
      <w:r>
        <w:rPr>
          <w:rFonts w:hint="eastAsia"/>
          <w:color w:val="auto"/>
        </w:rPr>
        <w:t>、</w:t>
      </w:r>
      <w:r>
        <w:rPr>
          <w:color w:val="auto"/>
        </w:rPr>
        <w:t>组织协同的改进模式能够有效平衡敏捷性与合规性之间的冲突，实现过程优化的可持续性与工程化。</w:t>
      </w:r>
    </w:p>
    <w:p w14:paraId="4DD10AD1">
      <w:pPr>
        <w:pStyle w:val="57"/>
        <w:ind w:firstLine="480"/>
        <w:jc w:val="both"/>
        <w:rPr>
          <w:color w:val="auto"/>
        </w:rPr>
      </w:pPr>
      <w:r>
        <w:rPr>
          <w:color w:val="auto"/>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H公司在实施改进后，其平均迭代周期缩短约20%，关键缺陷逃逸率下降约30%，系统平均恢复时间（MTTR）降低约25%，团队跨部门协作效率显著提升。这一成果验证了基于DevSecOps理念的持续改进机制在金融科技企业中的可行性与适应性。</w:t>
      </w:r>
    </w:p>
    <w:p w14:paraId="30F1C667">
      <w:pPr>
        <w:pStyle w:val="57"/>
        <w:ind w:firstLine="480"/>
        <w:jc w:val="both"/>
        <w:rPr>
          <w:color w:val="auto"/>
        </w:rPr>
      </w:pPr>
      <w:r>
        <w:rPr>
          <w:color w:val="auto"/>
        </w:rPr>
        <w:t>（</w:t>
      </w:r>
      <w:r>
        <w:rPr>
          <w:rFonts w:hint="eastAsia"/>
          <w:color w:val="auto"/>
          <w:lang w:val="en-US" w:eastAsia="zh-CN"/>
        </w:rPr>
        <w:t>2</w:t>
      </w:r>
      <w:r>
        <w:rPr>
          <w:color w:val="auto"/>
        </w:rPr>
        <w:t>）主要成果</w:t>
      </w:r>
    </w:p>
    <w:p w14:paraId="66807E6E">
      <w:pPr>
        <w:pStyle w:val="57"/>
        <w:ind w:firstLine="480"/>
        <w:jc w:val="both"/>
        <w:rPr>
          <w:color w:val="auto"/>
        </w:rPr>
      </w:pPr>
      <w:r>
        <w:rPr>
          <w:color w:val="auto"/>
        </w:rPr>
        <w:t>从研究内容与改进维度来看，本文在以下五个方面取得了系统性成果：</w:t>
      </w:r>
    </w:p>
    <w:p w14:paraId="515E668D">
      <w:pPr>
        <w:pStyle w:val="57"/>
        <w:ind w:firstLine="480"/>
        <w:jc w:val="both"/>
        <w:rPr>
          <w:color w:val="auto"/>
        </w:rPr>
      </w:pPr>
      <w:r>
        <w:rPr>
          <w:color w:val="auto"/>
        </w:rPr>
        <w:t>1）需求管理维度：通过构建动态优先级与追踪机制，建立了需求追踪完整性</w:t>
      </w:r>
      <w:r>
        <w:rPr>
          <w:rFonts w:hint="eastAsia"/>
          <w:color w:val="auto"/>
        </w:rPr>
        <w:t>、</w:t>
      </w:r>
      <w:r>
        <w:rPr>
          <w:color w:val="auto"/>
        </w:rPr>
        <w:t>变更响应度</w:t>
      </w:r>
      <w:r>
        <w:rPr>
          <w:rFonts w:hint="eastAsia"/>
          <w:color w:val="auto"/>
        </w:rPr>
        <w:t>、</w:t>
      </w:r>
      <w:r>
        <w:rPr>
          <w:color w:val="auto"/>
        </w:rPr>
        <w:t>交付可预测性的度量体系，显著提升了需求响应速度与资源配置效率。需求管理过程从被动记录转变为主动控制，实现了需求变更的可追溯与透明化。</w:t>
      </w:r>
    </w:p>
    <w:p w14:paraId="1F5700F0">
      <w:pPr>
        <w:pStyle w:val="57"/>
        <w:ind w:firstLine="480"/>
        <w:jc w:val="both"/>
        <w:rPr>
          <w:color w:val="auto"/>
        </w:rPr>
      </w:pPr>
      <w:r>
        <w:rPr>
          <w:color w:val="auto"/>
        </w:rPr>
        <w:t>2）安全左移维度：以安全即代码（Security-as-Code）理念为基础，设计了安全策略嵌入与前移机制，将安全检测与合规审查前置至需求与设计阶段，减少了后期返工与漏洞暴露。研究表明，安全前移机制可有效降低合规风险并强化系统的可信性。</w:t>
      </w:r>
    </w:p>
    <w:p w14:paraId="636D602F">
      <w:pPr>
        <w:pStyle w:val="57"/>
        <w:ind w:firstLine="480"/>
        <w:jc w:val="both"/>
        <w:rPr>
          <w:color w:val="auto"/>
        </w:rPr>
      </w:pPr>
      <w:r>
        <w:rPr>
          <w:color w:val="auto"/>
        </w:rPr>
        <w:t>3）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14:paraId="492CE006">
      <w:pPr>
        <w:pStyle w:val="57"/>
        <w:ind w:firstLine="480"/>
        <w:jc w:val="both"/>
        <w:rPr>
          <w:color w:val="auto"/>
        </w:rPr>
      </w:pPr>
      <w:r>
        <w:rPr>
          <w:color w:val="auto"/>
        </w:rPr>
        <w:t>4）智能运维维度：结合AIOps与SRE理论，构建了日志融合、异常检测与预测性运维模型，形成了从被动响应到主动防御的转变。运维自动化程度与系统稳定性显著提升，错误预算机制与容量预测模型有效支持了高并发环境下的稳定运行。</w:t>
      </w:r>
    </w:p>
    <w:p w14:paraId="64FA70F8">
      <w:pPr>
        <w:pStyle w:val="57"/>
        <w:ind w:firstLine="480"/>
        <w:jc w:val="both"/>
        <w:rPr>
          <w:color w:val="auto"/>
        </w:rPr>
      </w:pPr>
      <w:r>
        <w:rPr>
          <w:color w:val="auto"/>
        </w:rPr>
        <w:t>5）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14:paraId="09DFB25E">
      <w:pPr>
        <w:pStyle w:val="57"/>
        <w:ind w:firstLine="480"/>
        <w:jc w:val="both"/>
        <w:rPr>
          <w:color w:val="auto"/>
        </w:rPr>
      </w:pPr>
      <w:r>
        <w:rPr>
          <w:color w:val="auto"/>
        </w:rPr>
        <w:t>这些成果不仅解决了H公司软件开发过程中的关键瓶颈问题，也为金融科技企业在复杂监管环境下实现过程改进提供了可复制的实践路径。</w:t>
      </w:r>
    </w:p>
    <w:p w14:paraId="408ED804">
      <w:pPr>
        <w:pStyle w:val="57"/>
        <w:ind w:firstLine="480"/>
        <w:jc w:val="both"/>
        <w:rPr>
          <w:color w:val="auto"/>
        </w:rPr>
      </w:pPr>
      <w:r>
        <w:rPr>
          <w:color w:val="auto"/>
        </w:rPr>
        <w:t>（</w:t>
      </w:r>
      <w:r>
        <w:rPr>
          <w:rFonts w:hint="eastAsia"/>
          <w:color w:val="auto"/>
          <w:lang w:val="en-US" w:eastAsia="zh-CN"/>
        </w:rPr>
        <w:t>3</w:t>
      </w:r>
      <w:r>
        <w:rPr>
          <w:color w:val="auto"/>
        </w:rPr>
        <w:t>）创新点总结</w:t>
      </w:r>
    </w:p>
    <w:p w14:paraId="4D99A521">
      <w:pPr>
        <w:pStyle w:val="57"/>
        <w:ind w:firstLine="480"/>
        <w:jc w:val="both"/>
        <w:rPr>
          <w:color w:val="auto"/>
        </w:rPr>
      </w:pPr>
      <w:r>
        <w:rPr>
          <w:color w:val="auto"/>
        </w:rPr>
        <w:t>从理论、方法与实践三个层面，本研究的创新性主要体现在以下方面：</w:t>
      </w:r>
    </w:p>
    <w:p w14:paraId="50A3F968">
      <w:pPr>
        <w:pStyle w:val="57"/>
        <w:ind w:firstLine="480"/>
        <w:jc w:val="both"/>
        <w:rPr>
          <w:color w:val="auto"/>
        </w:rPr>
      </w:pPr>
      <w:r>
        <w:rPr>
          <w:color w:val="auto"/>
        </w:rPr>
        <w:t>1）理论创新：本文首次在工程管理框架下，将软件过程改进（SPI）理论与DevSecOps理念系统融合，提出了过程规范化</w:t>
      </w:r>
      <w:r>
        <w:rPr>
          <w:rFonts w:hint="eastAsia"/>
          <w:color w:val="auto"/>
        </w:rPr>
        <w:t>、</w:t>
      </w:r>
      <w:r>
        <w:rPr>
          <w:color w:val="auto"/>
        </w:rPr>
        <w:t>技术自动化</w:t>
      </w:r>
      <w:r>
        <w:rPr>
          <w:rFonts w:hint="eastAsia"/>
          <w:color w:val="auto"/>
        </w:rPr>
        <w:t>、</w:t>
      </w:r>
      <w:r>
        <w:rPr>
          <w:color w:val="auto"/>
        </w:rPr>
        <w:t>组织协同化的三维度集成模型。该模型突破了传统CMMI体系偏重静态规范、忽视动态响应的局限，实现了从过程成熟度向过程适应性的转变，为复杂行业场景下的软件工程治理提供了新的理论支撑。</w:t>
      </w:r>
    </w:p>
    <w:p w14:paraId="1BB09C02">
      <w:pPr>
        <w:pStyle w:val="57"/>
        <w:ind w:firstLine="480"/>
        <w:jc w:val="both"/>
        <w:rPr>
          <w:color w:val="auto"/>
        </w:rPr>
      </w:pPr>
      <w:r>
        <w:rPr>
          <w:color w:val="auto"/>
        </w:rPr>
        <w:t>2）方法创新：研究构建了以度量数据为核心的改进路径，结合价值流映射（VSM）与系统动力学建模方法，形成了事件</w:t>
      </w:r>
      <w:r>
        <w:rPr>
          <w:rFonts w:hint="eastAsia"/>
          <w:color w:val="auto"/>
        </w:rPr>
        <w:t>、</w:t>
      </w:r>
      <w:r>
        <w:rPr>
          <w:color w:val="auto"/>
        </w:rPr>
        <w:t>度量</w:t>
      </w:r>
      <w:r>
        <w:rPr>
          <w:rFonts w:hint="eastAsia"/>
          <w:color w:val="auto"/>
        </w:rPr>
        <w:t>、</w:t>
      </w:r>
      <w:r>
        <w:rPr>
          <w:color w:val="auto"/>
        </w:rPr>
        <w:t>效应的因果分析机制。该方法实现了问题定位、决策优化与反馈验证的闭环，为企业过程改进提供了定量化、可验证的研究工具。</w:t>
      </w:r>
    </w:p>
    <w:p w14:paraId="44F746A6">
      <w:pPr>
        <w:pStyle w:val="57"/>
        <w:ind w:firstLine="480"/>
        <w:jc w:val="both"/>
        <w:rPr>
          <w:color w:val="auto"/>
        </w:rPr>
      </w:pPr>
      <w:r>
        <w:rPr>
          <w:color w:val="auto"/>
        </w:rPr>
        <w:t>3）实践创新：本文以H公司为实证对象，完成了从评估、设计到实施与验证的全流程改进研究，提出的安全前移+智能运维+协同矩阵组合机制在实际运行中取得显著成效。该研究为金融科技行业的软件工程改进提供了可落地的框架，并为行业监管部门与系统集成商提供了参考模型与度量标准。</w:t>
      </w:r>
    </w:p>
    <w:p w14:paraId="429754B0">
      <w:pPr>
        <w:pStyle w:val="57"/>
        <w:ind w:firstLine="480"/>
        <w:jc w:val="both"/>
        <w:rPr>
          <w:color w:val="auto"/>
        </w:rPr>
      </w:pPr>
      <w:r>
        <w:rPr>
          <w:color w:val="auto"/>
        </w:rPr>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14:paraId="6DC783B7">
      <w:pPr>
        <w:pStyle w:val="3"/>
        <w:keepNext/>
        <w:keepLines/>
        <w:numPr>
          <w:ilvl w:val="1"/>
          <w:numId w:val="0"/>
        </w:numPr>
        <w:adjustRightInd/>
        <w:snapToGrid/>
        <w:rPr>
          <w:rFonts w:ascii="Times New Roman" w:hAnsi="Times New Roman"/>
          <w:bCs/>
          <w:color w:val="auto"/>
          <w:szCs w:val="32"/>
        </w:rPr>
      </w:pPr>
      <w:bookmarkStart w:id="332" w:name="_Toc213190841"/>
      <w:bookmarkStart w:id="333" w:name="_Toc213192549"/>
      <w:bookmarkStart w:id="334" w:name="_Toc213192857"/>
      <w:bookmarkStart w:id="335" w:name="_Toc30978"/>
      <w:r>
        <w:rPr>
          <w:rFonts w:hint="eastAsia" w:ascii="Times New Roman" w:hAnsi="Times New Roman"/>
          <w:bCs/>
          <w:color w:val="auto"/>
          <w:szCs w:val="32"/>
        </w:rPr>
        <w:t>6.2 未来展望</w:t>
      </w:r>
      <w:bookmarkEnd w:id="332"/>
      <w:bookmarkEnd w:id="333"/>
      <w:bookmarkEnd w:id="334"/>
      <w:bookmarkEnd w:id="335"/>
    </w:p>
    <w:p w14:paraId="63C22CD8">
      <w:pPr>
        <w:pStyle w:val="57"/>
        <w:ind w:firstLine="480"/>
        <w:jc w:val="both"/>
        <w:rPr>
          <w:color w:val="auto"/>
        </w:rPr>
      </w:pPr>
      <w:r>
        <w:rPr>
          <w:color w:val="auto"/>
        </w:rPr>
        <w:t>本文的研究以H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14:paraId="6B0298F1">
      <w:pPr>
        <w:pStyle w:val="57"/>
        <w:ind w:firstLine="480"/>
        <w:jc w:val="both"/>
        <w:rPr>
          <w:color w:val="auto"/>
        </w:rPr>
      </w:pPr>
      <w:r>
        <w:rPr>
          <w:color w:val="auto"/>
        </w:rPr>
        <w:t>（</w:t>
      </w:r>
      <w:r>
        <w:rPr>
          <w:rFonts w:hint="eastAsia"/>
          <w:color w:val="auto"/>
          <w:lang w:val="en-US" w:eastAsia="zh-CN"/>
        </w:rPr>
        <w:t>1</w:t>
      </w:r>
      <w:r>
        <w:rPr>
          <w:color w:val="auto"/>
        </w:rPr>
        <w:t>）理论深化方向</w:t>
      </w:r>
    </w:p>
    <w:p w14:paraId="194021C3">
      <w:pPr>
        <w:pStyle w:val="57"/>
        <w:ind w:firstLine="480"/>
        <w:jc w:val="both"/>
        <w:rPr>
          <w:color w:val="auto"/>
        </w:rPr>
      </w:pPr>
      <w:r>
        <w:rPr>
          <w:color w:val="auto"/>
        </w:rPr>
        <w:t>未来的研究可在软件过程改进（SPI）与DevOps/DevSecOps理论的融合基础上，进一步深化工程管理</w:t>
      </w:r>
      <w:r>
        <w:rPr>
          <w:rFonts w:hint="eastAsia"/>
          <w:color w:val="auto"/>
        </w:rPr>
        <w:t>、</w:t>
      </w:r>
      <w:r>
        <w:rPr>
          <w:color w:val="auto"/>
        </w:rPr>
        <w:t>系统工程</w:t>
      </w:r>
      <w:r>
        <w:rPr>
          <w:rFonts w:hint="eastAsia"/>
          <w:color w:val="auto"/>
        </w:rPr>
        <w:t>、</w:t>
      </w:r>
      <w:r>
        <w:rPr>
          <w:color w:val="auto"/>
        </w:rPr>
        <w:t>软件工程三者之间的交叉理论体系。当前研究已初步构建了过程规范化</w:t>
      </w:r>
      <w:r>
        <w:rPr>
          <w:rFonts w:hint="eastAsia"/>
          <w:color w:val="auto"/>
        </w:rPr>
        <w:t>、</w:t>
      </w:r>
      <w:r>
        <w:rPr>
          <w:color w:val="auto"/>
        </w:rPr>
        <w:t>技术自动化</w:t>
      </w:r>
      <w:r>
        <w:rPr>
          <w:rFonts w:hint="eastAsia"/>
          <w:color w:val="auto"/>
        </w:rPr>
        <w:t>、</w:t>
      </w:r>
      <w:r>
        <w:rPr>
          <w:color w:val="auto"/>
        </w:rPr>
        <w:t>组织协同化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organizational resilience）与工程治理（engineering governance）的角度，构建更加稳健的理论支撑体系。</w:t>
      </w:r>
    </w:p>
    <w:p w14:paraId="259AD0C4">
      <w:pPr>
        <w:pStyle w:val="57"/>
        <w:ind w:firstLine="480"/>
        <w:jc w:val="both"/>
        <w:rPr>
          <w:color w:val="auto"/>
        </w:rPr>
      </w:pPr>
      <w:r>
        <w:rPr>
          <w:color w:val="auto"/>
        </w:rPr>
        <w:t>（</w:t>
      </w:r>
      <w:r>
        <w:rPr>
          <w:rFonts w:hint="eastAsia"/>
          <w:color w:val="auto"/>
          <w:lang w:val="en-US" w:eastAsia="zh-CN"/>
        </w:rPr>
        <w:t>2</w:t>
      </w:r>
      <w:r>
        <w:rPr>
          <w:color w:val="auto"/>
        </w:rPr>
        <w:t>）方法与技术演化</w:t>
      </w:r>
    </w:p>
    <w:p w14:paraId="50C4A96C">
      <w:pPr>
        <w:pStyle w:val="57"/>
        <w:ind w:firstLine="480"/>
        <w:jc w:val="both"/>
        <w:rPr>
          <w:color w:val="auto"/>
        </w:rPr>
      </w:pPr>
      <w:r>
        <w:rPr>
          <w:color w:val="auto"/>
        </w:rPr>
        <w:t>随着人工智能与数据驱动工程的快速发展，软件过程改进方法论将向智能化与自适应方向演化。未来研究可引入AI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Compliance-as-Code）与智能合规（Cognitive Compliance）理念，可实现监管策略与开发过程的自动映射与持续校验，从而推动软件开发管理的智能治理与透明化演进。</w:t>
      </w:r>
    </w:p>
    <w:p w14:paraId="63AABE98">
      <w:pPr>
        <w:pStyle w:val="57"/>
        <w:ind w:firstLine="480"/>
        <w:jc w:val="both"/>
        <w:rPr>
          <w:color w:val="auto"/>
        </w:rPr>
      </w:pPr>
      <w:r>
        <w:rPr>
          <w:color w:val="auto"/>
        </w:rPr>
        <w:t>（</w:t>
      </w:r>
      <w:r>
        <w:rPr>
          <w:rFonts w:hint="eastAsia"/>
          <w:color w:val="auto"/>
          <w:lang w:val="en-US" w:eastAsia="zh-CN"/>
        </w:rPr>
        <w:t>3</w:t>
      </w:r>
      <w:r>
        <w:rPr>
          <w:color w:val="auto"/>
        </w:rPr>
        <w:t>）实践推广方向</w:t>
      </w:r>
    </w:p>
    <w:p w14:paraId="68F8DC23">
      <w:pPr>
        <w:pStyle w:val="57"/>
        <w:ind w:firstLine="480"/>
        <w:jc w:val="both"/>
        <w:rPr>
          <w:color w:val="auto"/>
        </w:rPr>
      </w:pPr>
      <w:r>
        <w:rPr>
          <w:color w:val="auto"/>
        </w:rPr>
        <w:t>本研究在H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DevSecOps实践与组织文化、绩效管理的协同机制，形成从局部改进到组织级优化的演进路径。通过跨企业的纵向追踪与对标分析，可进一步验证本文提出的改进模型在不同发展阶段的稳定性与可持续性。</w:t>
      </w:r>
    </w:p>
    <w:p w14:paraId="7026FFA7">
      <w:pPr>
        <w:pStyle w:val="57"/>
        <w:ind w:firstLine="480"/>
        <w:jc w:val="both"/>
        <w:rPr>
          <w:color w:val="auto"/>
        </w:rPr>
      </w:pPr>
      <w:r>
        <w:rPr>
          <w:color w:val="auto"/>
        </w:rPr>
        <w:t>（</w:t>
      </w:r>
      <w:r>
        <w:rPr>
          <w:rFonts w:hint="eastAsia"/>
          <w:color w:val="auto"/>
          <w:lang w:val="en-US" w:eastAsia="zh-CN"/>
        </w:rPr>
        <w:t>4</w:t>
      </w:r>
      <w:r>
        <w:rPr>
          <w:color w:val="auto"/>
        </w:rPr>
        <w:t>）政策与治理启示</w:t>
      </w:r>
    </w:p>
    <w:p w14:paraId="77E2D641">
      <w:pPr>
        <w:pStyle w:val="57"/>
        <w:ind w:firstLine="480"/>
        <w:jc w:val="both"/>
        <w:rPr>
          <w:color w:val="auto"/>
        </w:rPr>
      </w:pPr>
      <w:r>
        <w:rPr>
          <w:color w:val="auto"/>
        </w:rPr>
        <w:t>从宏观治理视角看，软件开发过程的改进不仅是企业内部管理问题，也是监管科技（RegTech）体系建设的重要组成部分。未来研究应关注如何在政策与技术之间建立可验证的合规链路，推动监管即服务（Regulation-as-a-Service）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GB/T 25000、GB/T 38507）之间的衔接，推动企业级过程改进成果转化为行业标准与评估体系，促进数字化治理能力的制度化与可持续化。</w:t>
      </w:r>
    </w:p>
    <w:p w14:paraId="1228AA52">
      <w:pPr>
        <w:pStyle w:val="57"/>
        <w:ind w:firstLine="480"/>
        <w:jc w:val="both"/>
        <w:rPr>
          <w:color w:val="auto"/>
        </w:rPr>
      </w:pPr>
      <w:r>
        <w:rPr>
          <w:color w:val="auto"/>
        </w:rPr>
        <w:t>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其研究结果为类似企业在数字化转型实践过程中提供了坚实的理论支撑，并指明了可持续的改进路径。</w:t>
      </w:r>
    </w:p>
    <w:p w14:paraId="77463621">
      <w:pPr>
        <w:pStyle w:val="57"/>
        <w:ind w:firstLine="480"/>
        <w:jc w:val="both"/>
        <w:rPr>
          <w:color w:val="auto"/>
        </w:rPr>
      </w:pPr>
    </w:p>
    <w:p w14:paraId="4738A89A">
      <w:pPr>
        <w:pStyle w:val="57"/>
        <w:ind w:firstLine="480"/>
        <w:jc w:val="both"/>
        <w:rPr>
          <w:color w:val="auto"/>
        </w:rPr>
      </w:pPr>
    </w:p>
    <w:p w14:paraId="3CEF6739">
      <w:pPr>
        <w:pStyle w:val="57"/>
        <w:ind w:firstLine="480"/>
        <w:jc w:val="both"/>
        <w:rPr>
          <w:color w:val="auto"/>
        </w:rPr>
      </w:pPr>
    </w:p>
    <w:p w14:paraId="3DA360C0">
      <w:pPr>
        <w:pStyle w:val="57"/>
        <w:ind w:firstLine="480"/>
        <w:jc w:val="both"/>
        <w:rPr>
          <w:color w:val="auto"/>
        </w:rPr>
      </w:pPr>
    </w:p>
    <w:p w14:paraId="2737BE83">
      <w:pPr>
        <w:pStyle w:val="57"/>
        <w:ind w:firstLine="480"/>
        <w:jc w:val="both"/>
        <w:rPr>
          <w:color w:val="auto"/>
        </w:rPr>
      </w:pPr>
    </w:p>
    <w:p w14:paraId="09053EBB">
      <w:pPr>
        <w:pStyle w:val="57"/>
        <w:ind w:firstLine="480"/>
        <w:jc w:val="both"/>
        <w:rPr>
          <w:color w:val="auto"/>
        </w:rPr>
      </w:pPr>
    </w:p>
    <w:p w14:paraId="474DD7B6">
      <w:pPr>
        <w:pStyle w:val="57"/>
        <w:ind w:firstLine="480"/>
        <w:jc w:val="both"/>
        <w:rPr>
          <w:color w:val="auto"/>
        </w:rPr>
      </w:pPr>
    </w:p>
    <w:p w14:paraId="466B5467">
      <w:pPr>
        <w:pStyle w:val="57"/>
        <w:ind w:firstLine="480"/>
        <w:jc w:val="both"/>
        <w:rPr>
          <w:color w:val="auto"/>
        </w:rPr>
      </w:pPr>
    </w:p>
    <w:p w14:paraId="35DAA1BB">
      <w:pPr>
        <w:pStyle w:val="57"/>
        <w:ind w:firstLine="480"/>
        <w:jc w:val="both"/>
        <w:rPr>
          <w:color w:val="auto"/>
        </w:rPr>
        <w:sectPr>
          <w:headerReference r:id="rId21" w:type="default"/>
          <w:pgSz w:w="11906" w:h="16838"/>
          <w:pgMar w:top="1440" w:right="1417" w:bottom="1440" w:left="1417" w:header="850" w:footer="992" w:gutter="0"/>
          <w:pgNumType w:fmt="decimal"/>
          <w:cols w:space="0" w:num="1"/>
          <w:docGrid w:type="lines" w:linePitch="312" w:charSpace="0"/>
        </w:sectPr>
      </w:pPr>
    </w:p>
    <w:p w14:paraId="38E74258">
      <w:pPr>
        <w:pStyle w:val="2"/>
        <w:spacing w:before="468" w:beforeLines="150" w:after="312" w:afterLines="100"/>
        <w:rPr>
          <w:color w:val="auto"/>
        </w:rPr>
      </w:pPr>
      <w:bookmarkStart w:id="336" w:name="_Toc24698"/>
      <w:bookmarkStart w:id="337" w:name="_Toc2475"/>
      <w:bookmarkStart w:id="338" w:name="_Toc213192550"/>
      <w:bookmarkStart w:id="339" w:name="_Toc5489"/>
      <w:bookmarkStart w:id="340" w:name="_Toc18893"/>
      <w:bookmarkStart w:id="341" w:name="_Toc213190842"/>
      <w:bookmarkStart w:id="342" w:name="_Toc213192858"/>
      <w:bookmarkStart w:id="343" w:name="_Toc6419"/>
      <w:bookmarkStart w:id="344" w:name="_Toc23188"/>
      <w:bookmarkStart w:id="345" w:name="_Toc13680"/>
      <w:r>
        <w:rPr>
          <w:rFonts w:hint="eastAsia"/>
          <w:color w:val="auto"/>
        </w:rPr>
        <w:t>参考文献</w:t>
      </w:r>
      <w:bookmarkEnd w:id="336"/>
      <w:bookmarkEnd w:id="337"/>
      <w:bookmarkEnd w:id="338"/>
      <w:bookmarkEnd w:id="339"/>
      <w:bookmarkEnd w:id="340"/>
      <w:bookmarkEnd w:id="341"/>
      <w:bookmarkEnd w:id="342"/>
      <w:bookmarkEnd w:id="343"/>
      <w:bookmarkEnd w:id="344"/>
      <w:bookmarkEnd w:id="345"/>
    </w:p>
    <w:p w14:paraId="398DEB79">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fldChar w:fldCharType="begin"/>
      </w:r>
      <w:r>
        <w:rPr>
          <w:rFonts w:ascii="Times New Roman" w:hAnsi="Times New Roman" w:cs="Times New Roman"/>
          <w:color w:val="auto"/>
          <w:kern w:val="2"/>
        </w:rPr>
        <w:instrText xml:space="preserve"> ADDIN ZOTERO_BIBL {"uncited":[],"omitted":[],"custom":[]} CSL_BIBLIOGRAPHY </w:instrText>
      </w:r>
      <w:r>
        <w:rPr>
          <w:rFonts w:ascii="Times New Roman" w:hAnsi="Times New Roman" w:cs="Times New Roman"/>
          <w:color w:val="auto"/>
          <w:kern w:val="2"/>
        </w:rPr>
        <w:fldChar w:fldCharType="separate"/>
      </w:r>
      <w:r>
        <w:rPr>
          <w:rFonts w:ascii="Times New Roman" w:hAnsi="Times New Roman" w:cs="Times New Roman"/>
          <w:color w:val="auto"/>
          <w:kern w:val="2"/>
        </w:rPr>
        <w:t>[1]</w:t>
      </w:r>
      <w:r>
        <w:rPr>
          <w:rFonts w:ascii="Times New Roman" w:hAnsi="Times New Roman" w:cs="Times New Roman"/>
          <w:color w:val="auto"/>
          <w:kern w:val="2"/>
        </w:rPr>
        <w:tab/>
      </w:r>
      <w:r>
        <w:rPr>
          <w:rFonts w:ascii="Times New Roman" w:hAnsi="Times New Roman" w:cs="Times New Roman"/>
          <w:color w:val="auto"/>
          <w:kern w:val="2"/>
        </w:rPr>
        <w:t>唐松, 苏雪莎, 赵丹妮. 金融科技与企业数字化转型——基于企业生命周期视角[J]. 财经科学, 2022(02): 17-32.</w:t>
      </w:r>
    </w:p>
    <w:p w14:paraId="6CC4B414">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[2]</w:t>
      </w:r>
      <w:r>
        <w:rPr>
          <w:rFonts w:ascii="Times New Roman" w:hAnsi="Times New Roman" w:cs="Times New Roman"/>
          <w:color w:val="auto"/>
          <w:kern w:val="2"/>
        </w:rPr>
        <w:tab/>
      </w:r>
      <w:r>
        <w:rPr>
          <w:rFonts w:ascii="Times New Roman" w:hAnsi="Times New Roman" w:cs="Times New Roman"/>
          <w:color w:val="auto"/>
          <w:kern w:val="2"/>
        </w:rPr>
        <w:t>GUO Y, LI H, ZHANG H, 等. The Development and Challenges of Bank Intelligent Customer Service Systems Driven by Financial Technology[J/OL]. Modern Economics &amp; Management Forum, 2025: 10. DOI:10.32629/MEMF.V6I2.3952.</w:t>
      </w:r>
    </w:p>
    <w:p w14:paraId="2A48EA87">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[3]</w:t>
      </w:r>
      <w:r>
        <w:rPr>
          <w:rFonts w:ascii="Times New Roman" w:hAnsi="Times New Roman" w:cs="Times New Roman"/>
          <w:color w:val="auto"/>
          <w:kern w:val="2"/>
        </w:rPr>
        <w:tab/>
      </w:r>
      <w:r>
        <w:rPr>
          <w:rFonts w:ascii="Times New Roman" w:hAnsi="Times New Roman" w:cs="Times New Roman"/>
          <w:color w:val="auto"/>
          <w:kern w:val="2"/>
        </w:rPr>
        <w:t>范云朋, 尹振涛. FinTech背景下的金融监管变革——基于监管科技的分析维度[J]. 技术经济与管理研究, 2020(09): 63-69.</w:t>
      </w:r>
    </w:p>
    <w:p w14:paraId="160FB72D">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[4]</w:t>
      </w:r>
      <w:r>
        <w:rPr>
          <w:rFonts w:ascii="Times New Roman" w:hAnsi="Times New Roman" w:cs="Times New Roman"/>
          <w:color w:val="auto"/>
          <w:kern w:val="2"/>
        </w:rPr>
        <w:tab/>
      </w:r>
      <w:r>
        <w:rPr>
          <w:rFonts w:ascii="Times New Roman" w:hAnsi="Times New Roman" w:cs="Times New Roman"/>
          <w:color w:val="auto"/>
          <w:kern w:val="2"/>
        </w:rPr>
        <w:t>COSTON I, HEZEL D K, PLOTNIZKY E, 等. Enhancing Secure Software Development with AZTRM-D: An AI-Integrated Approach Combining DevSecOps,Risk Management,</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and Zero Trust[J/OL]. Applied Sciences, 2025, 15(15): 8163-8163. DOI:</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10.3390/</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APP15158163.</w:t>
      </w:r>
    </w:p>
    <w:p w14:paraId="65F42100">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[5]</w:t>
      </w:r>
      <w:r>
        <w:rPr>
          <w:rFonts w:ascii="Times New Roman" w:hAnsi="Times New Roman" w:cs="Times New Roman"/>
          <w:color w:val="auto"/>
          <w:kern w:val="2"/>
        </w:rPr>
        <w:tab/>
      </w:r>
      <w:r>
        <w:rPr>
          <w:rFonts w:ascii="Times New Roman" w:hAnsi="Times New Roman" w:cs="Times New Roman"/>
          <w:color w:val="auto"/>
          <w:kern w:val="2"/>
        </w:rPr>
        <w:t>ULAS G, MURAT Y, VEYSI I, 等. Applying virtual reality to teach the software development process to novice software engineers[J/OL]. IET Software, 2021, 15(6): 464-</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483. DOI:10.1049/SFW2.12047.</w:t>
      </w:r>
    </w:p>
    <w:p w14:paraId="5FC4034D">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[6]</w:t>
      </w:r>
      <w:r>
        <w:rPr>
          <w:rFonts w:ascii="Times New Roman" w:hAnsi="Times New Roman" w:cs="Times New Roman"/>
          <w:color w:val="auto"/>
          <w:kern w:val="2"/>
        </w:rPr>
        <w:tab/>
      </w:r>
      <w:r>
        <w:rPr>
          <w:rFonts w:ascii="Times New Roman" w:hAnsi="Times New Roman" w:cs="Times New Roman"/>
          <w:color w:val="auto"/>
          <w:kern w:val="2"/>
        </w:rPr>
        <w:t>李英玲, 王青, 黄闽英. 智能化软件工程全过程量化管理的实验教学探索与实践[J]. 高等工程教育研究, 2023(01): 67-72.</w:t>
      </w:r>
    </w:p>
    <w:p w14:paraId="1928C79D">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[7]</w:t>
      </w:r>
      <w:r>
        <w:rPr>
          <w:rFonts w:ascii="Times New Roman" w:hAnsi="Times New Roman" w:cs="Times New Roman"/>
          <w:color w:val="auto"/>
          <w:kern w:val="2"/>
        </w:rPr>
        <w:tab/>
      </w:r>
      <w:r>
        <w:rPr>
          <w:rFonts w:ascii="Times New Roman" w:hAnsi="Times New Roman" w:cs="Times New Roman"/>
          <w:color w:val="auto"/>
          <w:kern w:val="2"/>
        </w:rPr>
        <w:t>REENA D. Integrating CMMI Maturity Level-3 In Traditional Software Development Process[J/OL]. International Journal of Software Engineering &amp; Applications, 2012, 3(1): 17-26. DOI:10.5121/ijsea.2012.3102.</w:t>
      </w:r>
    </w:p>
    <w:p w14:paraId="19211195">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[8]</w:t>
      </w:r>
      <w:r>
        <w:rPr>
          <w:rFonts w:ascii="Times New Roman" w:hAnsi="Times New Roman" w:cs="Times New Roman"/>
          <w:color w:val="auto"/>
          <w:kern w:val="2"/>
        </w:rPr>
        <w:tab/>
      </w:r>
      <w:r>
        <w:rPr>
          <w:rFonts w:ascii="Times New Roman" w:hAnsi="Times New Roman" w:cs="Times New Roman"/>
          <w:color w:val="auto"/>
          <w:kern w:val="2"/>
        </w:rPr>
        <w:t>POTH A, SASABE S, MAS A, 等. Lean and agile software process improvement in traditional and agile environments[J/OL]. Journal of Software: Evolution and Process, 2019: 10. DOI:10.1002/smr.1986.</w:t>
      </w:r>
    </w:p>
    <w:p w14:paraId="6C74F7C9">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[9]</w:t>
      </w:r>
      <w:r>
        <w:rPr>
          <w:rFonts w:ascii="Times New Roman" w:hAnsi="Times New Roman" w:cs="Times New Roman"/>
          <w:color w:val="auto"/>
          <w:kern w:val="2"/>
        </w:rPr>
        <w:tab/>
      </w:r>
      <w:r>
        <w:rPr>
          <w:rFonts w:ascii="Times New Roman" w:hAnsi="Times New Roman" w:cs="Times New Roman"/>
          <w:color w:val="auto"/>
          <w:kern w:val="2"/>
        </w:rPr>
        <w:t>李宜兵, 郭玉堂, 潘洁珠. 基于VSM模型和数据库技术的文本相似度检查软件研究与实现[J]. 网络安全技术与应用, 2014(08): 13-14.</w:t>
      </w:r>
    </w:p>
    <w:p w14:paraId="4EFD420F">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[10]</w:t>
      </w:r>
      <w:r>
        <w:rPr>
          <w:rFonts w:ascii="Times New Roman" w:hAnsi="Times New Roman" w:cs="Times New Roman"/>
          <w:color w:val="auto"/>
          <w:kern w:val="2"/>
        </w:rPr>
        <w:tab/>
      </w:r>
      <w:r>
        <w:rPr>
          <w:rFonts w:ascii="Times New Roman" w:hAnsi="Times New Roman" w:cs="Times New Roman"/>
          <w:color w:val="auto"/>
          <w:kern w:val="2"/>
        </w:rPr>
        <w:t>MANOLOV V, GOTSEVA D, HINOV N. Practical Comparison Between the CI/CD Platforms Azure DevOps and GitHub[J/OL]. Future Internet, 2025, 17(4): 153-153. DOI:10.3390/FI17040153.</w:t>
      </w:r>
    </w:p>
    <w:p w14:paraId="36A42AC7">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[11]</w:t>
      </w:r>
      <w:r>
        <w:rPr>
          <w:rFonts w:ascii="Times New Roman" w:hAnsi="Times New Roman" w:cs="Times New Roman"/>
          <w:color w:val="auto"/>
          <w:kern w:val="2"/>
        </w:rPr>
        <w:tab/>
      </w:r>
      <w:r>
        <w:rPr>
          <w:rFonts w:ascii="Times New Roman" w:hAnsi="Times New Roman" w:cs="Times New Roman"/>
          <w:color w:val="auto"/>
          <w:kern w:val="2"/>
        </w:rPr>
        <w:t>TURNER R, MADACHY R, INGOLD D, 等. Improving systems engineering effectiveness in rapid response development environments[C]//Stevens Institute of Technology. 2012.</w:t>
      </w:r>
    </w:p>
    <w:p w14:paraId="0FE3FA6C">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[12]</w:t>
      </w:r>
      <w:r>
        <w:rPr>
          <w:rFonts w:ascii="Times New Roman" w:hAnsi="Times New Roman" w:cs="Times New Roman"/>
          <w:color w:val="auto"/>
          <w:kern w:val="2"/>
        </w:rPr>
        <w:tab/>
      </w:r>
      <w:r>
        <w:rPr>
          <w:rFonts w:ascii="Times New Roman" w:hAnsi="Times New Roman" w:cs="Times New Roman"/>
          <w:color w:val="auto"/>
          <w:kern w:val="2"/>
        </w:rPr>
        <w:t>KLEINWAKS H, BATCHELOR A, BRADLEY H T. Technical debt in systems engineering—A systematic literature review[J/OL]. Systems Engineering, 2023, 26(5): 675-687. DOI:10.1002/SYS.21681.</w:t>
      </w:r>
    </w:p>
    <w:p w14:paraId="5F066672">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[13]</w:t>
      </w:r>
      <w:r>
        <w:rPr>
          <w:rFonts w:ascii="Times New Roman" w:hAnsi="Times New Roman" w:cs="Times New Roman"/>
          <w:color w:val="auto"/>
          <w:kern w:val="2"/>
        </w:rPr>
        <w:tab/>
      </w:r>
      <w:r>
        <w:rPr>
          <w:rFonts w:ascii="Times New Roman" w:hAnsi="Times New Roman" w:cs="Times New Roman"/>
          <w:color w:val="auto"/>
          <w:kern w:val="2"/>
        </w:rPr>
        <w:t>FUGUE. Fugue Adopts Open Policy Agent OPA for its Policy-as-Code Framework for Cloud Security[J]. Computer Technology Journal, 2019.</w:t>
      </w:r>
    </w:p>
    <w:p w14:paraId="4AEFA1F6">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[14]</w:t>
      </w:r>
      <w:r>
        <w:rPr>
          <w:rFonts w:ascii="Times New Roman" w:hAnsi="Times New Roman" w:cs="Times New Roman"/>
          <w:color w:val="auto"/>
          <w:kern w:val="2"/>
        </w:rPr>
        <w:tab/>
      </w:r>
      <w:r>
        <w:rPr>
          <w:rFonts w:ascii="Times New Roman" w:hAnsi="Times New Roman" w:cs="Times New Roman"/>
          <w:color w:val="auto"/>
          <w:kern w:val="2"/>
        </w:rPr>
        <w:t>李文红, 蒋则沈. 金融科技(FinTech)发展与监管:一个监管者的视角[J/OL]. 金融监管研究, 2017(03): 1-13. DOI:10.13490/j.cnki.frr.2017.03.001.</w:t>
      </w:r>
    </w:p>
    <w:p w14:paraId="523BBB43">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[15]</w:t>
      </w:r>
      <w:r>
        <w:rPr>
          <w:rFonts w:ascii="Times New Roman" w:hAnsi="Times New Roman" w:cs="Times New Roman"/>
          <w:color w:val="auto"/>
          <w:kern w:val="2"/>
        </w:rPr>
        <w:tab/>
      </w:r>
      <w:r>
        <w:rPr>
          <w:rFonts w:ascii="Times New Roman" w:hAnsi="Times New Roman" w:cs="Times New Roman"/>
          <w:color w:val="auto"/>
          <w:kern w:val="2"/>
        </w:rPr>
        <w:t>SINGH M. Enhancing Site Reliability Engineering Through AIOps: A Framework for Next-Generation IT Operations[J/OL]. Asian Journal of Research in Computer Science, 2025: 10. DOI:10.9734/ajrcos/2025/v18i4619.</w:t>
      </w:r>
    </w:p>
    <w:p w14:paraId="5A7188F0">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[16]</w:t>
      </w:r>
      <w:r>
        <w:rPr>
          <w:rFonts w:ascii="Times New Roman" w:hAnsi="Times New Roman" w:cs="Times New Roman"/>
          <w:color w:val="auto"/>
          <w:kern w:val="2"/>
        </w:rPr>
        <w:tab/>
      </w:r>
      <w:r>
        <w:rPr>
          <w:rFonts w:ascii="Times New Roman" w:hAnsi="Times New Roman" w:cs="Times New Roman"/>
          <w:color w:val="auto"/>
          <w:kern w:val="2"/>
        </w:rPr>
        <w:t>高士根, 周敏, 郑伟. 基于数字孪生的高端装备智能运维研究现状与展望[J/OL]. 计算机集成制造系统, 2022, 28(07): 1953-1965. DOI:10.13196/j.cims.2022.07.003.</w:t>
      </w:r>
    </w:p>
    <w:p w14:paraId="5D0F043A">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[17]</w:t>
      </w:r>
      <w:r>
        <w:rPr>
          <w:rFonts w:ascii="Times New Roman" w:hAnsi="Times New Roman" w:cs="Times New Roman"/>
          <w:color w:val="auto"/>
          <w:kern w:val="2"/>
        </w:rPr>
        <w:tab/>
      </w:r>
      <w:r>
        <w:rPr>
          <w:rFonts w:ascii="Times New Roman" w:hAnsi="Times New Roman" w:cs="Times New Roman"/>
          <w:color w:val="auto"/>
          <w:kern w:val="2"/>
        </w:rPr>
        <w:t>张丽. 涉金融服务数据分析行业协同共治问题研究[D/OL]//上海交通大学. 2023. DOI:10.27307/d.cnki.gsjtu.2023.000007.</w:t>
      </w:r>
    </w:p>
    <w:p w14:paraId="2A8D3322">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[18]</w:t>
      </w:r>
      <w:r>
        <w:rPr>
          <w:rFonts w:ascii="Times New Roman" w:hAnsi="Times New Roman" w:cs="Times New Roman"/>
          <w:color w:val="auto"/>
          <w:kern w:val="2"/>
        </w:rPr>
        <w:tab/>
      </w:r>
      <w:r>
        <w:rPr>
          <w:rFonts w:ascii="Times New Roman" w:hAnsi="Times New Roman" w:cs="Times New Roman"/>
          <w:color w:val="auto"/>
          <w:kern w:val="2"/>
        </w:rPr>
        <w:t>H. C, A. F. Improving software process improvement[J]. IEEE Software, 2002, 19(4): 92-99.</w:t>
      </w:r>
    </w:p>
    <w:p w14:paraId="48664229">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[19]</w:t>
      </w:r>
      <w:r>
        <w:rPr>
          <w:rFonts w:ascii="Times New Roman" w:hAnsi="Times New Roman" w:cs="Times New Roman"/>
          <w:color w:val="auto"/>
          <w:kern w:val="2"/>
        </w:rPr>
        <w:tab/>
      </w:r>
      <w:r>
        <w:rPr>
          <w:rFonts w:ascii="Times New Roman" w:hAnsi="Times New Roman" w:cs="Times New Roman"/>
          <w:color w:val="auto"/>
          <w:kern w:val="2"/>
        </w:rPr>
        <w:t>KUJAK-COON, HEATHER. Managing the Software Process[J]. Software Quality Professional, 2010, 12(3): 41.</w:t>
      </w:r>
    </w:p>
    <w:p w14:paraId="21FDF56B">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[20]</w:t>
      </w:r>
      <w:r>
        <w:rPr>
          <w:rFonts w:ascii="Times New Roman" w:hAnsi="Times New Roman" w:cs="Times New Roman"/>
          <w:color w:val="auto"/>
          <w:kern w:val="2"/>
        </w:rPr>
        <w:tab/>
      </w:r>
      <w:r>
        <w:rPr>
          <w:rFonts w:ascii="Times New Roman" w:hAnsi="Times New Roman" w:cs="Times New Roman"/>
          <w:color w:val="auto"/>
          <w:kern w:val="2"/>
        </w:rPr>
        <w:t>FREUND, EVA. CMMI: Guidelines for Process Integration and Product Improvement[J]. Software Quality Professional, 2008, 10(2): 48-50.</w:t>
      </w:r>
    </w:p>
    <w:p w14:paraId="540EF6E9">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[21]</w:t>
      </w:r>
      <w:r>
        <w:rPr>
          <w:rFonts w:ascii="Times New Roman" w:hAnsi="Times New Roman" w:cs="Times New Roman"/>
          <w:color w:val="auto"/>
          <w:kern w:val="2"/>
        </w:rPr>
        <w:tab/>
      </w:r>
      <w:r>
        <w:rPr>
          <w:rFonts w:ascii="Times New Roman" w:hAnsi="Times New Roman" w:cs="Times New Roman"/>
          <w:color w:val="auto"/>
          <w:kern w:val="2"/>
        </w:rPr>
        <w:t>GREER D. Assess-IT’s Pocket Guide to CMMI® V2.0: A Condensed Guide to Understanding the CMMI® V2.0 Model[M]. Virginia: Assess-IT, 2019.</w:t>
      </w:r>
    </w:p>
    <w:p w14:paraId="1C6FCBAA">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[22]</w:t>
      </w:r>
      <w:r>
        <w:rPr>
          <w:rFonts w:ascii="Times New Roman" w:hAnsi="Times New Roman" w:cs="Times New Roman"/>
          <w:color w:val="auto"/>
          <w:kern w:val="2"/>
        </w:rPr>
        <w:tab/>
      </w:r>
      <w:r>
        <w:rPr>
          <w:rFonts w:ascii="Times New Roman" w:hAnsi="Times New Roman" w:cs="Times New Roman"/>
          <w:color w:val="auto"/>
          <w:kern w:val="2"/>
        </w:rPr>
        <w:t>任甲林, 周伟. 以道御术[M]. 人民邮电出版社: 202011, 2020.</w:t>
      </w:r>
    </w:p>
    <w:p w14:paraId="0F3DF71E">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[23]</w:t>
      </w:r>
      <w:r>
        <w:rPr>
          <w:rFonts w:ascii="Times New Roman" w:hAnsi="Times New Roman" w:cs="Times New Roman"/>
          <w:color w:val="auto"/>
          <w:kern w:val="2"/>
        </w:rPr>
        <w:tab/>
      </w:r>
      <w:r>
        <w:rPr>
          <w:rFonts w:ascii="Times New Roman" w:hAnsi="Times New Roman" w:cs="Times New Roman"/>
          <w:color w:val="auto"/>
          <w:kern w:val="2"/>
        </w:rPr>
        <w:t>黎连业, 张晓冬, 吕小刚. 软件能力成熟度模型与模型集成基础[M]. 机械工业出版社: 201105, 2011.</w:t>
      </w:r>
    </w:p>
    <w:p w14:paraId="3886E818">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[24]</w:t>
      </w:r>
      <w:r>
        <w:rPr>
          <w:rFonts w:ascii="Times New Roman" w:hAnsi="Times New Roman" w:cs="Times New Roman"/>
          <w:color w:val="auto"/>
          <w:kern w:val="2"/>
        </w:rPr>
        <w:tab/>
      </w:r>
      <w:r>
        <w:rPr>
          <w:rFonts w:ascii="Times New Roman" w:hAnsi="Times New Roman" w:cs="Times New Roman"/>
          <w:color w:val="auto"/>
          <w:kern w:val="2"/>
        </w:rPr>
        <w:t>汪烨, 胡坤, 姜波. 软件跟踪链自动化技术研究综述[J]. 计算机学报, 2023, 46(09): 1919-1946.</w:t>
      </w:r>
    </w:p>
    <w:p w14:paraId="58CCCEED">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[25]</w:t>
      </w:r>
      <w:r>
        <w:rPr>
          <w:rFonts w:ascii="Times New Roman" w:hAnsi="Times New Roman" w:cs="Times New Roman"/>
          <w:color w:val="auto"/>
          <w:kern w:val="2"/>
        </w:rPr>
        <w:tab/>
      </w:r>
      <w:r>
        <w:rPr>
          <w:rFonts w:ascii="Times New Roman" w:hAnsi="Times New Roman" w:cs="Times New Roman"/>
          <w:color w:val="auto"/>
          <w:kern w:val="2"/>
        </w:rPr>
        <w:t>CPT W J R. Agile Software Development: Principles, Patterns, and Practices[J/OL]. Performance Improvement, 2014, 53(4): 43-46. DOI:10.1002/pfi.21408.</w:t>
      </w:r>
    </w:p>
    <w:p w14:paraId="053DCBCE">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[26]</w:t>
      </w:r>
      <w:r>
        <w:rPr>
          <w:rFonts w:ascii="Times New Roman" w:hAnsi="Times New Roman" w:cs="Times New Roman"/>
          <w:color w:val="auto"/>
          <w:kern w:val="2"/>
        </w:rPr>
        <w:tab/>
      </w:r>
      <w:r>
        <w:rPr>
          <w:rFonts w:ascii="Times New Roman" w:hAnsi="Times New Roman" w:cs="Times New Roman"/>
          <w:color w:val="auto"/>
          <w:kern w:val="2"/>
        </w:rPr>
        <w:t>徐琳, 陈荔, 杨丽. 6 Sigma管理在敏捷软件开发中的应用[J]. 计算机系统应用, 2011, 20(06): 85-88.</w:t>
      </w:r>
    </w:p>
    <w:p w14:paraId="4CF1F06E">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[27]</w:t>
      </w:r>
      <w:r>
        <w:rPr>
          <w:rFonts w:ascii="Times New Roman" w:hAnsi="Times New Roman" w:cs="Times New Roman"/>
          <w:color w:val="auto"/>
          <w:kern w:val="2"/>
        </w:rPr>
        <w:tab/>
      </w:r>
      <w:r>
        <w:rPr>
          <w:rFonts w:ascii="Times New Roman" w:hAnsi="Times New Roman" w:cs="Times New Roman"/>
          <w:color w:val="auto"/>
          <w:kern w:val="2"/>
        </w:rPr>
        <w:t>ROTHER M, SHOOK J. Learning to See: Value Stream Mapping to Add Value and Eliminate MUDA[M]. MA: Lean Enterprise Institute, 1999.</w:t>
      </w:r>
    </w:p>
    <w:p w14:paraId="4DB5ADAC">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[28]</w:t>
      </w:r>
      <w:r>
        <w:rPr>
          <w:rFonts w:ascii="Times New Roman" w:hAnsi="Times New Roman" w:cs="Times New Roman"/>
          <w:color w:val="auto"/>
          <w:kern w:val="2"/>
        </w:rPr>
        <w:tab/>
      </w:r>
      <w:r>
        <w:rPr>
          <w:rFonts w:ascii="Times New Roman" w:hAnsi="Times New Roman" w:cs="Times New Roman"/>
          <w:color w:val="auto"/>
          <w:kern w:val="2"/>
        </w:rPr>
        <w:t>LEAN SOFTWARE DEVELOPMENT: AN AGILE TOOLKIT[J]. Computer,</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2003,</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36(8):</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89-89.DOI:10.1109/MC.2003.1220585[J/OL]. Computer, 2003, 36(8): 89-89. DOI:10.1109/MC.2003.1220585.</w:t>
      </w:r>
    </w:p>
    <w:p w14:paraId="07079763">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[29]</w:t>
      </w:r>
      <w:r>
        <w:rPr>
          <w:rFonts w:ascii="Times New Roman" w:hAnsi="Times New Roman" w:cs="Times New Roman"/>
          <w:color w:val="auto"/>
          <w:kern w:val="2"/>
        </w:rPr>
        <w:tab/>
      </w:r>
      <w:r>
        <w:rPr>
          <w:rFonts w:ascii="Times New Roman" w:hAnsi="Times New Roman" w:cs="Times New Roman"/>
          <w:color w:val="auto"/>
          <w:kern w:val="2"/>
        </w:rPr>
        <w:t>莱因哈特·瓦格纳, 尉艳娟. “敏捷7项原则”让企业的价值流流动起来[J]. 项目管理评论, 2020(05): 24-26.</w:t>
      </w:r>
    </w:p>
    <w:p w14:paraId="0296D8FF">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[30]</w:t>
      </w:r>
      <w:r>
        <w:rPr>
          <w:rFonts w:ascii="Times New Roman" w:hAnsi="Times New Roman" w:cs="Times New Roman"/>
          <w:color w:val="auto"/>
          <w:kern w:val="2"/>
        </w:rPr>
        <w:tab/>
      </w:r>
      <w:r>
        <w:rPr>
          <w:rFonts w:ascii="Times New Roman" w:hAnsi="Times New Roman" w:cs="Times New Roman"/>
          <w:color w:val="auto"/>
          <w:kern w:val="2"/>
        </w:rPr>
        <w:t>茹炳晟, 张乐. 软件研发效能权威指南[M]. 电子工业出版社: 202210, 2022.</w:t>
      </w:r>
    </w:p>
    <w:p w14:paraId="79EFF28C">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[31]</w:t>
      </w:r>
      <w:r>
        <w:rPr>
          <w:rFonts w:ascii="Times New Roman" w:hAnsi="Times New Roman" w:cs="Times New Roman"/>
          <w:color w:val="auto"/>
          <w:kern w:val="2"/>
        </w:rPr>
        <w:tab/>
      </w:r>
      <w:r>
        <w:rPr>
          <w:rFonts w:ascii="Times New Roman" w:hAnsi="Times New Roman" w:cs="Times New Roman"/>
          <w:color w:val="auto"/>
          <w:kern w:val="2"/>
        </w:rPr>
        <w:t>DEVOPS RESEARCH AND ASSESSMENT (DORA). DORA’s software delivery metrics: the four keys[EB/OL]. (2024). https://dora.dev/guides/dora-metrics-four-keys/.</w:t>
      </w:r>
    </w:p>
    <w:p w14:paraId="69336BFF">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[32]</w:t>
      </w:r>
      <w:r>
        <w:rPr>
          <w:rFonts w:ascii="Times New Roman" w:hAnsi="Times New Roman" w:cs="Times New Roman"/>
          <w:color w:val="auto"/>
          <w:kern w:val="2"/>
        </w:rPr>
        <w:tab/>
      </w:r>
      <w:r>
        <w:rPr>
          <w:rFonts w:ascii="Times New Roman" w:hAnsi="Times New Roman" w:cs="Times New Roman"/>
          <w:color w:val="auto"/>
          <w:kern w:val="2"/>
        </w:rPr>
        <w:t>FORSGREN N, HUMBLE J, KIM G. Accelerate: The Science of Lean Software and DevOps: Building and Scaling High Performing Technology Organizations[M]. Portland (OR): IT Revolution, 2018.</w:t>
      </w:r>
    </w:p>
    <w:p w14:paraId="1EB14D36">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[33]</w:t>
      </w:r>
      <w:r>
        <w:rPr>
          <w:rFonts w:ascii="Times New Roman" w:hAnsi="Times New Roman" w:cs="Times New Roman"/>
          <w:color w:val="auto"/>
          <w:kern w:val="2"/>
        </w:rPr>
        <w:tab/>
      </w:r>
      <w:r>
        <w:rPr>
          <w:rFonts w:ascii="Times New Roman" w:hAnsi="Times New Roman" w:cs="Times New Roman"/>
          <w:color w:val="auto"/>
          <w:kern w:val="2"/>
        </w:rPr>
        <w:t>付志高, 林阳荟晨, 王姣. ISO/IEC 27000系列信息安全管理体系国际标准在我国的应用[J]. 信息技术与标准化, 2025(09): 14-18.</w:t>
      </w:r>
    </w:p>
    <w:p w14:paraId="5E1C7BCB">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[34]</w:t>
      </w:r>
      <w:r>
        <w:rPr>
          <w:rFonts w:ascii="Times New Roman" w:hAnsi="Times New Roman" w:cs="Times New Roman"/>
          <w:color w:val="auto"/>
          <w:kern w:val="2"/>
        </w:rPr>
        <w:tab/>
      </w:r>
      <w:r>
        <w:rPr>
          <w:rFonts w:ascii="Times New Roman" w:hAnsi="Times New Roman" w:cs="Times New Roman"/>
          <w:color w:val="auto"/>
          <w:kern w:val="2"/>
        </w:rPr>
        <w:t>ISO/IEC. ISO/IEC 27001:2022 Information security,cybersecurity and privacy protection — Information security management systems — Requirements[J]. Geneva: International Organization for Standardization/International Electrotechnical Commission, 2022: 2022.</w:t>
      </w:r>
    </w:p>
    <w:p w14:paraId="79199DAE">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[35]</w:t>
      </w:r>
      <w:r>
        <w:rPr>
          <w:rFonts w:ascii="Times New Roman" w:hAnsi="Times New Roman" w:cs="Times New Roman"/>
          <w:color w:val="auto"/>
          <w:kern w:val="2"/>
        </w:rPr>
        <w:tab/>
      </w:r>
      <w:r>
        <w:rPr>
          <w:rFonts w:ascii="Times New Roman" w:hAnsi="Times New Roman" w:cs="Times New Roman"/>
          <w:color w:val="auto"/>
          <w:kern w:val="2"/>
        </w:rPr>
        <w:t>国家标准化管理委员会. GB/T 19001-2016/ISO 9001:2015 《质量管理体系 要求》[J]. 北京:中国标准出版社, 1900: 2015.</w:t>
      </w:r>
    </w:p>
    <w:p w14:paraId="1C2FCB95">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[36]</w:t>
      </w:r>
      <w:r>
        <w:rPr>
          <w:rFonts w:ascii="Times New Roman" w:hAnsi="Times New Roman" w:cs="Times New Roman"/>
          <w:color w:val="auto"/>
          <w:kern w:val="2"/>
        </w:rPr>
        <w:tab/>
      </w:r>
      <w:r>
        <w:rPr>
          <w:rFonts w:ascii="Times New Roman" w:hAnsi="Times New Roman" w:cs="Times New Roman"/>
          <w:color w:val="auto"/>
          <w:kern w:val="2"/>
        </w:rPr>
        <w:t>谢宗晓, 许定航. ISO/IEC 27005:2018解读及其三次版本演化[J]. 中国质量与标准导报, 2018(09): 16-18.</w:t>
      </w:r>
    </w:p>
    <w:p w14:paraId="47EE2E39">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[37]</w:t>
      </w:r>
      <w:r>
        <w:rPr>
          <w:rFonts w:ascii="Times New Roman" w:hAnsi="Times New Roman" w:cs="Times New Roman"/>
          <w:color w:val="auto"/>
          <w:kern w:val="2"/>
        </w:rPr>
        <w:tab/>
      </w:r>
      <w:r>
        <w:rPr>
          <w:rFonts w:ascii="Times New Roman" w:hAnsi="Times New Roman" w:cs="Times New Roman"/>
          <w:color w:val="auto"/>
          <w:kern w:val="2"/>
        </w:rPr>
        <w:t>SAMENI M T. The Risk Assessment And Treatment Approach In Order To Provide Lan Security Based On Isms Standard[J/OL]. International Journal in Foundations of Computer Science &amp; Technology, 2012, 2(6): 15-36. DOI:10.5121/ijfcst.2012.2602.</w:t>
      </w:r>
    </w:p>
    <w:p w14:paraId="53A9681D">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[38]</w:t>
      </w:r>
      <w:r>
        <w:rPr>
          <w:rFonts w:ascii="Times New Roman" w:hAnsi="Times New Roman" w:cs="Times New Roman"/>
          <w:color w:val="auto"/>
          <w:kern w:val="2"/>
        </w:rPr>
        <w:tab/>
      </w:r>
      <w:r>
        <w:rPr>
          <w:rFonts w:ascii="Times New Roman" w:hAnsi="Times New Roman" w:cs="Times New Roman"/>
          <w:color w:val="auto"/>
          <w:kern w:val="2"/>
        </w:rPr>
        <w:t>周纪海, 周一帆, 马松松. DevSecOps实战[M]. 机械工业出版社: 202112, 2021.</w:t>
      </w:r>
    </w:p>
    <w:p w14:paraId="2D9B9F33">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[39]</w:t>
      </w:r>
      <w:r>
        <w:rPr>
          <w:rFonts w:ascii="Times New Roman" w:hAnsi="Times New Roman" w:cs="Times New Roman"/>
          <w:color w:val="auto"/>
          <w:kern w:val="2"/>
        </w:rPr>
        <w:tab/>
      </w:r>
      <w:r>
        <w:rPr>
          <w:rFonts w:ascii="Times New Roman" w:hAnsi="Times New Roman" w:cs="Times New Roman"/>
          <w:color w:val="auto"/>
          <w:kern w:val="2"/>
        </w:rPr>
        <w:t>GARTNER INC. DevSecOps: How to Seamlessly Integrate Security into DevOps[R]. 2012.</w:t>
      </w:r>
    </w:p>
    <w:p w14:paraId="27842790">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[40]</w:t>
      </w:r>
      <w:r>
        <w:rPr>
          <w:rFonts w:ascii="Times New Roman" w:hAnsi="Times New Roman" w:cs="Times New Roman"/>
          <w:color w:val="auto"/>
          <w:kern w:val="2"/>
        </w:rPr>
        <w:tab/>
      </w:r>
      <w:r>
        <w:rPr>
          <w:rFonts w:ascii="Times New Roman" w:hAnsi="Times New Roman" w:cs="Times New Roman"/>
          <w:color w:val="auto"/>
          <w:kern w:val="2"/>
        </w:rPr>
        <w:t>HAVERINEN H, JANHUNEN T, PÄIVÄRINTA T, 等. Automating cybersecurity compliance in DevSecOps with open information model for security as code[J/OL]. eSAAM, 2024: 10. DOI:10.1145/3685651.3686700.</w:t>
      </w:r>
    </w:p>
    <w:p w14:paraId="1053118A">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[41]</w:t>
      </w:r>
      <w:r>
        <w:rPr>
          <w:rFonts w:ascii="Times New Roman" w:hAnsi="Times New Roman" w:cs="Times New Roman"/>
          <w:color w:val="auto"/>
          <w:kern w:val="2"/>
        </w:rPr>
        <w:tab/>
      </w:r>
      <w:r>
        <w:rPr>
          <w:rFonts w:ascii="Times New Roman" w:hAnsi="Times New Roman" w:cs="Times New Roman"/>
          <w:color w:val="auto"/>
          <w:kern w:val="2"/>
        </w:rPr>
        <w:t>ABDELNUR A, SOUPPAYA M, SCARFONE K. NIST Special Publication 800-204A: Building Secure Microservices-based Applications Using Service-Mesh Architecture[J]. Gaithersburg (MD):National Institute of Standards and Technology, 2020.</w:t>
      </w:r>
    </w:p>
    <w:p w14:paraId="2BF329DE">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[42]</w:t>
      </w:r>
      <w:r>
        <w:rPr>
          <w:rFonts w:ascii="Times New Roman" w:hAnsi="Times New Roman" w:cs="Times New Roman"/>
          <w:color w:val="auto"/>
          <w:kern w:val="2"/>
        </w:rPr>
        <w:tab/>
      </w:r>
      <w:r>
        <w:rPr>
          <w:rFonts w:ascii="Times New Roman" w:hAnsi="Times New Roman" w:cs="Times New Roman"/>
          <w:color w:val="auto"/>
          <w:kern w:val="2"/>
        </w:rPr>
        <w:t>NIST. Special Publication 800-204C: Implementation of DevSecOps for a Microservices-based Application with Service Mesh[J]. Gaithersburg (MD):National Institute of Standards and Technology, 2022.</w:t>
      </w:r>
    </w:p>
    <w:p w14:paraId="3CB421CB">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[43]</w:t>
      </w:r>
      <w:r>
        <w:rPr>
          <w:rFonts w:ascii="Times New Roman" w:hAnsi="Times New Roman" w:cs="Times New Roman"/>
          <w:color w:val="auto"/>
          <w:kern w:val="2"/>
        </w:rPr>
        <w:tab/>
      </w:r>
      <w:r>
        <w:rPr>
          <w:rFonts w:ascii="Times New Roman" w:hAnsi="Times New Roman" w:cs="Times New Roman"/>
          <w:color w:val="auto"/>
          <w:kern w:val="2"/>
        </w:rPr>
        <w:t>DISTERER G. Compliance-as-Code for Information Security and Data Protection Requirements[J/OL]. Information Systems Management, 2022, 39(4): 310-322. DOI:10.1080/10580530.2022.2069337.</w:t>
      </w:r>
    </w:p>
    <w:p w14:paraId="68C3A7F7">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[44]</w:t>
      </w:r>
      <w:r>
        <w:rPr>
          <w:rFonts w:ascii="Times New Roman" w:hAnsi="Times New Roman" w:cs="Times New Roman"/>
          <w:color w:val="auto"/>
          <w:kern w:val="2"/>
        </w:rPr>
        <w:tab/>
      </w:r>
      <w:r>
        <w:rPr>
          <w:rFonts w:ascii="Times New Roman" w:hAnsi="Times New Roman" w:cs="Times New Roman"/>
          <w:color w:val="auto"/>
          <w:kern w:val="2"/>
        </w:rPr>
        <w:t>CLOUD SECURITY ALLIANCE. A New Era for Compliance: Introducing the Compliance Automation Revolution(CAR)[EB]. 2025.</w:t>
      </w:r>
    </w:p>
    <w:p w14:paraId="6D2C243A">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[45]</w:t>
      </w:r>
      <w:r>
        <w:rPr>
          <w:rFonts w:ascii="Times New Roman" w:hAnsi="Times New Roman" w:cs="Times New Roman"/>
          <w:color w:val="auto"/>
          <w:kern w:val="2"/>
        </w:rPr>
        <w:tab/>
      </w:r>
      <w:r>
        <w:rPr>
          <w:rFonts w:ascii="Times New Roman" w:hAnsi="Times New Roman" w:cs="Times New Roman"/>
          <w:color w:val="auto"/>
          <w:kern w:val="2"/>
        </w:rPr>
        <w:t>卜亚, 张宁. 英国监管科技(Regtech)的创新实践及经验启示[J]. 经济论坛, 2020(11): 80-90.</w:t>
      </w:r>
    </w:p>
    <w:p w14:paraId="3B41DE3D">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[46]</w:t>
      </w:r>
      <w:r>
        <w:rPr>
          <w:rFonts w:ascii="Times New Roman" w:hAnsi="Times New Roman" w:cs="Times New Roman"/>
          <w:color w:val="auto"/>
          <w:kern w:val="2"/>
        </w:rPr>
        <w:tab/>
      </w:r>
      <w:r>
        <w:rPr>
          <w:rFonts w:ascii="Times New Roman" w:hAnsi="Times New Roman" w:cs="Times New Roman"/>
          <w:color w:val="auto"/>
          <w:kern w:val="2"/>
        </w:rPr>
        <w:t>杨东. 监管科技:金融科技的监管挑战与维度建构[J]. 中国社会科学, 2018(05): 69-91.</w:t>
      </w:r>
    </w:p>
    <w:p w14:paraId="4F349606">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[47]</w:t>
      </w:r>
      <w:r>
        <w:rPr>
          <w:rFonts w:ascii="Times New Roman" w:hAnsi="Times New Roman" w:cs="Times New Roman"/>
          <w:color w:val="auto"/>
          <w:kern w:val="2"/>
        </w:rPr>
        <w:tab/>
      </w:r>
      <w:r>
        <w:rPr>
          <w:rFonts w:ascii="Times New Roman" w:hAnsi="Times New Roman" w:cs="Times New Roman"/>
          <w:color w:val="auto"/>
          <w:kern w:val="2"/>
        </w:rPr>
        <w:t>INTERNATIONAL ORGANIZATION FOR STANDARDIZATION. ISO/IEC 38507:2022 Information technology — Governance of IT — Governance implications of the use of artificial intelligence by organizations[J]. Geneva:ISO, 2022: 2022.</w:t>
      </w:r>
    </w:p>
    <w:p w14:paraId="03A11040">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[48]</w:t>
      </w:r>
      <w:r>
        <w:rPr>
          <w:rFonts w:ascii="Times New Roman" w:hAnsi="Times New Roman" w:cs="Times New Roman"/>
          <w:color w:val="auto"/>
          <w:kern w:val="2"/>
        </w:rPr>
        <w:tab/>
      </w:r>
      <w:r>
        <w:rPr>
          <w:rFonts w:ascii="Times New Roman" w:hAnsi="Times New Roman" w:cs="Times New Roman"/>
          <w:color w:val="auto"/>
          <w:kern w:val="2"/>
        </w:rPr>
        <w:t>CUNNINGHAM W. The WyCash portfolio management system[C/OL]//The WyCash portfolio management system[C]</w:t>
      </w:r>
      <w:r>
        <w:rPr>
          <w:rFonts w:ascii="Cambria Math" w:hAnsi="Cambria Math" w:cs="Cambria Math"/>
          <w:color w:val="auto"/>
          <w:kern w:val="2"/>
        </w:rPr>
        <w:t>∥</w:t>
      </w:r>
      <w:r>
        <w:rPr>
          <w:rFonts w:ascii="Times New Roman" w:hAnsi="Times New Roman" w:cs="Times New Roman"/>
          <w:color w:val="auto"/>
          <w:kern w:val="2"/>
        </w:rPr>
        <w:t>OOPSLA ‘92 Experience Report.Vancouver:ACM. 1992: 10. DOI:10.1145/157709.157715.</w:t>
      </w:r>
    </w:p>
    <w:p w14:paraId="2EBBAAD1">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[49]</w:t>
      </w:r>
      <w:r>
        <w:rPr>
          <w:rFonts w:ascii="Times New Roman" w:hAnsi="Times New Roman" w:cs="Times New Roman"/>
          <w:color w:val="auto"/>
          <w:kern w:val="2"/>
        </w:rPr>
        <w:tab/>
      </w:r>
      <w:r>
        <w:rPr>
          <w:rFonts w:ascii="Times New Roman" w:hAnsi="Times New Roman" w:cs="Times New Roman"/>
          <w:color w:val="auto"/>
          <w:kern w:val="2"/>
        </w:rPr>
        <w:t>张丽, 侯立文. 基于技术债务角度的企业IT项目管理演化博弈分析[J/OL]. 管理评论, 2022, 34(07): 165-174. DOI:10.14120/j.cnki.cn11-5057/f.2022.07.028.</w:t>
      </w:r>
    </w:p>
    <w:p w14:paraId="6FCB0622">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[50]</w:t>
      </w:r>
      <w:r>
        <w:rPr>
          <w:rFonts w:ascii="Times New Roman" w:hAnsi="Times New Roman" w:cs="Times New Roman"/>
          <w:color w:val="auto"/>
          <w:kern w:val="2"/>
        </w:rPr>
        <w:tab/>
      </w:r>
      <w:r>
        <w:rPr>
          <w:rFonts w:ascii="Times New Roman" w:hAnsi="Times New Roman" w:cs="Times New Roman"/>
          <w:color w:val="auto"/>
          <w:kern w:val="2"/>
        </w:rPr>
        <w:t>KRUCHTEN P, NORD R L, OZKAYA I. Technical Debt: From Metaphor to Theory and Practice[J/OL]. IEEE Software, 2012, 29(6): 18-21. DOI:10.1109/MS.2012.167.</w:t>
      </w:r>
    </w:p>
    <w:p w14:paraId="3577A846">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[51]</w:t>
      </w:r>
      <w:r>
        <w:rPr>
          <w:rFonts w:ascii="Times New Roman" w:hAnsi="Times New Roman" w:cs="Times New Roman"/>
          <w:color w:val="auto"/>
          <w:kern w:val="2"/>
        </w:rPr>
        <w:tab/>
      </w:r>
      <w:r>
        <w:rPr>
          <w:rFonts w:ascii="Times New Roman" w:hAnsi="Times New Roman" w:cs="Times New Roman"/>
          <w:color w:val="auto"/>
          <w:kern w:val="2"/>
        </w:rPr>
        <w:t>刘亚珺, 李兵, 李增扬. 软件集成开发环境的技术债务管理研究[J]. 计算机科学, 2017, 44(11): 15-21.</w:t>
      </w:r>
    </w:p>
    <w:p w14:paraId="1D0845AA">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[52]</w:t>
      </w:r>
      <w:r>
        <w:rPr>
          <w:rFonts w:ascii="Times New Roman" w:hAnsi="Times New Roman" w:cs="Times New Roman"/>
          <w:color w:val="auto"/>
          <w:kern w:val="2"/>
        </w:rPr>
        <w:tab/>
      </w:r>
      <w:r>
        <w:rPr>
          <w:rFonts w:ascii="Times New Roman" w:hAnsi="Times New Roman" w:cs="Times New Roman"/>
          <w:color w:val="auto"/>
          <w:kern w:val="2"/>
        </w:rPr>
        <w:t>钟林辉, 杨超逸, 夏子豪. 面向风格的软件体系结构演化路径生成方法[J]. 计算机科学, 2024, 51(S2): 776-784.</w:t>
      </w:r>
    </w:p>
    <w:p w14:paraId="037DF7BF">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[53]</w:t>
      </w:r>
      <w:r>
        <w:rPr>
          <w:rFonts w:ascii="Times New Roman" w:hAnsi="Times New Roman" w:cs="Times New Roman"/>
          <w:color w:val="auto"/>
          <w:kern w:val="2"/>
        </w:rPr>
        <w:tab/>
      </w:r>
      <w:r>
        <w:rPr>
          <w:rFonts w:ascii="Times New Roman" w:hAnsi="Times New Roman" w:cs="Times New Roman"/>
          <w:color w:val="auto"/>
          <w:kern w:val="2"/>
        </w:rPr>
        <w:t>MENS T, DEMEYER S, EDS. Software Evolution[M/OL]. Berlin: Springer-Verlag, 2008. DOI:10.1007/978-3-540-76440-3.</w:t>
      </w:r>
    </w:p>
    <w:p w14:paraId="50A271B6">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[54]</w:t>
      </w:r>
      <w:r>
        <w:rPr>
          <w:rFonts w:ascii="Times New Roman" w:hAnsi="Times New Roman" w:cs="Times New Roman"/>
          <w:color w:val="auto"/>
          <w:kern w:val="2"/>
        </w:rPr>
        <w:tab/>
      </w:r>
      <w:r>
        <w:rPr>
          <w:rFonts w:ascii="Times New Roman" w:hAnsi="Times New Roman" w:cs="Times New Roman"/>
          <w:color w:val="auto"/>
          <w:kern w:val="2"/>
        </w:rPr>
        <w:t>INTERNATIONAL ORGANIZATION FOR STANDARDIZATION. ISO/IEC 25010:2023 Systems and software engineering — Systems and software Quality Requirements and Evaluation (SQuaRE) — System and software quality models[J]. Geneva:ISO, 2023: 2023.</w:t>
      </w:r>
    </w:p>
    <w:p w14:paraId="0789881F">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[55]</w:t>
      </w:r>
      <w:r>
        <w:rPr>
          <w:rFonts w:ascii="Times New Roman" w:hAnsi="Times New Roman" w:cs="Times New Roman"/>
          <w:color w:val="auto"/>
          <w:kern w:val="2"/>
        </w:rPr>
        <w:tab/>
      </w:r>
      <w:r>
        <w:rPr>
          <w:rFonts w:ascii="Times New Roman" w:hAnsi="Times New Roman" w:cs="Times New Roman"/>
          <w:color w:val="auto"/>
          <w:kern w:val="2"/>
        </w:rPr>
        <w:t>郭肇强, 刘释然, 谭婷婷. 自承认技术债的研究:问题、进展与挑战[J/OL]. 软件学报, 2022, 33(01): 26-54. DOI:10.13328/j.cnki.jos.006292.</w:t>
      </w:r>
    </w:p>
    <w:p w14:paraId="1EA24155">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[56]</w:t>
      </w:r>
      <w:r>
        <w:rPr>
          <w:rFonts w:ascii="Times New Roman" w:hAnsi="Times New Roman" w:cs="Times New Roman"/>
          <w:color w:val="auto"/>
          <w:kern w:val="2"/>
        </w:rPr>
        <w:tab/>
      </w:r>
      <w:r>
        <w:rPr>
          <w:rFonts w:ascii="Times New Roman" w:hAnsi="Times New Roman" w:cs="Times New Roman"/>
          <w:color w:val="auto"/>
          <w:kern w:val="2"/>
        </w:rPr>
        <w:t>WIESE M, SERWA K, BESIER A, 等. Establishing technical debt management — A five-step workshop approach and an action research study[J/OL]. The Journal of Systems &amp; Software, 2026: 10. DOI:10.1016/J.JSS.2025.112606.</w:t>
      </w:r>
    </w:p>
    <w:p w14:paraId="2F5C45F7">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[57]</w:t>
      </w:r>
      <w:r>
        <w:rPr>
          <w:rFonts w:ascii="Times New Roman" w:hAnsi="Times New Roman" w:cs="Times New Roman"/>
          <w:color w:val="auto"/>
          <w:kern w:val="2"/>
        </w:rPr>
        <w:tab/>
      </w:r>
      <w:r>
        <w:rPr>
          <w:rFonts w:ascii="Times New Roman" w:hAnsi="Times New Roman" w:cs="Times New Roman"/>
          <w:color w:val="auto"/>
          <w:kern w:val="2"/>
        </w:rPr>
        <w:t>LI Z, AVGERIOU P, LIANG P. A systematic mapping study on technical debt and its management[J/OL]. The Journal of Systems &amp; Software, 2015: 193-220. DOI:</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10.1016/j.jss.2014.12.027.</w:t>
      </w:r>
    </w:p>
    <w:p w14:paraId="394B7424">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[58]</w:t>
      </w:r>
      <w:r>
        <w:rPr>
          <w:rFonts w:ascii="Times New Roman" w:hAnsi="Times New Roman" w:cs="Times New Roman"/>
          <w:color w:val="auto"/>
          <w:kern w:val="2"/>
        </w:rPr>
        <w:tab/>
      </w:r>
      <w:r>
        <w:rPr>
          <w:rFonts w:ascii="Times New Roman" w:hAnsi="Times New Roman" w:cs="Times New Roman"/>
          <w:color w:val="auto"/>
          <w:kern w:val="2"/>
        </w:rPr>
        <w:t>JASPAN C, GREEN C, JASPAN C, 等. Defining, Measuring, and Managing Technical Debt[J/OL]. IEEE Software, 2023, 40(3): 15-19. DOI:10.1109/MS.2023.3242137.</w:t>
      </w:r>
    </w:p>
    <w:p w14:paraId="1582D7DB">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[59]</w:t>
      </w:r>
      <w:r>
        <w:rPr>
          <w:rFonts w:ascii="Times New Roman" w:hAnsi="Times New Roman" w:cs="Times New Roman"/>
          <w:color w:val="auto"/>
          <w:kern w:val="2"/>
        </w:rPr>
        <w:tab/>
      </w:r>
      <w:r>
        <w:rPr>
          <w:rFonts w:ascii="Times New Roman" w:hAnsi="Times New Roman" w:cs="Times New Roman"/>
          <w:color w:val="auto"/>
          <w:kern w:val="2"/>
        </w:rPr>
        <w:t>张小梅, 苏俐竹. 基于DevSecOps的软件供应链安全治理技术简析[J]. 邮电设计技术, 2022(09): 13-18.</w:t>
      </w:r>
    </w:p>
    <w:p w14:paraId="5192941A">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[60]</w:t>
      </w:r>
      <w:r>
        <w:rPr>
          <w:rFonts w:ascii="Times New Roman" w:hAnsi="Times New Roman" w:cs="Times New Roman"/>
          <w:color w:val="auto"/>
          <w:kern w:val="2"/>
        </w:rPr>
        <w:tab/>
      </w:r>
      <w:r>
        <w:rPr>
          <w:rFonts w:ascii="Times New Roman" w:hAnsi="Times New Roman" w:cs="Times New Roman"/>
          <w:color w:val="auto"/>
          <w:kern w:val="2"/>
        </w:rPr>
        <w:t>ISO/IEC. ISO/IEC 26550:2015 Software and systems engineering — Reference model for product line engineering and management[J]. Geneva:International Organization for Standardization, 2015: 2015.</w:t>
      </w:r>
    </w:p>
    <w:p w14:paraId="58D51044">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[61]</w:t>
      </w:r>
      <w:r>
        <w:rPr>
          <w:rFonts w:ascii="Times New Roman" w:hAnsi="Times New Roman" w:cs="Times New Roman"/>
          <w:color w:val="auto"/>
          <w:kern w:val="2"/>
        </w:rPr>
        <w:tab/>
      </w:r>
      <w:r>
        <w:rPr>
          <w:rFonts w:ascii="Times New Roman" w:hAnsi="Times New Roman" w:cs="Times New Roman"/>
          <w:color w:val="auto"/>
          <w:kern w:val="2"/>
        </w:rPr>
        <w:t>BEYER B, JONES C, PETOFF J, 等. Site Reliability Engineering: How Google Runs Production Systems[M]. Sebastopol (CA): O’Reilly Media, 2016.</w:t>
      </w:r>
    </w:p>
    <w:p w14:paraId="35265D8C">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[62]</w:t>
      </w:r>
      <w:r>
        <w:rPr>
          <w:rFonts w:ascii="Times New Roman" w:hAnsi="Times New Roman" w:cs="Times New Roman"/>
          <w:color w:val="auto"/>
          <w:kern w:val="2"/>
        </w:rPr>
        <w:tab/>
      </w:r>
      <w:r>
        <w:rPr>
          <w:rFonts w:ascii="Times New Roman" w:hAnsi="Times New Roman" w:cs="Times New Roman"/>
          <w:color w:val="auto"/>
          <w:kern w:val="2"/>
        </w:rPr>
        <w:t>CAPPELLI W, FLETCHER C, PRASAD P. Market Guide for AIOps Platforms[R]. 2016.</w:t>
      </w:r>
    </w:p>
    <w:p w14:paraId="7D0B47E7">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[63]</w:t>
      </w:r>
      <w:r>
        <w:rPr>
          <w:rFonts w:ascii="Times New Roman" w:hAnsi="Times New Roman" w:cs="Times New Roman"/>
          <w:color w:val="auto"/>
          <w:kern w:val="2"/>
        </w:rPr>
        <w:tab/>
      </w:r>
      <w:r>
        <w:rPr>
          <w:rFonts w:ascii="Times New Roman" w:hAnsi="Times New Roman" w:cs="Times New Roman"/>
          <w:color w:val="auto"/>
          <w:kern w:val="2"/>
        </w:rPr>
        <w:t>包航宇, 殷康璘, 曹立. 智能运维的实践:现状与标准化[J/OL]. 软件学报, 2023, 34</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(09): 4069-4095. DOI:10.13328/j.cnki.jos.006876.</w:t>
      </w:r>
    </w:p>
    <w:p w14:paraId="4F62FB0B">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[64]</w:t>
      </w:r>
      <w:r>
        <w:rPr>
          <w:rFonts w:ascii="Times New Roman" w:hAnsi="Times New Roman" w:cs="Times New Roman"/>
          <w:color w:val="auto"/>
          <w:kern w:val="2"/>
        </w:rPr>
        <w:tab/>
      </w:r>
      <w:r>
        <w:rPr>
          <w:rFonts w:ascii="Times New Roman" w:hAnsi="Times New Roman" w:cs="Times New Roman"/>
          <w:color w:val="auto"/>
          <w:kern w:val="2"/>
        </w:rPr>
        <w:t>IBM CORPORATION. Accelerate incident response with AIOps and observability[EB]. 2023.</w:t>
      </w:r>
    </w:p>
    <w:p w14:paraId="263E5625">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[65]</w:t>
      </w:r>
      <w:r>
        <w:rPr>
          <w:rFonts w:ascii="Times New Roman" w:hAnsi="Times New Roman" w:cs="Times New Roman"/>
          <w:color w:val="auto"/>
          <w:kern w:val="2"/>
        </w:rPr>
        <w:tab/>
      </w:r>
      <w:r>
        <w:rPr>
          <w:rFonts w:ascii="Times New Roman" w:hAnsi="Times New Roman" w:cs="Times New Roman"/>
          <w:color w:val="auto"/>
          <w:kern w:val="2"/>
        </w:rPr>
        <w:t>SAMI M A, REHMAN A, AHMAD Z, 等. Explainable AIOps: A Deep Survey on Trustworthy and Transparent AI in Cloud-Scale DevOps Automation[J]. Spectrum of Engineering Sciences, 2025, 3(7): 488-507.</w:t>
      </w:r>
    </w:p>
    <w:p w14:paraId="28F22E05">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[66]</w:t>
      </w:r>
      <w:r>
        <w:rPr>
          <w:rFonts w:ascii="Times New Roman" w:hAnsi="Times New Roman" w:cs="Times New Roman"/>
          <w:color w:val="auto"/>
          <w:kern w:val="2"/>
        </w:rPr>
        <w:tab/>
      </w:r>
      <w:r>
        <w:rPr>
          <w:rFonts w:ascii="Times New Roman" w:hAnsi="Times New Roman" w:cs="Times New Roman"/>
          <w:color w:val="auto"/>
          <w:kern w:val="2"/>
        </w:rPr>
        <w:t>INTERNATIONAL ORGANIZATION FOR STANDARDIZATION, INTERNA</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TIONAL ELECTROTECHNICAL COMMISSION. ISO/IEC 42001:2023 Information technology — Artificial intelligence — Management system[J]. Geneva:</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ISO/</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IEC, 2001: 2023.</w:t>
      </w:r>
    </w:p>
    <w:p w14:paraId="12CD88F8">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[67]</w:t>
      </w:r>
      <w:r>
        <w:rPr>
          <w:rFonts w:ascii="Times New Roman" w:hAnsi="Times New Roman" w:cs="Times New Roman"/>
          <w:color w:val="auto"/>
          <w:kern w:val="2"/>
        </w:rPr>
        <w:tab/>
      </w:r>
      <w:r>
        <w:rPr>
          <w:rFonts w:ascii="Times New Roman" w:hAnsi="Times New Roman" w:cs="Times New Roman"/>
          <w:color w:val="auto"/>
          <w:kern w:val="2"/>
        </w:rPr>
        <w:t>PRODUCT DEVELOPMENT PERFORMANCE: STRATEGY, ORGANIZATION, AND MANAGEMENT IN THE WORLD AUTO INDUSTRY[J]. Choice Reviews Online,</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1991,</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29(03):</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29-1591.</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DOI:10.5860/choice.</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29-1591[J/OL]. Choice Reviews Online, 1991, 29(03): 29-1591. DOI:10.5860/choice.29-1591.</w:t>
      </w:r>
    </w:p>
    <w:p w14:paraId="06508F62">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[68]</w:t>
      </w:r>
      <w:r>
        <w:rPr>
          <w:rFonts w:ascii="Times New Roman" w:hAnsi="Times New Roman" w:cs="Times New Roman"/>
          <w:color w:val="auto"/>
          <w:kern w:val="2"/>
        </w:rPr>
        <w:tab/>
      </w:r>
      <w:r>
        <w:rPr>
          <w:rFonts w:ascii="Times New Roman" w:hAnsi="Times New Roman" w:cs="Times New Roman"/>
          <w:color w:val="auto"/>
          <w:kern w:val="2"/>
        </w:rPr>
        <w:t>TUSHMAN M L, KATZ R. External communication and project performance: An investigation into the role of gatekeepers[J/OL]. Academy of Management Journal, 1980, 23(4): 101-112. DOI:10.5465/255552.</w:t>
      </w:r>
    </w:p>
    <w:p w14:paraId="27413045">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[69]</w:t>
      </w:r>
      <w:r>
        <w:rPr>
          <w:rFonts w:ascii="Times New Roman" w:hAnsi="Times New Roman" w:cs="Times New Roman"/>
          <w:color w:val="auto"/>
          <w:kern w:val="2"/>
        </w:rPr>
        <w:tab/>
      </w:r>
      <w:r>
        <w:rPr>
          <w:rFonts w:ascii="Times New Roman" w:hAnsi="Times New Roman" w:cs="Times New Roman"/>
          <w:color w:val="auto"/>
          <w:kern w:val="2"/>
        </w:rPr>
        <w:t>于海波. 组织学习的多层结构、跨层作用和生成机制研究[M]. 中国人民大学出版社: 201812, 2018.</w:t>
      </w:r>
    </w:p>
    <w:p w14:paraId="7F10C456">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[70]</w:t>
      </w:r>
      <w:r>
        <w:rPr>
          <w:rFonts w:ascii="Times New Roman" w:hAnsi="Times New Roman" w:cs="Times New Roman"/>
          <w:color w:val="auto"/>
          <w:kern w:val="2"/>
        </w:rPr>
        <w:tab/>
      </w:r>
      <w:r>
        <w:rPr>
          <w:rFonts w:ascii="Times New Roman" w:hAnsi="Times New Roman" w:cs="Times New Roman"/>
          <w:color w:val="auto"/>
          <w:kern w:val="2"/>
        </w:rPr>
        <w:t>ARGOTE L. Organizational Learning: Creating, Retaining and Transferring Knowledge</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[M/OL]. 2nd ed.New York: Springer, 2013. DOI:10.</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1007/978-1-4614-5251-5.</w:t>
      </w:r>
    </w:p>
    <w:p w14:paraId="500AC55D">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[71]</w:t>
      </w:r>
      <w:r>
        <w:rPr>
          <w:rFonts w:ascii="Times New Roman" w:hAnsi="Times New Roman" w:cs="Times New Roman"/>
          <w:color w:val="auto"/>
          <w:kern w:val="2"/>
        </w:rPr>
        <w:tab/>
      </w:r>
      <w:r>
        <w:rPr>
          <w:rFonts w:ascii="Times New Roman" w:hAnsi="Times New Roman" w:cs="Times New Roman"/>
          <w:color w:val="auto"/>
          <w:kern w:val="2"/>
        </w:rPr>
        <w:t>张琰彬, 蒲鹏, 王伟. DevOps原理与实践[M]. 电子工业出版社: 202303, 2023.</w:t>
      </w:r>
    </w:p>
    <w:p w14:paraId="3A989BF9">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[72]</w:t>
      </w:r>
      <w:r>
        <w:rPr>
          <w:rFonts w:ascii="Times New Roman" w:hAnsi="Times New Roman" w:cs="Times New Roman"/>
          <w:color w:val="auto"/>
          <w:kern w:val="2"/>
        </w:rPr>
        <w:tab/>
      </w:r>
      <w:r>
        <w:rPr>
          <w:rFonts w:ascii="Times New Roman" w:hAnsi="Times New Roman" w:cs="Times New Roman"/>
          <w:color w:val="auto"/>
          <w:kern w:val="2"/>
        </w:rPr>
        <w:t>WOMACK J P, JONES D T, ROOS D. The Machine That Changed the World: The Story of Lean Production—Toyota’s Secret Weapon in the Global Car Wars That Is Now Revolutionizing World Industry[M]. New York: Free Press, 1990.</w:t>
      </w:r>
    </w:p>
    <w:p w14:paraId="3B76375A">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[73]</w:t>
      </w:r>
      <w:r>
        <w:rPr>
          <w:rFonts w:ascii="Times New Roman" w:hAnsi="Times New Roman" w:cs="Times New Roman"/>
          <w:color w:val="auto"/>
          <w:kern w:val="2"/>
        </w:rPr>
        <w:tab/>
      </w:r>
      <w:r>
        <w:rPr>
          <w:rFonts w:ascii="Times New Roman" w:hAnsi="Times New Roman" w:cs="Times New Roman"/>
          <w:color w:val="auto"/>
          <w:kern w:val="2"/>
        </w:rPr>
        <w:t>KOTTER J P. Leading Change[M]. Boston: Harvard Business School Press, 1996.</w:t>
      </w:r>
    </w:p>
    <w:p w14:paraId="03973FEF">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[74]</w:t>
      </w:r>
      <w:r>
        <w:rPr>
          <w:rFonts w:ascii="Times New Roman" w:hAnsi="Times New Roman" w:cs="Times New Roman"/>
          <w:color w:val="auto"/>
          <w:kern w:val="2"/>
        </w:rPr>
        <w:tab/>
      </w:r>
      <w:r>
        <w:rPr>
          <w:rFonts w:ascii="Times New Roman" w:hAnsi="Times New Roman" w:cs="Times New Roman"/>
          <w:color w:val="auto"/>
          <w:kern w:val="2"/>
        </w:rPr>
        <w:t>BOYATZIS R E. The Competent Manager:A Model for Effective Performance[M]. New York: John Wiley &amp; Sons, 1991.</w:t>
      </w:r>
    </w:p>
    <w:p w14:paraId="689E44D1">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[75]</w:t>
      </w:r>
      <w:r>
        <w:rPr>
          <w:rFonts w:ascii="Times New Roman" w:hAnsi="Times New Roman" w:cs="Times New Roman"/>
          <w:color w:val="auto"/>
          <w:kern w:val="2"/>
        </w:rPr>
        <w:tab/>
      </w:r>
      <w:r>
        <w:rPr>
          <w:rFonts w:ascii="Times New Roman" w:hAnsi="Times New Roman" w:cs="Times New Roman"/>
          <w:color w:val="auto"/>
          <w:kern w:val="2"/>
        </w:rPr>
        <w:t>FORRESTER J W. Industrial Dynamics[M]. MA: MIT Press, 1961.</w:t>
      </w:r>
    </w:p>
    <w:p w14:paraId="55306B8F">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[76]</w:t>
      </w:r>
      <w:r>
        <w:rPr>
          <w:rFonts w:ascii="Times New Roman" w:hAnsi="Times New Roman" w:cs="Times New Roman"/>
          <w:color w:val="auto"/>
          <w:kern w:val="2"/>
        </w:rPr>
        <w:tab/>
      </w:r>
      <w:r>
        <w:rPr>
          <w:rFonts w:ascii="Times New Roman" w:hAnsi="Times New Roman" w:cs="Times New Roman"/>
          <w:color w:val="auto"/>
          <w:kern w:val="2"/>
        </w:rPr>
        <w:t>HACKMAN J R. The Design of Work Teams[M]. NJ: Prentice Hall, 1987.</w:t>
      </w:r>
    </w:p>
    <w:p w14:paraId="65522911">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[77]</w:t>
      </w:r>
      <w:r>
        <w:rPr>
          <w:rFonts w:ascii="Times New Roman" w:hAnsi="Times New Roman" w:cs="Times New Roman"/>
          <w:color w:val="auto"/>
          <w:kern w:val="2"/>
        </w:rPr>
        <w:tab/>
      </w:r>
      <w:r>
        <w:rPr>
          <w:rFonts w:ascii="Times New Roman" w:hAnsi="Times New Roman" w:cs="Times New Roman"/>
          <w:color w:val="auto"/>
          <w:kern w:val="2"/>
        </w:rPr>
        <w:t>EDMONDSON A. Psychological Safety and Learning Behavior in Work Teams[J/OL]. Administrative Science Quarterly, 1999, 44(2): 350-383. DOI:10.2307/2666999.</w:t>
      </w:r>
    </w:p>
    <w:p w14:paraId="5CFBA032">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[78]</w:t>
      </w:r>
      <w:r>
        <w:rPr>
          <w:rFonts w:ascii="Times New Roman" w:hAnsi="Times New Roman" w:cs="Times New Roman"/>
          <w:color w:val="auto"/>
          <w:kern w:val="2"/>
        </w:rPr>
        <w:tab/>
      </w:r>
      <w:r>
        <w:rPr>
          <w:rFonts w:ascii="Times New Roman" w:hAnsi="Times New Roman" w:cs="Times New Roman"/>
          <w:color w:val="auto"/>
          <w:kern w:val="2"/>
        </w:rPr>
        <w:t>PROJECT MANAGEMENT INSTITUTE. A Guide to the Project Management Body of Knowledge (PMBOK® Guide)[M]. PA: Project Management Institute, 2021.</w:t>
      </w:r>
    </w:p>
    <w:p w14:paraId="59C40CE7">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[79]</w:t>
      </w:r>
      <w:r>
        <w:rPr>
          <w:rFonts w:ascii="Times New Roman" w:hAnsi="Times New Roman" w:cs="Times New Roman"/>
          <w:color w:val="auto"/>
          <w:kern w:val="2"/>
        </w:rPr>
        <w:tab/>
      </w:r>
      <w:r>
        <w:rPr>
          <w:rFonts w:ascii="Times New Roman" w:hAnsi="Times New Roman" w:cs="Times New Roman"/>
          <w:color w:val="auto"/>
          <w:kern w:val="2"/>
        </w:rPr>
        <w:t>高见龙. Git从入门到精通[M]. 北京大学出版社: 201909, 2019.</w:t>
      </w:r>
    </w:p>
    <w:p w14:paraId="1A96B5F0">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[80]</w:t>
      </w:r>
      <w:r>
        <w:rPr>
          <w:rFonts w:ascii="Times New Roman" w:hAnsi="Times New Roman" w:cs="Times New Roman"/>
          <w:color w:val="auto"/>
          <w:kern w:val="2"/>
        </w:rPr>
        <w:tab/>
      </w:r>
      <w:r>
        <w:rPr>
          <w:rFonts w:ascii="Times New Roman" w:hAnsi="Times New Roman" w:cs="Times New Roman"/>
          <w:color w:val="auto"/>
          <w:kern w:val="2"/>
        </w:rPr>
        <w:t>文东华, 陈世敏, 潘飞. 全面质量管理的业绩效应:一项结构方程模型研究[J]. 管理科学学报, 2014, 17(11): 79-96.</w:t>
      </w:r>
    </w:p>
    <w:p w14:paraId="7C5FF9A5">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t>[81]</w:t>
      </w:r>
      <w:r>
        <w:rPr>
          <w:rFonts w:ascii="Times New Roman" w:hAnsi="Times New Roman" w:cs="Times New Roman"/>
          <w:color w:val="auto"/>
          <w:kern w:val="2"/>
        </w:rPr>
        <w:tab/>
      </w:r>
      <w:r>
        <w:rPr>
          <w:rFonts w:ascii="Times New Roman" w:hAnsi="Times New Roman" w:cs="Times New Roman"/>
          <w:color w:val="auto"/>
          <w:kern w:val="2"/>
        </w:rPr>
        <w:t>INTERNATIONAL ORGANIZATION FOR STANDARDIZATION. ISO 13485:2016 — Medical Devices — Quality Management Systems — Requirements for Regulatory Purposes</w:t>
      </w:r>
      <w:r>
        <w:rPr>
          <w:rFonts w:hint="eastAsia" w:ascii="Times New Roman" w:hAnsi="Times New Roman" w:cs="Times New Roman"/>
          <w:color w:val="auto"/>
          <w:kern w:val="2"/>
          <w:lang w:val="en-US" w:eastAsia="zh-CN"/>
        </w:rPr>
        <w:t xml:space="preserve"> </w:t>
      </w:r>
      <w:r>
        <w:rPr>
          <w:rFonts w:ascii="Times New Roman" w:hAnsi="Times New Roman" w:cs="Times New Roman"/>
          <w:color w:val="auto"/>
          <w:kern w:val="2"/>
        </w:rPr>
        <w:t>[J]. Geneva:ISO, 2016: 2016.</w:t>
      </w:r>
    </w:p>
    <w:p w14:paraId="5AD3259B">
      <w:pPr>
        <w:widowControl w:val="0"/>
        <w:tabs>
          <w:tab w:val="left" w:pos="377"/>
        </w:tabs>
        <w:adjustRightInd w:val="0"/>
        <w:snapToGrid w:val="0"/>
        <w:spacing w:line="400" w:lineRule="exact"/>
        <w:ind w:left="480" w:hanging="480" w:hangingChars="200"/>
        <w:jc w:val="both"/>
        <w:rPr>
          <w:rFonts w:ascii="Times New Roman" w:hAnsi="Times New Roman" w:cs="Times New Roman"/>
          <w:color w:val="auto"/>
          <w:kern w:val="2"/>
        </w:rPr>
      </w:pPr>
      <w:r>
        <w:rPr>
          <w:rFonts w:ascii="Times New Roman" w:hAnsi="Times New Roman" w:cs="Times New Roman"/>
          <w:color w:val="auto"/>
          <w:kern w:val="2"/>
        </w:rPr>
        <w:fldChar w:fldCharType="end"/>
      </w:r>
    </w:p>
    <w:p w14:paraId="3D03DEB3">
      <w:pPr>
        <w:widowControl w:val="0"/>
        <w:tabs>
          <w:tab w:val="left" w:pos="377"/>
        </w:tabs>
        <w:adjustRightInd w:val="0"/>
        <w:snapToGrid w:val="0"/>
        <w:spacing w:line="400" w:lineRule="exact"/>
        <w:jc w:val="both"/>
        <w:rPr>
          <w:rFonts w:ascii="Times New Roman" w:hAnsi="Times New Roman" w:cs="Times New Roman"/>
          <w:color w:val="auto"/>
          <w:kern w:val="2"/>
        </w:rPr>
      </w:pPr>
      <w:bookmarkStart w:id="346" w:name="_Toc4739"/>
      <w:bookmarkStart w:id="347" w:name="_Toc26297"/>
    </w:p>
    <w:p w14:paraId="46E169BD">
      <w:pPr>
        <w:widowControl w:val="0"/>
        <w:tabs>
          <w:tab w:val="left" w:pos="377"/>
        </w:tabs>
        <w:adjustRightInd w:val="0"/>
        <w:snapToGrid w:val="0"/>
        <w:spacing w:line="400" w:lineRule="exact"/>
        <w:jc w:val="both"/>
        <w:rPr>
          <w:rFonts w:ascii="Times New Roman" w:hAnsi="Times New Roman" w:cs="Times New Roman"/>
          <w:color w:val="auto"/>
          <w:kern w:val="2"/>
        </w:rPr>
      </w:pPr>
    </w:p>
    <w:p w14:paraId="451104BF">
      <w:pPr>
        <w:widowControl w:val="0"/>
        <w:tabs>
          <w:tab w:val="left" w:pos="377"/>
        </w:tabs>
        <w:adjustRightInd w:val="0"/>
        <w:snapToGrid w:val="0"/>
        <w:spacing w:line="400" w:lineRule="exact"/>
        <w:jc w:val="both"/>
        <w:rPr>
          <w:rFonts w:ascii="Times New Roman" w:hAnsi="Times New Roman" w:cs="Times New Roman"/>
          <w:color w:val="auto"/>
          <w:kern w:val="2"/>
        </w:rPr>
      </w:pPr>
    </w:p>
    <w:p w14:paraId="300D49DE">
      <w:pPr>
        <w:widowControl w:val="0"/>
        <w:tabs>
          <w:tab w:val="left" w:pos="377"/>
        </w:tabs>
        <w:adjustRightInd w:val="0"/>
        <w:snapToGrid w:val="0"/>
        <w:spacing w:line="400" w:lineRule="exact"/>
        <w:jc w:val="both"/>
        <w:rPr>
          <w:rFonts w:ascii="Times New Roman" w:hAnsi="Times New Roman" w:cs="Times New Roman"/>
          <w:color w:val="auto"/>
          <w:kern w:val="2"/>
        </w:rPr>
      </w:pPr>
    </w:p>
    <w:p w14:paraId="53FFA100">
      <w:pPr>
        <w:widowControl w:val="0"/>
        <w:tabs>
          <w:tab w:val="left" w:pos="377"/>
        </w:tabs>
        <w:adjustRightInd w:val="0"/>
        <w:snapToGrid w:val="0"/>
        <w:spacing w:line="400" w:lineRule="exact"/>
        <w:jc w:val="both"/>
        <w:rPr>
          <w:rFonts w:ascii="Times New Roman" w:hAnsi="Times New Roman" w:cs="Times New Roman"/>
          <w:color w:val="auto"/>
          <w:kern w:val="2"/>
        </w:rPr>
      </w:pPr>
    </w:p>
    <w:p w14:paraId="335ED71F">
      <w:pPr>
        <w:rPr>
          <w:color w:val="auto"/>
        </w:rPr>
        <w:sectPr>
          <w:headerReference r:id="rId22" w:type="default"/>
          <w:pgSz w:w="11906" w:h="16838"/>
          <w:pgMar w:top="1440" w:right="1417" w:bottom="1440" w:left="1417" w:header="850" w:footer="992" w:gutter="0"/>
          <w:pgNumType w:fmt="decimal"/>
          <w:cols w:space="0" w:num="1"/>
          <w:docGrid w:type="lines" w:linePitch="312" w:charSpace="0"/>
        </w:sectPr>
      </w:pPr>
    </w:p>
    <w:p w14:paraId="1ECD647C">
      <w:pPr>
        <w:pStyle w:val="2"/>
        <w:spacing w:before="468" w:beforeLines="150" w:after="312" w:afterLines="100"/>
        <w:rPr>
          <w:bCs w:val="0"/>
          <w:color w:val="auto"/>
          <w:szCs w:val="20"/>
        </w:rPr>
      </w:pPr>
      <w:bookmarkStart w:id="348" w:name="_Toc213190843"/>
      <w:bookmarkStart w:id="349" w:name="_Toc213192859"/>
      <w:bookmarkStart w:id="350" w:name="_Toc213192551"/>
      <w:bookmarkStart w:id="351" w:name="_Toc26597"/>
      <w:r>
        <w:rPr>
          <w:rFonts w:hint="eastAsia"/>
          <w:bCs w:val="0"/>
          <w:color w:val="auto"/>
          <w:szCs w:val="20"/>
        </w:rPr>
        <w:t>致 谢</w:t>
      </w:r>
      <w:bookmarkEnd w:id="346"/>
      <w:bookmarkEnd w:id="347"/>
      <w:bookmarkEnd w:id="348"/>
      <w:bookmarkEnd w:id="349"/>
      <w:bookmarkEnd w:id="350"/>
      <w:bookmarkEnd w:id="351"/>
    </w:p>
    <w:p w14:paraId="13120033">
      <w:pPr>
        <w:pStyle w:val="57"/>
        <w:ind w:firstLine="480"/>
        <w:jc w:val="both"/>
        <w:rPr>
          <w:color w:val="auto"/>
        </w:rPr>
      </w:pPr>
      <w:bookmarkStart w:id="352" w:name="OLE_LINK2"/>
      <w:bookmarkStart w:id="353" w:name="OLE_LINK1"/>
      <w:r>
        <w:rPr>
          <w:rFonts w:hint="eastAsia"/>
          <w:color w:val="auto"/>
        </w:rPr>
        <w:t>撰写硕士论文的整个过程中</w:t>
      </w:r>
      <w:r>
        <w:rPr>
          <w:color w:val="auto"/>
        </w:rPr>
        <w:t>，我得到了诸多宝贵</w:t>
      </w:r>
      <w:r>
        <w:rPr>
          <w:rFonts w:hint="eastAsia"/>
          <w:color w:val="auto"/>
        </w:rPr>
        <w:t>意见以及各方的大力</w:t>
      </w:r>
      <w:r>
        <w:rPr>
          <w:color w:val="auto"/>
        </w:rPr>
        <w:t>支持，借此机会，我衷心感谢所有</w:t>
      </w:r>
      <w:r>
        <w:rPr>
          <w:rFonts w:hint="eastAsia"/>
          <w:color w:val="auto"/>
        </w:rPr>
        <w:t>帮助过我</w:t>
      </w:r>
      <w:r>
        <w:rPr>
          <w:color w:val="auto"/>
        </w:rPr>
        <w:t>的人。</w:t>
      </w:r>
    </w:p>
    <w:p w14:paraId="2F0BF582">
      <w:pPr>
        <w:pStyle w:val="57"/>
        <w:ind w:firstLine="480"/>
        <w:jc w:val="both"/>
        <w:rPr>
          <w:color w:val="auto"/>
        </w:rPr>
      </w:pPr>
      <w:r>
        <w:rPr>
          <w:color w:val="auto"/>
        </w:rPr>
        <w:t>首先，</w:t>
      </w:r>
      <w:r>
        <w:rPr>
          <w:rFonts w:hint="eastAsia"/>
          <w:color w:val="auto"/>
        </w:rPr>
        <w:t>我</w:t>
      </w:r>
      <w:r>
        <w:rPr>
          <w:color w:val="auto"/>
        </w:rPr>
        <w:t>要特别感谢我的</w:t>
      </w:r>
      <w:r>
        <w:rPr>
          <w:rFonts w:hint="eastAsia"/>
          <w:color w:val="auto"/>
        </w:rPr>
        <w:t>论文</w:t>
      </w:r>
      <w:r>
        <w:rPr>
          <w:color w:val="auto"/>
        </w:rPr>
        <w:t>导师</w:t>
      </w:r>
      <w:r>
        <w:rPr>
          <w:color w:val="FFFFFF" w:themeColor="background1"/>
          <w14:textFill>
            <w14:solidFill>
              <w14:schemeClr w14:val="bg1"/>
            </w14:solidFill>
          </w14:textFill>
        </w:rPr>
        <w:t>钱艳俊</w:t>
      </w:r>
      <w:r>
        <w:rPr>
          <w:color w:val="auto"/>
        </w:rPr>
        <w:t>教授，在整个研究</w:t>
      </w:r>
      <w:r>
        <w:rPr>
          <w:rFonts w:hint="eastAsia"/>
          <w:color w:val="auto"/>
        </w:rPr>
        <w:t>与</w:t>
      </w:r>
      <w:r>
        <w:rPr>
          <w:color w:val="auto"/>
        </w:rPr>
        <w:t>写作过程中</w:t>
      </w:r>
      <w:r>
        <w:rPr>
          <w:rFonts w:hint="eastAsia"/>
          <w:color w:val="auto"/>
        </w:rPr>
        <w:t>的</w:t>
      </w:r>
      <w:r>
        <w:rPr>
          <w:color w:val="auto"/>
        </w:rPr>
        <w:t>悉心指导和不懈支持。</w:t>
      </w:r>
      <w:r>
        <w:rPr>
          <w:color w:val="FFFFFF" w:themeColor="background1"/>
          <w14:textFill>
            <w14:solidFill>
              <w14:schemeClr w14:val="bg1"/>
            </w14:solidFill>
          </w14:textFill>
        </w:rPr>
        <w:t>钱</w:t>
      </w:r>
      <w:r>
        <w:rPr>
          <w:color w:val="auto"/>
        </w:rPr>
        <w:t>教授的专业知识和深刻见解对</w:t>
      </w:r>
      <w:r>
        <w:rPr>
          <w:rFonts w:hint="eastAsia"/>
          <w:color w:val="auto"/>
        </w:rPr>
        <w:t>论文的</w:t>
      </w:r>
      <w:r>
        <w:rPr>
          <w:color w:val="auto"/>
        </w:rPr>
        <w:t>研究的深度和广度产生了</w:t>
      </w:r>
      <w:r>
        <w:rPr>
          <w:rFonts w:hint="eastAsia"/>
          <w:color w:val="auto"/>
        </w:rPr>
        <w:t>深远</w:t>
      </w:r>
      <w:r>
        <w:rPr>
          <w:color w:val="auto"/>
        </w:rPr>
        <w:t>的影响。严谨的学术态度和对细节的</w:t>
      </w:r>
      <w:r>
        <w:rPr>
          <w:rFonts w:hint="eastAsia"/>
          <w:color w:val="auto"/>
        </w:rPr>
        <w:t>把控，深表钦佩</w:t>
      </w:r>
      <w:r>
        <w:rPr>
          <w:color w:val="auto"/>
        </w:rPr>
        <w:t>。</w:t>
      </w:r>
      <w:r>
        <w:rPr>
          <w:rFonts w:hint="eastAsia"/>
          <w:color w:val="auto"/>
        </w:rPr>
        <w:t>此外，我</w:t>
      </w:r>
      <w:r>
        <w:rPr>
          <w:color w:val="auto"/>
        </w:rPr>
        <w:t>还要感谢H公司</w:t>
      </w:r>
      <w:r>
        <w:rPr>
          <w:rFonts w:hint="eastAsia"/>
          <w:color w:val="auto"/>
        </w:rPr>
        <w:t>提供的帮助，</w:t>
      </w:r>
      <w:r>
        <w:rPr>
          <w:color w:val="auto"/>
        </w:rPr>
        <w:t>感谢公司内部所有参与访谈和提供帮助的同事们，以及团队成员，</w:t>
      </w:r>
      <w:r>
        <w:rPr>
          <w:rFonts w:hint="eastAsia"/>
          <w:color w:val="auto"/>
        </w:rPr>
        <w:t>是</w:t>
      </w:r>
      <w:r>
        <w:rPr>
          <w:color w:val="auto"/>
        </w:rPr>
        <w:t>你们的实际经验、</w:t>
      </w:r>
      <w:r>
        <w:rPr>
          <w:rFonts w:hint="eastAsia"/>
          <w:color w:val="auto"/>
        </w:rPr>
        <w:t>以及</w:t>
      </w:r>
      <w:r>
        <w:rPr>
          <w:color w:val="auto"/>
        </w:rPr>
        <w:t>专业</w:t>
      </w:r>
      <w:r>
        <w:rPr>
          <w:rFonts w:hint="eastAsia"/>
          <w:color w:val="auto"/>
        </w:rPr>
        <w:t>的精神，极</w:t>
      </w:r>
      <w:r>
        <w:rPr>
          <w:color w:val="auto"/>
        </w:rPr>
        <w:t>大地丰富了我的研究。</w:t>
      </w:r>
      <w:r>
        <w:rPr>
          <w:rFonts w:hint="eastAsia"/>
          <w:color w:val="auto"/>
        </w:rPr>
        <w:t>再者</w:t>
      </w:r>
      <w:r>
        <w:rPr>
          <w:color w:val="auto"/>
        </w:rPr>
        <w:t>，我</w:t>
      </w:r>
      <w:r>
        <w:rPr>
          <w:rFonts w:hint="eastAsia"/>
          <w:color w:val="auto"/>
        </w:rPr>
        <w:t>还要</w:t>
      </w:r>
      <w:r>
        <w:rPr>
          <w:color w:val="auto"/>
        </w:rPr>
        <w:t>感谢我的</w:t>
      </w:r>
      <w:r>
        <w:rPr>
          <w:rFonts w:hint="eastAsia"/>
          <w:color w:val="auto"/>
        </w:rPr>
        <w:t>家人们对</w:t>
      </w:r>
      <w:r>
        <w:rPr>
          <w:color w:val="auto"/>
        </w:rPr>
        <w:t>我的支持</w:t>
      </w:r>
      <w:r>
        <w:rPr>
          <w:rFonts w:hint="eastAsia"/>
          <w:color w:val="auto"/>
        </w:rPr>
        <w:t>与</w:t>
      </w:r>
      <w:r>
        <w:rPr>
          <w:color w:val="auto"/>
        </w:rPr>
        <w:t>鼓励，</w:t>
      </w:r>
      <w:r>
        <w:rPr>
          <w:rFonts w:hint="eastAsia"/>
          <w:color w:val="auto"/>
        </w:rPr>
        <w:t>当</w:t>
      </w:r>
      <w:r>
        <w:rPr>
          <w:color w:val="auto"/>
        </w:rPr>
        <w:t>我遇到困难和挑战时，给予</w:t>
      </w:r>
      <w:r>
        <w:rPr>
          <w:rFonts w:hint="eastAsia"/>
          <w:color w:val="auto"/>
        </w:rPr>
        <w:t>了</w:t>
      </w:r>
      <w:r>
        <w:rPr>
          <w:color w:val="auto"/>
        </w:rPr>
        <w:t>我</w:t>
      </w:r>
      <w:r>
        <w:rPr>
          <w:rFonts w:hint="eastAsia"/>
          <w:color w:val="auto"/>
        </w:rPr>
        <w:t>最大的支持与信任</w:t>
      </w:r>
      <w:r>
        <w:rPr>
          <w:color w:val="auto"/>
        </w:rPr>
        <w:t>，使我能够坚持到底。</w:t>
      </w:r>
    </w:p>
    <w:p w14:paraId="19347D53">
      <w:pPr>
        <w:pStyle w:val="57"/>
        <w:ind w:firstLine="480"/>
        <w:jc w:val="both"/>
        <w:rPr>
          <w:color w:val="auto"/>
        </w:rPr>
        <w:sectPr>
          <w:headerReference r:id="rId23" w:type="default"/>
          <w:type w:val="oddPage"/>
          <w:pgSz w:w="11906" w:h="16838"/>
          <w:pgMar w:top="1440" w:right="1417" w:bottom="1440" w:left="1417" w:header="850" w:footer="992" w:gutter="0"/>
          <w:pgNumType w:fmt="decimal"/>
          <w:cols w:space="0" w:num="1"/>
          <w:docGrid w:type="lines" w:linePitch="312" w:charSpace="0"/>
        </w:sectPr>
      </w:pPr>
      <w:r>
        <w:rPr>
          <w:color w:val="auto"/>
        </w:rPr>
        <w:t>最后，感谢所有在学术旅程中给予我帮助和启发的朋友和同行，没有你们的支持和鼓励，</w:t>
      </w:r>
      <w:r>
        <w:rPr>
          <w:rFonts w:hint="eastAsia"/>
          <w:color w:val="auto"/>
        </w:rPr>
        <w:t>我</w:t>
      </w:r>
      <w:r>
        <w:rPr>
          <w:color w:val="auto"/>
        </w:rPr>
        <w:t>无法完成</w:t>
      </w:r>
      <w:r>
        <w:rPr>
          <w:rFonts w:hint="eastAsia"/>
          <w:color w:val="auto"/>
        </w:rPr>
        <w:t>这项宏大的工程</w:t>
      </w:r>
      <w:r>
        <w:rPr>
          <w:color w:val="auto"/>
        </w:rPr>
        <w:t>。再次感谢所有帮助和支持我的人，你们的贡献对我来说是无价的。</w:t>
      </w:r>
      <w:bookmarkEnd w:id="352"/>
      <w:bookmarkEnd w:id="353"/>
    </w:p>
    <w:p w14:paraId="7B861619">
      <w:pPr>
        <w:ind w:firstLine="562"/>
        <w:jc w:val="center"/>
        <w:rPr>
          <w:b/>
          <w:color w:val="auto"/>
          <w:sz w:val="28"/>
        </w:rPr>
      </w:pPr>
    </w:p>
    <w:p w14:paraId="5375ADFE">
      <w:pPr>
        <w:ind w:firstLine="562"/>
        <w:jc w:val="center"/>
        <w:rPr>
          <w:b/>
          <w:color w:val="auto"/>
          <w:sz w:val="28"/>
        </w:rPr>
      </w:pPr>
      <w:r>
        <w:rPr>
          <w:b/>
          <w:color w:val="auto"/>
          <w:sz w:val="28"/>
        </w:rPr>
        <w:t>西北工业大学</w:t>
      </w:r>
    </w:p>
    <w:p w14:paraId="7AD80B2E">
      <w:pPr>
        <w:ind w:firstLine="562"/>
        <w:jc w:val="center"/>
        <w:rPr>
          <w:b/>
          <w:color w:val="auto"/>
          <w:sz w:val="28"/>
        </w:rPr>
      </w:pPr>
      <w:bookmarkStart w:id="354" w:name="_Toc26821"/>
      <w:bookmarkStart w:id="355" w:name="_Toc3354"/>
      <w:bookmarkStart w:id="356" w:name="_Toc645"/>
      <w:bookmarkStart w:id="357" w:name="_Toc19125"/>
      <w:r>
        <w:rPr>
          <w:b/>
          <w:color w:val="auto"/>
          <w:sz w:val="28"/>
        </w:rPr>
        <w:t>学位论文知识产权声明书</w:t>
      </w:r>
      <w:bookmarkEnd w:id="354"/>
      <w:bookmarkEnd w:id="355"/>
      <w:bookmarkEnd w:id="356"/>
      <w:bookmarkEnd w:id="357"/>
    </w:p>
    <w:p w14:paraId="43526A03">
      <w:pPr>
        <w:pStyle w:val="9"/>
        <w:spacing w:line="360" w:lineRule="auto"/>
        <w:ind w:left="0" w:firstLine="480" w:firstLineChars="200"/>
        <w:jc w:val="both"/>
        <w:rPr>
          <w:bCs/>
          <w:color w:val="auto"/>
          <w:sz w:val="24"/>
        </w:rPr>
      </w:pPr>
      <w:r>
        <w:rPr>
          <w:bCs/>
          <w:color w:val="auto"/>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14:paraId="5C3D3384">
      <w:pPr>
        <w:pStyle w:val="9"/>
        <w:spacing w:after="156" w:afterLines="50"/>
        <w:ind w:left="0" w:firstLine="480" w:firstLineChars="200"/>
        <w:jc w:val="both"/>
        <w:rPr>
          <w:bCs/>
          <w:color w:val="auto"/>
          <w:sz w:val="24"/>
        </w:rPr>
      </w:pPr>
      <w:r>
        <w:rPr>
          <w:bCs/>
          <w:color w:val="auto"/>
          <w:sz w:val="24"/>
        </w:rPr>
        <w:t>保密论文待解密后适用本声明。</w:t>
      </w:r>
    </w:p>
    <w:p w14:paraId="0008F23E">
      <w:pPr>
        <w:pStyle w:val="9"/>
        <w:spacing w:after="156" w:afterLines="50"/>
        <w:ind w:left="0" w:firstLine="480" w:firstLineChars="200"/>
        <w:jc w:val="both"/>
        <w:rPr>
          <w:bCs/>
          <w:color w:val="auto"/>
          <w:sz w:val="24"/>
          <w:u w:val="single"/>
        </w:rPr>
      </w:pPr>
      <w:r>
        <w:rPr>
          <w:bCs/>
          <w:color w:val="auto"/>
          <w:sz w:val="24"/>
        </w:rPr>
        <w:t>学位论文作者签名：</w:t>
      </w:r>
      <w:r>
        <w:rPr>
          <w:bCs/>
          <w:color w:val="auto"/>
          <w:sz w:val="24"/>
          <w:u w:val="single"/>
        </w:rPr>
        <w:t xml:space="preserve">          </w:t>
      </w:r>
      <w:r>
        <w:rPr>
          <w:bCs/>
          <w:color w:val="auto"/>
          <w:sz w:val="24"/>
        </w:rPr>
        <w:t xml:space="preserve">         指导教师签名：</w:t>
      </w:r>
      <w:r>
        <w:rPr>
          <w:bCs/>
          <w:color w:val="auto"/>
          <w:sz w:val="24"/>
          <w:u w:val="single"/>
        </w:rPr>
        <w:t xml:space="preserve">          </w:t>
      </w:r>
    </w:p>
    <w:p w14:paraId="52E82695">
      <w:pPr>
        <w:pStyle w:val="9"/>
        <w:spacing w:after="156" w:afterLines="50"/>
        <w:ind w:left="907" w:leftChars="378" w:firstLine="1200" w:firstLineChars="500"/>
        <w:jc w:val="both"/>
        <w:rPr>
          <w:bCs/>
          <w:color w:val="auto"/>
          <w:sz w:val="24"/>
        </w:rPr>
      </w:pPr>
      <w:r>
        <w:rPr>
          <w:rFonts w:hint="eastAsia"/>
          <w:bCs/>
          <w:color w:val="auto"/>
          <w:sz w:val="24"/>
        </w:rPr>
        <w:t>2025</w:t>
      </w:r>
      <w:r>
        <w:rPr>
          <w:bCs/>
          <w:color w:val="auto"/>
          <w:sz w:val="24"/>
        </w:rPr>
        <w:t xml:space="preserve"> 年</w:t>
      </w:r>
      <w:r>
        <w:rPr>
          <w:rFonts w:hint="eastAsia"/>
          <w:bCs/>
          <w:color w:val="auto"/>
          <w:sz w:val="24"/>
        </w:rPr>
        <w:t xml:space="preserve">  </w:t>
      </w:r>
      <w:r>
        <w:rPr>
          <w:bCs/>
          <w:color w:val="auto"/>
          <w:sz w:val="24"/>
        </w:rPr>
        <w:t>月</w:t>
      </w:r>
      <w:r>
        <w:rPr>
          <w:rFonts w:hint="eastAsia"/>
          <w:bCs/>
          <w:color w:val="auto"/>
          <w:sz w:val="24"/>
        </w:rPr>
        <w:t xml:space="preserve">  </w:t>
      </w:r>
      <w:r>
        <w:rPr>
          <w:bCs/>
          <w:color w:val="auto"/>
          <w:sz w:val="24"/>
        </w:rPr>
        <w:t xml:space="preserve">日                 </w:t>
      </w:r>
      <w:r>
        <w:rPr>
          <w:rFonts w:hint="eastAsia"/>
          <w:bCs/>
          <w:color w:val="auto"/>
          <w:sz w:val="24"/>
        </w:rPr>
        <w:t>2025</w:t>
      </w:r>
      <w:r>
        <w:rPr>
          <w:bCs/>
          <w:color w:val="auto"/>
          <w:sz w:val="24"/>
        </w:rPr>
        <w:t xml:space="preserve"> 年 </w:t>
      </w:r>
      <w:r>
        <w:rPr>
          <w:rFonts w:hint="eastAsia"/>
          <w:bCs/>
          <w:color w:val="auto"/>
          <w:sz w:val="24"/>
        </w:rPr>
        <w:t xml:space="preserve">  </w:t>
      </w:r>
      <w:r>
        <w:rPr>
          <w:bCs/>
          <w:color w:val="auto"/>
          <w:sz w:val="24"/>
        </w:rPr>
        <w:t>月</w:t>
      </w:r>
      <w:r>
        <w:rPr>
          <w:rFonts w:hint="eastAsia"/>
          <w:bCs/>
          <w:color w:val="auto"/>
          <w:sz w:val="24"/>
        </w:rPr>
        <w:t xml:space="preserve">  </w:t>
      </w:r>
      <w:r>
        <w:rPr>
          <w:bCs/>
          <w:color w:val="auto"/>
          <w:sz w:val="24"/>
        </w:rPr>
        <w:t>日</w:t>
      </w:r>
    </w:p>
    <w:p w14:paraId="4862ECE6">
      <w:pPr>
        <w:pStyle w:val="9"/>
        <w:spacing w:line="360" w:lineRule="auto"/>
        <w:ind w:left="0" w:firstLine="420"/>
        <w:jc w:val="both"/>
        <w:rPr>
          <w:bCs/>
          <w:color w:val="auto"/>
        </w:rPr>
      </w:pPr>
    </w:p>
    <w:p w14:paraId="3295FC85">
      <w:pPr>
        <w:pStyle w:val="9"/>
        <w:spacing w:line="360" w:lineRule="auto"/>
        <w:ind w:left="0" w:firstLine="420"/>
        <w:jc w:val="both"/>
        <w:rPr>
          <w:bCs/>
          <w:color w:val="auto"/>
        </w:rPr>
      </w:pPr>
    </w:p>
    <w:p w14:paraId="1CD4DE81">
      <w:pPr>
        <w:pStyle w:val="9"/>
        <w:spacing w:line="360" w:lineRule="auto"/>
        <w:ind w:left="0"/>
        <w:jc w:val="both"/>
        <w:rPr>
          <w:bCs/>
          <w:color w:val="auto"/>
        </w:rPr>
      </w:pPr>
      <w:r>
        <w:rPr>
          <w:bCs/>
          <w:color w:val="auto"/>
        </w:rPr>
        <w:t>———————————————————————————————————————————</w:t>
      </w:r>
    </w:p>
    <w:p w14:paraId="67D0FECD">
      <w:pPr>
        <w:pStyle w:val="9"/>
        <w:spacing w:line="360" w:lineRule="auto"/>
        <w:ind w:left="0" w:firstLine="420"/>
        <w:jc w:val="both"/>
        <w:rPr>
          <w:bCs/>
          <w:color w:val="auto"/>
        </w:rPr>
      </w:pPr>
    </w:p>
    <w:p w14:paraId="099BDC3D">
      <w:pPr>
        <w:pStyle w:val="9"/>
        <w:spacing w:line="360" w:lineRule="auto"/>
        <w:ind w:left="0" w:firstLine="420"/>
        <w:jc w:val="both"/>
        <w:rPr>
          <w:bCs/>
          <w:color w:val="auto"/>
        </w:rPr>
      </w:pPr>
    </w:p>
    <w:p w14:paraId="05F6DC64">
      <w:pPr>
        <w:pStyle w:val="9"/>
        <w:spacing w:line="360" w:lineRule="auto"/>
        <w:ind w:left="0" w:firstLine="562"/>
        <w:rPr>
          <w:b/>
          <w:color w:val="auto"/>
          <w:sz w:val="28"/>
        </w:rPr>
      </w:pPr>
      <w:r>
        <w:rPr>
          <w:b/>
          <w:color w:val="auto"/>
          <w:sz w:val="28"/>
        </w:rPr>
        <w:t>西北工业大学</w:t>
      </w:r>
    </w:p>
    <w:p w14:paraId="7A647063">
      <w:pPr>
        <w:ind w:firstLine="562"/>
        <w:jc w:val="center"/>
        <w:rPr>
          <w:b/>
          <w:color w:val="auto"/>
          <w:sz w:val="28"/>
        </w:rPr>
      </w:pPr>
      <w:bookmarkStart w:id="358" w:name="_Toc3636"/>
      <w:bookmarkStart w:id="359" w:name="_Toc5377"/>
      <w:bookmarkStart w:id="360" w:name="_Toc22375"/>
      <w:bookmarkStart w:id="361" w:name="_Toc8864"/>
      <w:r>
        <w:rPr>
          <w:b/>
          <w:color w:val="auto"/>
          <w:sz w:val="28"/>
        </w:rPr>
        <w:t>学位论文原创性声明</w:t>
      </w:r>
      <w:bookmarkEnd w:id="358"/>
      <w:bookmarkEnd w:id="359"/>
      <w:bookmarkEnd w:id="360"/>
      <w:bookmarkEnd w:id="361"/>
    </w:p>
    <w:p w14:paraId="30B87D12">
      <w:pPr>
        <w:pStyle w:val="9"/>
        <w:spacing w:line="360" w:lineRule="auto"/>
        <w:ind w:left="0" w:firstLine="480" w:firstLineChars="200"/>
        <w:jc w:val="both"/>
        <w:rPr>
          <w:bCs/>
          <w:color w:val="auto"/>
          <w:sz w:val="24"/>
        </w:rPr>
      </w:pPr>
      <w:r>
        <w:rPr>
          <w:bCs/>
          <w:color w:val="auto"/>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14:paraId="578065A6">
      <w:pPr>
        <w:pStyle w:val="9"/>
        <w:spacing w:after="156" w:afterLines="50"/>
        <w:ind w:left="0" w:firstLine="480" w:firstLineChars="200"/>
        <w:jc w:val="both"/>
        <w:rPr>
          <w:bCs/>
          <w:color w:val="auto"/>
          <w:sz w:val="24"/>
        </w:rPr>
      </w:pPr>
      <w:r>
        <w:rPr>
          <w:bCs/>
          <w:color w:val="auto"/>
          <w:sz w:val="24"/>
        </w:rPr>
        <w:t>本人学位论文与资料若有不实，愿意承担一切相关的法律责任。</w:t>
      </w:r>
    </w:p>
    <w:p w14:paraId="71F902FB">
      <w:pPr>
        <w:pStyle w:val="9"/>
        <w:spacing w:after="156" w:afterLines="50"/>
        <w:ind w:left="0" w:firstLine="480"/>
        <w:jc w:val="center"/>
        <w:rPr>
          <w:bCs/>
          <w:color w:val="auto"/>
          <w:sz w:val="24"/>
          <w:u w:val="single"/>
        </w:rPr>
      </w:pPr>
      <w:r>
        <w:rPr>
          <w:rFonts w:hint="eastAsia"/>
          <w:bCs/>
          <w:color w:val="auto"/>
          <w:sz w:val="24"/>
          <w:lang w:val="en-US" w:eastAsia="zh-CN"/>
        </w:rPr>
        <w:t xml:space="preserve">                 </w:t>
      </w:r>
      <w:r>
        <w:rPr>
          <w:bCs/>
          <w:color w:val="auto"/>
          <w:sz w:val="24"/>
        </w:rPr>
        <w:t>学位论文作者签名：</w:t>
      </w:r>
    </w:p>
    <w:p w14:paraId="7A8C131B">
      <w:pPr>
        <w:pStyle w:val="9"/>
        <w:spacing w:after="156" w:afterLines="50"/>
        <w:ind w:left="0" w:firstLine="480"/>
        <w:jc w:val="right"/>
        <w:rPr>
          <w:color w:val="auto"/>
          <w:sz w:val="24"/>
        </w:rPr>
      </w:pPr>
      <w:r>
        <w:rPr>
          <w:rFonts w:hint="eastAsia"/>
          <w:bCs/>
          <w:color w:val="auto"/>
          <w:sz w:val="24"/>
        </w:rPr>
        <w:t xml:space="preserve"> </w:t>
      </w:r>
      <w:r>
        <w:rPr>
          <w:bCs/>
          <w:color w:val="auto"/>
          <w:sz w:val="24"/>
        </w:rPr>
        <w:t xml:space="preserve">年 </w:t>
      </w:r>
      <w:r>
        <w:rPr>
          <w:rFonts w:hint="eastAsia"/>
          <w:bCs/>
          <w:color w:val="auto"/>
          <w:sz w:val="24"/>
        </w:rPr>
        <w:t xml:space="preserve"> </w:t>
      </w:r>
      <w:r>
        <w:rPr>
          <w:bCs/>
          <w:color w:val="auto"/>
          <w:sz w:val="24"/>
        </w:rPr>
        <w:t>月</w:t>
      </w:r>
      <w:r>
        <w:rPr>
          <w:rFonts w:hint="eastAsia"/>
          <w:bCs/>
          <w:color w:val="auto"/>
          <w:sz w:val="24"/>
        </w:rPr>
        <w:t xml:space="preserve">   </w:t>
      </w:r>
      <w:r>
        <w:rPr>
          <w:bCs/>
          <w:color w:val="auto"/>
          <w:sz w:val="24"/>
        </w:rPr>
        <w:t>日</w:t>
      </w:r>
    </w:p>
    <w:sectPr>
      <w:headerReference r:id="rId24" w:type="default"/>
      <w:footerReference r:id="rId25" w:type="default"/>
      <w:type w:val="oddPage"/>
      <w:pgSz w:w="11906" w:h="16838"/>
      <w:pgMar w:top="1440" w:right="1417" w:bottom="1440" w:left="1417" w:header="850" w:footer="992" w:gutter="0"/>
      <w:pgNumType w:fmt="decimal"/>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alibri (西文正文)">
    <w:altName w:val="宋体"/>
    <w:panose1 w:val="020B0604020202020204"/>
    <w:charset w:val="86"/>
    <w:family w:val="roman"/>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Arial">
    <w:panose1 w:val="020B0604020202020204"/>
    <w:charset w:val="00"/>
    <w:family w:val="swiss"/>
    <w:pitch w:val="default"/>
    <w:sig w:usb0="E0002EFF" w:usb1="C000785B" w:usb2="00000009" w:usb3="00000000" w:csb0="400001FF" w:csb1="FFFF0000"/>
  </w:font>
  <w:font w:name="Verdana">
    <w:panose1 w:val="020B0604030504040204"/>
    <w:charset w:val="00"/>
    <w:family w:val="swiss"/>
    <w:pitch w:val="default"/>
    <w:sig w:usb0="A00006FF" w:usb1="4000205B" w:usb2="00000010" w:usb3="00000000" w:csb0="2000019F" w:csb1="00000000"/>
  </w:font>
  <w:font w:name="等线 Light">
    <w:panose1 w:val="02010600030101010101"/>
    <w:charset w:val="86"/>
    <w:family w:val="auto"/>
    <w:pitch w:val="default"/>
    <w:sig w:usb0="A00002BF" w:usb1="38CF7CFA" w:usb2="00000016" w:usb3="00000000" w:csb0="0004000F" w:csb1="00000000"/>
  </w:font>
  <w:font w:name="楷体_GB2312">
    <w:panose1 w:val="02010609030101010101"/>
    <w:charset w:val="86"/>
    <w:family w:val="modern"/>
    <w:pitch w:val="default"/>
    <w:sig w:usb0="00000001" w:usb1="080E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88DAC">
    <w:pPr>
      <w:pStyle w:val="1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509D6">
    <w:pPr>
      <w:pStyle w:val="1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6E7F2">
    <w:pPr>
      <w:pStyle w:val="15"/>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FC3DBE">
    <w:pPr>
      <w:pStyle w:val="15"/>
      <w:ind w:firstLine="360"/>
      <w:jc w:val="both"/>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9A6DA">
    <w:pPr>
      <w:pStyle w:val="15"/>
      <w:keepNext w:val="0"/>
      <w:keepLines w:val="0"/>
      <w:pageBreakBefore w:val="0"/>
      <w:widowControl w:val="0"/>
      <w:kinsoku/>
      <w:wordWrap/>
      <w:overflowPunct/>
      <w:topLinePunct w:val="0"/>
      <w:bidi w:val="0"/>
      <w:adjustRightInd/>
      <w:snapToGrid w:val="0"/>
      <w:ind w:firstLine="0"/>
      <w:jc w:val="left"/>
      <w:textAlignment w:val="auto"/>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33705"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433705" cy="1828800"/>
                      </a:xfrm>
                      <a:prstGeom prst="rect">
                        <a:avLst/>
                      </a:prstGeom>
                      <a:noFill/>
                      <a:ln w="6350">
                        <a:noFill/>
                      </a:ln>
                      <a:effectLst/>
                    </wps:spPr>
                    <wps:txbx>
                      <w:txbxContent>
                        <w:p w14:paraId="0C2DAF45">
                          <w:pPr>
                            <w:pStyle w:val="15"/>
                            <w:keepNext w:val="0"/>
                            <w:keepLines w:val="0"/>
                            <w:pageBreakBefore w:val="0"/>
                            <w:widowControl w:val="0"/>
                            <w:kinsoku/>
                            <w:wordWrap/>
                            <w:overflowPunct/>
                            <w:topLinePunct w:val="0"/>
                            <w:bidi w:val="0"/>
                            <w:adjustRightInd/>
                            <w:snapToGrid w:val="0"/>
                            <w:ind w:firstLine="0"/>
                            <w:jc w:val="center"/>
                            <w:textAlignment w:val="auto"/>
                          </w:pPr>
                          <w:r>
                            <w:fldChar w:fldCharType="begin"/>
                          </w:r>
                          <w:r>
                            <w:instrText xml:space="preserve">PAGE   \* MERGEFORMAT</w:instrText>
                          </w:r>
                          <w:r>
                            <w:fldChar w:fldCharType="separate"/>
                          </w:r>
                          <w:r>
                            <w:rPr>
                              <w:lang w:val="zh-CN"/>
                            </w:rPr>
                            <w:t>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文本框 17" o:spid="_x0000_s1026" o:spt="202" type="#_x0000_t202" style="position:absolute;left:0pt;margin-top:0pt;height:144pt;width:34.15pt;mso-position-horizontal:center;mso-position-horizontal-relative:margin;z-index:251659264;mso-width-relative:page;mso-height-relative:page;" filled="f" stroked="f" coordsize="21600,21600" o:gfxdata="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PorV0NMAAAAEAQAADwAAAAAAAAABACAAAAAiAAAAZHJzL2Rvd25y&#10;ZXYueG1sUEsBAhQAFAAAAAgAh07iQF+U+0g8AgAAZQQAAA4AAAAAAAAAAQAgAAAAIgEAAGRycy9l&#10;Mm9Eb2MueG1sUEsFBgAAAAAGAAYAWQEAANAFAAAAAA==&#10;">
              <v:fill on="f" focussize="0,0"/>
              <v:stroke on="f" weight="0.5pt"/>
              <v:imagedata o:title=""/>
              <o:lock v:ext="edit" aspectratio="f"/>
              <v:textbox inset="0mm,0mm,0mm,0mm" style="mso-fit-shape-to-text:t;">
                <w:txbxContent>
                  <w:p w14:paraId="0C2DAF45">
                    <w:pPr>
                      <w:pStyle w:val="15"/>
                      <w:keepNext w:val="0"/>
                      <w:keepLines w:val="0"/>
                      <w:pageBreakBefore w:val="0"/>
                      <w:widowControl w:val="0"/>
                      <w:kinsoku/>
                      <w:wordWrap/>
                      <w:overflowPunct/>
                      <w:topLinePunct w:val="0"/>
                      <w:bidi w:val="0"/>
                      <w:adjustRightInd/>
                      <w:snapToGrid w:val="0"/>
                      <w:ind w:firstLine="0"/>
                      <w:jc w:val="center"/>
                      <w:textAlignment w:val="auto"/>
                    </w:pPr>
                    <w:r>
                      <w:fldChar w:fldCharType="begin"/>
                    </w:r>
                    <w:r>
                      <w:instrText xml:space="preserve">PAGE   \* MERGEFORMAT</w:instrText>
                    </w:r>
                    <w:r>
                      <w:fldChar w:fldCharType="separate"/>
                    </w:r>
                    <w:r>
                      <w:rPr>
                        <w:lang w:val="zh-CN"/>
                      </w:rPr>
                      <w:t>I</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0C143D">
    <w:pPr>
      <w:pStyle w:val="15"/>
      <w:jc w:val="left"/>
      <w:rPr>
        <w:rFonts w:hint="default"/>
        <w:lang w:val="en-US"/>
      </w:rPr>
    </w:pPr>
    <w:r>
      <mc:AlternateContent>
        <mc:Choice Requires="wps">
          <w:drawing>
            <wp:anchor distT="0" distB="0" distL="114300" distR="114300" simplePos="0" relativeHeight="251660288" behindDoc="0" locked="0" layoutInCell="1" allowOverlap="1">
              <wp:simplePos x="0" y="0"/>
              <wp:positionH relativeFrom="margin">
                <wp:posOffset>2629535</wp:posOffset>
              </wp:positionH>
              <wp:positionV relativeFrom="paragraph">
                <wp:posOffset>0</wp:posOffset>
              </wp:positionV>
              <wp:extent cx="501015" cy="137795"/>
              <wp:effectExtent l="0" t="0" r="0" b="0"/>
              <wp:wrapNone/>
              <wp:docPr id="1" name="文本框 1"/>
              <wp:cNvGraphicFramePr/>
              <a:graphic xmlns:a="http://schemas.openxmlformats.org/drawingml/2006/main">
                <a:graphicData uri="http://schemas.microsoft.com/office/word/2010/wordprocessingShape">
                  <wps:wsp>
                    <wps:cNvSpPr txBox="1"/>
                    <wps:spPr>
                      <a:xfrm>
                        <a:off x="0" y="0"/>
                        <a:ext cx="501015" cy="1377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81A4CC">
                          <w:pPr>
                            <w:pStyle w:val="15"/>
                            <w:keepNext w:val="0"/>
                            <w:keepLines w:val="0"/>
                            <w:pageBreakBefore w:val="0"/>
                            <w:widowControl w:val="0"/>
                            <w:kinsoku/>
                            <w:wordWrap/>
                            <w:overflowPunct/>
                            <w:topLinePunct w:val="0"/>
                            <w:bidi w:val="0"/>
                            <w:adjustRightInd/>
                            <w:snapToGrid w:val="0"/>
                            <w:ind w:firstLine="0"/>
                            <w:jc w:val="center"/>
                            <w:textAlignment w:val="auto"/>
                          </w:pPr>
                          <w:r>
                            <w:fldChar w:fldCharType="begin"/>
                          </w:r>
                          <w:r>
                            <w:instrText xml:space="preserve">PAGE   \* MERGEFORMAT</w:instrText>
                          </w:r>
                          <w:r>
                            <w:fldChar w:fldCharType="separate"/>
                          </w:r>
                          <w:r>
                            <w:rPr>
                              <w:lang w:val="zh-CN"/>
                            </w:rP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7.05pt;margin-top:0pt;height:10.85pt;width:39.45pt;mso-position-horizontal-relative:margin;z-index:251660288;mso-width-relative:page;mso-height-relative:page;" filled="f" stroked="f" coordsize="21600,21600" o:gfxdata="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BNMUl3WAAAABwEAAA8AAAAAAAAAAQAgAAAAIgAAAGRycy9kb3ducmV2LnhtbFBL&#10;AQIUABQAAAAIAIdO4kA864TKMQIAAFUEAAAOAAAAAAAAAAEAIAAAACUBAABkcnMvZTJvRG9jLnht&#10;bFBLBQYAAAAABgAGAFkBAADIBQAAAAA=&#10;">
              <v:fill on="f" focussize="0,0"/>
              <v:stroke on="f" weight="0.5pt"/>
              <v:imagedata o:title=""/>
              <o:lock v:ext="edit" aspectratio="f"/>
              <v:textbox inset="0mm,0mm,0mm,0mm">
                <w:txbxContent>
                  <w:p w14:paraId="2081A4CC">
                    <w:pPr>
                      <w:pStyle w:val="15"/>
                      <w:keepNext w:val="0"/>
                      <w:keepLines w:val="0"/>
                      <w:pageBreakBefore w:val="0"/>
                      <w:widowControl w:val="0"/>
                      <w:kinsoku/>
                      <w:wordWrap/>
                      <w:overflowPunct/>
                      <w:topLinePunct w:val="0"/>
                      <w:bidi w:val="0"/>
                      <w:adjustRightInd/>
                      <w:snapToGrid w:val="0"/>
                      <w:ind w:firstLine="0"/>
                      <w:jc w:val="center"/>
                      <w:textAlignment w:val="auto"/>
                    </w:pPr>
                    <w:r>
                      <w:fldChar w:fldCharType="begin"/>
                    </w:r>
                    <w:r>
                      <w:instrText xml:space="preserve">PAGE   \* MERGEFORMAT</w:instrText>
                    </w:r>
                    <w:r>
                      <w:fldChar w:fldCharType="separate"/>
                    </w:r>
                    <w:r>
                      <w:rPr>
                        <w:lang w:val="zh-CN"/>
                      </w:rPr>
                      <w:t>1</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102F7D">
    <w:pPr>
      <w:pStyle w:val="15"/>
      <w:keepNext w:val="0"/>
      <w:keepLines w:val="0"/>
      <w:pageBreakBefore w:val="0"/>
      <w:widowControl w:val="0"/>
      <w:kinsoku/>
      <w:wordWrap/>
      <w:overflowPunct/>
      <w:topLinePunct w:val="0"/>
      <w:bidi w:val="0"/>
      <w:adjustRightInd/>
      <w:snapToGrid w:val="0"/>
      <w:ind w:firstLine="0"/>
      <w:jc w:val="left"/>
      <w:textAlignment w:val="auto"/>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433705" cy="1828800"/>
              <wp:effectExtent l="0" t="0" r="0" b="0"/>
              <wp:wrapNone/>
              <wp:docPr id="5" name="文本框 17"/>
              <wp:cNvGraphicFramePr/>
              <a:graphic xmlns:a="http://schemas.openxmlformats.org/drawingml/2006/main">
                <a:graphicData uri="http://schemas.microsoft.com/office/word/2010/wordprocessingShape">
                  <wps:wsp>
                    <wps:cNvSpPr txBox="1"/>
                    <wps:spPr>
                      <a:xfrm>
                        <a:off x="0" y="0"/>
                        <a:ext cx="433705" cy="1828800"/>
                      </a:xfrm>
                      <a:prstGeom prst="rect">
                        <a:avLst/>
                      </a:prstGeom>
                      <a:noFill/>
                      <a:ln w="6350">
                        <a:noFill/>
                      </a:ln>
                      <a:effectLst/>
                    </wps:spPr>
                    <wps:txbx>
                      <w:txbxContent>
                        <w:p w14:paraId="3A821C5D">
                          <w:pPr>
                            <w:pStyle w:val="15"/>
                            <w:keepNext w:val="0"/>
                            <w:keepLines w:val="0"/>
                            <w:pageBreakBefore w:val="0"/>
                            <w:widowControl w:val="0"/>
                            <w:kinsoku/>
                            <w:wordWrap/>
                            <w:overflowPunct/>
                            <w:topLinePunct w:val="0"/>
                            <w:bidi w:val="0"/>
                            <w:adjustRightInd/>
                            <w:snapToGrid w:val="0"/>
                            <w:ind w:firstLine="0"/>
                            <w:jc w:val="center"/>
                            <w:textAlignment w:val="auto"/>
                          </w:pPr>
                          <w:r>
                            <w:fldChar w:fldCharType="begin"/>
                          </w:r>
                          <w:r>
                            <w:instrText xml:space="preserve">PAGE   \* MERGEFORMAT</w:instrText>
                          </w:r>
                          <w:r>
                            <w:fldChar w:fldCharType="separate"/>
                          </w:r>
                          <w:r>
                            <w:rPr>
                              <w:lang w:val="zh-CN"/>
                            </w:rPr>
                            <w:t>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文本框 17" o:spid="_x0000_s1026" o:spt="202" type="#_x0000_t202" style="position:absolute;left:0pt;margin-top:0pt;height:144pt;width:34.15pt;mso-position-horizontal:center;mso-position-horizontal-relative:margin;z-index:251661312;mso-width-relative:page;mso-height-relative:page;" filled="f" stroked="f" coordsize="21600,21600" o:gfxdata="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tXQ0wAAAAQBAAAPAAAAAAAAAAEAIAAAACIAAABkcnMvZG93bnJl&#10;di54bWxQSwECFAAUAAAACACHTuJAOV2MFTsCAABlBAAADgAAAAAAAAABACAAAAAiAQAAZHJzL2Uy&#10;b0RvYy54bWxQSwUGAAAAAAYABgBZAQAAzwUAAAAA&#10;">
              <v:fill on="f" focussize="0,0"/>
              <v:stroke on="f" weight="0.5pt"/>
              <v:imagedata o:title=""/>
              <o:lock v:ext="edit" aspectratio="f"/>
              <v:textbox inset="0mm,0mm,0mm,0mm" style="mso-fit-shape-to-text:t;">
                <w:txbxContent>
                  <w:p w14:paraId="3A821C5D">
                    <w:pPr>
                      <w:pStyle w:val="15"/>
                      <w:keepNext w:val="0"/>
                      <w:keepLines w:val="0"/>
                      <w:pageBreakBefore w:val="0"/>
                      <w:widowControl w:val="0"/>
                      <w:kinsoku/>
                      <w:wordWrap/>
                      <w:overflowPunct/>
                      <w:topLinePunct w:val="0"/>
                      <w:bidi w:val="0"/>
                      <w:adjustRightInd/>
                      <w:snapToGrid w:val="0"/>
                      <w:ind w:firstLine="0"/>
                      <w:jc w:val="center"/>
                      <w:textAlignment w:val="auto"/>
                    </w:pPr>
                    <w:r>
                      <w:fldChar w:fldCharType="begin"/>
                    </w:r>
                    <w:r>
                      <w:instrText xml:space="preserve">PAGE   \* MERGEFORMAT</w:instrText>
                    </w:r>
                    <w:r>
                      <w:fldChar w:fldCharType="separate"/>
                    </w:r>
                    <w:r>
                      <w:rPr>
                        <w:lang w:val="zh-CN"/>
                      </w:rPr>
                      <w:t>I</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8874D">
    <w:pPr>
      <w:pStyle w:val="15"/>
      <w:spacing w:before="120" w:after="120"/>
      <w:ind w:firstLine="360"/>
      <w:jc w:val="center"/>
    </w:pPr>
  </w:p>
  <w:p w14:paraId="51093436">
    <w:pPr>
      <w:pStyle w:val="15"/>
      <w:spacing w:before="120" w:after="120"/>
      <w:ind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5606EB">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4A4F62">
    <w:pPr>
      <w:pStyle w:val="1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E19592"/>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95C8F5"/>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5A6AD">
    <w:pPr>
      <w:pBdr>
        <w:bottom w:val="thinThickSmallGap" w:color="auto" w:sz="24" w:space="1"/>
      </w:pBdr>
      <w:jc w:val="center"/>
      <w:rPr>
        <w:rFonts w:hint="default" w:ascii="Times New Roman" w:hAnsi="Times New Roman" w:cs="Times New Roman"/>
        <w:sz w:val="18"/>
        <w:szCs w:val="18"/>
      </w:rPr>
    </w:pPr>
    <w:r>
      <w:rPr>
        <w:rFonts w:hint="default" w:ascii="Times New Roman" w:hAnsi="Times New Roman" w:cs="Times New Roman"/>
        <w:sz w:val="18"/>
        <w:szCs w:val="18"/>
      </w:rPr>
      <w:fldChar w:fldCharType="begin"/>
    </w:r>
    <w:r>
      <w:rPr>
        <w:rFonts w:hint="default" w:ascii="Times New Roman" w:hAnsi="Times New Roman" w:cs="Times New Roman"/>
        <w:sz w:val="18"/>
        <w:szCs w:val="18"/>
      </w:rPr>
      <w:instrText xml:space="preserve"> STYLEREF "标题 1"  \* MERGEFORMAT </w:instrText>
    </w:r>
    <w:r>
      <w:rPr>
        <w:rFonts w:hint="default" w:ascii="Times New Roman" w:hAnsi="Times New Roman" w:cs="Times New Roman"/>
        <w:sz w:val="18"/>
        <w:szCs w:val="18"/>
      </w:rPr>
      <w:fldChar w:fldCharType="separate"/>
    </w:r>
    <w:r>
      <w:rPr>
        <w:rFonts w:hint="default" w:ascii="Times New Roman" w:hAnsi="Times New Roman" w:cs="Times New Roman"/>
        <w:sz w:val="18"/>
        <w:szCs w:val="18"/>
      </w:rPr>
      <w:t>摘 要</w:t>
    </w:r>
    <w:r>
      <w:rPr>
        <w:rFonts w:hint="default" w:ascii="Times New Roman" w:hAnsi="Times New Roman" w:cs="Times New Roman"/>
        <w:sz w:val="18"/>
        <w:szCs w:val="18"/>
      </w:rP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47046">
    <w:pPr>
      <w:pBdr>
        <w:bottom w:val="thinThickSmallGap" w:color="auto" w:sz="24" w:space="1"/>
      </w:pBdr>
      <w:jc w:val="center"/>
      <w:rPr>
        <w:sz w:val="18"/>
        <w:szCs w:val="18"/>
      </w:rPr>
    </w:pPr>
    <w:r>
      <w:rPr>
        <w:rFonts w:hint="eastAsia"/>
        <w:sz w:val="18"/>
        <w:szCs w:val="18"/>
      </w:rPr>
      <w:t>西北工业大学硕士学位论文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A26892">
    <w:pPr>
      <w:pBdr>
        <w:bottom w:val="thinThickSmallGap" w:color="auto" w:sz="24" w:space="1"/>
      </w:pBdr>
      <w:jc w:val="center"/>
      <w:rPr>
        <w:rFonts w:hint="default" w:ascii="Times New Roman" w:hAnsi="Times New Roman" w:cs="Times New Roman"/>
        <w:sz w:val="18"/>
        <w:szCs w:val="18"/>
      </w:rPr>
    </w:pPr>
    <w:r>
      <w:rPr>
        <w:rFonts w:hint="default" w:ascii="Times New Roman" w:hAnsi="Times New Roman" w:cs="Times New Roman"/>
        <w:sz w:val="18"/>
        <w:szCs w:val="18"/>
      </w:rPr>
      <w:t>第1章 绪论</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DD83D9">
    <w:pPr>
      <w:pBdr>
        <w:bottom w:val="thinThickSmallGap" w:color="auto" w:sz="24" w:space="1"/>
      </w:pBdr>
      <w:jc w:val="center"/>
      <w:rPr>
        <w:sz w:val="18"/>
        <w:szCs w:val="18"/>
      </w:rPr>
    </w:pPr>
    <w:r>
      <w:rPr>
        <w:rFonts w:hint="eastAsia"/>
        <w:sz w:val="18"/>
        <w:szCs w:val="18"/>
      </w:rPr>
      <w:t>第</w:t>
    </w:r>
    <w:r>
      <w:rPr>
        <w:rFonts w:ascii="Times New Roman" w:hAnsi="Times New Roman" w:cs="Times New Roman"/>
        <w:sz w:val="18"/>
        <w:szCs w:val="18"/>
      </w:rPr>
      <w:t>2</w:t>
    </w:r>
    <w:r>
      <w:rPr>
        <w:rFonts w:hint="eastAsia"/>
        <w:sz w:val="18"/>
        <w:szCs w:val="18"/>
      </w:rPr>
      <w:t>章 相关理论方法与文献综述</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1BFD8">
    <w:pPr>
      <w:pBdr>
        <w:bottom w:val="thinThickSmallGap" w:color="auto" w:sz="24" w:space="1"/>
      </w:pBdr>
      <w:jc w:val="center"/>
      <w:rPr>
        <w:sz w:val="18"/>
        <w:szCs w:val="18"/>
      </w:rPr>
    </w:pPr>
    <w:r>
      <w:rPr>
        <w:rFonts w:hint="eastAsia"/>
        <w:sz w:val="18"/>
        <w:szCs w:val="18"/>
      </w:rPr>
      <w:t>第</w:t>
    </w:r>
    <w:r>
      <w:rPr>
        <w:rFonts w:ascii="Times New Roman" w:hAnsi="Times New Roman" w:cs="Times New Roman"/>
        <w:sz w:val="18"/>
        <w:szCs w:val="18"/>
      </w:rPr>
      <w:t>3</w:t>
    </w:r>
    <w:r>
      <w:rPr>
        <w:rFonts w:hint="eastAsia"/>
        <w:sz w:val="18"/>
        <w:szCs w:val="18"/>
      </w:rPr>
      <w:t xml:space="preserve">章 </w:t>
    </w:r>
    <w:r>
      <w:rPr>
        <w:rFonts w:ascii="Times New Roman" w:hAnsi="Times New Roman" w:cs="Times New Roman"/>
        <w:sz w:val="18"/>
        <w:szCs w:val="18"/>
      </w:rPr>
      <w:t>H</w:t>
    </w:r>
    <w:r>
      <w:rPr>
        <w:rFonts w:hint="eastAsia"/>
        <w:sz w:val="18"/>
        <w:szCs w:val="18"/>
      </w:rPr>
      <w:t>公司软件开发过程现状与主要问题</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620204">
    <w:pPr>
      <w:pBdr>
        <w:bottom w:val="thinThickSmallGap" w:color="auto" w:sz="24" w:space="1"/>
      </w:pBdr>
      <w:jc w:val="center"/>
      <w:rPr>
        <w:sz w:val="18"/>
        <w:szCs w:val="18"/>
      </w:rPr>
    </w:pPr>
    <w:r>
      <w:rPr>
        <w:rFonts w:hint="eastAsia"/>
        <w:sz w:val="18"/>
        <w:szCs w:val="18"/>
      </w:rPr>
      <w:t>第</w:t>
    </w:r>
    <w:r>
      <w:rPr>
        <w:rFonts w:ascii="Times New Roman" w:hAnsi="Times New Roman" w:cs="Times New Roman"/>
        <w:sz w:val="18"/>
        <w:szCs w:val="18"/>
      </w:rPr>
      <w:t>4</w:t>
    </w:r>
    <w:r>
      <w:rPr>
        <w:rFonts w:hint="eastAsia"/>
        <w:sz w:val="18"/>
        <w:szCs w:val="18"/>
      </w:rPr>
      <w:t xml:space="preserve">章 </w:t>
    </w:r>
    <w:r>
      <w:rPr>
        <w:rFonts w:ascii="Times New Roman" w:hAnsi="Times New Roman" w:cs="Times New Roman"/>
        <w:sz w:val="18"/>
        <w:szCs w:val="18"/>
      </w:rPr>
      <w:t>H</w:t>
    </w:r>
    <w:r>
      <w:rPr>
        <w:rFonts w:hint="eastAsia"/>
        <w:sz w:val="18"/>
        <w:szCs w:val="18"/>
      </w:rPr>
      <w:t>公司软件开发过程的改进方案</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82F81A">
    <w:pPr>
      <w:pBdr>
        <w:bottom w:val="thinThickSmallGap" w:color="auto" w:sz="24" w:space="1"/>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hint="eastAsia" w:ascii="Times New Roman" w:hAnsi="Times New Roman" w:cs="Times New Roman"/>
        <w:sz w:val="18"/>
        <w:szCs w:val="18"/>
      </w:rPr>
      <w:t>H公司软件开发过程改进方案的实施保障与预期效果</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B8AD16">
    <w:pPr>
      <w:pBdr>
        <w:bottom w:val="thinThickSmallGap" w:color="auto" w:sz="24" w:space="1"/>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hint="eastAsia" w:ascii="Times New Roman" w:hAnsi="Times New Roman" w:cs="Times New Roman"/>
        <w:sz w:val="18"/>
        <w:szCs w:val="18"/>
      </w:rPr>
      <w:t>研究结论与展望</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DB2DF">
    <w:pPr>
      <w:pBdr>
        <w:bottom w:val="thinThickSmallGap" w:color="auto" w:sz="24" w:space="1"/>
      </w:pBdr>
      <w:jc w:val="center"/>
      <w:rPr>
        <w:sz w:val="18"/>
        <w:szCs w:val="18"/>
      </w:rPr>
    </w:pPr>
    <w:r>
      <w:rPr>
        <w:rFonts w:hint="eastAsia"/>
        <w:sz w:val="18"/>
        <w:szCs w:val="18"/>
      </w:rPr>
      <w:t>参考文献</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6DD2F4">
    <w:pPr>
      <w:pBdr>
        <w:bottom w:val="thinThickSmallGap" w:color="auto" w:sz="24" w:space="1"/>
      </w:pBdr>
      <w:jc w:val="center"/>
      <w:rPr>
        <w:sz w:val="18"/>
        <w:szCs w:val="18"/>
      </w:rPr>
    </w:pPr>
    <w:r>
      <w:rPr>
        <w:rFonts w:hint="eastAsia"/>
        <w:sz w:val="18"/>
        <w:szCs w:val="18"/>
      </w:rPr>
      <w:t>致 谢</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4CF64E">
    <w:pPr>
      <w:pStyle w:val="16"/>
      <w:pBdr>
        <w:bottom w:val="none" w:color="auto" w:sz="0" w:space="1"/>
      </w:pBdr>
      <w:spacing w:before="120" w:after="120"/>
      <w:ind w:firstLine="360"/>
      <w:jc w:val="both"/>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documentProtection w:enforcement="0"/>
  <w:defaultTabStop w:val="420"/>
  <w:evenAndOddHeaders w:val="1"/>
  <w:drawingGridHorizontalSpacing w:val="105"/>
  <w:drawingGridVerticalSpacing w:val="156"/>
  <w:doNotShadeFormData w:val="1"/>
  <w:noPunctuationKerning w:val="1"/>
  <w:characterSpacingControl w:val="compressPunctuation"/>
  <w:doNotValidateAgainstSchema/>
  <w:doNotDemarcateInvalidXml/>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RmN2NiMWI4MGE1YjMxMjQ1NzJkNzUzM2VjMGZlMjgifQ=="/>
    <w:docVar w:name="KSO_WPS_MARK_KEY" w:val="d63ba261-d30c-4ebe-a8e9-06bf903f8dfa"/>
  </w:docVars>
  <w:rsids>
    <w:rsidRoot w:val="00172A27"/>
    <w:rsid w:val="0000013C"/>
    <w:rsid w:val="00000857"/>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764"/>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0AF"/>
    <w:rsid w:val="00205108"/>
    <w:rsid w:val="00206677"/>
    <w:rsid w:val="0020700F"/>
    <w:rsid w:val="00207074"/>
    <w:rsid w:val="002076AC"/>
    <w:rsid w:val="00207765"/>
    <w:rsid w:val="00207E0C"/>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104"/>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1A37"/>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93D"/>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6556"/>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4EE"/>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93F"/>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5E81"/>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1EE3"/>
    <w:rsid w:val="00762F81"/>
    <w:rsid w:val="00765912"/>
    <w:rsid w:val="00765F84"/>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70F"/>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9D3"/>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82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6F9"/>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05C"/>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12E3"/>
    <w:rsid w:val="00A1218D"/>
    <w:rsid w:val="00A12F64"/>
    <w:rsid w:val="00A13314"/>
    <w:rsid w:val="00A14A3A"/>
    <w:rsid w:val="00A14C23"/>
    <w:rsid w:val="00A14FE3"/>
    <w:rsid w:val="00A15771"/>
    <w:rsid w:val="00A15C05"/>
    <w:rsid w:val="00A17CE6"/>
    <w:rsid w:val="00A20C20"/>
    <w:rsid w:val="00A20FB7"/>
    <w:rsid w:val="00A21114"/>
    <w:rsid w:val="00A21A8C"/>
    <w:rsid w:val="00A21FF4"/>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0BFB"/>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2D3A"/>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50BB"/>
    <w:rsid w:val="00A86FF9"/>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2C3"/>
    <w:rsid w:val="00B55384"/>
    <w:rsid w:val="00B558DF"/>
    <w:rsid w:val="00B55C62"/>
    <w:rsid w:val="00B573AC"/>
    <w:rsid w:val="00B574A7"/>
    <w:rsid w:val="00B6167D"/>
    <w:rsid w:val="00B634A0"/>
    <w:rsid w:val="00B63AC1"/>
    <w:rsid w:val="00B6556E"/>
    <w:rsid w:val="00B65659"/>
    <w:rsid w:val="00B66122"/>
    <w:rsid w:val="00B661FF"/>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2620"/>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B26"/>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5BE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3B2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5AA"/>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1BDC"/>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500"/>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17D31"/>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0CA9"/>
    <w:rsid w:val="00FB1C1F"/>
    <w:rsid w:val="00FB1E53"/>
    <w:rsid w:val="00FB35DD"/>
    <w:rsid w:val="00FB38CC"/>
    <w:rsid w:val="00FB3C77"/>
    <w:rsid w:val="00FB4BA8"/>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B646D"/>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2251D7"/>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73588"/>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B48B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C20BD3"/>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39" w:semiHidden="0" w:name="toc 4"/>
    <w:lsdException w:unhideWhenUsed="0" w:uiPriority="39" w:semiHidden="0" w:name="toc 5"/>
    <w:lsdException w:unhideWhenUsed="0" w:uiPriority="39" w:semiHidden="0" w:name="toc 6"/>
    <w:lsdException w:unhideWhenUsed="0" w:uiPriority="39" w:semiHidden="0" w:name="toc 7"/>
    <w:lsdException w:unhideWhenUsed="0" w:uiPriority="39" w:semiHidden="0" w:name="toc 8"/>
    <w:lsdException w:unhideWhenUsed="0" w:uiPriority="39" w:semiHidden="0" w:name="toc 9"/>
    <w:lsdException w:unhideWhenUsed="0" w:uiPriority="0" w:semiHidden="0" w:name="Normal Indent"/>
    <w:lsdException w:qFormat="1" w:unhideWhenUsed="0" w:uiPriority="0" w:semiHidden="0" w:name="footnote text"/>
    <w:lsdException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qFormat="1"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iPriority="99"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0"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0"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rPr>
      <w:rFonts w:ascii="宋体" w:hAnsi="宋体" w:eastAsia="宋体" w:cs="宋体"/>
      <w:sz w:val="24"/>
      <w:szCs w:val="24"/>
      <w:lang w:val="en-US" w:eastAsia="zh-CN" w:bidi="ar-SA"/>
    </w:rPr>
  </w:style>
  <w:style w:type="paragraph" w:styleId="2">
    <w:name w:val="heading 1"/>
    <w:basedOn w:val="1"/>
    <w:next w:val="1"/>
    <w:link w:val="39"/>
    <w:qFormat/>
    <w:uiPriority w:val="9"/>
    <w:pPr>
      <w:keepNext/>
      <w:keepLines/>
      <w:widowControl w:val="0"/>
      <w:spacing w:before="156" w:beforeLines="50" w:line="400" w:lineRule="exact"/>
      <w:jc w:val="center"/>
      <w:outlineLvl w:val="0"/>
    </w:pPr>
    <w:rPr>
      <w:rFonts w:ascii="Times New Roman" w:hAnsi="Times New Roman" w:eastAsia="黑体" w:cs="Times New Roman"/>
      <w:bCs/>
      <w:kern w:val="44"/>
      <w:sz w:val="32"/>
      <w:szCs w:val="44"/>
    </w:rPr>
  </w:style>
  <w:style w:type="paragraph" w:styleId="3">
    <w:name w:val="heading 2"/>
    <w:basedOn w:val="1"/>
    <w:next w:val="1"/>
    <w:link w:val="97"/>
    <w:qFormat/>
    <w:uiPriority w:val="0"/>
    <w:pPr>
      <w:widowControl w:val="0"/>
      <w:adjustRightInd w:val="0"/>
      <w:snapToGrid w:val="0"/>
      <w:spacing w:before="156" w:beforeLines="50" w:line="400" w:lineRule="exact"/>
      <w:outlineLvl w:val="1"/>
    </w:pPr>
    <w:rPr>
      <w:rFonts w:ascii="黑体" w:hAnsi="黑体" w:eastAsia="黑体" w:cs="Times New Roman"/>
      <w:kern w:val="2"/>
      <w:sz w:val="28"/>
    </w:rPr>
  </w:style>
  <w:style w:type="paragraph" w:styleId="4">
    <w:name w:val="heading 3"/>
    <w:basedOn w:val="1"/>
    <w:next w:val="1"/>
    <w:link w:val="66"/>
    <w:qFormat/>
    <w:uiPriority w:val="0"/>
    <w:pPr>
      <w:keepNext/>
      <w:keepLines/>
      <w:widowControl w:val="0"/>
      <w:jc w:val="both"/>
      <w:outlineLvl w:val="2"/>
    </w:pPr>
    <w:rPr>
      <w:rFonts w:ascii="Times New Roman" w:hAnsi="Times New Roman" w:cs="Times New Roman"/>
      <w:bCs/>
      <w:kern w:val="2"/>
      <w:szCs w:val="32"/>
    </w:rPr>
  </w:style>
  <w:style w:type="paragraph" w:styleId="5">
    <w:name w:val="heading 4"/>
    <w:basedOn w:val="1"/>
    <w:next w:val="1"/>
    <w:link w:val="40"/>
    <w:unhideWhenUsed/>
    <w:qFormat/>
    <w:uiPriority w:val="9"/>
    <w:pPr>
      <w:keepNext/>
      <w:keepLines/>
      <w:widowControl w:val="0"/>
      <w:spacing w:before="280" w:after="290" w:line="376" w:lineRule="auto"/>
      <w:jc w:val="both"/>
      <w:outlineLvl w:val="3"/>
    </w:pPr>
    <w:rPr>
      <w:rFonts w:asciiTheme="majorHAnsi" w:hAnsiTheme="majorHAnsi" w:eastAsiaTheme="majorEastAsia" w:cstheme="majorBidi"/>
      <w:b/>
      <w:bCs/>
      <w:kern w:val="2"/>
      <w:sz w:val="28"/>
      <w:szCs w:val="28"/>
    </w:rPr>
  </w:style>
  <w:style w:type="paragraph" w:styleId="6">
    <w:name w:val="heading 5"/>
    <w:basedOn w:val="1"/>
    <w:next w:val="1"/>
    <w:link w:val="41"/>
    <w:unhideWhenUsed/>
    <w:qFormat/>
    <w:uiPriority w:val="9"/>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32">
    <w:name w:val="Default Paragraph Font"/>
    <w:semiHidden/>
    <w:unhideWhenUsed/>
    <w:uiPriority w:val="1"/>
  </w:style>
  <w:style w:type="table" w:default="1" w:styleId="27">
    <w:name w:val="Normal Table"/>
    <w:semiHidden/>
    <w:unhideWhenUsed/>
    <w:uiPriority w:val="99"/>
    <w:tblPr>
      <w:tblCellMar>
        <w:top w:w="0" w:type="dxa"/>
        <w:left w:w="108" w:type="dxa"/>
        <w:bottom w:w="0" w:type="dxa"/>
        <w:right w:w="108" w:type="dxa"/>
      </w:tblCellMar>
    </w:tblPr>
  </w:style>
  <w:style w:type="paragraph" w:styleId="7">
    <w:name w:val="toc 7"/>
    <w:basedOn w:val="1"/>
    <w:next w:val="1"/>
    <w:autoRedefine/>
    <w:uiPriority w:val="39"/>
    <w:pPr>
      <w:ind w:left="1440"/>
    </w:pPr>
    <w:rPr>
      <w:rFonts w:asciiTheme="minorHAnsi" w:hAnsiTheme="minorHAnsi" w:cstheme="minorHAnsi"/>
      <w:sz w:val="18"/>
      <w:szCs w:val="18"/>
    </w:rPr>
  </w:style>
  <w:style w:type="paragraph" w:styleId="8">
    <w:name w:val="Body Text"/>
    <w:basedOn w:val="1"/>
    <w:qFormat/>
    <w:uiPriority w:val="1"/>
    <w:pPr>
      <w:widowControl w:val="0"/>
      <w:jc w:val="both"/>
    </w:pPr>
    <w:rPr>
      <w:kern w:val="2"/>
      <w:lang w:eastAsia="en-US" w:bidi="en-US"/>
    </w:rPr>
  </w:style>
  <w:style w:type="paragraph" w:styleId="9">
    <w:name w:val="List 2"/>
    <w:basedOn w:val="1"/>
    <w:qFormat/>
    <w:uiPriority w:val="0"/>
    <w:pPr>
      <w:widowControl w:val="0"/>
      <w:adjustRightInd w:val="0"/>
      <w:snapToGrid w:val="0"/>
      <w:spacing w:line="400" w:lineRule="exact"/>
      <w:ind w:left="420"/>
      <w:jc w:val="center"/>
    </w:pPr>
    <w:rPr>
      <w:rFonts w:ascii="Times New Roman" w:hAnsi="Times New Roman" w:cs="Times New Roman"/>
      <w:kern w:val="2"/>
      <w:sz w:val="21"/>
    </w:rPr>
  </w:style>
  <w:style w:type="paragraph" w:styleId="10">
    <w:name w:val="toc 5"/>
    <w:basedOn w:val="1"/>
    <w:next w:val="1"/>
    <w:autoRedefine/>
    <w:uiPriority w:val="39"/>
    <w:pPr>
      <w:ind w:left="960"/>
    </w:pPr>
    <w:rPr>
      <w:rFonts w:asciiTheme="minorHAnsi" w:hAnsiTheme="minorHAnsi" w:cstheme="minorHAnsi"/>
      <w:sz w:val="18"/>
      <w:szCs w:val="18"/>
    </w:rPr>
  </w:style>
  <w:style w:type="paragraph" w:styleId="11">
    <w:name w:val="toc 3"/>
    <w:basedOn w:val="1"/>
    <w:next w:val="1"/>
    <w:autoRedefine/>
    <w:qFormat/>
    <w:uiPriority w:val="39"/>
    <w:pPr>
      <w:spacing w:line="400" w:lineRule="exact"/>
      <w:ind w:left="400" w:leftChars="400"/>
    </w:pPr>
    <w:rPr>
      <w:rFonts w:ascii="Times New Roman" w:hAnsi="Times New Roman" w:cs="Calibri (西文正文)"/>
      <w:iCs/>
      <w:szCs w:val="20"/>
    </w:rPr>
  </w:style>
  <w:style w:type="paragraph" w:styleId="12">
    <w:name w:val="toc 8"/>
    <w:basedOn w:val="1"/>
    <w:next w:val="1"/>
    <w:autoRedefine/>
    <w:uiPriority w:val="39"/>
    <w:pPr>
      <w:ind w:left="1680"/>
    </w:pPr>
    <w:rPr>
      <w:rFonts w:asciiTheme="minorHAnsi" w:hAnsiTheme="minorHAnsi" w:cstheme="minorHAnsi"/>
      <w:sz w:val="18"/>
      <w:szCs w:val="18"/>
    </w:rPr>
  </w:style>
  <w:style w:type="paragraph" w:styleId="13">
    <w:name w:val="Date"/>
    <w:basedOn w:val="1"/>
    <w:next w:val="1"/>
    <w:qFormat/>
    <w:uiPriority w:val="0"/>
    <w:pPr>
      <w:widowControl w:val="0"/>
      <w:ind w:left="100" w:leftChars="2500"/>
      <w:jc w:val="both"/>
    </w:pPr>
    <w:rPr>
      <w:rFonts w:ascii="Times New Roman" w:hAnsi="Times New Roman" w:cs="Times New Roman"/>
      <w:kern w:val="2"/>
      <w:sz w:val="21"/>
    </w:rPr>
  </w:style>
  <w:style w:type="paragraph" w:styleId="14">
    <w:name w:val="Balloon Text"/>
    <w:basedOn w:val="1"/>
    <w:link w:val="90"/>
    <w:uiPriority w:val="0"/>
    <w:rPr>
      <w:sz w:val="18"/>
      <w:szCs w:val="18"/>
    </w:rPr>
  </w:style>
  <w:style w:type="paragraph" w:styleId="15">
    <w:name w:val="footer"/>
    <w:basedOn w:val="1"/>
    <w:link w:val="42"/>
    <w:qFormat/>
    <w:uiPriority w:val="99"/>
    <w:pPr>
      <w:widowControl w:val="0"/>
      <w:tabs>
        <w:tab w:val="center" w:pos="4153"/>
        <w:tab w:val="right" w:pos="8306"/>
      </w:tabs>
      <w:snapToGrid w:val="0"/>
    </w:pPr>
    <w:rPr>
      <w:rFonts w:ascii="Times New Roman" w:hAnsi="Times New Roman" w:cs="Times New Roman"/>
      <w:kern w:val="2"/>
      <w:sz w:val="18"/>
      <w:szCs w:val="18"/>
    </w:rPr>
  </w:style>
  <w:style w:type="paragraph" w:styleId="16">
    <w:name w:val="header"/>
    <w:basedOn w:val="1"/>
    <w:link w:val="43"/>
    <w:qFormat/>
    <w:uiPriority w:val="99"/>
    <w:pPr>
      <w:widowControl w:val="0"/>
      <w:pBdr>
        <w:bottom w:val="single" w:color="auto" w:sz="6" w:space="1"/>
      </w:pBdr>
      <w:tabs>
        <w:tab w:val="center" w:pos="4153"/>
        <w:tab w:val="right" w:pos="8306"/>
      </w:tabs>
      <w:snapToGrid w:val="0"/>
      <w:jc w:val="center"/>
    </w:pPr>
    <w:rPr>
      <w:rFonts w:ascii="Times New Roman" w:hAnsi="Times New Roman" w:cs="Times New Roman"/>
      <w:kern w:val="2"/>
      <w:sz w:val="18"/>
      <w:szCs w:val="18"/>
    </w:rPr>
  </w:style>
  <w:style w:type="paragraph" w:styleId="17">
    <w:name w:val="toc 1"/>
    <w:basedOn w:val="1"/>
    <w:next w:val="1"/>
    <w:autoRedefine/>
    <w:qFormat/>
    <w:uiPriority w:val="39"/>
    <w:pPr>
      <w:widowControl w:val="0"/>
      <w:tabs>
        <w:tab w:val="right" w:leader="dot" w:pos="9061"/>
      </w:tabs>
      <w:spacing w:line="400" w:lineRule="exact"/>
    </w:pPr>
    <w:rPr>
      <w:rFonts w:ascii="Times New Roman" w:hAnsi="Times New Roman" w:cs="Calibri (西文正文)"/>
      <w:bCs/>
      <w:szCs w:val="20"/>
    </w:rPr>
  </w:style>
  <w:style w:type="paragraph" w:styleId="18">
    <w:name w:val="toc 4"/>
    <w:basedOn w:val="1"/>
    <w:next w:val="1"/>
    <w:autoRedefine/>
    <w:uiPriority w:val="39"/>
    <w:pPr>
      <w:ind w:left="720"/>
    </w:pPr>
    <w:rPr>
      <w:rFonts w:asciiTheme="minorHAnsi" w:hAnsiTheme="minorHAnsi" w:cstheme="minorHAnsi"/>
      <w:sz w:val="18"/>
      <w:szCs w:val="18"/>
    </w:rPr>
  </w:style>
  <w:style w:type="paragraph" w:styleId="19">
    <w:name w:val="footnote text"/>
    <w:basedOn w:val="1"/>
    <w:link w:val="44"/>
    <w:qFormat/>
    <w:uiPriority w:val="0"/>
    <w:rPr>
      <w:rFonts w:ascii="等线" w:hAnsi="等线" w:eastAsia="等线" w:cs="Times New Roman"/>
      <w:sz w:val="20"/>
      <w:szCs w:val="20"/>
    </w:rPr>
  </w:style>
  <w:style w:type="paragraph" w:styleId="20">
    <w:name w:val="toc 6"/>
    <w:basedOn w:val="1"/>
    <w:next w:val="1"/>
    <w:autoRedefine/>
    <w:uiPriority w:val="39"/>
    <w:pPr>
      <w:ind w:left="1200"/>
    </w:pPr>
    <w:rPr>
      <w:rFonts w:asciiTheme="minorHAnsi" w:hAnsiTheme="minorHAnsi" w:cstheme="minorHAnsi"/>
      <w:sz w:val="18"/>
      <w:szCs w:val="18"/>
    </w:rPr>
  </w:style>
  <w:style w:type="paragraph" w:styleId="21">
    <w:name w:val="Body Text Indent 3"/>
    <w:basedOn w:val="1"/>
    <w:qFormat/>
    <w:uiPriority w:val="0"/>
    <w:pPr>
      <w:widowControl w:val="0"/>
      <w:spacing w:line="400" w:lineRule="exact"/>
      <w:ind w:left="108"/>
    </w:pPr>
    <w:rPr>
      <w:rFonts w:ascii="Times New Roman" w:hAnsi="Times New Roman" w:cs="Times New Roman"/>
      <w:kern w:val="2"/>
      <w:sz w:val="21"/>
      <w:szCs w:val="20"/>
    </w:rPr>
  </w:style>
  <w:style w:type="paragraph" w:styleId="22">
    <w:name w:val="toc 2"/>
    <w:basedOn w:val="1"/>
    <w:next w:val="1"/>
    <w:autoRedefine/>
    <w:qFormat/>
    <w:uiPriority w:val="39"/>
    <w:pPr>
      <w:spacing w:line="400" w:lineRule="exact"/>
      <w:ind w:left="200" w:leftChars="200"/>
    </w:pPr>
    <w:rPr>
      <w:rFonts w:ascii="Times New Roman" w:hAnsi="Times New Roman" w:cs="Calibri (西文正文)"/>
      <w:szCs w:val="20"/>
    </w:rPr>
  </w:style>
  <w:style w:type="paragraph" w:styleId="23">
    <w:name w:val="toc 9"/>
    <w:basedOn w:val="1"/>
    <w:next w:val="1"/>
    <w:autoRedefine/>
    <w:uiPriority w:val="39"/>
    <w:pPr>
      <w:ind w:left="1920"/>
    </w:pPr>
    <w:rPr>
      <w:rFonts w:asciiTheme="minorHAnsi" w:hAnsiTheme="minorHAnsi" w:cstheme="minorHAnsi"/>
      <w:sz w:val="18"/>
      <w:szCs w:val="18"/>
    </w:rPr>
  </w:style>
  <w:style w:type="paragraph" w:styleId="24">
    <w:name w:val="Body Text 2"/>
    <w:basedOn w:val="1"/>
    <w:qFormat/>
    <w:uiPriority w:val="0"/>
    <w:pPr>
      <w:widowControl w:val="0"/>
      <w:jc w:val="both"/>
    </w:pPr>
    <w:rPr>
      <w:rFonts w:ascii="Times New Roman" w:hAnsi="Times New Roman" w:eastAsia="仿宋_GB2312" w:cs="Times New Roman"/>
      <w:kern w:val="2"/>
      <w:sz w:val="28"/>
      <w:szCs w:val="20"/>
    </w:rPr>
  </w:style>
  <w:style w:type="paragraph" w:styleId="25">
    <w:name w:val="HTML Preformatted"/>
    <w:basedOn w:val="1"/>
    <w:link w:val="76"/>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styleId="26">
    <w:name w:val="Normal (Web)"/>
    <w:basedOn w:val="1"/>
    <w:unhideWhenUsed/>
    <w:uiPriority w:val="99"/>
    <w:pPr>
      <w:spacing w:before="100" w:beforeAutospacing="1" w:after="100" w:afterAutospacing="1"/>
    </w:pPr>
  </w:style>
  <w:style w:type="table" w:styleId="28">
    <w:name w:val="Table Grid"/>
    <w:basedOn w:val="2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9">
    <w:name w:val="Light Shading Accent 1"/>
    <w:basedOn w:val="27"/>
    <w:qFormat/>
    <w:uiPriority w:val="0"/>
    <w:rPr>
      <w:rFonts w:ascii="等线" w:hAnsi="等线" w:eastAsia="等线"/>
      <w:color w:val="2F5496"/>
      <w:sz w:val="22"/>
      <w:szCs w:val="22"/>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single" w:color="4472C4"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472C4" w:sz="8" w:space="0"/>
          <w:left w:val="single" w:color="4472C4"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0">
    <w:name w:val="Light List Accent 3"/>
    <w:basedOn w:val="27"/>
    <w:qFormat/>
    <w:uiPriority w:val="0"/>
    <w:rPr>
      <w:rFonts w:ascii="等线" w:hAnsi="等线" w:eastAsia="等线"/>
      <w:sz w:val="22"/>
      <w:szCs w:val="22"/>
    </w:rPr>
    <w:tblPr>
      <w:tblBorders>
        <w:top w:val="single" w:color="A5A5A5" w:sz="8" w:space="0"/>
        <w:left w:val="single" w:color="A5A5A5" w:sz="8" w:space="0"/>
        <w:bottom w:val="single" w:color="A5A5A5" w:sz="8" w:space="0"/>
        <w:right w:val="single" w:color="A5A5A5" w:sz="8" w:space="0"/>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color="A5A5A5" w:sz="6" w:space="0"/>
          <w:left w:val="single" w:color="A5A5A5" w:sz="8" w:space="0"/>
          <w:bottom w:val="single" w:color="A5A5A5" w:sz="8" w:space="0"/>
          <w:right w:val="single" w:color="A5A5A5"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A5A5A5" w:sz="8" w:space="0"/>
          <w:left w:val="single" w:color="A5A5A5" w:sz="8" w:space="0"/>
          <w:bottom w:val="single" w:color="A5A5A5" w:sz="8" w:space="0"/>
          <w:right w:val="single" w:color="A5A5A5" w:sz="8" w:space="0"/>
          <w:insideH w:val="nil"/>
          <w:insideV w:val="nil"/>
          <w:tl2br w:val="nil"/>
          <w:tr2bl w:val="nil"/>
        </w:tcBorders>
      </w:tcPr>
    </w:tblStylePr>
    <w:tblStylePr w:type="band1Horz">
      <w:tblPr/>
      <w:tcPr>
        <w:tcBorders>
          <w:top w:val="single" w:color="A5A5A5" w:sz="8" w:space="0"/>
          <w:left w:val="single" w:color="A5A5A5" w:sz="8" w:space="0"/>
          <w:bottom w:val="single" w:color="A5A5A5" w:sz="8" w:space="0"/>
          <w:right w:val="single" w:color="A5A5A5" w:sz="8" w:space="0"/>
          <w:insideH w:val="nil"/>
          <w:insideV w:val="nil"/>
          <w:tl2br w:val="nil"/>
          <w:tr2bl w:val="nil"/>
        </w:tcBorders>
      </w:tcPr>
    </w:tblStylePr>
  </w:style>
  <w:style w:type="table" w:styleId="31">
    <w:name w:val="Medium Shading 2 Accent 5"/>
    <w:basedOn w:val="27"/>
    <w:qFormat/>
    <w:uiPriority w:val="0"/>
    <w:rPr>
      <w:rFonts w:ascii="等线" w:hAnsi="等线" w:eastAsia="等线"/>
      <w:sz w:val="22"/>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character" w:styleId="33">
    <w:name w:val="Strong"/>
    <w:qFormat/>
    <w:uiPriority w:val="22"/>
    <w:rPr>
      <w:rFonts w:ascii="Times New Roman" w:hAnsi="Times New Roman" w:eastAsia="宋体" w:cs="Times New Roman"/>
      <w:b/>
      <w:bCs/>
    </w:rPr>
  </w:style>
  <w:style w:type="character" w:styleId="34">
    <w:name w:val="page number"/>
    <w:qFormat/>
    <w:uiPriority w:val="0"/>
    <w:rPr>
      <w:rFonts w:ascii="Times New Roman" w:hAnsi="Times New Roman" w:eastAsia="宋体" w:cs="Times New Roman"/>
    </w:rPr>
  </w:style>
  <w:style w:type="character" w:styleId="35">
    <w:name w:val="FollowedHyperlink"/>
    <w:basedOn w:val="32"/>
    <w:uiPriority w:val="0"/>
    <w:rPr>
      <w:color w:val="800080" w:themeColor="followedHyperlink"/>
      <w:u w:val="single"/>
      <w14:textFill>
        <w14:solidFill>
          <w14:schemeClr w14:val="folHlink"/>
        </w14:solidFill>
      </w14:textFill>
    </w:rPr>
  </w:style>
  <w:style w:type="character" w:styleId="36">
    <w:name w:val="Emphasis"/>
    <w:qFormat/>
    <w:uiPriority w:val="20"/>
    <w:rPr>
      <w:rFonts w:ascii="Times New Roman" w:hAnsi="Times New Roman" w:eastAsia="宋体" w:cs="Times New Roman"/>
      <w:i/>
    </w:rPr>
  </w:style>
  <w:style w:type="character" w:styleId="37">
    <w:name w:val="Hyperlink"/>
    <w:qFormat/>
    <w:uiPriority w:val="99"/>
    <w:rPr>
      <w:rFonts w:ascii="Arial" w:hAnsi="Arial" w:eastAsia="宋体" w:cs="Arial"/>
      <w:color w:val="333333"/>
      <w:sz w:val="12"/>
      <w:szCs w:val="12"/>
      <w:u w:val="none"/>
    </w:rPr>
  </w:style>
  <w:style w:type="character" w:styleId="38">
    <w:name w:val="HTML Code"/>
    <w:basedOn w:val="32"/>
    <w:unhideWhenUsed/>
    <w:uiPriority w:val="99"/>
    <w:rPr>
      <w:rFonts w:ascii="宋体" w:hAnsi="宋体" w:eastAsia="宋体" w:cs="宋体"/>
      <w:sz w:val="24"/>
      <w:szCs w:val="24"/>
    </w:rPr>
  </w:style>
  <w:style w:type="character" w:customStyle="1" w:styleId="39">
    <w:name w:val="标题 1 字符"/>
    <w:link w:val="2"/>
    <w:qFormat/>
    <w:uiPriority w:val="9"/>
    <w:rPr>
      <w:rFonts w:eastAsia="黑体"/>
      <w:bCs/>
      <w:kern w:val="44"/>
      <w:sz w:val="32"/>
      <w:szCs w:val="44"/>
    </w:rPr>
  </w:style>
  <w:style w:type="character" w:customStyle="1" w:styleId="40">
    <w:name w:val="标题 4 字符"/>
    <w:basedOn w:val="32"/>
    <w:link w:val="5"/>
    <w:qFormat/>
    <w:uiPriority w:val="9"/>
    <w:rPr>
      <w:rFonts w:asciiTheme="majorHAnsi" w:hAnsiTheme="majorHAnsi" w:eastAsiaTheme="majorEastAsia" w:cstheme="majorBidi"/>
      <w:b/>
      <w:bCs/>
      <w:kern w:val="2"/>
      <w:sz w:val="28"/>
      <w:szCs w:val="28"/>
    </w:rPr>
  </w:style>
  <w:style w:type="character" w:customStyle="1" w:styleId="41">
    <w:name w:val="标题 5 字符"/>
    <w:basedOn w:val="32"/>
    <w:link w:val="6"/>
    <w:uiPriority w:val="9"/>
    <w:rPr>
      <w:b/>
      <w:bCs/>
      <w:kern w:val="2"/>
      <w:sz w:val="28"/>
      <w:szCs w:val="28"/>
    </w:rPr>
  </w:style>
  <w:style w:type="character" w:customStyle="1" w:styleId="42">
    <w:name w:val="页脚 字符"/>
    <w:link w:val="15"/>
    <w:qFormat/>
    <w:uiPriority w:val="99"/>
    <w:rPr>
      <w:rFonts w:ascii="Times New Roman" w:hAnsi="Times New Roman" w:eastAsia="宋体" w:cs="Times New Roman"/>
      <w:kern w:val="2"/>
      <w:sz w:val="18"/>
      <w:szCs w:val="18"/>
    </w:rPr>
  </w:style>
  <w:style w:type="character" w:customStyle="1" w:styleId="43">
    <w:name w:val="页眉 字符"/>
    <w:link w:val="16"/>
    <w:qFormat/>
    <w:uiPriority w:val="99"/>
    <w:rPr>
      <w:rFonts w:ascii="Times New Roman" w:hAnsi="Times New Roman" w:eastAsia="宋体" w:cs="Times New Roman"/>
      <w:kern w:val="2"/>
      <w:sz w:val="18"/>
      <w:szCs w:val="18"/>
    </w:rPr>
  </w:style>
  <w:style w:type="character" w:customStyle="1" w:styleId="44">
    <w:name w:val="脚注文本 字符"/>
    <w:link w:val="19"/>
    <w:qFormat/>
    <w:uiPriority w:val="0"/>
    <w:rPr>
      <w:rFonts w:ascii="等线" w:hAnsi="等线" w:eastAsia="等线" w:cs="Times New Roman"/>
    </w:rPr>
  </w:style>
  <w:style w:type="paragraph" w:customStyle="1" w:styleId="45">
    <w:name w:val="WPSOffice手动目录 3"/>
    <w:qFormat/>
    <w:uiPriority w:val="0"/>
    <w:pPr>
      <w:ind w:left="400" w:leftChars="400"/>
    </w:pPr>
    <w:rPr>
      <w:rFonts w:ascii="Times New Roman" w:hAnsi="Times New Roman" w:eastAsia="宋体" w:cs="Times New Roman"/>
      <w:lang w:val="en-US" w:eastAsia="zh-CN" w:bidi="ar-SA"/>
    </w:rPr>
  </w:style>
  <w:style w:type="paragraph" w:styleId="46">
    <w:name w:val="List Paragraph"/>
    <w:basedOn w:val="1"/>
    <w:qFormat/>
    <w:uiPriority w:val="1"/>
    <w:pPr>
      <w:widowControl w:val="0"/>
      <w:ind w:left="880" w:hanging="241"/>
      <w:jc w:val="both"/>
    </w:pPr>
    <w:rPr>
      <w:kern w:val="2"/>
      <w:sz w:val="21"/>
      <w:lang w:eastAsia="en-US" w:bidi="en-US"/>
    </w:rPr>
  </w:style>
  <w:style w:type="paragraph" w:customStyle="1" w:styleId="47">
    <w:name w:val="WPSOffice手动目录 1"/>
    <w:qFormat/>
    <w:uiPriority w:val="0"/>
    <w:rPr>
      <w:rFonts w:ascii="Times New Roman" w:hAnsi="Times New Roman" w:eastAsia="宋体" w:cs="Times New Roman"/>
      <w:lang w:val="en-US" w:eastAsia="zh-CN" w:bidi="ar-SA"/>
    </w:rPr>
  </w:style>
  <w:style w:type="paragraph" w:customStyle="1" w:styleId="48">
    <w:name w:val="Char Char Char Char Char Char Char"/>
    <w:basedOn w:val="1"/>
    <w:qFormat/>
    <w:uiPriority w:val="0"/>
    <w:pPr>
      <w:spacing w:after="160" w:line="240" w:lineRule="exact"/>
    </w:pPr>
    <w:rPr>
      <w:rFonts w:ascii="Arial" w:hAnsi="Arial" w:eastAsia="Times New Roman" w:cs="Verdana"/>
      <w:b/>
      <w:lang w:eastAsia="en-US"/>
    </w:rPr>
  </w:style>
  <w:style w:type="paragraph" w:customStyle="1" w:styleId="49">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50">
    <w:name w:val="Decimal Aligned"/>
    <w:basedOn w:val="1"/>
    <w:qFormat/>
    <w:uiPriority w:val="0"/>
    <w:pPr>
      <w:tabs>
        <w:tab w:val="decimal" w:pos="360"/>
      </w:tabs>
      <w:spacing w:after="200" w:line="276" w:lineRule="auto"/>
    </w:pPr>
    <w:rPr>
      <w:rFonts w:ascii="等线" w:hAnsi="等线" w:eastAsia="等线" w:cs="Times New Roman"/>
      <w:sz w:val="22"/>
      <w:szCs w:val="22"/>
    </w:rPr>
  </w:style>
  <w:style w:type="paragraph" w:customStyle="1" w:styleId="51">
    <w:name w:val="_Style 29"/>
    <w:basedOn w:val="2"/>
    <w:next w:val="1"/>
    <w:qFormat/>
    <w:uiPriority w:val="39"/>
    <w:pPr>
      <w:widowControl/>
      <w:spacing w:before="240" w:line="259" w:lineRule="auto"/>
      <w:jc w:val="left"/>
      <w:outlineLvl w:val="9"/>
    </w:pPr>
    <w:rPr>
      <w:rFonts w:ascii="等线 Light" w:hAnsi="等线 Light" w:eastAsia="等线 Light"/>
      <w:b/>
      <w:bCs w:val="0"/>
      <w:color w:val="2F5496"/>
      <w:kern w:val="0"/>
      <w:szCs w:val="32"/>
    </w:rPr>
  </w:style>
  <w:style w:type="character" w:customStyle="1" w:styleId="52">
    <w:name w:val="ztitle"/>
    <w:qFormat/>
    <w:uiPriority w:val="0"/>
  </w:style>
  <w:style w:type="character" w:customStyle="1" w:styleId="53">
    <w:name w:val="a-size-extra-large"/>
    <w:qFormat/>
    <w:uiPriority w:val="0"/>
  </w:style>
  <w:style w:type="character" w:customStyle="1" w:styleId="54">
    <w:name w:val="_Style 36"/>
    <w:qFormat/>
    <w:uiPriority w:val="0"/>
    <w:rPr>
      <w:rFonts w:ascii="Times New Roman" w:hAnsi="Times New Roman" w:eastAsia="宋体" w:cs="Times New Roman"/>
      <w:i/>
      <w:iCs/>
    </w:rPr>
  </w:style>
  <w:style w:type="character" w:customStyle="1" w:styleId="55">
    <w:name w:val="font21"/>
    <w:basedOn w:val="32"/>
    <w:qFormat/>
    <w:uiPriority w:val="0"/>
    <w:rPr>
      <w:rFonts w:hint="eastAsia" w:ascii="宋体" w:hAnsi="宋体" w:eastAsia="宋体" w:cs="宋体"/>
      <w:b/>
      <w:bCs/>
      <w:color w:val="000000"/>
      <w:sz w:val="18"/>
      <w:szCs w:val="18"/>
      <w:u w:val="none"/>
    </w:rPr>
  </w:style>
  <w:style w:type="character" w:customStyle="1" w:styleId="56">
    <w:name w:val="font01"/>
    <w:basedOn w:val="32"/>
    <w:qFormat/>
    <w:uiPriority w:val="0"/>
    <w:rPr>
      <w:rFonts w:hint="eastAsia" w:ascii="宋体" w:hAnsi="宋体" w:eastAsia="宋体" w:cs="宋体"/>
      <w:color w:val="000000"/>
      <w:sz w:val="18"/>
      <w:szCs w:val="18"/>
      <w:u w:val="none"/>
    </w:rPr>
  </w:style>
  <w:style w:type="paragraph" w:customStyle="1" w:styleId="57">
    <w:name w:val="内容正文1"/>
    <w:link w:val="58"/>
    <w:qFormat/>
    <w:uiPriority w:val="0"/>
    <w:pPr>
      <w:adjustRightInd w:val="0"/>
      <w:snapToGrid w:val="0"/>
      <w:spacing w:line="400" w:lineRule="exact"/>
      <w:ind w:firstLine="200" w:firstLineChars="200"/>
    </w:pPr>
    <w:rPr>
      <w:rFonts w:ascii="Times New Roman" w:hAnsi="Times New Roman" w:eastAsia="宋体" w:cstheme="majorBidi"/>
      <w:bCs/>
      <w:kern w:val="2"/>
      <w:sz w:val="24"/>
      <w:szCs w:val="32"/>
      <w:lang w:val="en-US" w:eastAsia="zh-CN" w:bidi="ar-SA"/>
    </w:rPr>
  </w:style>
  <w:style w:type="character" w:customStyle="1" w:styleId="58">
    <w:name w:val="内容正文1 字符"/>
    <w:basedOn w:val="32"/>
    <w:link w:val="57"/>
    <w:qFormat/>
    <w:uiPriority w:val="0"/>
    <w:rPr>
      <w:rFonts w:cstheme="majorBidi"/>
      <w:bCs/>
      <w:kern w:val="2"/>
      <w:sz w:val="24"/>
      <w:szCs w:val="32"/>
    </w:rPr>
  </w:style>
  <w:style w:type="character" w:customStyle="1" w:styleId="59">
    <w:name w:val="whitespace-nowrap"/>
    <w:basedOn w:val="32"/>
    <w:uiPriority w:val="0"/>
  </w:style>
  <w:style w:type="character" w:customStyle="1" w:styleId="60">
    <w:name w:val="whitespace-normal"/>
    <w:basedOn w:val="32"/>
    <w:uiPriority w:val="0"/>
  </w:style>
  <w:style w:type="character" w:customStyle="1" w:styleId="61">
    <w:name w:val="truncate"/>
    <w:basedOn w:val="32"/>
    <w:uiPriority w:val="0"/>
  </w:style>
  <w:style w:type="paragraph" w:customStyle="1" w:styleId="62">
    <w:name w:val="TOC Heading"/>
    <w:basedOn w:val="2"/>
    <w:next w:val="1"/>
    <w:unhideWhenUsed/>
    <w:qFormat/>
    <w:uiPriority w:val="39"/>
    <w:pPr>
      <w:widowControl/>
      <w:spacing w:before="480" w:beforeLines="0" w:line="276" w:lineRule="auto"/>
      <w:jc w:val="left"/>
      <w:outlineLvl w:val="9"/>
    </w:pPr>
    <w:rPr>
      <w:rFonts w:asciiTheme="majorHAnsi" w:hAnsiTheme="majorHAnsi" w:eastAsiaTheme="majorEastAsia" w:cstheme="majorBidi"/>
      <w:b/>
      <w:color w:val="376092" w:themeColor="accent1" w:themeShade="BF"/>
      <w:kern w:val="0"/>
      <w:sz w:val="28"/>
      <w:szCs w:val="28"/>
    </w:rPr>
  </w:style>
  <w:style w:type="character" w:customStyle="1" w:styleId="63">
    <w:name w:val="Unresolved Mention"/>
    <w:basedOn w:val="32"/>
    <w:semiHidden/>
    <w:unhideWhenUsed/>
    <w:uiPriority w:val="99"/>
    <w:rPr>
      <w:color w:val="605E5C"/>
      <w:shd w:val="clear" w:color="auto" w:fill="E1DFDD"/>
    </w:rPr>
  </w:style>
  <w:style w:type="paragraph" w:customStyle="1" w:styleId="64">
    <w:name w:val="marklang-paragraph"/>
    <w:basedOn w:val="1"/>
    <w:uiPriority w:val="0"/>
    <w:pPr>
      <w:spacing w:before="100" w:beforeAutospacing="1" w:after="100" w:afterAutospacing="1"/>
    </w:pPr>
  </w:style>
  <w:style w:type="character" w:customStyle="1" w:styleId="65">
    <w:name w:val="cosd-citation-citationid"/>
    <w:basedOn w:val="32"/>
    <w:uiPriority w:val="0"/>
  </w:style>
  <w:style w:type="character" w:customStyle="1" w:styleId="66">
    <w:name w:val="标题 3 字符"/>
    <w:basedOn w:val="32"/>
    <w:link w:val="4"/>
    <w:uiPriority w:val="9"/>
    <w:rPr>
      <w:bCs/>
      <w:kern w:val="2"/>
      <w:sz w:val="24"/>
      <w:szCs w:val="32"/>
    </w:rPr>
  </w:style>
  <w:style w:type="character" w:customStyle="1" w:styleId="67">
    <w:name w:val="katex-mathml"/>
    <w:basedOn w:val="32"/>
    <w:uiPriority w:val="0"/>
  </w:style>
  <w:style w:type="character" w:customStyle="1" w:styleId="68">
    <w:name w:val="mord"/>
    <w:basedOn w:val="32"/>
    <w:uiPriority w:val="0"/>
  </w:style>
  <w:style w:type="character" w:customStyle="1" w:styleId="69">
    <w:name w:val="vlist-s"/>
    <w:basedOn w:val="32"/>
    <w:uiPriority w:val="0"/>
  </w:style>
  <w:style w:type="character" w:customStyle="1" w:styleId="70">
    <w:name w:val="mrel"/>
    <w:basedOn w:val="32"/>
    <w:uiPriority w:val="0"/>
  </w:style>
  <w:style w:type="character" w:customStyle="1" w:styleId="71">
    <w:name w:val="mbin"/>
    <w:basedOn w:val="32"/>
    <w:uiPriority w:val="0"/>
  </w:style>
  <w:style w:type="character" w:customStyle="1" w:styleId="72">
    <w:name w:val="mopen"/>
    <w:basedOn w:val="32"/>
    <w:uiPriority w:val="0"/>
  </w:style>
  <w:style w:type="character" w:customStyle="1" w:styleId="73">
    <w:name w:val="mclose"/>
    <w:basedOn w:val="32"/>
    <w:uiPriority w:val="0"/>
  </w:style>
  <w:style w:type="character" w:customStyle="1" w:styleId="74">
    <w:name w:val="mspace"/>
    <w:basedOn w:val="32"/>
    <w:uiPriority w:val="0"/>
  </w:style>
  <w:style w:type="character" w:customStyle="1" w:styleId="75">
    <w:name w:val="mpunct"/>
    <w:basedOn w:val="32"/>
    <w:uiPriority w:val="0"/>
  </w:style>
  <w:style w:type="character" w:customStyle="1" w:styleId="76">
    <w:name w:val="HTML 预设格式 字符"/>
    <w:basedOn w:val="32"/>
    <w:link w:val="25"/>
    <w:uiPriority w:val="99"/>
    <w:rPr>
      <w:rFonts w:ascii="宋体" w:hAnsi="宋体" w:cs="宋体"/>
      <w:sz w:val="24"/>
      <w:szCs w:val="24"/>
    </w:rPr>
  </w:style>
  <w:style w:type="character" w:customStyle="1" w:styleId="77">
    <w:name w:val="cosd-markdown-code-copy"/>
    <w:basedOn w:val="32"/>
    <w:uiPriority w:val="0"/>
  </w:style>
  <w:style w:type="character" w:customStyle="1" w:styleId="78">
    <w:name w:val="hljs-keyword"/>
    <w:basedOn w:val="32"/>
    <w:uiPriority w:val="0"/>
  </w:style>
  <w:style w:type="character" w:customStyle="1" w:styleId="79">
    <w:name w:val="hljs-title"/>
    <w:basedOn w:val="32"/>
    <w:uiPriority w:val="0"/>
  </w:style>
  <w:style w:type="character" w:customStyle="1" w:styleId="80">
    <w:name w:val="hljs-params"/>
    <w:basedOn w:val="32"/>
    <w:uiPriority w:val="0"/>
  </w:style>
  <w:style w:type="character" w:customStyle="1" w:styleId="81">
    <w:name w:val="hljs-string"/>
    <w:basedOn w:val="32"/>
    <w:uiPriority w:val="0"/>
  </w:style>
  <w:style w:type="character" w:customStyle="1" w:styleId="82">
    <w:name w:val="mop"/>
    <w:basedOn w:val="32"/>
    <w:uiPriority w:val="0"/>
  </w:style>
  <w:style w:type="character" w:customStyle="1" w:styleId="83">
    <w:name w:val="hljs-attr"/>
    <w:basedOn w:val="32"/>
    <w:uiPriority w:val="0"/>
  </w:style>
  <w:style w:type="character" w:customStyle="1" w:styleId="84">
    <w:name w:val="hljs-bullet"/>
    <w:basedOn w:val="32"/>
    <w:uiPriority w:val="0"/>
  </w:style>
  <w:style w:type="character" w:customStyle="1" w:styleId="85">
    <w:name w:val="hljs-comment"/>
    <w:basedOn w:val="32"/>
    <w:uiPriority w:val="0"/>
  </w:style>
  <w:style w:type="character" w:customStyle="1" w:styleId="86">
    <w:name w:val="hljs-number"/>
    <w:basedOn w:val="32"/>
    <w:uiPriority w:val="0"/>
  </w:style>
  <w:style w:type="character" w:customStyle="1" w:styleId="87">
    <w:name w:val="ms-1"/>
    <w:basedOn w:val="32"/>
    <w:uiPriority w:val="0"/>
  </w:style>
  <w:style w:type="character" w:customStyle="1" w:styleId="88">
    <w:name w:val="max-w-[15ch]"/>
    <w:basedOn w:val="32"/>
    <w:uiPriority w:val="0"/>
  </w:style>
  <w:style w:type="character" w:customStyle="1" w:styleId="89">
    <w:name w:val="-me-1"/>
    <w:basedOn w:val="32"/>
    <w:uiPriority w:val="0"/>
  </w:style>
  <w:style w:type="character" w:customStyle="1" w:styleId="90">
    <w:name w:val="批注框文本 字符"/>
    <w:basedOn w:val="32"/>
    <w:link w:val="14"/>
    <w:uiPriority w:val="0"/>
    <w:rPr>
      <w:rFonts w:ascii="宋体" w:hAnsi="宋体" w:cs="宋体"/>
      <w:sz w:val="18"/>
      <w:szCs w:val="18"/>
    </w:rPr>
  </w:style>
  <w:style w:type="table" w:customStyle="1" w:styleId="91">
    <w:name w:val="Grid Table Light"/>
    <w:basedOn w:val="27"/>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92">
    <w:name w:val="Grid Table 1 Light"/>
    <w:basedOn w:val="27"/>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93">
    <w:name w:val="relative"/>
    <w:basedOn w:val="32"/>
    <w:uiPriority w:val="0"/>
  </w:style>
  <w:style w:type="paragraph" w:customStyle="1" w:styleId="94">
    <w:name w:val="not-prose"/>
    <w:basedOn w:val="1"/>
    <w:qFormat/>
    <w:uiPriority w:val="0"/>
    <w:pPr>
      <w:spacing w:before="100" w:beforeAutospacing="1" w:after="100" w:afterAutospacing="1"/>
    </w:pPr>
  </w:style>
  <w:style w:type="table" w:customStyle="1" w:styleId="95">
    <w:name w:val="三线表"/>
    <w:basedOn w:val="27"/>
    <w:uiPriority w:val="99"/>
    <w:pPr>
      <w:spacing w:line="400" w:lineRule="exact"/>
      <w:jc w:val="center"/>
    </w:pPr>
    <w:rPr>
      <w:sz w:val="21"/>
    </w:rPr>
    <w:tblPr>
      <w:jc w:val="center"/>
      <w:tblBorders>
        <w:top w:val="single" w:color="auto" w:sz="12" w:space="0"/>
        <w:bottom w:val="single" w:color="auto" w:sz="12" w:space="0"/>
      </w:tblBorders>
    </w:tblPr>
    <w:trPr>
      <w:jc w:val="center"/>
    </w:trPr>
    <w:tcPr>
      <w:vAlign w:val="center"/>
    </w:tcPr>
    <w:tblStylePr w:type="firstRow">
      <w:tcPr>
        <w:tcBorders>
          <w:bottom w:val="single" w:color="auto" w:sz="8" w:space="0"/>
        </w:tcBorders>
      </w:tcPr>
    </w:tblStylePr>
  </w:style>
  <w:style w:type="paragraph" w:customStyle="1" w:styleId="96">
    <w:name w:val="NUDT正文"/>
    <w:basedOn w:val="1"/>
    <w:qFormat/>
    <w:uiPriority w:val="0"/>
    <w:pPr>
      <w:widowControl w:val="0"/>
      <w:adjustRightInd w:val="0"/>
      <w:spacing w:line="300" w:lineRule="auto"/>
      <w:ind w:firstLine="200" w:firstLineChars="200"/>
      <w:jc w:val="both"/>
      <w:textAlignment w:val="baseline"/>
    </w:pPr>
    <w:rPr>
      <w:rFonts w:ascii="Times New Roman" w:hAnsi="Times New Roman"/>
    </w:rPr>
  </w:style>
  <w:style w:type="character" w:customStyle="1" w:styleId="97">
    <w:name w:val="标题 2 字符"/>
    <w:basedOn w:val="32"/>
    <w:link w:val="3"/>
    <w:qFormat/>
    <w:uiPriority w:val="0"/>
    <w:rPr>
      <w:rFonts w:ascii="黑体" w:hAnsi="黑体" w:eastAsia="黑体"/>
      <w:kern w:val="2"/>
      <w:sz w:val="28"/>
      <w:szCs w:val="24"/>
    </w:rPr>
  </w:style>
  <w:style w:type="paragraph" w:customStyle="1" w:styleId="98">
    <w:name w:val="Bibliography"/>
    <w:basedOn w:val="1"/>
    <w:next w:val="1"/>
    <w:unhideWhenUsed/>
    <w:uiPriority w:val="37"/>
    <w:pPr>
      <w:tabs>
        <w:tab w:val="left" w:pos="500"/>
      </w:tabs>
      <w:ind w:left="504" w:hanging="504"/>
    </w:pPr>
  </w:style>
</w:styles>
</file>

<file path=word/_rels/document.xml.rels><?xml version="1.0" encoding="UTF-8" standalone="yes"?>
<Relationships xmlns="http://schemas.openxmlformats.org/package/2006/relationships"><Relationship Id="rId99" Type="http://schemas.openxmlformats.org/officeDocument/2006/relationships/diagramQuickStyle" Target="diagrams/quickStyle15.xml"/><Relationship Id="rId98" Type="http://schemas.openxmlformats.org/officeDocument/2006/relationships/diagramLayout" Target="diagrams/layout15.xml"/><Relationship Id="rId97" Type="http://schemas.openxmlformats.org/officeDocument/2006/relationships/diagramData" Target="diagrams/data15.xml"/><Relationship Id="rId96" Type="http://schemas.microsoft.com/office/2007/relationships/diagramDrawing" Target="diagrams/drawing14.xml"/><Relationship Id="rId95" Type="http://schemas.openxmlformats.org/officeDocument/2006/relationships/diagramColors" Target="diagrams/colors14.xml"/><Relationship Id="rId94" Type="http://schemas.openxmlformats.org/officeDocument/2006/relationships/diagramQuickStyle" Target="diagrams/quickStyle14.xml"/><Relationship Id="rId93" Type="http://schemas.openxmlformats.org/officeDocument/2006/relationships/diagramLayout" Target="diagrams/layout14.xml"/><Relationship Id="rId92" Type="http://schemas.openxmlformats.org/officeDocument/2006/relationships/diagramData" Target="diagrams/data14.xml"/><Relationship Id="rId91" Type="http://schemas.microsoft.com/office/2007/relationships/diagramDrawing" Target="diagrams/drawing13.xml"/><Relationship Id="rId90" Type="http://schemas.openxmlformats.org/officeDocument/2006/relationships/diagramColors" Target="diagrams/colors13.xml"/><Relationship Id="rId9" Type="http://schemas.openxmlformats.org/officeDocument/2006/relationships/footer" Target="footer3.xml"/><Relationship Id="rId89" Type="http://schemas.openxmlformats.org/officeDocument/2006/relationships/diagramQuickStyle" Target="diagrams/quickStyle13.xml"/><Relationship Id="rId88" Type="http://schemas.openxmlformats.org/officeDocument/2006/relationships/diagramLayout" Target="diagrams/layout13.xml"/><Relationship Id="rId87" Type="http://schemas.openxmlformats.org/officeDocument/2006/relationships/diagramData" Target="diagrams/data13.xml"/><Relationship Id="rId86" Type="http://schemas.microsoft.com/office/2007/relationships/diagramDrawing" Target="diagrams/drawing12.xml"/><Relationship Id="rId85" Type="http://schemas.openxmlformats.org/officeDocument/2006/relationships/diagramColors" Target="diagrams/colors12.xml"/><Relationship Id="rId84" Type="http://schemas.openxmlformats.org/officeDocument/2006/relationships/diagramQuickStyle" Target="diagrams/quickStyle12.xml"/><Relationship Id="rId83" Type="http://schemas.openxmlformats.org/officeDocument/2006/relationships/diagramLayout" Target="diagrams/layout12.xml"/><Relationship Id="rId82" Type="http://schemas.openxmlformats.org/officeDocument/2006/relationships/diagramData" Target="diagrams/data12.xml"/><Relationship Id="rId81" Type="http://schemas.microsoft.com/office/2007/relationships/diagramDrawing" Target="diagrams/drawing11.xml"/><Relationship Id="rId80" Type="http://schemas.openxmlformats.org/officeDocument/2006/relationships/diagramColors" Target="diagrams/colors11.xml"/><Relationship Id="rId8" Type="http://schemas.openxmlformats.org/officeDocument/2006/relationships/header" Target="header4.xml"/><Relationship Id="rId79" Type="http://schemas.openxmlformats.org/officeDocument/2006/relationships/diagramQuickStyle" Target="diagrams/quickStyle11.xml"/><Relationship Id="rId78" Type="http://schemas.openxmlformats.org/officeDocument/2006/relationships/diagramLayout" Target="diagrams/layout11.xml"/><Relationship Id="rId77" Type="http://schemas.openxmlformats.org/officeDocument/2006/relationships/diagramData" Target="diagrams/data11.xml"/><Relationship Id="rId76" Type="http://schemas.microsoft.com/office/2007/relationships/diagramDrawing" Target="diagrams/drawing10.xml"/><Relationship Id="rId75" Type="http://schemas.openxmlformats.org/officeDocument/2006/relationships/diagramColors" Target="diagrams/colors10.xml"/><Relationship Id="rId74" Type="http://schemas.openxmlformats.org/officeDocument/2006/relationships/diagramQuickStyle" Target="diagrams/quickStyle10.xml"/><Relationship Id="rId73" Type="http://schemas.openxmlformats.org/officeDocument/2006/relationships/diagramLayout" Target="diagrams/layout10.xml"/><Relationship Id="rId72" Type="http://schemas.openxmlformats.org/officeDocument/2006/relationships/diagramData" Target="diagrams/data10.xml"/><Relationship Id="rId71" Type="http://schemas.microsoft.com/office/2007/relationships/diagramDrawing" Target="diagrams/drawing9.xml"/><Relationship Id="rId70" Type="http://schemas.openxmlformats.org/officeDocument/2006/relationships/diagramColors" Target="diagrams/colors9.xml"/><Relationship Id="rId7" Type="http://schemas.openxmlformats.org/officeDocument/2006/relationships/header" Target="header3.xml"/><Relationship Id="rId69" Type="http://schemas.openxmlformats.org/officeDocument/2006/relationships/diagramQuickStyle" Target="diagrams/quickStyle9.xml"/><Relationship Id="rId68" Type="http://schemas.openxmlformats.org/officeDocument/2006/relationships/diagramLayout" Target="diagrams/layout9.xml"/><Relationship Id="rId67" Type="http://schemas.openxmlformats.org/officeDocument/2006/relationships/diagramData" Target="diagrams/data9.xml"/><Relationship Id="rId66" Type="http://schemas.microsoft.com/office/2007/relationships/diagramDrawing" Target="diagrams/drawing8.xml"/><Relationship Id="rId65" Type="http://schemas.openxmlformats.org/officeDocument/2006/relationships/diagramColors" Target="diagrams/colors8.xml"/><Relationship Id="rId64" Type="http://schemas.openxmlformats.org/officeDocument/2006/relationships/diagramQuickStyle" Target="diagrams/quickStyle8.xml"/><Relationship Id="rId63" Type="http://schemas.openxmlformats.org/officeDocument/2006/relationships/diagramLayout" Target="diagrams/layout8.xml"/><Relationship Id="rId62" Type="http://schemas.openxmlformats.org/officeDocument/2006/relationships/diagramData" Target="diagrams/data8.xml"/><Relationship Id="rId61" Type="http://schemas.microsoft.com/office/2007/relationships/diagramDrawing" Target="diagrams/drawing7.xml"/><Relationship Id="rId60" Type="http://schemas.openxmlformats.org/officeDocument/2006/relationships/diagramColors" Target="diagrams/colors7.xml"/><Relationship Id="rId6" Type="http://schemas.openxmlformats.org/officeDocument/2006/relationships/footer" Target="footer2.xml"/><Relationship Id="rId59" Type="http://schemas.openxmlformats.org/officeDocument/2006/relationships/diagramQuickStyle" Target="diagrams/quickStyle7.xml"/><Relationship Id="rId58" Type="http://schemas.openxmlformats.org/officeDocument/2006/relationships/diagramLayout" Target="diagrams/layout7.xml"/><Relationship Id="rId57" Type="http://schemas.openxmlformats.org/officeDocument/2006/relationships/diagramData" Target="diagrams/data7.xml"/><Relationship Id="rId56" Type="http://schemas.microsoft.com/office/2007/relationships/diagramDrawing" Target="diagrams/drawing6.xml"/><Relationship Id="rId55" Type="http://schemas.openxmlformats.org/officeDocument/2006/relationships/diagramColors" Target="diagrams/colors6.xml"/><Relationship Id="rId54" Type="http://schemas.openxmlformats.org/officeDocument/2006/relationships/diagramQuickStyle" Target="diagrams/quickStyle6.xml"/><Relationship Id="rId53" Type="http://schemas.openxmlformats.org/officeDocument/2006/relationships/diagramLayout" Target="diagrams/layout6.xml"/><Relationship Id="rId52" Type="http://schemas.openxmlformats.org/officeDocument/2006/relationships/diagramData" Target="diagrams/data6.xml"/><Relationship Id="rId51" Type="http://schemas.microsoft.com/office/2007/relationships/diagramDrawing" Target="diagrams/drawing5.xml"/><Relationship Id="rId50" Type="http://schemas.openxmlformats.org/officeDocument/2006/relationships/diagramColors" Target="diagrams/colors5.xml"/><Relationship Id="rId5" Type="http://schemas.openxmlformats.org/officeDocument/2006/relationships/footer" Target="footer1.xml"/><Relationship Id="rId49" Type="http://schemas.openxmlformats.org/officeDocument/2006/relationships/diagramQuickStyle" Target="diagrams/quickStyle5.xml"/><Relationship Id="rId48" Type="http://schemas.openxmlformats.org/officeDocument/2006/relationships/diagramLayout" Target="diagrams/layout5.xml"/><Relationship Id="rId47" Type="http://schemas.openxmlformats.org/officeDocument/2006/relationships/diagramData" Target="diagrams/data5.xml"/><Relationship Id="rId46" Type="http://schemas.microsoft.com/office/2007/relationships/diagramDrawing" Target="diagrams/drawing4.xml"/><Relationship Id="rId45" Type="http://schemas.openxmlformats.org/officeDocument/2006/relationships/diagramColors" Target="diagrams/colors4.xml"/><Relationship Id="rId44" Type="http://schemas.openxmlformats.org/officeDocument/2006/relationships/diagramQuickStyle" Target="diagrams/quickStyle4.xml"/><Relationship Id="rId43" Type="http://schemas.openxmlformats.org/officeDocument/2006/relationships/diagramLayout" Target="diagrams/layout4.xml"/><Relationship Id="rId42" Type="http://schemas.openxmlformats.org/officeDocument/2006/relationships/diagramData" Target="diagrams/data4.xml"/><Relationship Id="rId41" Type="http://schemas.microsoft.com/office/2007/relationships/diagramDrawing" Target="diagrams/drawing3.xml"/><Relationship Id="rId40" Type="http://schemas.openxmlformats.org/officeDocument/2006/relationships/diagramColors" Target="diagrams/colors3.xml"/><Relationship Id="rId4" Type="http://schemas.openxmlformats.org/officeDocument/2006/relationships/header" Target="header2.xml"/><Relationship Id="rId39" Type="http://schemas.openxmlformats.org/officeDocument/2006/relationships/diagramQuickStyle" Target="diagrams/quickStyle3.xml"/><Relationship Id="rId38" Type="http://schemas.openxmlformats.org/officeDocument/2006/relationships/diagramLayout" Target="diagrams/layout3.xml"/><Relationship Id="rId37" Type="http://schemas.openxmlformats.org/officeDocument/2006/relationships/diagramData" Target="diagrams/data3.xml"/><Relationship Id="rId36" Type="http://schemas.microsoft.com/office/2007/relationships/diagramDrawing" Target="diagrams/drawing2.xml"/><Relationship Id="rId35" Type="http://schemas.openxmlformats.org/officeDocument/2006/relationships/diagramColors" Target="diagrams/colors2.xml"/><Relationship Id="rId34" Type="http://schemas.openxmlformats.org/officeDocument/2006/relationships/diagramQuickStyle" Target="diagrams/quickStyle2.xml"/><Relationship Id="rId33" Type="http://schemas.openxmlformats.org/officeDocument/2006/relationships/diagramLayout" Target="diagrams/layout2.xml"/><Relationship Id="rId32" Type="http://schemas.openxmlformats.org/officeDocument/2006/relationships/diagramData" Target="diagrams/data2.xml"/><Relationship Id="rId31" Type="http://schemas.microsoft.com/office/2007/relationships/diagramDrawing" Target="diagrams/drawing1.xml"/><Relationship Id="rId30" Type="http://schemas.openxmlformats.org/officeDocument/2006/relationships/diagramColors" Target="diagrams/colors1.xml"/><Relationship Id="rId3" Type="http://schemas.openxmlformats.org/officeDocument/2006/relationships/header" Target="header1.xml"/><Relationship Id="rId29" Type="http://schemas.openxmlformats.org/officeDocument/2006/relationships/diagramQuickStyle" Target="diagrams/quickStyle1.xml"/><Relationship Id="rId28" Type="http://schemas.openxmlformats.org/officeDocument/2006/relationships/diagramLayout" Target="diagrams/layout1.xml"/><Relationship Id="rId27" Type="http://schemas.openxmlformats.org/officeDocument/2006/relationships/diagramData" Target="diagrams/data1.xml"/><Relationship Id="rId26" Type="http://schemas.openxmlformats.org/officeDocument/2006/relationships/theme" Target="theme/theme1.xml"/><Relationship Id="rId25" Type="http://schemas.openxmlformats.org/officeDocument/2006/relationships/footer" Target="footer8.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5" Type="http://schemas.openxmlformats.org/officeDocument/2006/relationships/fontTable" Target="fontTable.xml"/><Relationship Id="rId184" Type="http://schemas.openxmlformats.org/officeDocument/2006/relationships/customXml" Target="../customXml/item2.xml"/><Relationship Id="rId183" Type="http://schemas.openxmlformats.org/officeDocument/2006/relationships/customXml" Target="../customXml/item1.xml"/><Relationship Id="rId182" Type="http://schemas.openxmlformats.org/officeDocument/2006/relationships/chart" Target="charts/chart1.xml"/><Relationship Id="rId181" Type="http://schemas.microsoft.com/office/2007/relationships/diagramDrawing" Target="diagrams/drawing31.xml"/><Relationship Id="rId180" Type="http://schemas.openxmlformats.org/officeDocument/2006/relationships/diagramColors" Target="diagrams/colors31.xml"/><Relationship Id="rId18" Type="http://schemas.openxmlformats.org/officeDocument/2006/relationships/header" Target="header9.xml"/><Relationship Id="rId179" Type="http://schemas.openxmlformats.org/officeDocument/2006/relationships/diagramQuickStyle" Target="diagrams/quickStyle31.xml"/><Relationship Id="rId178" Type="http://schemas.openxmlformats.org/officeDocument/2006/relationships/diagramLayout" Target="diagrams/layout31.xml"/><Relationship Id="rId177" Type="http://schemas.openxmlformats.org/officeDocument/2006/relationships/diagramData" Target="diagrams/data31.xml"/><Relationship Id="rId176" Type="http://schemas.microsoft.com/office/2007/relationships/diagramDrawing" Target="diagrams/drawing30.xml"/><Relationship Id="rId175" Type="http://schemas.openxmlformats.org/officeDocument/2006/relationships/diagramColors" Target="diagrams/colors30.xml"/><Relationship Id="rId174" Type="http://schemas.openxmlformats.org/officeDocument/2006/relationships/diagramQuickStyle" Target="diagrams/quickStyle30.xml"/><Relationship Id="rId173" Type="http://schemas.openxmlformats.org/officeDocument/2006/relationships/diagramLayout" Target="diagrams/layout30.xml"/><Relationship Id="rId172" Type="http://schemas.openxmlformats.org/officeDocument/2006/relationships/diagramData" Target="diagrams/data30.xml"/><Relationship Id="rId171" Type="http://schemas.microsoft.com/office/2007/relationships/diagramDrawing" Target="diagrams/drawing29.xml"/><Relationship Id="rId170" Type="http://schemas.openxmlformats.org/officeDocument/2006/relationships/diagramColors" Target="diagrams/colors29.xml"/><Relationship Id="rId17" Type="http://schemas.openxmlformats.org/officeDocument/2006/relationships/header" Target="header8.xml"/><Relationship Id="rId169" Type="http://schemas.openxmlformats.org/officeDocument/2006/relationships/diagramQuickStyle" Target="diagrams/quickStyle29.xml"/><Relationship Id="rId168" Type="http://schemas.openxmlformats.org/officeDocument/2006/relationships/diagramLayout" Target="diagrams/layout29.xml"/><Relationship Id="rId167" Type="http://schemas.openxmlformats.org/officeDocument/2006/relationships/diagramData" Target="diagrams/data29.xml"/><Relationship Id="rId166" Type="http://schemas.microsoft.com/office/2007/relationships/diagramDrawing" Target="diagrams/drawing28.xml"/><Relationship Id="rId165" Type="http://schemas.openxmlformats.org/officeDocument/2006/relationships/diagramColors" Target="diagrams/colors28.xml"/><Relationship Id="rId164" Type="http://schemas.openxmlformats.org/officeDocument/2006/relationships/diagramQuickStyle" Target="diagrams/quickStyle28.xml"/><Relationship Id="rId163" Type="http://schemas.openxmlformats.org/officeDocument/2006/relationships/diagramLayout" Target="diagrams/layout28.xml"/><Relationship Id="rId162" Type="http://schemas.openxmlformats.org/officeDocument/2006/relationships/diagramData" Target="diagrams/data28.xml"/><Relationship Id="rId161" Type="http://schemas.microsoft.com/office/2007/relationships/diagramDrawing" Target="diagrams/drawing27.xml"/><Relationship Id="rId160" Type="http://schemas.openxmlformats.org/officeDocument/2006/relationships/diagramColors" Target="diagrams/colors27.xml"/><Relationship Id="rId16" Type="http://schemas.openxmlformats.org/officeDocument/2006/relationships/footer" Target="footer7.xml"/><Relationship Id="rId159" Type="http://schemas.openxmlformats.org/officeDocument/2006/relationships/diagramQuickStyle" Target="diagrams/quickStyle27.xml"/><Relationship Id="rId158" Type="http://schemas.openxmlformats.org/officeDocument/2006/relationships/diagramLayout" Target="diagrams/layout27.xml"/><Relationship Id="rId157" Type="http://schemas.openxmlformats.org/officeDocument/2006/relationships/diagramData" Target="diagrams/data27.xml"/><Relationship Id="rId156" Type="http://schemas.microsoft.com/office/2007/relationships/diagramDrawing" Target="diagrams/drawing26.xml"/><Relationship Id="rId155" Type="http://schemas.openxmlformats.org/officeDocument/2006/relationships/diagramColors" Target="diagrams/colors26.xml"/><Relationship Id="rId154" Type="http://schemas.openxmlformats.org/officeDocument/2006/relationships/diagramQuickStyle" Target="diagrams/quickStyle26.xml"/><Relationship Id="rId153" Type="http://schemas.openxmlformats.org/officeDocument/2006/relationships/diagramLayout" Target="diagrams/layout26.xml"/><Relationship Id="rId152" Type="http://schemas.openxmlformats.org/officeDocument/2006/relationships/diagramData" Target="diagrams/data26.xml"/><Relationship Id="rId151" Type="http://schemas.microsoft.com/office/2007/relationships/diagramDrawing" Target="diagrams/drawing25.xml"/><Relationship Id="rId150" Type="http://schemas.openxmlformats.org/officeDocument/2006/relationships/diagramColors" Target="diagrams/colors25.xml"/><Relationship Id="rId15" Type="http://schemas.openxmlformats.org/officeDocument/2006/relationships/header" Target="header7.xml"/><Relationship Id="rId149" Type="http://schemas.openxmlformats.org/officeDocument/2006/relationships/diagramQuickStyle" Target="diagrams/quickStyle25.xml"/><Relationship Id="rId148" Type="http://schemas.openxmlformats.org/officeDocument/2006/relationships/diagramLayout" Target="diagrams/layout25.xml"/><Relationship Id="rId147" Type="http://schemas.openxmlformats.org/officeDocument/2006/relationships/diagramData" Target="diagrams/data25.xml"/><Relationship Id="rId146" Type="http://schemas.microsoft.com/office/2007/relationships/diagramDrawing" Target="diagrams/drawing24.xml"/><Relationship Id="rId145" Type="http://schemas.openxmlformats.org/officeDocument/2006/relationships/diagramColors" Target="diagrams/colors24.xml"/><Relationship Id="rId144" Type="http://schemas.openxmlformats.org/officeDocument/2006/relationships/diagramQuickStyle" Target="diagrams/quickStyle24.xml"/><Relationship Id="rId143" Type="http://schemas.openxmlformats.org/officeDocument/2006/relationships/diagramLayout" Target="diagrams/layout24.xml"/><Relationship Id="rId142" Type="http://schemas.openxmlformats.org/officeDocument/2006/relationships/diagramData" Target="diagrams/data24.xml"/><Relationship Id="rId141" Type="http://schemas.microsoft.com/office/2007/relationships/diagramDrawing" Target="diagrams/drawing23.xml"/><Relationship Id="rId140" Type="http://schemas.openxmlformats.org/officeDocument/2006/relationships/diagramColors" Target="diagrams/colors23.xml"/><Relationship Id="rId14" Type="http://schemas.openxmlformats.org/officeDocument/2006/relationships/footer" Target="footer6.xml"/><Relationship Id="rId139" Type="http://schemas.openxmlformats.org/officeDocument/2006/relationships/diagramQuickStyle" Target="diagrams/quickStyle23.xml"/><Relationship Id="rId138" Type="http://schemas.openxmlformats.org/officeDocument/2006/relationships/diagramLayout" Target="diagrams/layout23.xml"/><Relationship Id="rId137" Type="http://schemas.openxmlformats.org/officeDocument/2006/relationships/diagramData" Target="diagrams/data23.xml"/><Relationship Id="rId136" Type="http://schemas.microsoft.com/office/2007/relationships/diagramDrawing" Target="diagrams/drawing22.xml"/><Relationship Id="rId135" Type="http://schemas.openxmlformats.org/officeDocument/2006/relationships/diagramColors" Target="diagrams/colors22.xml"/><Relationship Id="rId134" Type="http://schemas.openxmlformats.org/officeDocument/2006/relationships/diagramQuickStyle" Target="diagrams/quickStyle22.xml"/><Relationship Id="rId133" Type="http://schemas.openxmlformats.org/officeDocument/2006/relationships/diagramLayout" Target="diagrams/layout22.xml"/><Relationship Id="rId132" Type="http://schemas.openxmlformats.org/officeDocument/2006/relationships/diagramData" Target="diagrams/data22.xml"/><Relationship Id="rId131" Type="http://schemas.microsoft.com/office/2007/relationships/diagramDrawing" Target="diagrams/drawing21.xml"/><Relationship Id="rId130" Type="http://schemas.openxmlformats.org/officeDocument/2006/relationships/diagramColors" Target="diagrams/colors21.xml"/><Relationship Id="rId13" Type="http://schemas.openxmlformats.org/officeDocument/2006/relationships/footer" Target="footer5.xml"/><Relationship Id="rId129" Type="http://schemas.openxmlformats.org/officeDocument/2006/relationships/diagramQuickStyle" Target="diagrams/quickStyle21.xml"/><Relationship Id="rId128" Type="http://schemas.openxmlformats.org/officeDocument/2006/relationships/diagramLayout" Target="diagrams/layout21.xml"/><Relationship Id="rId127" Type="http://schemas.openxmlformats.org/officeDocument/2006/relationships/diagramData" Target="diagrams/data21.xml"/><Relationship Id="rId126" Type="http://schemas.microsoft.com/office/2007/relationships/diagramDrawing" Target="diagrams/drawing20.xml"/><Relationship Id="rId125" Type="http://schemas.openxmlformats.org/officeDocument/2006/relationships/diagramColors" Target="diagrams/colors20.xml"/><Relationship Id="rId124" Type="http://schemas.openxmlformats.org/officeDocument/2006/relationships/diagramQuickStyle" Target="diagrams/quickStyle20.xml"/><Relationship Id="rId123" Type="http://schemas.openxmlformats.org/officeDocument/2006/relationships/diagramLayout" Target="diagrams/layout20.xml"/><Relationship Id="rId122" Type="http://schemas.openxmlformats.org/officeDocument/2006/relationships/diagramData" Target="diagrams/data20.xml"/><Relationship Id="rId121" Type="http://schemas.microsoft.com/office/2007/relationships/diagramDrawing" Target="diagrams/drawing19.xml"/><Relationship Id="rId120" Type="http://schemas.openxmlformats.org/officeDocument/2006/relationships/diagramColors" Target="diagrams/colors19.xml"/><Relationship Id="rId12" Type="http://schemas.openxmlformats.org/officeDocument/2006/relationships/header" Target="header6.xml"/><Relationship Id="rId119" Type="http://schemas.openxmlformats.org/officeDocument/2006/relationships/diagramQuickStyle" Target="diagrams/quickStyle19.xml"/><Relationship Id="rId118" Type="http://schemas.openxmlformats.org/officeDocument/2006/relationships/diagramLayout" Target="diagrams/layout19.xml"/><Relationship Id="rId117" Type="http://schemas.openxmlformats.org/officeDocument/2006/relationships/diagramData" Target="diagrams/data19.xml"/><Relationship Id="rId116" Type="http://schemas.microsoft.com/office/2007/relationships/diagramDrawing" Target="diagrams/drawing18.xml"/><Relationship Id="rId115" Type="http://schemas.openxmlformats.org/officeDocument/2006/relationships/diagramColors" Target="diagrams/colors18.xml"/><Relationship Id="rId114" Type="http://schemas.openxmlformats.org/officeDocument/2006/relationships/diagramQuickStyle" Target="diagrams/quickStyle18.xml"/><Relationship Id="rId113" Type="http://schemas.openxmlformats.org/officeDocument/2006/relationships/diagramLayout" Target="diagrams/layout18.xml"/><Relationship Id="rId112" Type="http://schemas.openxmlformats.org/officeDocument/2006/relationships/diagramData" Target="diagrams/data18.xml"/><Relationship Id="rId111" Type="http://schemas.microsoft.com/office/2007/relationships/diagramDrawing" Target="diagrams/drawing17.xml"/><Relationship Id="rId110" Type="http://schemas.openxmlformats.org/officeDocument/2006/relationships/diagramColors" Target="diagrams/colors17.xml"/><Relationship Id="rId11" Type="http://schemas.openxmlformats.org/officeDocument/2006/relationships/header" Target="header5.xml"/><Relationship Id="rId109" Type="http://schemas.openxmlformats.org/officeDocument/2006/relationships/diagramQuickStyle" Target="diagrams/quickStyle17.xml"/><Relationship Id="rId108" Type="http://schemas.openxmlformats.org/officeDocument/2006/relationships/diagramLayout" Target="diagrams/layout17.xml"/><Relationship Id="rId107" Type="http://schemas.openxmlformats.org/officeDocument/2006/relationships/diagramData" Target="diagrams/data17.xml"/><Relationship Id="rId106" Type="http://schemas.microsoft.com/office/2007/relationships/diagramDrawing" Target="diagrams/drawing16.xml"/><Relationship Id="rId105" Type="http://schemas.openxmlformats.org/officeDocument/2006/relationships/diagramColors" Target="diagrams/colors16.xml"/><Relationship Id="rId104" Type="http://schemas.openxmlformats.org/officeDocument/2006/relationships/diagramQuickStyle" Target="diagrams/quickStyle16.xml"/><Relationship Id="rId103" Type="http://schemas.openxmlformats.org/officeDocument/2006/relationships/diagramLayout" Target="diagrams/layout16.xml"/><Relationship Id="rId102" Type="http://schemas.openxmlformats.org/officeDocument/2006/relationships/diagramData" Target="diagrams/data16.xml"/><Relationship Id="rId101" Type="http://schemas.microsoft.com/office/2007/relationships/diagramDrawing" Target="diagrams/drawing15.xml"/><Relationship Id="rId100" Type="http://schemas.openxmlformats.org/officeDocument/2006/relationships/diagramColors" Target="diagrams/colors15.xml"/><Relationship Id="rId10" Type="http://schemas.openxmlformats.org/officeDocument/2006/relationships/footer" Target="footer4.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lang="zh-CN" sz="2000" b="0" i="0" u="none" strike="noStrike" kern="1200" cap="none" spc="0" normalizeH="0" baseline="0">
                <a:solidFill>
                  <a:schemeClr val="tx1">
                    <a:lumMod val="65000"/>
                    <a:lumOff val="35000"/>
                  </a:schemeClr>
                </a:solidFill>
                <a:latin typeface="+mj-lt"/>
                <a:ea typeface="+mj-ea"/>
                <a:cs typeface="+mj-cs"/>
              </a:defRPr>
            </a:pPr>
            <a:r>
              <a:rPr lang="zh-CN" altLang="zh-CN" sz="1200" b="1" i="0" u="none" strike="noStrike" cap="none" normalizeH="0" baseline="0">
                <a:effectLst/>
              </a:rPr>
              <a:t>项目实施成效趋势图 </a:t>
            </a:r>
            <a:endParaRPr lang="zh-CN" altLang="zh-CN" sz="1200" b="1" i="0" u="none" strike="noStrike" cap="none" normalizeH="0" baseline="0">
              <a:effectLst/>
            </a:endParaRPr>
          </a:p>
        </c:rich>
      </c:tx>
      <c:layout/>
      <c:overlay val="0"/>
      <c:spPr>
        <a:noFill/>
        <a:ln>
          <a:noFill/>
        </a:ln>
        <a:effectLst/>
      </c:sp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dLbls>
            <c:delete val="1"/>
          </c:dLbls>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dLbls>
            <c:delete val="1"/>
          </c:dLbls>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0.58</c:v>
                </c:pt>
                <c:pt idx="2">
                  <c:v>0.55</c:v>
                </c:pt>
                <c:pt idx="3">
                  <c:v>0.5</c:v>
                </c:pt>
                <c:pt idx="4">
                  <c:v>0.46</c:v>
                </c:pt>
                <c:pt idx="5">
                  <c:v>0.43</c:v>
                </c:pt>
              </c:numCache>
            </c:numRef>
          </c:val>
          <c:smooth val="0"/>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dLbls>
            <c:delete val="1"/>
          </c:dLbls>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dLbls>
            <c:delete val="1"/>
          </c:dLbls>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cap="none" spc="0" normalizeH="0" baseline="0">
                <a:solidFill>
                  <a:schemeClr val="tx1">
                    <a:lumMod val="65000"/>
                    <a:lumOff val="35000"/>
                  </a:schemeClr>
                </a:solidFill>
                <a:latin typeface="+mn-lt"/>
                <a:ea typeface="+mn-ea"/>
                <a:cs typeface="+mn-cs"/>
              </a:defRPr>
            </a:pPr>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422440719"/>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p>
          <a:endParaRPr lang="zh-CN" altLang="en-US"/>
        </a:p>
      </dgm:t>
    </dgm:pt>
    <dgm:pt modelId="{2FB6C886-8AD2-014E-8986-12A13F7A0305}">
      <dgm:prSet custT="1"/>
      <dgm:spPr/>
      <dgm:t>
        <a:bodyPr/>
        <a:p>
          <a:r>
            <a:rPr lang="zh-CN" altLang="en-US" sz="900" b="0" baseline="0">
              <a:latin typeface="Times New Roman" panose="02020603050405020304" charset="0"/>
              <a:ea typeface="宋体" panose="02010600030101010101" charset="-122"/>
              <a:cs typeface="Times New Roman" panose="02020603050405020304" charset="0"/>
            </a:rPr>
            <a:t>第一章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绪论</a:t>
          </a:r>
        </a:p>
      </dgm:t>
    </dgm:pt>
    <dgm:pt modelId="{9D2C0283-B7EA-B441-9269-CDD3C0B8F7DA}" cxnId="{7F02DCA7-191C-444E-9A5B-B985F8E23111}" type="parTrans">
      <dgm:prSet/>
      <dgm:spPr/>
      <dgm:t>
        <a:bodyPr/>
        <a:p>
          <a:endParaRPr lang="zh-CN" altLang="en-US"/>
        </a:p>
      </dgm:t>
    </dgm:pt>
    <dgm:pt modelId="{CD891B98-F7F2-6C49-BB8E-0556AC86C339}" cxnId="{7F02DCA7-191C-444E-9A5B-B985F8E23111}" type="sibTrans">
      <dgm:prSet/>
      <dgm:spPr/>
      <dgm:t>
        <a:bodyPr/>
        <a:p>
          <a:endParaRPr lang="zh-CN" altLang="en-US"/>
        </a:p>
      </dgm:t>
    </dgm:pt>
    <dgm:pt modelId="{44609A96-EB68-184F-8F23-39230E5F4739}">
      <dgm:prSet custT="1"/>
      <dgm:spPr/>
      <dgm:t>
        <a:bodyPr/>
        <a:p>
          <a:r>
            <a:rPr lang="en-US" altLang="zh-CN" sz="900" b="0" baseline="0">
              <a:latin typeface="Times New Roman" panose="02020603050405020304" charset="0"/>
              <a:ea typeface="宋体" panose="02010600030101010101" charset="-122"/>
              <a:cs typeface="Times New Roman" panose="02020603050405020304" charset="0"/>
            </a:rPr>
            <a:t>H</a:t>
          </a:r>
          <a:r>
            <a:rPr lang="zh-CN" altLang="en-US" sz="900" b="0" baseline="0">
              <a:latin typeface="Times New Roman" panose="02020603050405020304" charset="0"/>
              <a:ea typeface="宋体" panose="02010600030101010101" charset="-122"/>
              <a:cs typeface="Times New Roman" panose="02020603050405020304" charset="0"/>
            </a:rPr>
            <a:t>公司软件开发过程的改进研究</a:t>
          </a:r>
        </a:p>
      </dgm:t>
    </dgm:pt>
    <dgm:pt modelId="{C2AA670F-24B1-ED4C-8DF7-8A6BFAE5E4BE}" cxnId="{C114A22F-C8E4-E949-BA6C-62848604A8CB}" type="parTrans">
      <dgm:prSet/>
      <dgm:spPr/>
      <dgm:t>
        <a:bodyPr/>
        <a:p>
          <a:endParaRPr lang="zh-CN" altLang="en-US"/>
        </a:p>
      </dgm:t>
    </dgm:pt>
    <dgm:pt modelId="{379AEDDE-6ECC-3F46-AC6A-C7250650E5EA}" cxnId="{C114A22F-C8E4-E949-BA6C-62848604A8CB}" type="sibTrans">
      <dgm:prSet/>
      <dgm:spPr/>
      <dgm:t>
        <a:bodyPr/>
        <a:p>
          <a:endParaRPr lang="zh-CN" altLang="en-US"/>
        </a:p>
      </dgm:t>
    </dgm:pt>
    <dgm:pt modelId="{D3FF1B87-7953-D742-9C4F-CED53E69387F}">
      <dgm:prSet custT="1"/>
      <dgm:spPr/>
      <dgm:t>
        <a:bodyPr/>
        <a:p>
          <a:r>
            <a:rPr lang="zh-CN" altLang="en-US" sz="900" b="0" baseline="0">
              <a:latin typeface="Times New Roman" panose="02020603050405020304" charset="0"/>
              <a:ea typeface="宋体" panose="02010600030101010101" charset="-122"/>
              <a:cs typeface="Times New Roman" panose="02020603050405020304" charset="0"/>
            </a:rPr>
            <a:t>第二章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相关理论与方法</a:t>
          </a:r>
        </a:p>
      </dgm:t>
    </dgm:pt>
    <dgm:pt modelId="{9B337DB8-3EC9-A44F-B466-4EACE466CEB4}" cxnId="{840BF229-0F57-7E42-BB7F-2CD4B7F9D52A}" type="parTrans">
      <dgm:prSet/>
      <dgm:spPr/>
      <dgm:t>
        <a:bodyPr/>
        <a:p>
          <a:endParaRPr lang="zh-CN" altLang="en-US"/>
        </a:p>
      </dgm:t>
    </dgm:pt>
    <dgm:pt modelId="{BA7CDC5B-878F-8146-9054-0CC4253A56BB}" cxnId="{840BF229-0F57-7E42-BB7F-2CD4B7F9D52A}" type="sibTrans">
      <dgm:prSet/>
      <dgm:spPr/>
      <dgm:t>
        <a:bodyPr/>
        <a:p>
          <a:endParaRPr lang="zh-CN" altLang="en-US"/>
        </a:p>
      </dgm:t>
    </dgm:pt>
    <dgm:pt modelId="{1D3FF0F5-4A82-E242-9DDF-EDB7EF14F955}">
      <dgm:prSet custT="1"/>
      <dgm:spPr/>
      <dgm:t>
        <a:bodyPr/>
        <a:p>
          <a:r>
            <a:rPr lang="zh-CN" altLang="en-US" sz="900" b="0" baseline="0">
              <a:latin typeface="Times New Roman" panose="02020603050405020304" charset="0"/>
              <a:ea typeface="宋体" panose="02010600030101010101" charset="-122"/>
              <a:cs typeface="Times New Roman" panose="02020603050405020304" charset="0"/>
            </a:rPr>
            <a:t>第三章</a:t>
          </a:r>
          <a:br>
            <a:rPr lang="en-US" altLang="zh-CN" sz="900" b="0" baseline="0">
              <a:latin typeface="Times New Roman" panose="02020603050405020304" charset="0"/>
              <a:ea typeface="宋体" panose="02010600030101010101" charset="-122"/>
              <a:cs typeface="Times New Roman" panose="02020603050405020304" charset="0"/>
            </a:rPr>
          </a:br>
          <a:r>
            <a:rPr lang="en-US" sz="900" b="0" baseline="0">
              <a:latin typeface="Times New Roman" panose="02020603050405020304" charset="0"/>
              <a:ea typeface="宋体" panose="02010600030101010101" charset="-122"/>
              <a:cs typeface="Times New Roman" panose="02020603050405020304" charset="0"/>
            </a:rPr>
            <a:t>H</a:t>
          </a:r>
          <a:r>
            <a:rPr lang="zh-CN" altLang="en-US" sz="900" b="0" baseline="0">
              <a:latin typeface="Times New Roman" panose="02020603050405020304" charset="0"/>
              <a:ea typeface="宋体" panose="02010600030101010101" charset="-122"/>
              <a:cs typeface="Times New Roman" panose="02020603050405020304" charset="0"/>
            </a:rPr>
            <a:t>公司软件开发过程现状与问题分析</a:t>
          </a:r>
        </a:p>
      </dgm:t>
    </dgm:pt>
    <dgm:pt modelId="{42935BEE-64D8-6540-B793-318013F18683}" cxnId="{9FCDD316-611D-1D4C-A801-12C20F08E7C4}" type="parTrans">
      <dgm:prSet/>
      <dgm:spPr/>
      <dgm:t>
        <a:bodyPr/>
        <a:p>
          <a:endParaRPr lang="zh-CN" altLang="en-US"/>
        </a:p>
      </dgm:t>
    </dgm:pt>
    <dgm:pt modelId="{85BFFBAE-A19A-F847-B9FE-36D19028CD02}" cxnId="{9FCDD316-611D-1D4C-A801-12C20F08E7C4}" type="sibTrans">
      <dgm:prSet/>
      <dgm:spPr/>
      <dgm:t>
        <a:bodyPr/>
        <a:p>
          <a:endParaRPr lang="zh-CN" altLang="en-US"/>
        </a:p>
      </dgm:t>
    </dgm:pt>
    <dgm:pt modelId="{A74B6E50-CA07-BB45-B2E2-D2A53907A802}">
      <dgm:prSet custT="1"/>
      <dgm:spPr/>
      <dgm:t>
        <a:bodyPr/>
        <a:p>
          <a:r>
            <a:rPr lang="zh-CN" altLang="en-US" sz="900" b="0" baseline="0">
              <a:latin typeface="Times New Roman" panose="02020603050405020304" charset="0"/>
              <a:ea typeface="宋体" panose="02010600030101010101" charset="-122"/>
              <a:cs typeface="Times New Roman" panose="02020603050405020304" charset="0"/>
            </a:rPr>
            <a:t>第四章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软件开发过程改进方案设计</a:t>
          </a:r>
        </a:p>
      </dgm:t>
    </dgm:pt>
    <dgm:pt modelId="{51C3AB1D-145C-5646-8F44-EFC4E1D6617A}" cxnId="{9D70EC4E-C5D3-F44D-BB84-DDB7C6E2F155}" type="parTrans">
      <dgm:prSet/>
      <dgm:spPr/>
      <dgm:t>
        <a:bodyPr/>
        <a:p>
          <a:endParaRPr lang="zh-CN" altLang="en-US"/>
        </a:p>
      </dgm:t>
    </dgm:pt>
    <dgm:pt modelId="{7881D45B-C9D7-6240-AB85-7A4BE86A3C53}" cxnId="{9D70EC4E-C5D3-F44D-BB84-DDB7C6E2F155}" type="sibTrans">
      <dgm:prSet/>
      <dgm:spPr/>
      <dgm:t>
        <a:bodyPr/>
        <a:p>
          <a:endParaRPr lang="zh-CN" altLang="en-US"/>
        </a:p>
      </dgm:t>
    </dgm:pt>
    <dgm:pt modelId="{66F932D4-5399-BB44-9F08-03A831FE6F96}">
      <dgm:prSet custT="1"/>
      <dgm:spPr/>
      <dgm:t>
        <a:bodyPr/>
        <a:p>
          <a:r>
            <a:rPr lang="zh-CN" altLang="en-US" sz="900" b="0" baseline="0">
              <a:latin typeface="Times New Roman" panose="02020603050405020304" charset="0"/>
              <a:ea typeface="宋体" panose="02010600030101010101" charset="-122"/>
              <a:cs typeface="Times New Roman" panose="02020603050405020304" charset="0"/>
            </a:rPr>
            <a:t>第五章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改进方案实施与效果验证</a:t>
          </a:r>
        </a:p>
      </dgm:t>
    </dgm:pt>
    <dgm:pt modelId="{39FA9478-9B0B-6E48-92F3-AF839E02ED3F}" cxnId="{729F78C4-5FC1-9947-991D-2CFFE127C51E}" type="parTrans">
      <dgm:prSet/>
      <dgm:spPr/>
      <dgm:t>
        <a:bodyPr/>
        <a:p>
          <a:endParaRPr lang="zh-CN" altLang="en-US"/>
        </a:p>
      </dgm:t>
    </dgm:pt>
    <dgm:pt modelId="{CEBCF857-EBE3-6440-83BB-9B3CFAF48CEA}" cxnId="{729F78C4-5FC1-9947-991D-2CFFE127C51E}" type="sibTrans">
      <dgm:prSet/>
      <dgm:spPr/>
      <dgm:t>
        <a:bodyPr/>
        <a:p>
          <a:endParaRPr lang="zh-CN" altLang="en-US"/>
        </a:p>
      </dgm:t>
    </dgm:pt>
    <dgm:pt modelId="{16259978-58B6-904A-A332-3372E417062B}">
      <dgm:prSet custT="1"/>
      <dgm:spPr/>
      <dgm:t>
        <a:bodyPr/>
        <a:p>
          <a:r>
            <a:rPr lang="zh-CN" altLang="en-US" sz="900" b="0" baseline="0">
              <a:latin typeface="Times New Roman" panose="02020603050405020304" charset="0"/>
              <a:ea typeface="宋体" panose="02010600030101010101" charset="-122"/>
              <a:cs typeface="Times New Roman" panose="02020603050405020304" charset="0"/>
            </a:rPr>
            <a:t>第六章</a:t>
          </a:r>
          <a:endParaRPr lang="en-US" altLang="zh-CN" sz="900" b="0" baseline="0">
            <a:latin typeface="Times New Roman" panose="02020603050405020304" charset="0"/>
            <a:ea typeface="宋体" panose="02010600030101010101" charset="-122"/>
            <a:cs typeface="Times New Roman" panose="02020603050405020304" charset="0"/>
          </a:endParaRPr>
        </a:p>
        <a:p>
          <a:r>
            <a:rPr lang="zh-CN" altLang="en-US" sz="900" b="0" baseline="0">
              <a:latin typeface="Times New Roman" panose="02020603050405020304" charset="0"/>
              <a:ea typeface="宋体" panose="02010600030101010101" charset="-122"/>
              <a:cs typeface="Times New Roman" panose="02020603050405020304" charset="0"/>
            </a:rPr>
            <a:t>研究结论与展望</a:t>
          </a:r>
        </a:p>
      </dgm:t>
    </dgm:pt>
    <dgm:pt modelId="{F8D479C1-7297-AF48-B03E-69354689FA68}" cxnId="{E2D35EEB-31FA-1C40-88E0-CB8C651852F0}" type="parTrans">
      <dgm:prSet/>
      <dgm:spPr/>
      <dgm:t>
        <a:bodyPr/>
        <a:p>
          <a:endParaRPr lang="zh-CN" altLang="en-US"/>
        </a:p>
      </dgm:t>
    </dgm:pt>
    <dgm:pt modelId="{57F73AF8-BD90-4745-A1BB-805B260D23A1}" cxnId="{E2D35EEB-31FA-1C40-88E0-CB8C651852F0}" type="sibTrans">
      <dgm:prSet/>
      <dgm:spPr/>
      <dgm:t>
        <a:bodyPr/>
        <a:p>
          <a:endParaRPr lang="zh-CN" altLang="en-US"/>
        </a:p>
      </dgm:t>
    </dgm:pt>
    <dgm:pt modelId="{1A40F377-75DE-7546-AF6D-A32BF0DF6207}">
      <dgm:prSet custT="1"/>
      <dgm:spPr/>
      <dgm:t>
        <a:bodyPr/>
        <a:p>
          <a:r>
            <a:rPr lang="zh-CN" altLang="en-US" sz="900" b="0" baseline="0">
              <a:latin typeface="Times New Roman" panose="02020603050405020304" charset="0"/>
              <a:ea typeface="宋体" panose="02010600030101010101" charset="-122"/>
              <a:cs typeface="Times New Roman" panose="02020603050405020304" charset="0"/>
            </a:rPr>
            <a:t>阐述研究背景、意义、目标与方法，分析国内外研究现状，明确研究定位与框架。</a:t>
          </a:r>
        </a:p>
      </dgm:t>
    </dgm:pt>
    <dgm:pt modelId="{6C9C41B2-69A0-4440-AEDB-44455E3A345B}" cxnId="{CBFD2728-00AE-A94F-88F4-477373EDBA3D}" type="parTrans">
      <dgm:prSet/>
      <dgm:spPr/>
      <dgm:t>
        <a:bodyPr/>
        <a:p>
          <a:endParaRPr lang="zh-CN" altLang="en-US"/>
        </a:p>
      </dgm:t>
    </dgm:pt>
    <dgm:pt modelId="{5D920EC3-4A20-BB49-A151-47DAFFE08BF2}" cxnId="{CBFD2728-00AE-A94F-88F4-477373EDBA3D}" type="sibTrans">
      <dgm:prSet/>
      <dgm:spPr/>
      <dgm:t>
        <a:bodyPr/>
        <a:p>
          <a:endParaRPr lang="zh-CN" altLang="en-US"/>
        </a:p>
      </dgm:t>
    </dgm:pt>
    <dgm:pt modelId="{009F80CB-336A-E74A-A71E-31524861E414}">
      <dgm:prSet custT="1"/>
      <dgm:spPr/>
      <dgm:t>
        <a:bodyPr/>
        <a:p>
          <a:r>
            <a:rPr lang="zh-CN" altLang="en-US" sz="900" b="0" baseline="0">
              <a:latin typeface="Times New Roman" panose="02020603050405020304" charset="0"/>
              <a:ea typeface="宋体" panose="02010600030101010101" charset="-122"/>
              <a:cs typeface="Times New Roman" panose="02020603050405020304" charset="0"/>
            </a:rPr>
            <a:t>介绍软件过程改进、价值流管理、工程效能度量、</a:t>
          </a:r>
          <a:r>
            <a:rPr lang="en-US" sz="900" b="0" baseline="0">
              <a:latin typeface="Times New Roman" panose="02020603050405020304" charset="0"/>
              <a:ea typeface="宋体" panose="02010600030101010101" charset="-122"/>
              <a:cs typeface="Times New Roman" panose="02020603050405020304" charset="0"/>
            </a:rPr>
            <a:t>DevSecOps、</a:t>
          </a:r>
          <a:r>
            <a:rPr lang="zh-CN" altLang="en-US" sz="900" b="0" baseline="0">
              <a:latin typeface="Times New Roman" panose="02020603050405020304" charset="0"/>
              <a:ea typeface="宋体" panose="02010600030101010101" charset="-122"/>
              <a:cs typeface="Times New Roman" panose="02020603050405020304" charset="0"/>
            </a:rPr>
            <a:t>技术债务治理、</a:t>
          </a:r>
          <a:r>
            <a:rPr lang="en-US" sz="900" b="0" baseline="0">
              <a:latin typeface="Times New Roman" panose="02020603050405020304" charset="0"/>
              <a:ea typeface="宋体" panose="02010600030101010101" charset="-122"/>
              <a:cs typeface="Times New Roman" panose="02020603050405020304" charset="0"/>
            </a:rPr>
            <a:t>AIOps</a:t>
          </a:r>
          <a:r>
            <a:rPr lang="zh-CN" altLang="en-US" sz="900" b="0" baseline="0">
              <a:latin typeface="Times New Roman" panose="02020603050405020304" charset="0"/>
              <a:ea typeface="宋体" panose="02010600030101010101" charset="-122"/>
              <a:cs typeface="Times New Roman" panose="02020603050405020304" charset="0"/>
            </a:rPr>
            <a:t>与</a:t>
          </a:r>
          <a:r>
            <a:rPr lang="en-US" sz="900" b="0" baseline="0">
              <a:latin typeface="Times New Roman" panose="02020603050405020304" charset="0"/>
              <a:ea typeface="宋体" panose="02010600030101010101" charset="-122"/>
              <a:cs typeface="Times New Roman" panose="02020603050405020304" charset="0"/>
            </a:rPr>
            <a:t>SRE</a:t>
          </a:r>
          <a:r>
            <a:rPr lang="zh-CN" altLang="en-US" sz="900" b="0" baseline="0">
              <a:latin typeface="Times New Roman" panose="02020603050405020304" charset="0"/>
              <a:ea typeface="宋体" panose="02010600030101010101" charset="-122"/>
              <a:cs typeface="Times New Roman" panose="02020603050405020304" charset="0"/>
            </a:rPr>
            <a:t>及协作理论，为研究提供支撑。</a:t>
          </a:r>
        </a:p>
      </dgm:t>
    </dgm:pt>
    <dgm:pt modelId="{A3351751-42C3-BD47-92B5-4CFEB830BAD3}" cxnId="{FFB3D802-0628-944A-A3A8-C6099D3FCF79}" type="parTrans">
      <dgm:prSet/>
      <dgm:spPr/>
      <dgm:t>
        <a:bodyPr/>
        <a:p>
          <a:endParaRPr lang="zh-CN" altLang="en-US"/>
        </a:p>
      </dgm:t>
    </dgm:pt>
    <dgm:pt modelId="{674574E8-421D-6146-9E72-90237FF3E288}" cxnId="{FFB3D802-0628-944A-A3A8-C6099D3FCF79}" type="sibTrans">
      <dgm:prSet/>
      <dgm:spPr/>
      <dgm:t>
        <a:bodyPr/>
        <a:p>
          <a:endParaRPr lang="zh-CN" altLang="en-US"/>
        </a:p>
      </dgm:t>
    </dgm:pt>
    <dgm:pt modelId="{B2128BB3-89C2-9D47-B635-30D75156FBFC}">
      <dgm:prSet custT="1"/>
      <dgm:spPr/>
      <dgm:t>
        <a:bodyPr/>
        <a:p>
          <a:r>
            <a:rPr lang="zh-CN" altLang="en-US" sz="900" b="0" baseline="0">
              <a:latin typeface="Times New Roman" panose="02020603050405020304" charset="0"/>
              <a:ea typeface="宋体" panose="02010600030101010101" charset="-122"/>
              <a:cs typeface="Times New Roman" panose="02020603050405020304" charset="0"/>
            </a:rPr>
            <a:t>基于调研与数据，从需求、安全、债务、运维与协作五方面诊断现状，识别主要问题与改进方向。</a:t>
          </a:r>
        </a:p>
      </dgm:t>
    </dgm:pt>
    <dgm:pt modelId="{F8CF4465-3292-9E46-A4FB-79758227E1B1}" cxnId="{319219EB-13F2-4144-A72F-29F8F169C980}" type="parTrans">
      <dgm:prSet/>
      <dgm:spPr/>
      <dgm:t>
        <a:bodyPr/>
        <a:p>
          <a:endParaRPr lang="zh-CN" altLang="en-US"/>
        </a:p>
      </dgm:t>
    </dgm:pt>
    <dgm:pt modelId="{6E7E3D8B-E44D-3647-AB48-45113732167F}" cxnId="{319219EB-13F2-4144-A72F-29F8F169C980}" type="sibTrans">
      <dgm:prSet/>
      <dgm:spPr/>
      <dgm:t>
        <a:bodyPr/>
        <a:p>
          <a:endParaRPr lang="zh-CN" altLang="en-US"/>
        </a:p>
      </dgm:t>
    </dgm:pt>
    <dgm:pt modelId="{89D2E0C6-CE0B-2A42-99AE-E1FA7CC9001D}">
      <dgm:prSet custT="1"/>
      <dgm:spPr/>
      <dgm:t>
        <a:bodyPr/>
        <a:p>
          <a:r>
            <a:rPr lang="zh-CN" altLang="en-US" sz="900" b="0" baseline="0">
              <a:latin typeface="Times New Roman" panose="02020603050405020304" charset="0"/>
              <a:ea typeface="宋体" panose="02010600030101010101" charset="-122"/>
              <a:cs typeface="Times New Roman" panose="02020603050405020304" charset="0"/>
            </a:rPr>
            <a:t>提出系统化改进方案，涵盖需求响应、安全左移、债务治理、智能运维与组织协同，构建价值流驱动与持续优化框架。</a:t>
          </a:r>
        </a:p>
      </dgm:t>
    </dgm:pt>
    <dgm:pt modelId="{71EFEEBD-4579-8547-8E6B-8527C92CEED8}" cxnId="{CDCA720E-DA9A-7344-A17F-7063A775E9E7}" type="parTrans">
      <dgm:prSet/>
      <dgm:spPr/>
      <dgm:t>
        <a:bodyPr/>
        <a:p>
          <a:endParaRPr lang="zh-CN" altLang="en-US"/>
        </a:p>
      </dgm:t>
    </dgm:pt>
    <dgm:pt modelId="{C5ABF917-0217-9B43-B042-2E1D4E363D53}" cxnId="{CDCA720E-DA9A-7344-A17F-7063A775E9E7}" type="sibTrans">
      <dgm:prSet/>
      <dgm:spPr/>
      <dgm:t>
        <a:bodyPr/>
        <a:p>
          <a:endParaRPr lang="zh-CN" altLang="en-US"/>
        </a:p>
      </dgm:t>
    </dgm:pt>
    <dgm:pt modelId="{8F7AE21C-133B-1547-8CD3-6139EC91C634}">
      <dgm:prSet custT="1"/>
      <dgm:spPr/>
      <dgm:t>
        <a:bodyPr/>
        <a:p>
          <a:r>
            <a:rPr lang="zh-CN" altLang="en-US" sz="900" b="0" baseline="0">
              <a:latin typeface="Times New Roman" panose="02020603050405020304" charset="0"/>
              <a:ea typeface="宋体" panose="02010600030101010101" charset="-122"/>
              <a:cs typeface="Times New Roman" panose="02020603050405020304" charset="0"/>
            </a:rPr>
            <a:t>通过实践验证方案可行性，基于效能指标评估效率、质量与协作提升，并建立持续改进机制。</a:t>
          </a:r>
        </a:p>
      </dgm:t>
    </dgm:pt>
    <dgm:pt modelId="{65E28852-08A5-D446-A17E-C80AE2FB049B}" cxnId="{4F424895-ACF7-964A-B856-199E62FD5163}" type="parTrans">
      <dgm:prSet/>
      <dgm:spPr/>
      <dgm:t>
        <a:bodyPr/>
        <a:p>
          <a:endParaRPr lang="zh-CN" altLang="en-US"/>
        </a:p>
      </dgm:t>
    </dgm:pt>
    <dgm:pt modelId="{18E97BFF-A0E7-7748-BF48-73E232191971}" cxnId="{4F424895-ACF7-964A-B856-199E62FD5163}" type="sibTrans">
      <dgm:prSet/>
      <dgm:spPr/>
      <dgm:t>
        <a:bodyPr/>
        <a:p>
          <a:endParaRPr lang="zh-CN" altLang="en-US"/>
        </a:p>
      </dgm:t>
    </dgm:pt>
    <dgm:pt modelId="{A3B92326-95C8-C244-BCF7-78AF9BD01510}">
      <dgm:prSet custT="1"/>
      <dgm:spPr/>
      <dgm:t>
        <a:bodyPr/>
        <a:p>
          <a:r>
            <a:rPr lang="zh-CN" altLang="en-US" sz="900" b="0" baseline="0">
              <a:latin typeface="Times New Roman" panose="02020603050405020304" charset="0"/>
              <a:ea typeface="宋体" panose="02010600030101010101" charset="-122"/>
              <a:cs typeface="Times New Roman" panose="02020603050405020304" charset="0"/>
            </a:rPr>
            <a:t>总结成果与创新，阐明理论与实践价值，展望智能开发与数字化合规方向。</a:t>
          </a:r>
        </a:p>
      </dgm:t>
    </dgm:pt>
    <dgm:pt modelId="{6F5AB7CC-F681-DA4E-B5B5-A2D0AA39757B}" cxnId="{26B030EB-A53B-CB47-97E3-5C59C4FD4EB5}" type="parTrans">
      <dgm:prSet/>
      <dgm:spPr/>
      <dgm:t>
        <a:bodyPr/>
        <a:p>
          <a:endParaRPr lang="zh-CN" altLang="en-US"/>
        </a:p>
      </dgm:t>
    </dgm:pt>
    <dgm:pt modelId="{A2872206-1F63-5342-89E0-6CB310A682D1}" cxnId="{26B030EB-A53B-CB47-97E3-5C59C4FD4EB5}" type="sibTrans">
      <dgm:prSet/>
      <dgm:spPr/>
      <dgm:t>
        <a:bodyPr/>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p>
          <a:r>
            <a:rPr lang="zh-CN" altLang="en-US" sz="1050" baseline="0">
              <a:ea typeface="宋体" panose="02010600030101010101" charset="-122"/>
            </a:rPr>
            <a:t>过程规范化</a:t>
          </a:r>
        </a:p>
      </dgm:t>
    </dgm:pt>
    <dgm:pt modelId="{D66431F4-5A45-634C-9FE9-392BFFDAD300}" cxnId="{7A5FC85F-A422-5542-9EF2-B126AF811991}" type="parTrans">
      <dgm:prSet/>
      <dgm:spPr/>
      <dgm:t>
        <a:bodyPr/>
        <a:p>
          <a:endParaRPr lang="zh-CN" altLang="en-US"/>
        </a:p>
      </dgm:t>
    </dgm:pt>
    <dgm:pt modelId="{D7AE3B77-44B7-E345-A7C3-FAA6278496F7}" cxnId="{7A5FC85F-A422-5542-9EF2-B126AF811991}" type="sibTrans">
      <dgm:prSet/>
      <dgm:spPr/>
      <dgm:t>
        <a:bodyPr/>
        <a:p>
          <a:endParaRPr lang="zh-CN" altLang="en-US"/>
        </a:p>
      </dgm:t>
    </dgm:pt>
    <dgm:pt modelId="{33B7C86D-F135-CE48-8B25-7B4089535778}">
      <dgm:prSet phldrT="[文本]" custT="1"/>
      <dgm:spPr/>
      <dgm:t>
        <a:bodyPr/>
        <a:p>
          <a:r>
            <a:rPr lang="zh-CN" altLang="en-US" sz="1050" baseline="0">
              <a:ea typeface="宋体" panose="02010600030101010101" charset="-122"/>
            </a:rPr>
            <a:t>度量驱动化</a:t>
          </a:r>
        </a:p>
      </dgm:t>
    </dgm:pt>
    <dgm:pt modelId="{96DA5D02-8FAB-7A4D-BFFA-54CB0F245412}" cxnId="{FE57DC04-533A-F84C-97C5-5A030F604051}" type="parTrans">
      <dgm:prSet/>
      <dgm:spPr/>
      <dgm:t>
        <a:bodyPr/>
        <a:p>
          <a:endParaRPr lang="zh-CN" altLang="en-US"/>
        </a:p>
      </dgm:t>
    </dgm:pt>
    <dgm:pt modelId="{9A0A4BCD-E314-6545-B4CA-5355C423856D}" cxnId="{FE57DC04-533A-F84C-97C5-5A030F604051}" type="sibTrans">
      <dgm:prSet/>
      <dgm:spPr/>
      <dgm:t>
        <a:bodyPr/>
        <a:p>
          <a:endParaRPr lang="zh-CN" altLang="en-US"/>
        </a:p>
      </dgm:t>
    </dgm:pt>
    <dgm:pt modelId="{BCD66A39-A9AD-EB41-A53D-CCD101D01772}">
      <dgm:prSet phldrT="[文本]" custT="1"/>
      <dgm:spPr/>
      <dgm:t>
        <a:bodyPr/>
        <a:p>
          <a:r>
            <a:rPr lang="zh-CN" altLang="en-US" sz="1050" baseline="0">
              <a:ea typeface="宋体" panose="02010600030101010101" charset="-122"/>
            </a:rPr>
            <a:t>持续优化化</a:t>
          </a:r>
        </a:p>
      </dgm:t>
    </dgm:pt>
    <dgm:pt modelId="{504AE589-7F44-5A48-967E-1266E9DF9DAF}" cxnId="{862DE77A-B9E4-764B-9D1A-C5612BC6E3AB}" type="parTrans">
      <dgm:prSet/>
      <dgm:spPr/>
      <dgm:t>
        <a:bodyPr/>
        <a:p>
          <a:endParaRPr lang="zh-CN" altLang="en-US"/>
        </a:p>
      </dgm:t>
    </dgm:pt>
    <dgm:pt modelId="{E53AA633-C556-7040-9FAD-2AF79380EDBA}" cxnId="{862DE77A-B9E4-764B-9D1A-C5612BC6E3AB}" type="sibTrans">
      <dgm:prSet/>
      <dgm:spPr/>
      <dgm:t>
        <a:bodyPr/>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p>
          <a:endParaRPr lang="zh-CN" altLang="en-US"/>
        </a:p>
      </dgm:t>
    </dgm:pt>
    <dgm:pt modelId="{EC61BB3B-7BFC-BE4B-9857-938B97F24F50}">
      <dgm:prSet phldrT="[文本]" custT="1"/>
      <dgm:spPr/>
      <dgm:t>
        <a:bodyPr/>
        <a:p>
          <a:r>
            <a:rPr lang="zh-CN" altLang="en-US" sz="1050">
              <a:latin typeface="+mj-ea"/>
              <a:ea typeface="+mj-ea"/>
            </a:rPr>
            <a:t>价值流</a:t>
          </a:r>
        </a:p>
      </dgm:t>
    </dgm:pt>
    <dgm:pt modelId="{4C5B6282-B4E8-A549-B4CC-DB447C188437}" cxnId="{4A21DCC9-7CF8-4148-80CA-FF053D655671}" type="parTrans">
      <dgm:prSet/>
      <dgm:spPr/>
      <dgm:t>
        <a:bodyPr/>
        <a:p>
          <a:endParaRPr lang="zh-CN" altLang="en-US"/>
        </a:p>
      </dgm:t>
    </dgm:pt>
    <dgm:pt modelId="{18A12151-D7F6-5444-82FB-AA71E19F0067}" cxnId="{4A21DCC9-7CF8-4148-80CA-FF053D655671}" type="sibTrans">
      <dgm:prSet/>
      <dgm:spPr/>
      <dgm:t>
        <a:bodyPr/>
        <a:p>
          <a:endParaRPr lang="zh-CN" altLang="en-US"/>
        </a:p>
      </dgm:t>
    </dgm:pt>
    <dgm:pt modelId="{9CECCDE1-BB3D-7C4B-8226-33A06B059495}">
      <dgm:prSet custT="1"/>
      <dgm:spPr/>
      <dgm:t>
        <a:bodyPr/>
        <a:p>
          <a:r>
            <a:rPr lang="zh-CN" altLang="en-US" sz="1050">
              <a:latin typeface="+mj-ea"/>
              <a:ea typeface="+mj-ea"/>
            </a:rPr>
            <a:t>需求流</a:t>
          </a:r>
        </a:p>
      </dgm:t>
    </dgm:pt>
    <dgm:pt modelId="{B9CDEAA0-F4E9-154C-9D84-363298872776}" cxnId="{C94D6C89-76D2-B549-8653-DE79189E2139}" type="parTrans">
      <dgm:prSet/>
      <dgm:spPr/>
      <dgm:t>
        <a:bodyPr/>
        <a:p>
          <a:endParaRPr lang="zh-CN" altLang="en-US"/>
        </a:p>
      </dgm:t>
    </dgm:pt>
    <dgm:pt modelId="{189CC78A-CC3D-A949-8715-554F066BF911}" cxnId="{C94D6C89-76D2-B549-8653-DE79189E2139}" type="sibTrans">
      <dgm:prSet/>
      <dgm:spPr/>
      <dgm:t>
        <a:bodyPr/>
        <a:p>
          <a:endParaRPr lang="zh-CN" altLang="en-US"/>
        </a:p>
      </dgm:t>
    </dgm:pt>
    <dgm:pt modelId="{B292FF63-BE32-6D4A-A208-A3F0A315A4EB}">
      <dgm:prSet custT="1"/>
      <dgm:spPr/>
      <dgm:t>
        <a:bodyPr/>
        <a:p>
          <a:r>
            <a:rPr lang="zh-CN" altLang="en-US" sz="1050">
              <a:latin typeface="+mj-ea"/>
              <a:ea typeface="+mj-ea"/>
            </a:rPr>
            <a:t>反馈流</a:t>
          </a:r>
        </a:p>
      </dgm:t>
    </dgm:pt>
    <dgm:pt modelId="{8305475D-7FD6-0549-828C-63B1F0D527E7}" cxnId="{6D035D4D-6A11-BB46-883E-051233279177}" type="parTrans">
      <dgm:prSet/>
      <dgm:spPr/>
      <dgm:t>
        <a:bodyPr/>
        <a:p>
          <a:endParaRPr lang="zh-CN" altLang="en-US"/>
        </a:p>
      </dgm:t>
    </dgm:pt>
    <dgm:pt modelId="{B72F9184-ABB2-F14F-B127-3726825F2B80}" cxnId="{6D035D4D-6A11-BB46-883E-051233279177}" type="sibTrans">
      <dgm:prSet/>
      <dgm:spPr/>
      <dgm:t>
        <a:bodyPr/>
        <a:p>
          <a:endParaRPr lang="zh-CN" altLang="en-US"/>
        </a:p>
      </dgm:t>
    </dgm:pt>
    <dgm:pt modelId="{8D001CFA-C13E-AE46-B352-59989173EACD}">
      <dgm:prSet custT="1"/>
      <dgm:spPr/>
      <dgm:t>
        <a:bodyPr/>
        <a:p>
          <a:r>
            <a:rPr lang="zh-CN" altLang="en-US" sz="1050">
              <a:latin typeface="+mj-ea"/>
              <a:ea typeface="+mj-ea"/>
            </a:rPr>
            <a:t>开发流</a:t>
          </a:r>
        </a:p>
      </dgm:t>
    </dgm:pt>
    <dgm:pt modelId="{4B606010-6BB3-4847-81BA-C00D361B4E54}" cxnId="{B470987B-2174-1F49-B7A5-8E4D67C04272}" type="parTrans">
      <dgm:prSet/>
      <dgm:spPr/>
      <dgm:t>
        <a:bodyPr/>
        <a:p>
          <a:endParaRPr lang="zh-CN" altLang="en-US"/>
        </a:p>
      </dgm:t>
    </dgm:pt>
    <dgm:pt modelId="{668E247D-D118-CF4A-BB35-C6E27017F3BB}" cxnId="{B470987B-2174-1F49-B7A5-8E4D67C04272}" type="sibTrans">
      <dgm:prSet/>
      <dgm:spPr/>
      <dgm:t>
        <a:bodyPr/>
        <a:p>
          <a:endParaRPr lang="zh-CN" altLang="en-US"/>
        </a:p>
      </dgm:t>
    </dgm:pt>
    <dgm:pt modelId="{AC88E64C-729B-2940-BB7A-11E6AD2695CA}">
      <dgm:prSet custT="1"/>
      <dgm:spPr/>
      <dgm:t>
        <a:bodyPr/>
        <a:p>
          <a:r>
            <a:rPr lang="zh-CN" altLang="en-US" sz="1050">
              <a:latin typeface="+mj-ea"/>
              <a:ea typeface="+mj-ea"/>
            </a:rPr>
            <a:t>交付流</a:t>
          </a:r>
        </a:p>
      </dgm:t>
    </dgm:pt>
    <dgm:pt modelId="{300C67A2-41BC-844E-A895-7FDCAA903DC5}" cxnId="{CB11CBF2-E31D-5141-9240-047D71F2A4EE}" type="parTrans">
      <dgm:prSet/>
      <dgm:spPr/>
      <dgm:t>
        <a:bodyPr/>
        <a:p>
          <a:endParaRPr lang="zh-CN" altLang="en-US"/>
        </a:p>
      </dgm:t>
    </dgm:pt>
    <dgm:pt modelId="{DF39E4C1-6F38-7143-A903-EA33B7075A79}" cxnId="{CB11CBF2-E31D-5141-9240-047D71F2A4EE}" type="sibTrans">
      <dgm:prSet/>
      <dgm:spPr/>
      <dgm:t>
        <a:bodyPr/>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p>
          <a:endParaRPr lang="zh-CN" altLang="en-US"/>
        </a:p>
      </dgm:t>
    </dgm:pt>
    <dgm:pt modelId="{F873D04A-992F-1941-964D-931CAB3B29C8}">
      <dgm:prSet phldrT="[文本]" custT="1"/>
      <dgm:spPr/>
      <dgm:t>
        <a:bodyPr/>
        <a:p>
          <a:r>
            <a:rPr lang="zh-CN" altLang="en-US" sz="1050" baseline="0">
              <a:ea typeface="宋体" panose="02010600030101010101" charset="-122"/>
            </a:rPr>
            <a:t>计划</a:t>
          </a:r>
        </a:p>
      </dgm:t>
    </dgm:pt>
    <dgm:pt modelId="{6EF38D37-3345-194B-A298-D2BF684B0217}" cxnId="{DFAFE64A-7198-A648-A888-D43EF254946A}" type="parTrans">
      <dgm:prSet/>
      <dgm:spPr/>
      <dgm:t>
        <a:bodyPr/>
        <a:p>
          <a:endParaRPr lang="zh-CN" altLang="en-US"/>
        </a:p>
      </dgm:t>
    </dgm:pt>
    <dgm:pt modelId="{0A8C49FA-BA24-7943-B009-578765B1BC4D}" cxnId="{DFAFE64A-7198-A648-A888-D43EF254946A}" type="sibTrans">
      <dgm:prSet/>
      <dgm:spPr/>
      <dgm:t>
        <a:bodyPr/>
        <a:p>
          <a:endParaRPr lang="zh-CN" altLang="en-US"/>
        </a:p>
      </dgm:t>
    </dgm:pt>
    <dgm:pt modelId="{82E16AD2-0827-9546-B5C6-57D259CDD16E}">
      <dgm:prSet phldrT="[文本]" custT="1"/>
      <dgm:spPr/>
      <dgm:t>
        <a:bodyPr/>
        <a:p>
          <a:r>
            <a:rPr lang="zh-CN" altLang="en-US" sz="1050" baseline="0">
              <a:ea typeface="宋体" panose="02010600030101010101" charset="-122"/>
            </a:rPr>
            <a:t>执行</a:t>
          </a:r>
        </a:p>
      </dgm:t>
    </dgm:pt>
    <dgm:pt modelId="{4EBED5C7-F226-BB47-BB06-1689BF352948}" cxnId="{5B60FAB9-21EE-0246-A17F-7FAA85498DB7}" type="parTrans">
      <dgm:prSet/>
      <dgm:spPr/>
      <dgm:t>
        <a:bodyPr/>
        <a:p>
          <a:endParaRPr lang="zh-CN" altLang="en-US"/>
        </a:p>
      </dgm:t>
    </dgm:pt>
    <dgm:pt modelId="{E450FCE1-CE99-4747-A0AF-90D79495A79B}" cxnId="{5B60FAB9-21EE-0246-A17F-7FAA85498DB7}" type="sibTrans">
      <dgm:prSet/>
      <dgm:spPr/>
      <dgm:t>
        <a:bodyPr/>
        <a:p>
          <a:endParaRPr lang="zh-CN" altLang="en-US"/>
        </a:p>
      </dgm:t>
    </dgm:pt>
    <dgm:pt modelId="{78E70959-705D-5941-890F-B84543356E05}">
      <dgm:prSet phldrT="[文本]" custT="1"/>
      <dgm:spPr/>
      <dgm:t>
        <a:bodyPr/>
        <a:p>
          <a:r>
            <a:rPr lang="zh-CN" altLang="en-US" sz="1050" baseline="0">
              <a:ea typeface="宋体" panose="02010600030101010101" charset="-122"/>
            </a:rPr>
            <a:t>检查</a:t>
          </a:r>
        </a:p>
      </dgm:t>
    </dgm:pt>
    <dgm:pt modelId="{2690D331-5B67-514E-93A1-E5F1AABFB0FF}" cxnId="{F73A8E98-22AD-2C47-8C16-1D47FD993FEF}" type="parTrans">
      <dgm:prSet/>
      <dgm:spPr/>
      <dgm:t>
        <a:bodyPr/>
        <a:p>
          <a:endParaRPr lang="zh-CN" altLang="en-US"/>
        </a:p>
      </dgm:t>
    </dgm:pt>
    <dgm:pt modelId="{B420282B-3456-8B48-9408-07636699B0FD}" cxnId="{F73A8E98-22AD-2C47-8C16-1D47FD993FEF}" type="sibTrans">
      <dgm:prSet/>
      <dgm:spPr/>
      <dgm:t>
        <a:bodyPr/>
        <a:p>
          <a:endParaRPr lang="zh-CN" altLang="en-US"/>
        </a:p>
      </dgm:t>
    </dgm:pt>
    <dgm:pt modelId="{9797DD74-9FDC-2F45-80F6-F8810B3DF084}">
      <dgm:prSet phldrT="[文本]" custT="1"/>
      <dgm:spPr/>
      <dgm:t>
        <a:bodyPr/>
        <a:p>
          <a:r>
            <a:rPr lang="zh-CN" altLang="en-US" sz="1050" baseline="0">
              <a:ea typeface="宋体" panose="02010600030101010101" charset="-122"/>
            </a:rPr>
            <a:t>改进</a:t>
          </a:r>
        </a:p>
      </dgm:t>
    </dgm:pt>
    <dgm:pt modelId="{E53023FE-B58C-B74D-9A36-591CA98022A3}" cxnId="{8F03E3B1-5176-B845-AFAD-FC24FAD0FB37}" type="parTrans">
      <dgm:prSet/>
      <dgm:spPr/>
      <dgm:t>
        <a:bodyPr/>
        <a:p>
          <a:endParaRPr lang="zh-CN" altLang="en-US"/>
        </a:p>
      </dgm:t>
    </dgm:pt>
    <dgm:pt modelId="{B8AC036A-8786-774A-899A-69514D15EF09}" cxnId="{8F03E3B1-5176-B845-AFAD-FC24FAD0FB37}" type="sibTrans">
      <dgm:prSet/>
      <dgm:spPr/>
      <dgm:t>
        <a:bodyPr/>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p>
          <a:endParaRPr lang="zh-CN" altLang="en-US"/>
        </a:p>
      </dgm:t>
    </dgm:pt>
    <dgm:pt modelId="{155CAE43-1DD5-E04E-B4F3-AF809F1E6D53}">
      <dgm:prSet phldrT="[文本]" custT="1"/>
      <dgm:spPr/>
      <dgm:t>
        <a:bodyPr/>
        <a:p>
          <a:pPr algn="ctr"/>
          <a:r>
            <a:rPr lang="zh-CN" altLang="en-US" sz="1050" baseline="0">
              <a:ea typeface="宋体" panose="02010600030101010101" charset="-122"/>
            </a:rPr>
            <a:t>政策规则层</a:t>
          </a:r>
        </a:p>
      </dgm:t>
    </dgm:pt>
    <dgm:pt modelId="{F3F544A2-992D-584C-BAAB-0209C8D7763A}" cxnId="{A21589B3-34A1-0E4B-AC40-8928CACD5A88}" type="parTrans">
      <dgm:prSet/>
      <dgm:spPr/>
      <dgm:t>
        <a:bodyPr/>
        <a:p>
          <a:pPr algn="ctr"/>
          <a:endParaRPr lang="zh-CN" altLang="en-US"/>
        </a:p>
      </dgm:t>
    </dgm:pt>
    <dgm:pt modelId="{F7A14D87-7788-8F45-9241-6F0E9C763608}" cxnId="{A21589B3-34A1-0E4B-AC40-8928CACD5A88}" type="sibTrans">
      <dgm:prSet/>
      <dgm:spPr/>
      <dgm:t>
        <a:bodyPr/>
        <a:p>
          <a:pPr algn="ctr"/>
          <a:endParaRPr lang="zh-CN" altLang="en-US"/>
        </a:p>
      </dgm:t>
    </dgm:pt>
    <dgm:pt modelId="{8BD9F75F-C8D7-BF4C-9257-CBF6DA88A65B}">
      <dgm:prSet phldrT="[文本]" custT="1"/>
      <dgm:spPr/>
      <dgm:t>
        <a:bodyPr/>
        <a:p>
          <a:pPr algn="ctr"/>
          <a:r>
            <a:rPr lang="zh-CN" altLang="en-US" sz="1050" baseline="0">
              <a:ea typeface="宋体" panose="02010600030101010101" charset="-122"/>
            </a:rPr>
            <a:t>执行层引擎</a:t>
          </a:r>
        </a:p>
      </dgm:t>
    </dgm:pt>
    <dgm:pt modelId="{B024C37C-462E-A745-A8CE-842EC7C2359B}" cxnId="{999BD100-1532-1C4D-AB57-1832DE2FF816}" type="parTrans">
      <dgm:prSet/>
      <dgm:spPr/>
      <dgm:t>
        <a:bodyPr/>
        <a:p>
          <a:pPr algn="ctr"/>
          <a:endParaRPr lang="zh-CN" altLang="en-US"/>
        </a:p>
      </dgm:t>
    </dgm:pt>
    <dgm:pt modelId="{350A7746-1096-E44C-8655-8466822C1F8B}" cxnId="{999BD100-1532-1C4D-AB57-1832DE2FF816}" type="sibTrans">
      <dgm:prSet/>
      <dgm:spPr/>
      <dgm:t>
        <a:bodyPr/>
        <a:p>
          <a:pPr algn="ctr"/>
          <a:endParaRPr lang="zh-CN" altLang="en-US"/>
        </a:p>
      </dgm:t>
    </dgm:pt>
    <dgm:pt modelId="{5089A624-676C-3C48-86E6-FE07776E8470}">
      <dgm:prSet phldrT="[文本]" custT="1"/>
      <dgm:spPr/>
      <dgm:t>
        <a:bodyPr/>
        <a:p>
          <a:pPr algn="ctr"/>
          <a:r>
            <a:rPr lang="zh-CN" altLang="en-US" sz="1050" baseline="0">
              <a:ea typeface="宋体" panose="02010600030101010101" charset="-122"/>
            </a:rPr>
            <a:t>反馈闭环层</a:t>
          </a:r>
        </a:p>
      </dgm:t>
    </dgm:pt>
    <dgm:pt modelId="{CF3D57F8-A8CC-1440-A4F7-31DFD1030FEB}" cxnId="{797092C3-BB08-3C42-9027-5B5F1A04A85F}" type="parTrans">
      <dgm:prSet/>
      <dgm:spPr/>
      <dgm:t>
        <a:bodyPr/>
        <a:p>
          <a:pPr algn="ctr"/>
          <a:endParaRPr lang="zh-CN" altLang="en-US"/>
        </a:p>
      </dgm:t>
    </dgm:pt>
    <dgm:pt modelId="{7400D0C2-44B4-2F49-8C18-E983106C8902}" cxnId="{797092C3-BB08-3C42-9027-5B5F1A04A85F}" type="sibTrans">
      <dgm:prSet/>
      <dgm:spPr/>
      <dgm:t>
        <a:bodyPr/>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p>
          <a:endParaRPr lang="zh-CN" altLang="en-US"/>
        </a:p>
      </dgm:t>
    </dgm:pt>
    <dgm:pt modelId="{195E17E4-A0DD-2546-BA8F-45F0DF1F8CF0}">
      <dgm:prSet phldrT="[文本]" custT="1"/>
      <dgm:spPr/>
      <dgm:t>
        <a:bodyPr/>
        <a:p>
          <a:r>
            <a:rPr lang="zh-CN" altLang="en-US" sz="1050" baseline="0">
              <a:ea typeface="宋体" panose="02010600030101010101" charset="-122"/>
            </a:rPr>
            <a:t>技术债务类型</a:t>
          </a:r>
        </a:p>
      </dgm:t>
    </dgm:pt>
    <dgm:pt modelId="{BCCEA545-2830-9046-9E52-4EC73A9F7AC8}" cxnId="{E58E787C-0E36-E54B-B1AE-B360BF9F7A86}" type="parTrans">
      <dgm:prSet/>
      <dgm:spPr/>
      <dgm:t>
        <a:bodyPr/>
        <a:p>
          <a:endParaRPr lang="zh-CN" altLang="en-US"/>
        </a:p>
      </dgm:t>
    </dgm:pt>
    <dgm:pt modelId="{A5FFFB88-CB7E-DE44-A0A6-E6A047245DA0}" cxnId="{E58E787C-0E36-E54B-B1AE-B360BF9F7A86}" type="sibTrans">
      <dgm:prSet/>
      <dgm:spPr/>
      <dgm:t>
        <a:bodyPr/>
        <a:p>
          <a:endParaRPr lang="zh-CN" altLang="en-US"/>
        </a:p>
      </dgm:t>
    </dgm:pt>
    <dgm:pt modelId="{79F2BC32-2C5B-0545-B99F-775C23BF2401}">
      <dgm:prSet phldrT="[文本]" custT="1"/>
      <dgm:spPr/>
      <dgm:t>
        <a:bodyPr/>
        <a:p>
          <a:r>
            <a:rPr lang="zh-CN" altLang="en-US" sz="1050" baseline="0">
              <a:ea typeface="宋体" panose="02010600030101010101" charset="-122"/>
            </a:rPr>
            <a:t>影响路径</a:t>
          </a:r>
        </a:p>
      </dgm:t>
    </dgm:pt>
    <dgm:pt modelId="{76EB3DAB-13A0-B145-B636-CF8F30563E56}" cxnId="{1DBFE8C9-0754-1F49-9D4E-2080E1501593}" type="parTrans">
      <dgm:prSet/>
      <dgm:spPr/>
      <dgm:t>
        <a:bodyPr/>
        <a:p>
          <a:endParaRPr lang="zh-CN" altLang="en-US"/>
        </a:p>
      </dgm:t>
    </dgm:pt>
    <dgm:pt modelId="{0B25600C-17B5-9648-87D8-A03B3F085795}" cxnId="{1DBFE8C9-0754-1F49-9D4E-2080E1501593}" type="sibTrans">
      <dgm:prSet/>
      <dgm:spPr/>
      <dgm:t>
        <a:bodyPr/>
        <a:p>
          <a:endParaRPr lang="zh-CN" altLang="en-US"/>
        </a:p>
      </dgm:t>
    </dgm:pt>
    <dgm:pt modelId="{C3CCBAF5-C015-BD4E-87B1-4BEA38AE444F}">
      <dgm:prSet phldrT="[文本]" custT="1"/>
      <dgm:spPr/>
      <dgm:t>
        <a:bodyPr/>
        <a:p>
          <a:r>
            <a:rPr lang="zh-CN" altLang="en-US" sz="1050" baseline="0">
              <a:ea typeface="宋体" panose="02010600030101010101" charset="-122"/>
            </a:rPr>
            <a:t>可维护性维度</a:t>
          </a:r>
        </a:p>
      </dgm:t>
    </dgm:pt>
    <dgm:pt modelId="{6B730705-A568-8341-80A9-B2CFA0983E51}" cxnId="{85943A9E-ED83-6E47-9F67-D58511086D19}" type="parTrans">
      <dgm:prSet/>
      <dgm:spPr/>
      <dgm:t>
        <a:bodyPr/>
        <a:p>
          <a:endParaRPr lang="zh-CN" altLang="en-US"/>
        </a:p>
      </dgm:t>
    </dgm:pt>
    <dgm:pt modelId="{211FC52E-495C-4A49-83F2-7E9DF3394129}" cxnId="{85943A9E-ED83-6E47-9F67-D58511086D19}" type="sibTrans">
      <dgm:prSet/>
      <dgm:spPr/>
      <dgm:t>
        <a:bodyPr/>
        <a:p>
          <a:endParaRPr lang="zh-CN" altLang="en-US"/>
        </a:p>
      </dgm:t>
    </dgm:pt>
    <dgm:pt modelId="{6BAFD560-BCDD-3144-AC3B-9250425BEC48}">
      <dgm:prSet phldrT="[文本]" custT="1"/>
      <dgm:spPr/>
      <dgm:t>
        <a:bodyPr/>
        <a:p>
          <a:r>
            <a:rPr lang="zh-CN" altLang="en-US" sz="1050" baseline="0">
              <a:ea typeface="宋体" panose="02010600030101010101" charset="-122"/>
            </a:rPr>
            <a:t>反馈效应</a:t>
          </a:r>
        </a:p>
      </dgm:t>
    </dgm:pt>
    <dgm:pt modelId="{0FEFD56F-81B5-E941-B78C-3E00E390C25C}" cxnId="{81EB49E3-16AB-FF43-95A5-AABC15774F54}" type="parTrans">
      <dgm:prSet/>
      <dgm:spPr/>
      <dgm:t>
        <a:bodyPr/>
        <a:p>
          <a:endParaRPr lang="zh-CN" altLang="en-US"/>
        </a:p>
      </dgm:t>
    </dgm:pt>
    <dgm:pt modelId="{A891F5D9-915D-EB46-86E8-D9C4151DA2C1}" cxnId="{81EB49E3-16AB-FF43-95A5-AABC15774F54}" type="sibTrans">
      <dgm:prSet/>
      <dgm:spPr/>
      <dgm:t>
        <a:bodyPr/>
        <a:p>
          <a:endParaRPr lang="zh-CN" altLang="en-US"/>
        </a:p>
      </dgm:t>
    </dgm:pt>
    <dgm:pt modelId="{2DEEE4FA-1CBA-EB49-A3D3-D14B47D3B404}">
      <dgm:prSet phldrT="[文本]" custT="1"/>
      <dgm:spPr/>
      <dgm:t>
        <a:bodyPr/>
        <a:p>
          <a:r>
            <a:rPr lang="zh-CN" altLang="en-US" sz="1050" baseline="0">
              <a:ea typeface="宋体" panose="02010600030101010101" charset="-122"/>
            </a:rPr>
            <a:t>架构演化能力</a:t>
          </a:r>
        </a:p>
      </dgm:t>
    </dgm:pt>
    <dgm:pt modelId="{3B5BAD38-5416-7A49-9C9C-C9F207304029}" cxnId="{294C3490-41BE-FB44-8E7C-2D7CF0DF75E8}" type="parTrans">
      <dgm:prSet/>
      <dgm:spPr/>
      <dgm:t>
        <a:bodyPr/>
        <a:p>
          <a:endParaRPr lang="zh-CN" altLang="en-US"/>
        </a:p>
      </dgm:t>
    </dgm:pt>
    <dgm:pt modelId="{A62882A0-A452-844C-BB3B-EE126B92F61B}" cxnId="{294C3490-41BE-FB44-8E7C-2D7CF0DF75E8}" type="sibTrans">
      <dgm:prSet/>
      <dgm:spPr/>
      <dgm:t>
        <a:bodyPr/>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p>
          <a:endParaRPr lang="zh-CN" altLang="en-US"/>
        </a:p>
      </dgm:t>
    </dgm:pt>
    <dgm:pt modelId="{ED9C25E1-D0EA-FE4D-836D-37A3C24F6575}">
      <dgm:prSet phldrT="[文本]" custT="1"/>
      <dgm:spPr/>
      <dgm:t>
        <a:bodyPr/>
        <a:p>
          <a:r>
            <a:rPr lang="zh-CN" altLang="en-US" sz="1050" baseline="0">
              <a:ea typeface="宋体" panose="02010600030101010101" charset="-122"/>
            </a:rPr>
            <a:t>数据采集与整合</a:t>
          </a:r>
        </a:p>
      </dgm:t>
    </dgm:pt>
    <dgm:pt modelId="{B7E01F2F-8CEA-384F-94D5-2B81E0313031}" cxnId="{A94B7081-7D38-8845-8279-7F33A8AC5D19}" type="parTrans">
      <dgm:prSet/>
      <dgm:spPr/>
      <dgm:t>
        <a:bodyPr/>
        <a:p>
          <a:endParaRPr lang="zh-CN" altLang="en-US"/>
        </a:p>
      </dgm:t>
    </dgm:pt>
    <dgm:pt modelId="{569A2AAA-AEA0-B049-85DB-DA110EEF14C9}" cxnId="{A94B7081-7D38-8845-8279-7F33A8AC5D19}" type="sibTrans">
      <dgm:prSet/>
      <dgm:spPr/>
      <dgm:t>
        <a:bodyPr/>
        <a:p>
          <a:endParaRPr lang="zh-CN" altLang="en-US"/>
        </a:p>
      </dgm:t>
    </dgm:pt>
    <dgm:pt modelId="{457C4796-0982-0741-B662-4648ED97A31F}">
      <dgm:prSet phldrT="[文本]" custT="1"/>
      <dgm:spPr/>
      <dgm:t>
        <a:bodyPr/>
        <a:p>
          <a:r>
            <a:rPr lang="zh-CN" altLang="en-US" sz="1050" baseline="0">
              <a:ea typeface="宋体" panose="02010600030101010101" charset="-122"/>
            </a:rPr>
            <a:t>智能分析与推理</a:t>
          </a:r>
        </a:p>
      </dgm:t>
    </dgm:pt>
    <dgm:pt modelId="{E914C3E4-64FB-B544-97D4-771C13EA7F13}" cxnId="{603D813D-E61E-1D49-AEF0-6D87FC055462}" type="parTrans">
      <dgm:prSet/>
      <dgm:spPr/>
      <dgm:t>
        <a:bodyPr/>
        <a:p>
          <a:endParaRPr lang="zh-CN" altLang="en-US"/>
        </a:p>
      </dgm:t>
    </dgm:pt>
    <dgm:pt modelId="{147443C0-B94D-2A48-A3D9-8AFCC0DFCE70}" cxnId="{603D813D-E61E-1D49-AEF0-6D87FC055462}" type="sibTrans">
      <dgm:prSet/>
      <dgm:spPr/>
      <dgm:t>
        <a:bodyPr/>
        <a:p>
          <a:endParaRPr lang="zh-CN" altLang="en-US"/>
        </a:p>
      </dgm:t>
    </dgm:pt>
    <dgm:pt modelId="{16EFFFF2-6A93-4442-89FC-8917A80AA568}">
      <dgm:prSet phldrT="[文本]" custT="1"/>
      <dgm:spPr/>
      <dgm:t>
        <a:bodyPr/>
        <a:p>
          <a:r>
            <a:rPr lang="zh-CN" altLang="en-US" sz="1050" baseline="0">
              <a:ea typeface="宋体" panose="02010600030101010101" charset="-122"/>
            </a:rPr>
            <a:t>决策执行与验证</a:t>
          </a:r>
        </a:p>
      </dgm:t>
    </dgm:pt>
    <dgm:pt modelId="{30652E9A-068D-5246-A028-4BE473FC2BF1}" cxnId="{B14A0075-2533-A74F-A266-677F3A577BF9}" type="parTrans">
      <dgm:prSet/>
      <dgm:spPr/>
      <dgm:t>
        <a:bodyPr/>
        <a:p>
          <a:endParaRPr lang="zh-CN" altLang="en-US"/>
        </a:p>
      </dgm:t>
    </dgm:pt>
    <dgm:pt modelId="{34A05A42-BD35-234E-A884-7AF0A4FC6741}" cxnId="{B14A0075-2533-A74F-A266-677F3A577BF9}" type="sibTrans">
      <dgm:prSet/>
      <dgm:spPr/>
      <dgm:t>
        <a:bodyPr/>
        <a:p>
          <a:endParaRPr lang="zh-CN" altLang="en-US"/>
        </a:p>
      </dgm:t>
    </dgm:pt>
    <dgm:pt modelId="{0BE9E570-5DC8-A84F-9481-301D8DCF2725}">
      <dgm:prSet phldrT="[文本]" custT="1"/>
      <dgm:spPr/>
      <dgm:t>
        <a:bodyPr/>
        <a:p>
          <a:r>
            <a:rPr lang="zh-CN" altLang="en-US" sz="1050" baseline="0">
              <a:ea typeface="宋体" panose="02010600030101010101" charset="-122"/>
            </a:rPr>
            <a:t>知识沉淀与反馈</a:t>
          </a:r>
        </a:p>
      </dgm:t>
    </dgm:pt>
    <dgm:pt modelId="{A45E82EC-7D0D-E340-8572-DC916D0FA1CA}" cxnId="{0D5E2025-6725-2B4C-928E-2E63C5BB671F}" type="parTrans">
      <dgm:prSet/>
      <dgm:spPr/>
      <dgm:t>
        <a:bodyPr/>
        <a:p>
          <a:endParaRPr lang="zh-CN" altLang="en-US"/>
        </a:p>
      </dgm:t>
    </dgm:pt>
    <dgm:pt modelId="{EE05F03D-66CE-2244-ABFE-69690CD50E07}" cxnId="{0D5E2025-6725-2B4C-928E-2E63C5BB671F}" type="sibTrans">
      <dgm:prSet/>
      <dgm:spPr/>
      <dgm:t>
        <a:bodyPr/>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p>
          <a:endParaRPr lang="zh-CN" altLang="en-US"/>
        </a:p>
      </dgm:t>
    </dgm:pt>
    <dgm:pt modelId="{B4452E92-7807-154D-BBF0-F2B571303442}">
      <dgm:prSet phldrT="[文本]" custT="1"/>
      <dgm:spPr/>
      <dgm:t>
        <a:bodyPr/>
        <a:p>
          <a:r>
            <a:rPr lang="zh-CN" altLang="en-US" sz="1050" baseline="0">
              <a:ea typeface="宋体" panose="02010600030101010101" charset="-122"/>
            </a:rPr>
            <a:t>智能运维目标</a:t>
          </a:r>
          <a:br>
            <a:rPr lang="en-US" altLang="zh-CN" sz="1050" baseline="0">
              <a:ea typeface="宋体" panose="02010600030101010101" charset="-122"/>
            </a:rPr>
          </a:br>
          <a:r>
            <a:rPr lang="zh-CN" altLang="en-US" sz="1050" baseline="0">
              <a:ea typeface="宋体" panose="02010600030101010101" charset="-122"/>
            </a:rPr>
            <a:t>稳定性、合规性、透明性</a:t>
          </a:r>
        </a:p>
      </dgm:t>
    </dgm:pt>
    <dgm:pt modelId="{4574480A-9249-DD4E-80DF-2D30F2F70A5B}" cxnId="{8027386F-DD58-5F45-8FA9-2F1C7DD4461D}" type="parTrans">
      <dgm:prSet/>
      <dgm:spPr/>
      <dgm:t>
        <a:bodyPr/>
        <a:p>
          <a:endParaRPr lang="zh-CN" altLang="en-US"/>
        </a:p>
      </dgm:t>
    </dgm:pt>
    <dgm:pt modelId="{8995A012-D8B9-A04F-BFDE-4E417E45DB92}" cxnId="{8027386F-DD58-5F45-8FA9-2F1C7DD4461D}" type="sibTrans">
      <dgm:prSet/>
      <dgm:spPr/>
      <dgm:t>
        <a:bodyPr/>
        <a:p>
          <a:endParaRPr lang="zh-CN" altLang="en-US"/>
        </a:p>
      </dgm:t>
    </dgm:pt>
    <dgm:pt modelId="{BCA01605-3062-9342-B621-61DCC317959D}">
      <dgm:prSet phldrT="[文本]" custT="1"/>
      <dgm:spPr/>
      <dgm:t>
        <a:bodyPr/>
        <a:p>
          <a:r>
            <a:rPr lang="zh-CN" altLang="en-US" sz="1050" baseline="0">
              <a:ea typeface="宋体" panose="02010600030101010101" charset="-122"/>
            </a:rPr>
            <a:t>数据溯源</a:t>
          </a:r>
        </a:p>
      </dgm:t>
    </dgm:pt>
    <dgm:pt modelId="{BD444707-797D-494D-B969-7E3F0640988E}" cxnId="{0BD4350E-046B-DA49-A2A4-390E6F66C9DA}" type="parTrans">
      <dgm:prSet/>
      <dgm:spPr/>
      <dgm:t>
        <a:bodyPr/>
        <a:p>
          <a:endParaRPr lang="zh-CN" altLang="en-US"/>
        </a:p>
      </dgm:t>
    </dgm:pt>
    <dgm:pt modelId="{56D704E9-F913-B14A-AF87-A286244C5FA1}" cxnId="{0BD4350E-046B-DA49-A2A4-390E6F66C9DA}" type="sibTrans">
      <dgm:prSet/>
      <dgm:spPr/>
      <dgm:t>
        <a:bodyPr/>
        <a:p>
          <a:endParaRPr lang="zh-CN" altLang="en-US"/>
        </a:p>
      </dgm:t>
    </dgm:pt>
    <dgm:pt modelId="{03E0D8A6-9AB7-AE43-8210-5DF4A1CE94BB}">
      <dgm:prSet phldrT="[文本]" custT="1"/>
      <dgm:spPr/>
      <dgm:t>
        <a:bodyPr/>
        <a:p>
          <a:r>
            <a:rPr lang="zh-CN" altLang="en-US" sz="1050" baseline="0">
              <a:ea typeface="宋体" panose="02010600030101010101" charset="-122"/>
            </a:rPr>
            <a:t>模型解释</a:t>
          </a:r>
        </a:p>
      </dgm:t>
    </dgm:pt>
    <dgm:pt modelId="{F19D4895-1B09-174A-9E5D-145EE2B70A27}" cxnId="{0AE71DC5-7918-C545-9212-6A146143D967}" type="parTrans">
      <dgm:prSet/>
      <dgm:spPr/>
      <dgm:t>
        <a:bodyPr/>
        <a:p>
          <a:endParaRPr lang="zh-CN" altLang="en-US"/>
        </a:p>
      </dgm:t>
    </dgm:pt>
    <dgm:pt modelId="{D3E07DC4-A597-7346-B105-7CA0DCDAB269}" cxnId="{0AE71DC5-7918-C545-9212-6A146143D967}" type="sibTrans">
      <dgm:prSet/>
      <dgm:spPr/>
      <dgm:t>
        <a:bodyPr/>
        <a:p>
          <a:endParaRPr lang="zh-CN" altLang="en-US"/>
        </a:p>
      </dgm:t>
    </dgm:pt>
    <dgm:pt modelId="{1A571FAC-F474-3C4F-AAED-9F3DF97BF56D}">
      <dgm:prSet phldrT="[文本]" custT="1"/>
      <dgm:spPr/>
      <dgm:t>
        <a:bodyPr/>
        <a:p>
          <a:r>
            <a:rPr lang="zh-CN" altLang="en-US" sz="1050" baseline="0">
              <a:ea typeface="宋体" panose="02010600030101010101" charset="-122"/>
            </a:rPr>
            <a:t>操作审计</a:t>
          </a:r>
        </a:p>
      </dgm:t>
    </dgm:pt>
    <dgm:pt modelId="{FE0285BC-7062-B14B-B4ED-C8701F3E42C0}" cxnId="{A77D9D61-2E03-9E4A-945B-D97D4DB6734B}" type="parTrans">
      <dgm:prSet/>
      <dgm:spPr/>
      <dgm:t>
        <a:bodyPr/>
        <a:p>
          <a:endParaRPr lang="zh-CN" altLang="en-US"/>
        </a:p>
      </dgm:t>
    </dgm:pt>
    <dgm:pt modelId="{B19782E8-F264-D14B-94E5-991232C0CD07}" cxnId="{A77D9D61-2E03-9E4A-945B-D97D4DB6734B}" type="sibTrans">
      <dgm:prSet/>
      <dgm:spPr/>
      <dgm:t>
        <a:bodyPr/>
        <a:p>
          <a:endParaRPr lang="zh-CN" altLang="en-US"/>
        </a:p>
      </dgm:t>
    </dgm:pt>
    <dgm:pt modelId="{A9928DE3-7F52-7B4D-B3AF-3F876B340A18}">
      <dgm:prSet custT="1"/>
      <dgm:spPr/>
      <dgm:t>
        <a:bodyPr/>
        <a:p>
          <a:r>
            <a:rPr lang="zh-CN" altLang="en-US" sz="1050" baseline="0">
              <a:ea typeface="宋体" panose="02010600030101010101" charset="-122"/>
            </a:rPr>
            <a:t>日志归档</a:t>
          </a:r>
        </a:p>
      </dgm:t>
    </dgm:pt>
    <dgm:pt modelId="{D744BF01-ECC9-3F43-92D2-F48EAD676100}" cxnId="{932F9316-7F6A-0349-AD04-2A6CBCDCCDD8}" type="parTrans">
      <dgm:prSet/>
      <dgm:spPr/>
      <dgm:t>
        <a:bodyPr/>
        <a:p>
          <a:endParaRPr lang="zh-CN" altLang="en-US"/>
        </a:p>
      </dgm:t>
    </dgm:pt>
    <dgm:pt modelId="{01B4515E-69A4-224F-B014-CFC00F9743A0}" cxnId="{932F9316-7F6A-0349-AD04-2A6CBCDCCDD8}" type="sibTrans">
      <dgm:prSet/>
      <dgm:spPr/>
      <dgm:t>
        <a:bodyPr/>
        <a:p>
          <a:endParaRPr lang="zh-CN" altLang="en-US"/>
        </a:p>
      </dgm:t>
    </dgm:pt>
    <dgm:pt modelId="{CB1BDAD6-0213-F94C-90AB-AE451EC6E3E9}">
      <dgm:prSet custT="1"/>
      <dgm:spPr/>
      <dgm:t>
        <a:bodyPr/>
        <a:p>
          <a:r>
            <a:rPr lang="zh-CN" altLang="en-US" sz="1050" baseline="0">
              <a:ea typeface="宋体" panose="02010600030101010101" charset="-122"/>
            </a:rPr>
            <a:t>算法说明</a:t>
          </a:r>
        </a:p>
      </dgm:t>
    </dgm:pt>
    <dgm:pt modelId="{A56FBA12-BC07-534A-91CD-D5D1FB797C0F}" cxnId="{D938502F-06D4-0547-AC2D-CF18CDE68C79}" type="parTrans">
      <dgm:prSet/>
      <dgm:spPr/>
      <dgm:t>
        <a:bodyPr/>
        <a:p>
          <a:endParaRPr lang="zh-CN" altLang="en-US"/>
        </a:p>
      </dgm:t>
    </dgm:pt>
    <dgm:pt modelId="{DA4C14EE-EAF1-4442-AC1B-306B281A7322}" cxnId="{D938502F-06D4-0547-AC2D-CF18CDE68C79}" type="sibTrans">
      <dgm:prSet/>
      <dgm:spPr/>
      <dgm:t>
        <a:bodyPr/>
        <a:p>
          <a:endParaRPr lang="zh-CN" altLang="en-US"/>
        </a:p>
      </dgm:t>
    </dgm:pt>
    <dgm:pt modelId="{D9423E6C-6D69-E641-AF6F-C712447BA382}">
      <dgm:prSet custT="1"/>
      <dgm:spPr/>
      <dgm:t>
        <a:bodyPr/>
        <a:p>
          <a:r>
            <a:rPr lang="zh-CN" altLang="en-US" sz="1050" baseline="0">
              <a:ea typeface="宋体" panose="02010600030101010101" charset="-122"/>
            </a:rPr>
            <a:t>责任追踪</a:t>
          </a:r>
        </a:p>
      </dgm:t>
    </dgm:pt>
    <dgm:pt modelId="{4A420802-29FB-204A-8573-340037220C27}" cxnId="{7FD7C1F8-C07F-E84F-838A-9BA9C587FDEA}" type="parTrans">
      <dgm:prSet/>
      <dgm:spPr/>
      <dgm:t>
        <a:bodyPr/>
        <a:p>
          <a:endParaRPr lang="zh-CN" altLang="en-US"/>
        </a:p>
      </dgm:t>
    </dgm:pt>
    <dgm:pt modelId="{41949658-E8F0-5943-A285-C5C67B355EEA}" cxnId="{7FD7C1F8-C07F-E84F-838A-9BA9C587FDEA}" type="sibTrans">
      <dgm:prSet/>
      <dgm:spPr/>
      <dgm:t>
        <a:bodyPr/>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4">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p>
          <a:endParaRPr lang="zh-CN" altLang="en-US"/>
        </a:p>
      </dgm:t>
    </dgm:pt>
    <dgm:pt modelId="{2DE05B26-FFA9-3143-8083-41B59B9A4446}">
      <dgm:prSet phldrT="[文本]" custT="1"/>
      <dgm:spPr/>
      <dgm:t>
        <a:bodyPr/>
        <a:p>
          <a:r>
            <a:rPr lang="zh-CN" altLang="en-US" sz="1050" baseline="0">
              <a:ea typeface="宋体" panose="02010600030101010101" charset="-122"/>
            </a:rPr>
            <a:t>文化驱动</a:t>
          </a:r>
        </a:p>
      </dgm:t>
    </dgm:pt>
    <dgm:pt modelId="{3AC00B17-8DEE-F545-A6D6-92D0BF1C7941}" cxnId="{28FDB7AC-038D-8D4D-AF01-D144DE14457F}" type="parTrans">
      <dgm:prSet/>
      <dgm:spPr/>
      <dgm:t>
        <a:bodyPr/>
        <a:p>
          <a:endParaRPr lang="zh-CN" altLang="en-US"/>
        </a:p>
      </dgm:t>
    </dgm:pt>
    <dgm:pt modelId="{A3F6CC96-52E5-F545-BB79-7BD5A154B974}" cxnId="{28FDB7AC-038D-8D4D-AF01-D144DE14457F}" type="sibTrans">
      <dgm:prSet/>
      <dgm:spPr/>
      <dgm:t>
        <a:bodyPr/>
        <a:p>
          <a:endParaRPr lang="zh-CN" altLang="en-US"/>
        </a:p>
      </dgm:t>
    </dgm:pt>
    <dgm:pt modelId="{F796F350-F5D5-6C43-A18A-71A0D27CCD58}">
      <dgm:prSet phldrT="[文本]" custT="1"/>
      <dgm:spPr/>
      <dgm:t>
        <a:bodyPr/>
        <a:p>
          <a:r>
            <a:rPr lang="zh-CN" altLang="en-US" sz="1050" baseline="0">
              <a:ea typeface="宋体" panose="02010600030101010101" charset="-122"/>
            </a:rPr>
            <a:t>流程优化</a:t>
          </a:r>
        </a:p>
      </dgm:t>
    </dgm:pt>
    <dgm:pt modelId="{D1108EF3-43BA-294A-BAFA-5A67B252589D}" cxnId="{E6F6AF15-B5E3-C84B-97F2-F59FFEC4232D}" type="parTrans">
      <dgm:prSet/>
      <dgm:spPr/>
      <dgm:t>
        <a:bodyPr/>
        <a:p>
          <a:endParaRPr lang="zh-CN" altLang="en-US"/>
        </a:p>
      </dgm:t>
    </dgm:pt>
    <dgm:pt modelId="{75CF74BE-EBE6-9143-AE5E-DEEB6EA241D3}" cxnId="{E6F6AF15-B5E3-C84B-97F2-F59FFEC4232D}" type="sibTrans">
      <dgm:prSet/>
      <dgm:spPr/>
      <dgm:t>
        <a:bodyPr/>
        <a:p>
          <a:endParaRPr lang="zh-CN" altLang="en-US"/>
        </a:p>
      </dgm:t>
    </dgm:pt>
    <dgm:pt modelId="{90CE3A86-3212-814A-9147-C773E92EC93F}">
      <dgm:prSet phldrT="[文本]" custT="1"/>
      <dgm:spPr/>
      <dgm:t>
        <a:bodyPr/>
        <a:p>
          <a:r>
            <a:rPr lang="zh-CN" altLang="en-US" sz="1050" baseline="0">
              <a:ea typeface="宋体" panose="02010600030101010101" charset="-122"/>
            </a:rPr>
            <a:t>技术赋能</a:t>
          </a:r>
        </a:p>
      </dgm:t>
    </dgm:pt>
    <dgm:pt modelId="{21688F91-B168-4C44-AE47-C3B14C2E671F}" cxnId="{7F5FE81D-FEF9-6F43-B2DA-2F228BC0DA2C}" type="parTrans">
      <dgm:prSet/>
      <dgm:spPr/>
      <dgm:t>
        <a:bodyPr/>
        <a:p>
          <a:endParaRPr lang="zh-CN" altLang="en-US"/>
        </a:p>
      </dgm:t>
    </dgm:pt>
    <dgm:pt modelId="{C4F0D66D-B067-1E4D-8580-2EC6F2C2B109}" cxnId="{7F5FE81D-FEF9-6F43-B2DA-2F228BC0DA2C}" type="sibTrans">
      <dgm:prSet/>
      <dgm:spPr/>
      <dgm:t>
        <a:bodyPr/>
        <a:p>
          <a:endParaRPr lang="zh-CN" altLang="en-US"/>
        </a:p>
      </dgm:t>
    </dgm:pt>
    <dgm:pt modelId="{C820BD6F-C994-6F4D-AB69-F65D4F614871}">
      <dgm:prSet phldrT="[文本]" custT="1"/>
      <dgm:spPr/>
      <dgm:t>
        <a:bodyPr/>
        <a:p>
          <a:r>
            <a:rPr lang="zh-CN" altLang="en-US" sz="1050" baseline="0">
              <a:ea typeface="宋体" panose="02010600030101010101" charset="-122"/>
            </a:rPr>
            <a:t>反馈改进</a:t>
          </a:r>
        </a:p>
      </dgm:t>
    </dgm:pt>
    <dgm:pt modelId="{96D84F19-911B-5748-A09B-1DB33F8BB52C}" cxnId="{613ED7FE-F2C1-7A4F-BC49-8221AA389C0A}" type="parTrans">
      <dgm:prSet/>
      <dgm:spPr/>
      <dgm:t>
        <a:bodyPr/>
        <a:p>
          <a:endParaRPr lang="zh-CN" altLang="en-US"/>
        </a:p>
      </dgm:t>
    </dgm:pt>
    <dgm:pt modelId="{0B76CD1F-EA73-B74B-B41F-41A2D3C18C5F}" cxnId="{613ED7FE-F2C1-7A4F-BC49-8221AA389C0A}" type="sibTrans">
      <dgm:prSet/>
      <dgm:spPr/>
      <dgm:t>
        <a:bodyPr/>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p>
          <a:endParaRPr lang="zh-CN" altLang="en-US"/>
        </a:p>
      </dgm:t>
    </dgm:pt>
    <dgm:pt modelId="{BC0B199E-0017-7D4B-A5F9-A5B60786B5EE}">
      <dgm:prSet phldrT="[文本]" custT="1"/>
      <dgm:spPr/>
      <dgm:t>
        <a:bodyPr/>
        <a:p>
          <a:r>
            <a:rPr lang="zh-CN" altLang="en-US" sz="1050" baseline="0">
              <a:ea typeface="宋体" panose="02010600030101010101" charset="-122"/>
            </a:rPr>
            <a:t>组织目标</a:t>
          </a:r>
        </a:p>
      </dgm:t>
    </dgm:pt>
    <dgm:pt modelId="{1135C390-2C0F-F04B-955B-00E313499DBC}" cxnId="{F15554B9-7490-184A-855F-C3831E65D48F}" type="parTrans">
      <dgm:prSet/>
      <dgm:spPr/>
      <dgm:t>
        <a:bodyPr/>
        <a:p>
          <a:endParaRPr lang="zh-CN" altLang="en-US"/>
        </a:p>
      </dgm:t>
    </dgm:pt>
    <dgm:pt modelId="{045C1BA8-9CE2-D74E-A0F2-1105A7EB75DA}" cxnId="{F15554B9-7490-184A-855F-C3831E65D48F}" type="sibTrans">
      <dgm:prSet/>
      <dgm:spPr/>
      <dgm:t>
        <a:bodyPr/>
        <a:p>
          <a:endParaRPr lang="zh-CN" altLang="en-US"/>
        </a:p>
      </dgm:t>
    </dgm:pt>
    <dgm:pt modelId="{8ED08072-0D3A-634E-B74F-8BEFE9B18D0E}">
      <dgm:prSet phldrT="[文本]" custT="1"/>
      <dgm:spPr/>
      <dgm:t>
        <a:bodyPr/>
        <a:p>
          <a:r>
            <a:rPr lang="zh-CN" altLang="en-US" sz="1050" baseline="0">
              <a:ea typeface="宋体" panose="02010600030101010101" charset="-122"/>
            </a:rPr>
            <a:t>技术能力</a:t>
          </a:r>
        </a:p>
      </dgm:t>
    </dgm:pt>
    <dgm:pt modelId="{BA9A4C61-0BA8-DC41-AEA6-DE1BDA7AD1A2}" cxnId="{E56AE587-8C2A-B140-8FBA-D0F0703E4BDD}" type="parTrans">
      <dgm:prSet/>
      <dgm:spPr/>
      <dgm:t>
        <a:bodyPr/>
        <a:p>
          <a:endParaRPr lang="zh-CN" altLang="en-US"/>
        </a:p>
      </dgm:t>
    </dgm:pt>
    <dgm:pt modelId="{C53B2DBE-C9F1-5A48-AD49-6EC491E54A4D}" cxnId="{E56AE587-8C2A-B140-8FBA-D0F0703E4BDD}" type="sibTrans">
      <dgm:prSet/>
      <dgm:spPr/>
      <dgm:t>
        <a:bodyPr/>
        <a:p>
          <a:endParaRPr lang="zh-CN" altLang="en-US"/>
        </a:p>
      </dgm:t>
    </dgm:pt>
    <dgm:pt modelId="{70E22759-A788-5944-96DF-DFE4446CAFA8}">
      <dgm:prSet phldrT="[文本]" custT="1"/>
      <dgm:spPr/>
      <dgm:t>
        <a:bodyPr/>
        <a:p>
          <a:r>
            <a:rPr lang="zh-CN" altLang="en-US" sz="1050" baseline="0">
              <a:ea typeface="宋体" panose="02010600030101010101" charset="-122"/>
            </a:rPr>
            <a:t>沟通能力</a:t>
          </a:r>
        </a:p>
      </dgm:t>
    </dgm:pt>
    <dgm:pt modelId="{2770FA71-05C8-BC40-9A06-55ED262B727B}" cxnId="{1932C241-48BC-5945-8B99-0C4391301EF3}" type="parTrans">
      <dgm:prSet/>
      <dgm:spPr/>
      <dgm:t>
        <a:bodyPr/>
        <a:p>
          <a:endParaRPr lang="zh-CN" altLang="en-US"/>
        </a:p>
      </dgm:t>
    </dgm:pt>
    <dgm:pt modelId="{85F6E3EE-BD60-FA43-897C-9AD3D6BDCEC3}" cxnId="{1932C241-48BC-5945-8B99-0C4391301EF3}" type="sibTrans">
      <dgm:prSet/>
      <dgm:spPr/>
      <dgm:t>
        <a:bodyPr/>
        <a:p>
          <a:endParaRPr lang="zh-CN" altLang="en-US"/>
        </a:p>
      </dgm:t>
    </dgm:pt>
    <dgm:pt modelId="{C84F858A-3265-DC45-8B5C-DE4BAD3192A2}">
      <dgm:prSet phldrT="[文本]" custT="1"/>
      <dgm:spPr/>
      <dgm:t>
        <a:bodyPr/>
        <a:p>
          <a:r>
            <a:rPr lang="zh-CN" altLang="en-US" sz="1050" baseline="0">
              <a:ea typeface="宋体" panose="02010600030101010101" charset="-122"/>
            </a:rPr>
            <a:t>创新能力</a:t>
          </a:r>
        </a:p>
      </dgm:t>
    </dgm:pt>
    <dgm:pt modelId="{E21013C0-90AC-6845-9CC3-64E46E81439A}" cxnId="{2196AEAE-9289-4145-9AD2-117A56FEF778}" type="parTrans">
      <dgm:prSet/>
      <dgm:spPr/>
      <dgm:t>
        <a:bodyPr/>
        <a:p>
          <a:endParaRPr lang="zh-CN" altLang="en-US"/>
        </a:p>
      </dgm:t>
    </dgm:pt>
    <dgm:pt modelId="{D2AC9BEB-8327-C944-ABA3-528642F19B0F}" cxnId="{2196AEAE-9289-4145-9AD2-117A56FEF778}" type="sibTrans">
      <dgm:prSet/>
      <dgm:spPr/>
      <dgm:t>
        <a:bodyPr/>
        <a:p>
          <a:endParaRPr lang="zh-CN" altLang="en-US"/>
        </a:p>
      </dgm:t>
    </dgm:pt>
    <dgm:pt modelId="{948F2F46-470D-1547-84F5-4D2367846708}">
      <dgm:prSet custT="1"/>
      <dgm:spPr/>
      <dgm:t>
        <a:bodyPr/>
        <a:p>
          <a:r>
            <a:rPr lang="zh-CN" altLang="en-US" sz="1050" baseline="0">
              <a:ea typeface="宋体" panose="02010600030101010101" charset="-122"/>
            </a:rPr>
            <a:t>绩效结果</a:t>
          </a:r>
          <a:br>
            <a:rPr lang="en-US" altLang="zh-CN" sz="1050" baseline="0">
              <a:ea typeface="宋体" panose="02010600030101010101" charset="-122"/>
            </a:rPr>
          </a:br>
          <a:r>
            <a:rPr lang="zh-CN" altLang="en-US" sz="1050" baseline="0">
              <a:ea typeface="宋体" panose="02010600030101010101" charset="-122"/>
            </a:rPr>
            <a:t> </a:t>
          </a:r>
          <a:br>
            <a:rPr lang="en-US" altLang="zh-CN" sz="1050" baseline="0">
              <a:ea typeface="宋体" panose="02010600030101010101" charset="-122"/>
            </a:rPr>
          </a:br>
          <a:r>
            <a:rPr lang="zh-CN" altLang="en-US" sz="1050" baseline="0">
              <a:ea typeface="宋体" panose="02010600030101010101" charset="-122"/>
            </a:rPr>
            <a:t>交付质量</a:t>
          </a:r>
          <a:br>
            <a:rPr lang="en-US" altLang="zh-CN" sz="1050" baseline="0">
              <a:ea typeface="宋体" panose="02010600030101010101" charset="-122"/>
            </a:rPr>
          </a:br>
          <a:r>
            <a:rPr lang="zh-CN" altLang="en-US" sz="1050" baseline="0">
              <a:ea typeface="宋体" panose="02010600030101010101" charset="-122"/>
            </a:rPr>
            <a:t>协同效率</a:t>
          </a:r>
          <a:br>
            <a:rPr lang="en-US" altLang="zh-CN" sz="1050" baseline="0">
              <a:ea typeface="宋体" panose="02010600030101010101" charset="-122"/>
            </a:rPr>
          </a:br>
          <a:r>
            <a:rPr lang="zh-CN" altLang="en-US" sz="1050" baseline="0">
              <a:ea typeface="宋体" panose="02010600030101010101" charset="-122"/>
            </a:rPr>
            <a:t>创新产出</a:t>
          </a:r>
        </a:p>
      </dgm:t>
    </dgm:pt>
    <dgm:pt modelId="{0DD9485E-14F0-F845-B216-8D839A0ECD84}" cxnId="{0EC64F77-4DFD-6A41-8992-2969EC6EAD1B}" type="parTrans">
      <dgm:prSet/>
      <dgm:spPr/>
      <dgm:t>
        <a:bodyPr/>
        <a:p>
          <a:endParaRPr lang="zh-CN" altLang="en-US"/>
        </a:p>
      </dgm:t>
    </dgm:pt>
    <dgm:pt modelId="{17CE98A4-67F3-9F49-AA74-3A1279A2CB08}" cxnId="{0EC64F77-4DFD-6A41-8992-2969EC6EAD1B}" type="sibTrans">
      <dgm:prSet/>
      <dgm:spPr/>
      <dgm:t>
        <a:bodyPr/>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76"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p>
          <a:endParaRPr lang="zh-CN" altLang="en-US"/>
        </a:p>
      </dgm:t>
    </dgm:pt>
    <dgm:pt modelId="{C0368B7E-A46B-1946-82C9-C8CDEBC340F7}">
      <dgm:prSet custT="1"/>
      <dgm:spPr/>
      <dgm:t>
        <a:bodyPr lIns="18000" rIns="18000" anchor="ctr" anchorCtr="0"/>
        <a:p>
          <a:r>
            <a:rPr lang="en-US" sz="900" baseline="0">
              <a:latin typeface="宋体" panose="02010600030101010101" charset="-122"/>
              <a:ea typeface="宋体" panose="02010600030101010101" charset="-122"/>
              <a:cs typeface="Times New Roman" panose="02020603050405020304" charset="0"/>
            </a:rPr>
            <a:t>H</a:t>
          </a:r>
          <a:r>
            <a:rPr lang="zh-CN" sz="900" baseline="0">
              <a:latin typeface="宋体" panose="02010600030101010101" charset="-122"/>
              <a:ea typeface="宋体" panose="02010600030101010101" charset="-122"/>
              <a:cs typeface="Times New Roman" panose="02020603050405020304" charset="0"/>
            </a:rPr>
            <a:t>公司</a:t>
          </a:r>
        </a:p>
      </dgm:t>
    </dgm:pt>
    <dgm:pt modelId="{FE50A95F-949C-8D48-B660-542F98633F71}" cxnId="{67096725-1DFF-7D4E-9998-E955B2668778}" type="parTrans">
      <dgm:prSet/>
      <dgm:spPr/>
      <dgm:t>
        <a:bodyPr/>
        <a:p>
          <a:endParaRPr lang="zh-CN" altLang="en-US" sz="800"/>
        </a:p>
      </dgm:t>
    </dgm:pt>
    <dgm:pt modelId="{D9AC06C8-B589-954C-8D2F-78B6E2CB91FD}" cxnId="{67096725-1DFF-7D4E-9998-E955B2668778}" type="sibTrans">
      <dgm:prSet/>
      <dgm:spPr/>
      <dgm:t>
        <a:bodyPr/>
        <a:p>
          <a:endParaRPr lang="zh-CN" altLang="en-US" sz="800"/>
        </a:p>
      </dgm:t>
    </dgm:pt>
    <dgm:pt modelId="{D4DFE1C4-24BD-D04C-8F00-B598DB8F81F8}">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决策与治理层</a:t>
          </a:r>
        </a:p>
      </dgm:t>
    </dgm:pt>
    <dgm:pt modelId="{299A9A1F-C22F-E544-B1E6-007E5C35A3B8}" cxnId="{1415B4A3-D5A3-C741-9276-4BD552F242DD}" type="parTrans">
      <dgm:prSet/>
      <dgm:spPr/>
      <dgm:t>
        <a:bodyPr/>
        <a:p>
          <a:endParaRPr lang="zh-CN" altLang="en-US" sz="800"/>
        </a:p>
      </dgm:t>
    </dgm:pt>
    <dgm:pt modelId="{EE102785-7ED0-C24D-B090-8038B6B2BE16}" cxnId="{1415B4A3-D5A3-C741-9276-4BD552F242DD}" type="sibTrans">
      <dgm:prSet/>
      <dgm:spPr/>
      <dgm:t>
        <a:bodyPr/>
        <a:p>
          <a:endParaRPr lang="zh-CN" altLang="en-US" sz="800"/>
        </a:p>
      </dgm:t>
    </dgm:pt>
    <dgm:pt modelId="{44DAA4F2-FD47-DE4E-A30F-46FA57ED3DD6}">
      <dgm:prSet custT="1"/>
      <dgm:spPr/>
      <dgm:t>
        <a:bodyPr lIns="18000" rIns="18000" anchor="ctr" anchorCtr="0"/>
        <a:p>
          <a:r>
            <a:rPr lang="zh-CN" sz="900" baseline="0">
              <a:latin typeface="宋体" panose="02010600030101010101" charset="-122"/>
              <a:ea typeface="宋体" panose="02010600030101010101" charset="-122"/>
              <a:cs typeface="Times New Roman" panose="02020603050405020304" charset="0"/>
            </a:rPr>
            <a:t>董事会</a:t>
          </a:r>
        </a:p>
      </dgm:t>
    </dgm:pt>
    <dgm:pt modelId="{A378C7A5-122E-864A-A9A7-8FF4B22BEB3C}" cxnId="{FDCF9107-500B-D742-A78A-B34E0D866470}" type="parTrans">
      <dgm:prSet/>
      <dgm:spPr/>
      <dgm:t>
        <a:bodyPr/>
        <a:p>
          <a:endParaRPr lang="zh-CN" altLang="en-US" sz="800"/>
        </a:p>
      </dgm:t>
    </dgm:pt>
    <dgm:pt modelId="{9E708420-59DF-C546-9B96-E29815BE7277}" cxnId="{FDCF9107-500B-D742-A78A-B34E0D866470}" type="sibTrans">
      <dgm:prSet/>
      <dgm:spPr/>
      <dgm:t>
        <a:bodyPr/>
        <a:p>
          <a:endParaRPr lang="zh-CN" altLang="en-US" sz="800"/>
        </a:p>
      </dgm:t>
    </dgm:pt>
    <dgm:pt modelId="{1EE4AEE5-2E67-694E-96AF-47474897C704}">
      <dgm:prSet custT="1"/>
      <dgm:spPr/>
      <dgm:t>
        <a:bodyPr lIns="18000" rIns="18000" anchor="ctr" anchorCtr="0"/>
        <a:p>
          <a:r>
            <a:rPr lang="zh-CN" sz="900" baseline="0">
              <a:latin typeface="宋体" panose="02010600030101010101" charset="-122"/>
              <a:ea typeface="宋体" panose="02010600030101010101" charset="-122"/>
              <a:cs typeface="Times New Roman" panose="02020603050405020304" charset="0"/>
            </a:rPr>
            <a:t>首席技术官</a:t>
          </a:r>
        </a:p>
      </dgm:t>
    </dgm:pt>
    <dgm:pt modelId="{D9800A49-060A-C848-9C28-407747E676CC}" cxnId="{D601AE99-F80A-C045-97E9-A496DDF8A3CE}" type="parTrans">
      <dgm:prSet/>
      <dgm:spPr/>
      <dgm:t>
        <a:bodyPr/>
        <a:p>
          <a:endParaRPr lang="zh-CN" altLang="en-US" sz="800"/>
        </a:p>
      </dgm:t>
    </dgm:pt>
    <dgm:pt modelId="{59131E16-29D7-1E49-93FC-2C820AFD6833}" cxnId="{D601AE99-F80A-C045-97E9-A496DDF8A3CE}" type="sibTrans">
      <dgm:prSet/>
      <dgm:spPr/>
      <dgm:t>
        <a:bodyPr/>
        <a:p>
          <a:endParaRPr lang="zh-CN" altLang="en-US" sz="800"/>
        </a:p>
      </dgm:t>
    </dgm:pt>
    <dgm:pt modelId="{015B20A7-8D1C-6049-8E7E-0F298CDE79AA}">
      <dgm:prSet custT="1"/>
      <dgm:spPr/>
      <dgm:t>
        <a:bodyPr lIns="18000" rIns="18000" anchor="ctr" anchorCtr="0"/>
        <a:p>
          <a:r>
            <a:rPr lang="zh-CN" sz="900" baseline="0">
              <a:latin typeface="宋体" panose="02010600030101010101" charset="-122"/>
              <a:ea typeface="宋体" panose="02010600030101010101" charset="-122"/>
              <a:cs typeface="Times New Roman" panose="02020603050405020304" charset="0"/>
            </a:rPr>
            <a:t>首席信息官</a:t>
          </a:r>
        </a:p>
      </dgm:t>
    </dgm:pt>
    <dgm:pt modelId="{71A487F2-18C7-0541-B671-6EBBB6BD372C}" cxnId="{B3BC4B0F-A0A9-454A-9C14-5EF7FBE28100}" type="parTrans">
      <dgm:prSet/>
      <dgm:spPr/>
      <dgm:t>
        <a:bodyPr/>
        <a:p>
          <a:endParaRPr lang="zh-CN" altLang="en-US" sz="800"/>
        </a:p>
      </dgm:t>
    </dgm:pt>
    <dgm:pt modelId="{C202F3BA-A3F1-1F49-852C-701EAC916432}" cxnId="{B3BC4B0F-A0A9-454A-9C14-5EF7FBE28100}" type="sibTrans">
      <dgm:prSet/>
      <dgm:spPr/>
      <dgm:t>
        <a:bodyPr/>
        <a:p>
          <a:endParaRPr lang="zh-CN" altLang="en-US" sz="800"/>
        </a:p>
      </dgm:t>
    </dgm:pt>
    <dgm:pt modelId="{E86FB298-FAF0-924C-8502-8412EBD81608}">
      <dgm:prSet custT="1"/>
      <dgm:spPr/>
      <dgm:t>
        <a:bodyPr lIns="18000" rIns="18000" anchor="ctr" anchorCtr="0"/>
        <a:p>
          <a:r>
            <a:rPr lang="zh-CN" sz="900" baseline="0">
              <a:latin typeface="宋体" panose="02010600030101010101" charset="-122"/>
              <a:ea typeface="宋体" panose="02010600030101010101" charset="-122"/>
              <a:cs typeface="Times New Roman" panose="02020603050405020304" charset="0"/>
            </a:rPr>
            <a:t>首席信息安全官</a:t>
          </a:r>
        </a:p>
      </dgm:t>
    </dgm:pt>
    <dgm:pt modelId="{94A03FE7-7414-E64E-A590-8387EAA6AF58}" cxnId="{0392469F-69C7-5248-9197-38F7AAA6A422}" type="parTrans">
      <dgm:prSet/>
      <dgm:spPr/>
      <dgm:t>
        <a:bodyPr/>
        <a:p>
          <a:endParaRPr lang="zh-CN" altLang="en-US" sz="800"/>
        </a:p>
      </dgm:t>
    </dgm:pt>
    <dgm:pt modelId="{988ED414-50CA-6A49-B625-D311759F885A}" cxnId="{0392469F-69C7-5248-9197-38F7AAA6A422}" type="sibTrans">
      <dgm:prSet/>
      <dgm:spPr/>
      <dgm:t>
        <a:bodyPr/>
        <a:p>
          <a:endParaRPr lang="zh-CN" altLang="en-US" sz="800"/>
        </a:p>
      </dgm:t>
    </dgm:pt>
    <dgm:pt modelId="{69E04DE2-FB34-684E-8B85-309F1959E783}">
      <dgm:prSet custT="1"/>
      <dgm:spPr/>
      <dgm:t>
        <a:bodyPr lIns="18000" rIns="18000" anchor="ctr" anchorCtr="0"/>
        <a:p>
          <a:r>
            <a:rPr lang="zh-CN" sz="900" baseline="0">
              <a:latin typeface="宋体" panose="02010600030101010101" charset="-122"/>
              <a:ea typeface="宋体" panose="02010600030101010101" charset="-122"/>
              <a:cs typeface="Times New Roman" panose="02020603050405020304" charset="0"/>
            </a:rPr>
            <a:t>首席合规官</a:t>
          </a:r>
        </a:p>
      </dgm:t>
    </dgm:pt>
    <dgm:pt modelId="{5FCCCEEE-200D-1848-B8FB-8DC7F88CA287}" cxnId="{CAC576FF-6620-9844-861D-AC5DDE3C9EC9}" type="parTrans">
      <dgm:prSet/>
      <dgm:spPr/>
      <dgm:t>
        <a:bodyPr/>
        <a:p>
          <a:endParaRPr lang="zh-CN" altLang="en-US" sz="800"/>
        </a:p>
      </dgm:t>
    </dgm:pt>
    <dgm:pt modelId="{A4D9CD75-21C5-444C-A76F-8E28F929788E}" cxnId="{CAC576FF-6620-9844-861D-AC5DDE3C9EC9}" type="sibTrans">
      <dgm:prSet/>
      <dgm:spPr/>
      <dgm:t>
        <a:bodyPr/>
        <a:p>
          <a:endParaRPr lang="zh-CN" altLang="en-US" sz="800"/>
        </a:p>
      </dgm:t>
    </dgm:pt>
    <dgm:pt modelId="{B688593D-9F65-5144-A629-EB94623BFA11}">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企业架构委员会</a:t>
          </a:r>
        </a:p>
      </dgm:t>
    </dgm:pt>
    <dgm:pt modelId="{0CEC1D90-FB62-0B4D-B2BA-62B70C050D29}" cxnId="{01A8DDF5-4ECF-3B44-955F-FD43E4D0F0A6}" type="parTrans">
      <dgm:prSet/>
      <dgm:spPr/>
      <dgm:t>
        <a:bodyPr/>
        <a:p>
          <a:endParaRPr lang="zh-CN" altLang="en-US" sz="800"/>
        </a:p>
      </dgm:t>
    </dgm:pt>
    <dgm:pt modelId="{FF8F9989-467E-6A42-9EB4-F5E950097EE8}" cxnId="{01A8DDF5-4ECF-3B44-955F-FD43E4D0F0A6}" type="sibTrans">
      <dgm:prSet/>
      <dgm:spPr/>
      <dgm:t>
        <a:bodyPr/>
        <a:p>
          <a:endParaRPr lang="zh-CN" altLang="en-US" sz="800"/>
        </a:p>
      </dgm:t>
    </dgm:pt>
    <dgm:pt modelId="{301E40D7-2E8D-5244-9A6B-F57616FD9BBF}">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安全与合规委员会</a:t>
          </a:r>
        </a:p>
      </dgm:t>
    </dgm:pt>
    <dgm:pt modelId="{6F0ED807-1DF7-4441-BC02-1F742BFF4166}" cxnId="{7E23ECAB-BA6D-5B4F-8836-573159A5F9C4}" type="parTrans">
      <dgm:prSet/>
      <dgm:spPr/>
      <dgm:t>
        <a:bodyPr/>
        <a:p>
          <a:endParaRPr lang="zh-CN" altLang="en-US" sz="800"/>
        </a:p>
      </dgm:t>
    </dgm:pt>
    <dgm:pt modelId="{01488309-D3FF-404F-ADE6-AB0A81DE23DD}" cxnId="{7E23ECAB-BA6D-5B4F-8836-573159A5F9C4}" type="sibTrans">
      <dgm:prSet/>
      <dgm:spPr/>
      <dgm:t>
        <a:bodyPr/>
        <a:p>
          <a:endParaRPr lang="zh-CN" altLang="en-US" sz="800"/>
        </a:p>
      </dgm:t>
    </dgm:pt>
    <dgm:pt modelId="{078AB943-1AED-8147-A69D-655D49E75A87}">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数据治理委员会</a:t>
          </a:r>
        </a:p>
      </dgm:t>
    </dgm:pt>
    <dgm:pt modelId="{6E4C9321-8367-DB46-A9D9-D01FE5C7C020}" cxnId="{7E9BC36B-1FAD-B944-8C2C-D31E7E0A76B1}" type="parTrans">
      <dgm:prSet/>
      <dgm:spPr/>
      <dgm:t>
        <a:bodyPr/>
        <a:p>
          <a:endParaRPr lang="zh-CN" altLang="en-US" sz="800"/>
        </a:p>
      </dgm:t>
    </dgm:pt>
    <dgm:pt modelId="{36575618-8A8A-FE45-B5BE-5A1A7E56980E}" cxnId="{7E9BC36B-1FAD-B944-8C2C-D31E7E0A76B1}" type="sibTrans">
      <dgm:prSet/>
      <dgm:spPr/>
      <dgm:t>
        <a:bodyPr/>
        <a:p>
          <a:endParaRPr lang="zh-CN" altLang="en-US" sz="800"/>
        </a:p>
      </dgm:t>
    </dgm:pt>
    <dgm:pt modelId="{F68BBB74-1FC9-074F-8CDA-FF0400F9CE23}">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业务与平台条线</a:t>
          </a:r>
        </a:p>
      </dgm:t>
    </dgm:pt>
    <dgm:pt modelId="{0917ED67-FD76-C947-9DC9-C30B273FDDD6}" cxnId="{8E52F1BB-A4B4-634A-94CD-545F6603CB06}" type="parTrans">
      <dgm:prSet/>
      <dgm:spPr/>
      <dgm:t>
        <a:bodyPr/>
        <a:p>
          <a:endParaRPr lang="zh-CN" altLang="en-US" sz="800"/>
        </a:p>
      </dgm:t>
    </dgm:pt>
    <dgm:pt modelId="{E5FCEE87-4E60-414E-A92C-A98BDA50C548}" cxnId="{8E52F1BB-A4B4-634A-94CD-545F6603CB06}" type="sibTrans">
      <dgm:prSet/>
      <dgm:spPr/>
      <dgm:t>
        <a:bodyPr/>
        <a:p>
          <a:endParaRPr lang="zh-CN" altLang="en-US" sz="800"/>
        </a:p>
      </dgm:t>
    </dgm:pt>
    <dgm:pt modelId="{7A41C30E-587F-A74B-83CF-F19549C3AF6A}">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跨境支付与清算</a:t>
          </a:r>
        </a:p>
      </dgm:t>
    </dgm:pt>
    <dgm:pt modelId="{A6239D38-E84A-0C4C-B12A-B3C172254B73}" cxnId="{C68B0D4E-0107-9C40-AF1C-2B2ED7FCDACA}" type="parTrans">
      <dgm:prSet/>
      <dgm:spPr/>
      <dgm:t>
        <a:bodyPr/>
        <a:p>
          <a:endParaRPr lang="zh-CN" altLang="en-US" sz="800"/>
        </a:p>
      </dgm:t>
    </dgm:pt>
    <dgm:pt modelId="{CCF80E73-100D-1141-B242-FF00426E70C5}" cxnId="{C68B0D4E-0107-9C40-AF1C-2B2ED7FCDACA}" type="sibTrans">
      <dgm:prSet/>
      <dgm:spPr/>
      <dgm:t>
        <a:bodyPr/>
        <a:p>
          <a:endParaRPr lang="zh-CN" altLang="en-US" sz="800"/>
        </a:p>
      </dgm:t>
    </dgm:pt>
    <dgm:pt modelId="{7F3CE48A-1499-9846-8D09-31280E1B115D}">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合规与风控科技</a:t>
          </a:r>
        </a:p>
      </dgm:t>
    </dgm:pt>
    <dgm:pt modelId="{E61BA696-1FD0-0644-9EB2-F3320C84E066}" cxnId="{D2A53A18-86AC-7F43-ADD4-E9DFAC01A202}" type="parTrans">
      <dgm:prSet/>
      <dgm:spPr/>
      <dgm:t>
        <a:bodyPr/>
        <a:p>
          <a:endParaRPr lang="zh-CN" altLang="en-US" sz="800"/>
        </a:p>
      </dgm:t>
    </dgm:pt>
    <dgm:pt modelId="{ECB73BA9-E003-1B46-AFBE-1067B6135974}" cxnId="{D2A53A18-86AC-7F43-ADD4-E9DFAC01A202}" type="sibTrans">
      <dgm:prSet/>
      <dgm:spPr/>
      <dgm:t>
        <a:bodyPr/>
        <a:p>
          <a:endParaRPr lang="zh-CN" altLang="en-US" sz="800"/>
        </a:p>
      </dgm:t>
    </dgm:pt>
    <dgm:pt modelId="{0394C45D-475E-4A4C-9903-AB99BB61F87B}">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数字银行与开放平台</a:t>
          </a:r>
        </a:p>
      </dgm:t>
    </dgm:pt>
    <dgm:pt modelId="{7112D877-AF3E-8645-BF10-F44454902998}" cxnId="{6DF698BC-8F41-E141-98B3-BEA01644D138}" type="parTrans">
      <dgm:prSet/>
      <dgm:spPr/>
      <dgm:t>
        <a:bodyPr/>
        <a:p>
          <a:endParaRPr lang="zh-CN" altLang="en-US" sz="800"/>
        </a:p>
      </dgm:t>
    </dgm:pt>
    <dgm:pt modelId="{B688DA61-60F9-B349-8780-A09C1BF2F995}" cxnId="{6DF698BC-8F41-E141-98B3-BEA01644D138}" type="sibTrans">
      <dgm:prSet/>
      <dgm:spPr/>
      <dgm:t>
        <a:bodyPr/>
        <a:p>
          <a:endParaRPr lang="zh-CN" altLang="en-US" sz="800"/>
        </a:p>
      </dgm:t>
    </dgm:pt>
    <dgm:pt modelId="{1A149BCC-BBEC-0941-A760-C5C9BDD5ADE4}">
      <dgm:prSet custT="1"/>
      <dgm:spPr/>
      <dgm:t>
        <a:bodyPr lIns="18000" rIns="18000" anchor="ctr" anchorCtr="0"/>
        <a:p>
          <a:r>
            <a:rPr lang="zh-CN" sz="900" baseline="0">
              <a:latin typeface="宋体" panose="02010600030101010101" charset="-122"/>
              <a:ea typeface="宋体" panose="02010600030101010101" charset="-122"/>
              <a:cs typeface="Times New Roman" panose="02020603050405020304" charset="0"/>
            </a:rPr>
            <a:t>平台工程</a:t>
          </a:r>
        </a:p>
      </dgm:t>
    </dgm:pt>
    <dgm:pt modelId="{8C20CD46-5213-C74F-8749-BCCF83AAC038}" cxnId="{7CCE57B2-DF8E-234D-9A8F-23203B9EA40F}" type="parTrans">
      <dgm:prSet/>
      <dgm:spPr/>
      <dgm:t>
        <a:bodyPr/>
        <a:p>
          <a:endParaRPr lang="zh-CN" altLang="en-US" sz="800"/>
        </a:p>
      </dgm:t>
    </dgm:pt>
    <dgm:pt modelId="{BB839453-8F12-8841-A00B-4BBBECF7274F}" cxnId="{7CCE57B2-DF8E-234D-9A8F-23203B9EA40F}" type="sibTrans">
      <dgm:prSet/>
      <dgm:spPr/>
      <dgm:t>
        <a:bodyPr/>
        <a:p>
          <a:endParaRPr lang="zh-CN" altLang="en-US" sz="800"/>
        </a:p>
      </dgm:t>
    </dgm:pt>
    <dgm:pt modelId="{7BE66410-CB90-554E-B0BF-208C69486282}">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系统可靠性工程部</a:t>
          </a:r>
          <a:endParaRPr lang="zh-CN" sz="900" baseline="0">
            <a:latin typeface="宋体" panose="02010600030101010101" charset="-122"/>
            <a:ea typeface="宋体" panose="02010600030101010101" charset="-122"/>
            <a:cs typeface="Times New Roman" panose="02020603050405020304" charset="0"/>
          </a:endParaRPr>
        </a:p>
      </dgm:t>
    </dgm:pt>
    <dgm:pt modelId="{769BE82F-E576-604C-A638-D026756C8587}" cxnId="{62493B75-46D6-9747-9997-3EB5C049965A}" type="parTrans">
      <dgm:prSet/>
      <dgm:spPr/>
      <dgm:t>
        <a:bodyPr/>
        <a:p>
          <a:endParaRPr lang="zh-CN" altLang="en-US" sz="800"/>
        </a:p>
      </dgm:t>
    </dgm:pt>
    <dgm:pt modelId="{EA326A60-DBF7-3648-985B-A0C08206ACC5}" cxnId="{62493B75-46D6-9747-9997-3EB5C049965A}" type="sibTrans">
      <dgm:prSet/>
      <dgm:spPr/>
      <dgm:t>
        <a:bodyPr/>
        <a:p>
          <a:endParaRPr lang="zh-CN" altLang="en-US" sz="800"/>
        </a:p>
      </dgm:t>
    </dgm:pt>
    <dgm:pt modelId="{1350C783-D2B7-A543-8930-C8FD0BF064CA}">
      <dgm:prSet custT="1"/>
      <dgm:spPr/>
      <dgm:t>
        <a:bodyPr lIns="18000" rIns="18000" anchor="ctr" anchorCtr="0"/>
        <a:p>
          <a:r>
            <a:rPr lang="zh-CN" sz="900" baseline="0">
              <a:latin typeface="宋体" panose="02010600030101010101" charset="-122"/>
              <a:ea typeface="宋体" panose="02010600030101010101" charset="-122"/>
              <a:cs typeface="Times New Roman" panose="02020603050405020304" charset="0"/>
            </a:rPr>
            <a:t>数据与</a:t>
          </a:r>
          <a:r>
            <a:rPr lang="en-US" sz="900" baseline="0">
              <a:latin typeface="宋体" panose="02010600030101010101" charset="-122"/>
              <a:ea typeface="宋体" panose="02010600030101010101" charset="-122"/>
              <a:cs typeface="Times New Roman" panose="02020603050405020304" charset="0"/>
            </a:rPr>
            <a:t>人工智能</a:t>
          </a:r>
          <a:r>
            <a:rPr lang="zh-CN" sz="900" baseline="0">
              <a:latin typeface="宋体" panose="02010600030101010101" charset="-122"/>
              <a:ea typeface="宋体" panose="02010600030101010101" charset="-122"/>
              <a:cs typeface="Times New Roman" panose="02020603050405020304" charset="0"/>
            </a:rPr>
            <a:t>平台</a:t>
          </a:r>
        </a:p>
      </dgm:t>
    </dgm:pt>
    <dgm:pt modelId="{DD5802F1-A9DB-6E40-ABCB-E7CCE2CB1F5D}" cxnId="{6545B1BC-09F1-D04B-AC3A-BF23D45EC15A}" type="parTrans">
      <dgm:prSet/>
      <dgm:spPr/>
      <dgm:t>
        <a:bodyPr/>
        <a:p>
          <a:endParaRPr lang="zh-CN" altLang="en-US" sz="800"/>
        </a:p>
      </dgm:t>
    </dgm:pt>
    <dgm:pt modelId="{2D8B3424-71B4-0149-97C7-3E290BA70F7F}" cxnId="{6545B1BC-09F1-D04B-AC3A-BF23D45EC15A}" type="sibTrans">
      <dgm:prSet/>
      <dgm:spPr/>
      <dgm:t>
        <a:bodyPr/>
        <a:p>
          <a:endParaRPr lang="zh-CN" altLang="en-US" sz="800"/>
        </a:p>
      </dgm:t>
    </dgm:pt>
    <dgm:pt modelId="{BE3A6214-1A49-BA45-B5AF-CA11B63619E8}">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共享能力与区域交付</a:t>
          </a:r>
        </a:p>
      </dgm:t>
    </dgm:pt>
    <dgm:pt modelId="{43406A2B-5A9C-3F48-BC97-E7790A4F2A18}" cxnId="{793DA01B-1ACF-684C-8F40-108AA7E450BB}" type="parTrans">
      <dgm:prSet/>
      <dgm:spPr/>
      <dgm:t>
        <a:bodyPr/>
        <a:p>
          <a:endParaRPr lang="zh-CN" altLang="en-US" sz="800"/>
        </a:p>
      </dgm:t>
    </dgm:pt>
    <dgm:pt modelId="{1D619B25-EA74-B34F-A32C-577CEE8EDA8C}" cxnId="{793DA01B-1ACF-684C-8F40-108AA7E450BB}" type="sibTrans">
      <dgm:prSet/>
      <dgm:spPr/>
      <dgm:t>
        <a:bodyPr/>
        <a:p>
          <a:endParaRPr lang="zh-CN" altLang="en-US" sz="800"/>
        </a:p>
      </dgm:t>
    </dgm:pt>
    <dgm:pt modelId="{363BBFDE-CAFF-7F43-B3FA-9C0F959A7056}">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共享服务中心</a:t>
          </a:r>
        </a:p>
      </dgm:t>
    </dgm:pt>
    <dgm:pt modelId="{D8515332-8F9E-3F4B-BB2E-1FAA922B5607}" cxnId="{14AAFB83-4B4D-A640-8C83-3B59F0F11B15}" type="parTrans">
      <dgm:prSet/>
      <dgm:spPr/>
      <dgm:t>
        <a:bodyPr/>
        <a:p>
          <a:endParaRPr lang="zh-CN" altLang="en-US" sz="800"/>
        </a:p>
      </dgm:t>
    </dgm:pt>
    <dgm:pt modelId="{EF99ED4A-4318-6545-A09B-E17D7267DD0A}" cxnId="{14AAFB83-4B4D-A640-8C83-3B59F0F11B15}" type="sibTrans">
      <dgm:prSet/>
      <dgm:spPr/>
      <dgm:t>
        <a:bodyPr/>
        <a:p>
          <a:endParaRPr lang="zh-CN" altLang="en-US" sz="800"/>
        </a:p>
      </dgm:t>
    </dgm:pt>
    <dgm:pt modelId="{BDC3C449-F758-CC4A-896F-6FD751B9D5AE}">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区域交付中心</a:t>
          </a:r>
        </a:p>
      </dgm:t>
    </dgm:pt>
    <dgm:pt modelId="{0CBCCD5A-A154-764B-A56E-DA448C4C933F}" cxnId="{0C8AC5E7-95F1-AF49-98DD-BAFDFA3FF4CC}" type="parTrans">
      <dgm:prSet/>
      <dgm:spPr/>
      <dgm:t>
        <a:bodyPr/>
        <a:p>
          <a:endParaRPr lang="zh-CN" altLang="en-US" sz="800"/>
        </a:p>
      </dgm:t>
    </dgm:pt>
    <dgm:pt modelId="{B631A875-F32E-D44E-A2CC-539BC1DE4CF9}" cxnId="{0C8AC5E7-95F1-AF49-98DD-BAFDFA3FF4CC}" type="sibTrans">
      <dgm:prSet/>
      <dgm:spPr/>
      <dgm:t>
        <a:bodyPr/>
        <a:p>
          <a:endParaRPr lang="zh-CN" altLang="en-US" sz="800"/>
        </a:p>
      </dgm:t>
    </dgm:pt>
    <dgm:pt modelId="{E603AA96-BFC2-8D48-BFF6-8DF562EEB752}">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亚太交付中心</a:t>
          </a:r>
        </a:p>
      </dgm:t>
    </dgm:pt>
    <dgm:pt modelId="{28206874-4B26-D241-A46C-42E72C347734}" cxnId="{0A395C5C-9A5E-F54D-A32D-671CB5F313F0}" type="parTrans">
      <dgm:prSet/>
      <dgm:spPr/>
      <dgm:t>
        <a:bodyPr/>
        <a:p>
          <a:endParaRPr lang="zh-CN" altLang="en-US" sz="800"/>
        </a:p>
      </dgm:t>
    </dgm:pt>
    <dgm:pt modelId="{FF11A610-6395-B74E-AC7F-D26F1E42CF03}" cxnId="{0A395C5C-9A5E-F54D-A32D-671CB5F313F0}" type="sibTrans">
      <dgm:prSet/>
      <dgm:spPr/>
      <dgm:t>
        <a:bodyPr/>
        <a:p>
          <a:endParaRPr lang="zh-CN" altLang="en-US" sz="800"/>
        </a:p>
      </dgm:t>
    </dgm:pt>
    <dgm:pt modelId="{CA2D3366-066C-C944-91DF-14ACA0DFAB21}">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欧洲交付中心</a:t>
          </a:r>
        </a:p>
      </dgm:t>
    </dgm:pt>
    <dgm:pt modelId="{3609E8C6-0E61-A848-8874-459C411B0A26}" cxnId="{DBDA6EA7-DED0-7A43-9DC9-ADA7E312D3F5}" type="parTrans">
      <dgm:prSet/>
      <dgm:spPr/>
      <dgm:t>
        <a:bodyPr/>
        <a:p>
          <a:endParaRPr lang="zh-CN" altLang="en-US" sz="800"/>
        </a:p>
      </dgm:t>
    </dgm:pt>
    <dgm:pt modelId="{7880F71E-D83A-8B43-837D-CD648380CCFB}" cxnId="{DBDA6EA7-DED0-7A43-9DC9-ADA7E312D3F5}" type="sibTrans">
      <dgm:prSet/>
      <dgm:spPr/>
      <dgm:t>
        <a:bodyPr/>
        <a:p>
          <a:endParaRPr lang="zh-CN" altLang="en-US" sz="800"/>
        </a:p>
      </dgm:t>
    </dgm:pt>
    <dgm:pt modelId="{3B4CBB2E-38C9-D344-8776-1841A6D66271}">
      <dgm:prSet custT="1"/>
      <dgm:spPr/>
      <dgm:t>
        <a:bodyPr lIns="18000" rIns="18000" anchor="ctr" anchorCtr="0"/>
        <a:p>
          <a:r>
            <a:rPr lang="zh-CN" altLang="en-US" sz="900" baseline="0">
              <a:latin typeface="宋体" panose="02010600030101010101" charset="-122"/>
              <a:ea typeface="宋体" panose="02010600030101010101" charset="-122"/>
              <a:cs typeface="Times New Roman" panose="02020603050405020304" charset="0"/>
            </a:rPr>
            <a:t>美洲交付中心</a:t>
          </a:r>
        </a:p>
      </dgm:t>
    </dgm:pt>
    <dgm:pt modelId="{30D2C53E-6EF4-9244-A9FA-5A5C2C65B4EC}" cxnId="{291557EC-24BC-5042-8B54-E3D66E3D50E3}" type="parTrans">
      <dgm:prSet/>
      <dgm:spPr/>
      <dgm:t>
        <a:bodyPr/>
        <a:p>
          <a:endParaRPr lang="zh-CN" altLang="en-US" sz="800"/>
        </a:p>
      </dgm:t>
    </dgm:pt>
    <dgm:pt modelId="{6F668842-4F2A-6242-87D8-438559B448B6}" cxnId="{291557EC-24BC-5042-8B54-E3D66E3D50E3}" type="sibTrans">
      <dgm:prSet/>
      <dgm:spPr/>
      <dgm:t>
        <a:bodyPr/>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2">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0"/>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0"/>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0"/>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0"/>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0"/>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0"/>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0"/>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0"/>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5"/>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5"/>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5"/>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5"/>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5"/>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5"/>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2"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81"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p>
          <a:endParaRPr lang="zh-CN" altLang="en-US"/>
        </a:p>
      </dgm:t>
    </dgm:pt>
    <dgm:pt modelId="{59534AD8-B9BD-1C47-8B06-AC9AF86C2BEF}">
      <dgm:prSet custT="1"/>
      <dgm:spPr/>
      <dgm:t>
        <a:bodyPr/>
        <a:p>
          <a:r>
            <a:rPr lang="zh-CN" altLang="en-US" sz="900" baseline="0">
              <a:latin typeface="Times New Roman" panose="02020603050405020304" charset="0"/>
              <a:cs typeface="Times New Roman" panose="02020603050405020304" charset="0"/>
            </a:rPr>
            <a:t>研发与工程体系</a:t>
          </a:r>
        </a:p>
      </dgm:t>
    </dgm:pt>
    <dgm:pt modelId="{748E16B1-E7A3-CA4F-9C45-60CB084AEF65}" cxnId="{36EB5B0C-FF02-C146-B516-8238BAAB192D}" type="parTrans">
      <dgm:prSet/>
      <dgm:spPr/>
      <dgm:t>
        <a:bodyPr/>
        <a:p>
          <a:endParaRPr lang="zh-CN" altLang="en-US"/>
        </a:p>
      </dgm:t>
    </dgm:pt>
    <dgm:pt modelId="{A7E039AB-3462-7944-AE33-A86FE4CFC887}" cxnId="{36EB5B0C-FF02-C146-B516-8238BAAB192D}" type="sibTrans">
      <dgm:prSet/>
      <dgm:spPr/>
      <dgm:t>
        <a:bodyPr/>
        <a:p>
          <a:endParaRPr lang="zh-CN" altLang="en-US"/>
        </a:p>
      </dgm:t>
    </dgm:pt>
    <dgm:pt modelId="{C555F1C6-D6D1-2444-B5C5-71EE4D29198B}">
      <dgm:prSet custT="1"/>
      <dgm:spPr/>
      <dgm:t>
        <a:bodyPr/>
        <a:p>
          <a:r>
            <a:rPr lang="zh-CN" altLang="en-US" sz="900" baseline="0">
              <a:latin typeface="Times New Roman" panose="02020603050405020304" charset="0"/>
              <a:cs typeface="Times New Roman" panose="02020603050405020304" charset="0"/>
            </a:rPr>
            <a:t>产品与需求</a:t>
          </a:r>
        </a:p>
      </dgm:t>
    </dgm:pt>
    <dgm:pt modelId="{18DE0CE9-708D-774D-BB32-07B0B86E1C9B}" cxnId="{EF38D27F-291E-374E-B936-D2EF362542D5}" type="parTrans">
      <dgm:prSet/>
      <dgm:spPr/>
      <dgm:t>
        <a:bodyPr/>
        <a:p>
          <a:endParaRPr lang="zh-CN" altLang="en-US"/>
        </a:p>
      </dgm:t>
    </dgm:pt>
    <dgm:pt modelId="{80D60288-D6D3-224B-B243-94536FE6009A}" cxnId="{EF38D27F-291E-374E-B936-D2EF362542D5}" type="sibTrans">
      <dgm:prSet/>
      <dgm:spPr/>
      <dgm:t>
        <a:bodyPr/>
        <a:p>
          <a:endParaRPr lang="zh-CN" altLang="en-US"/>
        </a:p>
      </dgm:t>
    </dgm:pt>
    <dgm:pt modelId="{7D0D1E47-70DE-8946-A31A-A2FB25721F2F}">
      <dgm:prSet custT="1"/>
      <dgm:spPr/>
      <dgm:t>
        <a:bodyPr/>
        <a:p>
          <a:r>
            <a:rPr lang="zh-CN" sz="900" baseline="0">
              <a:latin typeface="Times New Roman" panose="02020603050405020304" charset="0"/>
              <a:cs typeface="Times New Roman" panose="02020603050405020304" charset="0"/>
            </a:rPr>
            <a:t>业务分析</a:t>
          </a:r>
        </a:p>
      </dgm:t>
    </dgm:pt>
    <dgm:pt modelId="{06E05048-0302-C940-BAD5-1EC7A6333506}" cxnId="{990C2846-802F-5D48-82DD-14FE4EB97051}" type="parTrans">
      <dgm:prSet/>
      <dgm:spPr/>
      <dgm:t>
        <a:bodyPr/>
        <a:p>
          <a:endParaRPr lang="zh-CN" altLang="en-US"/>
        </a:p>
      </dgm:t>
    </dgm:pt>
    <dgm:pt modelId="{64E5BCCD-720A-824F-B73E-B1F4D4A56666}" cxnId="{990C2846-802F-5D48-82DD-14FE4EB97051}" type="sibTrans">
      <dgm:prSet/>
      <dgm:spPr/>
      <dgm:t>
        <a:bodyPr/>
        <a:p>
          <a:endParaRPr lang="zh-CN" altLang="en-US"/>
        </a:p>
      </dgm:t>
    </dgm:pt>
    <dgm:pt modelId="{2A28EC98-7491-8D46-92E3-E657442D5A58}">
      <dgm:prSet custT="1"/>
      <dgm:spPr/>
      <dgm:t>
        <a:bodyPr/>
        <a:p>
          <a:r>
            <a:rPr lang="zh-CN" sz="900" baseline="0">
              <a:latin typeface="Times New Roman" panose="02020603050405020304" charset="0"/>
              <a:cs typeface="Times New Roman" panose="02020603050405020304" charset="0"/>
            </a:rPr>
            <a:t>产品管理</a:t>
          </a:r>
        </a:p>
      </dgm:t>
    </dgm:pt>
    <dgm:pt modelId="{B2F0735E-65C4-B345-9DFD-8F392E57AF42}" cxnId="{9B1998F2-8980-2A4B-B810-0ED6463DF8D0}" type="parTrans">
      <dgm:prSet/>
      <dgm:spPr/>
      <dgm:t>
        <a:bodyPr/>
        <a:p>
          <a:endParaRPr lang="zh-CN" altLang="en-US"/>
        </a:p>
      </dgm:t>
    </dgm:pt>
    <dgm:pt modelId="{50289635-22C0-AD4E-B28C-9BB82ED281F5}" cxnId="{9B1998F2-8980-2A4B-B810-0ED6463DF8D0}" type="sibTrans">
      <dgm:prSet/>
      <dgm:spPr/>
      <dgm:t>
        <a:bodyPr/>
        <a:p>
          <a:endParaRPr lang="zh-CN" altLang="en-US"/>
        </a:p>
      </dgm:t>
    </dgm:pt>
    <dgm:pt modelId="{75DD841B-7F22-8949-A32C-A24844158302}">
      <dgm:prSet custT="1"/>
      <dgm:spPr/>
      <dgm:t>
        <a:bodyPr/>
        <a:p>
          <a:r>
            <a:rPr lang="zh-CN" altLang="en-US" sz="900" baseline="0">
              <a:latin typeface="Times New Roman" panose="02020603050405020304" charset="0"/>
              <a:cs typeface="Times New Roman" panose="02020603050405020304" charset="0"/>
            </a:rPr>
            <a:t>架构与开发</a:t>
          </a:r>
        </a:p>
      </dgm:t>
    </dgm:pt>
    <dgm:pt modelId="{83D3401A-D4A5-DB4B-BC10-11778B439E63}" cxnId="{96C538EE-C71A-234E-8FA9-303BF8E9EAFC}" type="parTrans">
      <dgm:prSet/>
      <dgm:spPr/>
      <dgm:t>
        <a:bodyPr/>
        <a:p>
          <a:endParaRPr lang="zh-CN" altLang="en-US"/>
        </a:p>
      </dgm:t>
    </dgm:pt>
    <dgm:pt modelId="{D7932913-6876-8541-ABFE-A3B74ADF53C9}" cxnId="{96C538EE-C71A-234E-8FA9-303BF8E9EAFC}" type="sibTrans">
      <dgm:prSet/>
      <dgm:spPr/>
      <dgm:t>
        <a:bodyPr/>
        <a:p>
          <a:endParaRPr lang="zh-CN" altLang="en-US"/>
        </a:p>
      </dgm:t>
    </dgm:pt>
    <dgm:pt modelId="{6535F93B-6D3D-DD4D-B795-55DE87801689}">
      <dgm:prSet custT="1"/>
      <dgm:spPr/>
      <dgm:t>
        <a:bodyPr/>
        <a:p>
          <a:r>
            <a:rPr lang="zh-CN" sz="900" baseline="0">
              <a:latin typeface="Times New Roman" panose="02020603050405020304" charset="0"/>
              <a:cs typeface="Times New Roman" panose="02020603050405020304" charset="0"/>
            </a:rPr>
            <a:t>企业解决方案架构</a:t>
          </a:r>
        </a:p>
      </dgm:t>
    </dgm:pt>
    <dgm:pt modelId="{C52008C2-4FE2-AE4B-A39B-5CDA2105D1A1}" cxnId="{131D3E63-E983-684A-A002-E5686B3A9C2D}" type="parTrans">
      <dgm:prSet/>
      <dgm:spPr/>
      <dgm:t>
        <a:bodyPr/>
        <a:p>
          <a:endParaRPr lang="zh-CN" altLang="en-US"/>
        </a:p>
      </dgm:t>
    </dgm:pt>
    <dgm:pt modelId="{FD7F7A98-7F29-0544-8D76-A4DC74C87CFE}" cxnId="{131D3E63-E983-684A-A002-E5686B3A9C2D}" type="sibTrans">
      <dgm:prSet/>
      <dgm:spPr/>
      <dgm:t>
        <a:bodyPr/>
        <a:p>
          <a:endParaRPr lang="zh-CN" altLang="en-US"/>
        </a:p>
      </dgm:t>
    </dgm:pt>
    <dgm:pt modelId="{4D2041CF-BCF7-E149-91C5-873BD9D66FA2}">
      <dgm:prSet custT="1"/>
      <dgm:spPr/>
      <dgm:t>
        <a:bodyPr/>
        <a:p>
          <a:r>
            <a:rPr lang="zh-CN" sz="900" baseline="0">
              <a:latin typeface="Times New Roman" panose="02020603050405020304" charset="0"/>
              <a:cs typeface="Times New Roman" panose="02020603050405020304" charset="0"/>
            </a:rPr>
            <a:t>研发团队</a:t>
          </a:r>
        </a:p>
      </dgm:t>
    </dgm:pt>
    <dgm:pt modelId="{448B7A77-4739-254B-B09E-5CC08AA1BEBB}" cxnId="{DBEE9A4B-C95A-2E4F-9D0F-F20D1351ACA6}" type="parTrans">
      <dgm:prSet/>
      <dgm:spPr/>
      <dgm:t>
        <a:bodyPr/>
        <a:p>
          <a:endParaRPr lang="zh-CN" altLang="en-US"/>
        </a:p>
      </dgm:t>
    </dgm:pt>
    <dgm:pt modelId="{B7219302-F73C-8247-927E-DA8B2B9CEB66}" cxnId="{DBEE9A4B-C95A-2E4F-9D0F-F20D1351ACA6}" type="sibTrans">
      <dgm:prSet/>
      <dgm:spPr/>
      <dgm:t>
        <a:bodyPr/>
        <a:p>
          <a:endParaRPr lang="zh-CN" altLang="en-US"/>
        </a:p>
      </dgm:t>
    </dgm:pt>
    <dgm:pt modelId="{4831CB9B-C5FA-A940-B6D5-9A55233E6B9A}">
      <dgm:prSet custT="1"/>
      <dgm:spPr/>
      <dgm:t>
        <a:bodyPr/>
        <a:p>
          <a:r>
            <a:rPr lang="zh-CN" sz="900" baseline="0">
              <a:latin typeface="Times New Roman" panose="02020603050405020304" charset="0"/>
              <a:cs typeface="Times New Roman" panose="02020603050405020304" charset="0"/>
            </a:rPr>
            <a:t>配置与制品管理</a:t>
          </a:r>
        </a:p>
      </dgm:t>
    </dgm:pt>
    <dgm:pt modelId="{A12AF8D2-3A24-BA4C-9099-A3A2801B3414}" cxnId="{317F271F-12E4-B742-BC03-35E91BFE950F}" type="parTrans">
      <dgm:prSet/>
      <dgm:spPr/>
      <dgm:t>
        <a:bodyPr/>
        <a:p>
          <a:endParaRPr lang="zh-CN" altLang="en-US"/>
        </a:p>
      </dgm:t>
    </dgm:pt>
    <dgm:pt modelId="{8D7A09E4-8693-5C41-80AB-C8B95BCB9231}" cxnId="{317F271F-12E4-B742-BC03-35E91BFE950F}" type="sibTrans">
      <dgm:prSet/>
      <dgm:spPr/>
      <dgm:t>
        <a:bodyPr/>
        <a:p>
          <a:endParaRPr lang="zh-CN" altLang="en-US"/>
        </a:p>
      </dgm:t>
    </dgm:pt>
    <dgm:pt modelId="{F265946B-5CC9-8644-A95B-0D46739A4189}">
      <dgm:prSet custT="1"/>
      <dgm:spPr/>
      <dgm:t>
        <a:bodyPr/>
        <a:p>
          <a:r>
            <a:rPr lang="zh-CN" altLang="en-US" sz="900" baseline="0">
              <a:latin typeface="Times New Roman" panose="02020603050405020304" charset="0"/>
              <a:cs typeface="Times New Roman" panose="02020603050405020304" charset="0"/>
            </a:rPr>
            <a:t>质量与测试</a:t>
          </a:r>
        </a:p>
      </dgm:t>
    </dgm:pt>
    <dgm:pt modelId="{3373EC4C-EB38-E84F-AD50-9AECA0048D01}" cxnId="{7144F18C-AB2E-284D-9EFE-4CB166F433E5}" type="parTrans">
      <dgm:prSet/>
      <dgm:spPr/>
      <dgm:t>
        <a:bodyPr/>
        <a:p>
          <a:endParaRPr lang="zh-CN" altLang="en-US"/>
        </a:p>
      </dgm:t>
    </dgm:pt>
    <dgm:pt modelId="{58F37A57-B3E5-5949-8476-C85753DA3939}" cxnId="{7144F18C-AB2E-284D-9EFE-4CB166F433E5}" type="sibTrans">
      <dgm:prSet/>
      <dgm:spPr/>
      <dgm:t>
        <a:bodyPr/>
        <a:p>
          <a:endParaRPr lang="zh-CN" altLang="en-US"/>
        </a:p>
      </dgm:t>
    </dgm:pt>
    <dgm:pt modelId="{E06BD2DA-B2D6-6342-8A1B-2BFB01D378BE}">
      <dgm:prSet custT="1"/>
      <dgm:spPr/>
      <dgm:t>
        <a:bodyPr/>
        <a:p>
          <a:r>
            <a:rPr lang="zh-CN" sz="900" baseline="0">
              <a:latin typeface="Times New Roman" panose="02020603050405020304" charset="0"/>
              <a:cs typeface="Times New Roman" panose="02020603050405020304" charset="0"/>
            </a:rPr>
            <a:t>测试工</a:t>
          </a:r>
          <a:r>
            <a:rPr lang="zh-CN" altLang="en-US" sz="900" baseline="0">
              <a:latin typeface="Times New Roman" panose="02020603050405020304" charset="0"/>
              <a:cs typeface="Times New Roman" panose="02020603050405020304" charset="0"/>
            </a:rPr>
            <a:t>程</a:t>
          </a:r>
          <a:endParaRPr lang="zh-CN" sz="900" baseline="0">
            <a:latin typeface="Times New Roman" panose="02020603050405020304" charset="0"/>
            <a:cs typeface="Times New Roman" panose="02020603050405020304" charset="0"/>
          </a:endParaRPr>
        </a:p>
      </dgm:t>
    </dgm:pt>
    <dgm:pt modelId="{AE58103B-33B2-5E45-83A4-491ACC8E6975}" cxnId="{5665829B-0525-D64C-BCD3-E35D60ECDEAD}" type="parTrans">
      <dgm:prSet/>
      <dgm:spPr/>
      <dgm:t>
        <a:bodyPr/>
        <a:p>
          <a:endParaRPr lang="zh-CN" altLang="en-US"/>
        </a:p>
      </dgm:t>
    </dgm:pt>
    <dgm:pt modelId="{362DF49F-02B9-2A41-A7D6-CFADC4F86E06}" cxnId="{5665829B-0525-D64C-BCD3-E35D60ECDEAD}" type="sibTrans">
      <dgm:prSet/>
      <dgm:spPr/>
      <dgm:t>
        <a:bodyPr/>
        <a:p>
          <a:endParaRPr lang="zh-CN" altLang="en-US"/>
        </a:p>
      </dgm:t>
    </dgm:pt>
    <dgm:pt modelId="{C78EC46F-766B-E34F-9710-90C109E92C10}">
      <dgm:prSet custT="1"/>
      <dgm:spPr/>
      <dgm:t>
        <a:bodyPr/>
        <a:p>
          <a:r>
            <a:rPr lang="zh-CN" sz="900" baseline="0">
              <a:latin typeface="Times New Roman" panose="02020603050405020304" charset="0"/>
              <a:cs typeface="Times New Roman" panose="02020603050405020304" charset="0"/>
            </a:rPr>
            <a:t>质量保证</a:t>
          </a:r>
        </a:p>
      </dgm:t>
    </dgm:pt>
    <dgm:pt modelId="{1ACFFF6B-5E55-8444-B196-0D3368D28065}" cxnId="{CB41F2EB-51A6-4D47-8315-067C8BF0E723}" type="parTrans">
      <dgm:prSet/>
      <dgm:spPr/>
      <dgm:t>
        <a:bodyPr/>
        <a:p>
          <a:endParaRPr lang="zh-CN" altLang="en-US"/>
        </a:p>
      </dgm:t>
    </dgm:pt>
    <dgm:pt modelId="{32A585DA-AA0F-A74E-BDCF-E726F74EBAF1}" cxnId="{CB41F2EB-51A6-4D47-8315-067C8BF0E723}" type="sibTrans">
      <dgm:prSet/>
      <dgm:spPr/>
      <dgm:t>
        <a:bodyPr/>
        <a:p>
          <a:endParaRPr lang="zh-CN" altLang="en-US"/>
        </a:p>
      </dgm:t>
    </dgm:pt>
    <dgm:pt modelId="{1CFC1E0C-B2F4-6347-BACA-C73279FFE376}">
      <dgm:prSet custT="1"/>
      <dgm:spPr/>
      <dgm:t>
        <a:bodyPr/>
        <a:p>
          <a:r>
            <a:rPr lang="zh-CN" altLang="en-US" sz="900" baseline="0">
              <a:latin typeface="Times New Roman" panose="02020603050405020304" charset="0"/>
              <a:cs typeface="Times New Roman" panose="02020603050405020304" charset="0"/>
            </a:rPr>
            <a:t>测试环境与数据管理</a:t>
          </a:r>
        </a:p>
      </dgm:t>
    </dgm:pt>
    <dgm:pt modelId="{39581060-F275-AC43-8B88-4917DEA273B8}" cxnId="{A1EDA0EB-107B-A14F-9701-FBDD13ECD4F1}" type="parTrans">
      <dgm:prSet/>
      <dgm:spPr/>
      <dgm:t>
        <a:bodyPr/>
        <a:p>
          <a:endParaRPr lang="zh-CN" altLang="en-US"/>
        </a:p>
      </dgm:t>
    </dgm:pt>
    <dgm:pt modelId="{C1F285E1-4B9A-264B-9CA4-7EC7AD80523F}" cxnId="{A1EDA0EB-107B-A14F-9701-FBDD13ECD4F1}" type="sibTrans">
      <dgm:prSet/>
      <dgm:spPr/>
      <dgm:t>
        <a:bodyPr/>
        <a:p>
          <a:endParaRPr lang="zh-CN" altLang="en-US"/>
        </a:p>
      </dgm:t>
    </dgm:pt>
    <dgm:pt modelId="{F6600097-5931-8E43-8623-030DB91E6AA4}">
      <dgm:prSet custT="1"/>
      <dgm:spPr/>
      <dgm:t>
        <a:bodyPr/>
        <a:p>
          <a:r>
            <a:rPr lang="zh-CN" altLang="en-US" sz="900" baseline="0">
              <a:latin typeface="Times New Roman" panose="02020603050405020304" charset="0"/>
              <a:cs typeface="Times New Roman" panose="02020603050405020304" charset="0"/>
            </a:rPr>
            <a:t>交付与运维</a:t>
          </a:r>
        </a:p>
      </dgm:t>
    </dgm:pt>
    <dgm:pt modelId="{6917DE65-28AA-F04F-93B6-943235F9EC72}" cxnId="{A484F6DC-C575-2A4C-B26F-789EF30A22D7}" type="parTrans">
      <dgm:prSet/>
      <dgm:spPr/>
      <dgm:t>
        <a:bodyPr/>
        <a:p>
          <a:endParaRPr lang="zh-CN" altLang="en-US"/>
        </a:p>
      </dgm:t>
    </dgm:pt>
    <dgm:pt modelId="{8C3C2732-997B-EF47-B6F8-1152E190A5C6}" cxnId="{A484F6DC-C575-2A4C-B26F-789EF30A22D7}" type="sibTrans">
      <dgm:prSet/>
      <dgm:spPr/>
      <dgm:t>
        <a:bodyPr/>
        <a:p>
          <a:endParaRPr lang="zh-CN" altLang="en-US"/>
        </a:p>
      </dgm:t>
    </dgm:pt>
    <dgm:pt modelId="{6611DC65-019F-1940-9E67-FC0FF2AD42B5}">
      <dgm:prSet custT="1"/>
      <dgm:spPr/>
      <dgm:t>
        <a:bodyPr/>
        <a:p>
          <a:r>
            <a:rPr lang="zh-CN" sz="900" baseline="0">
              <a:latin typeface="Times New Roman" panose="02020603050405020304" charset="0"/>
              <a:cs typeface="Times New Roman" panose="02020603050405020304" charset="0"/>
            </a:rPr>
            <a:t>持续集成与持续交付</a:t>
          </a:r>
        </a:p>
      </dgm:t>
    </dgm:pt>
    <dgm:pt modelId="{D298CFA1-BF82-D14C-B963-7D1EEAC284B7}" cxnId="{50781076-C3B6-174F-A4BC-9270FB29C525}" type="parTrans">
      <dgm:prSet/>
      <dgm:spPr/>
      <dgm:t>
        <a:bodyPr/>
        <a:p>
          <a:endParaRPr lang="zh-CN" altLang="en-US"/>
        </a:p>
      </dgm:t>
    </dgm:pt>
    <dgm:pt modelId="{30C8B292-EFEB-7846-A8D6-0A9A59CEBFCE}" cxnId="{50781076-C3B6-174F-A4BC-9270FB29C525}" type="sibTrans">
      <dgm:prSet/>
      <dgm:spPr/>
      <dgm:t>
        <a:bodyPr/>
        <a:p>
          <a:endParaRPr lang="zh-CN" altLang="en-US"/>
        </a:p>
      </dgm:t>
    </dgm:pt>
    <dgm:pt modelId="{BF80E9F1-9899-9D42-A171-67236106B7AF}">
      <dgm:prSet custT="1"/>
      <dgm:spPr/>
      <dgm:t>
        <a:bodyPr/>
        <a:p>
          <a:r>
            <a:rPr lang="zh-CN" sz="900" baseline="0">
              <a:latin typeface="Times New Roman" panose="02020603050405020304" charset="0"/>
              <a:cs typeface="Times New Roman" panose="02020603050405020304" charset="0"/>
            </a:rPr>
            <a:t>平台工程</a:t>
          </a:r>
        </a:p>
      </dgm:t>
    </dgm:pt>
    <dgm:pt modelId="{8BC447D3-0AB6-644F-9EC5-6902DFB2E3FE}" cxnId="{FE5A09CA-EB84-2440-AF8D-8094FBC9198B}" type="parTrans">
      <dgm:prSet/>
      <dgm:spPr/>
      <dgm:t>
        <a:bodyPr/>
        <a:p>
          <a:endParaRPr lang="zh-CN" altLang="en-US"/>
        </a:p>
      </dgm:t>
    </dgm:pt>
    <dgm:pt modelId="{2C409E82-B98E-A541-B16C-92B296145FBE}" cxnId="{FE5A09CA-EB84-2440-AF8D-8094FBC9198B}" type="sibTrans">
      <dgm:prSet/>
      <dgm:spPr/>
      <dgm:t>
        <a:bodyPr/>
        <a:p>
          <a:endParaRPr lang="zh-CN" altLang="en-US"/>
        </a:p>
      </dgm:t>
    </dgm:pt>
    <dgm:pt modelId="{5E1ACB9C-7A87-3A47-8B28-6BE8A3BF13BB}">
      <dgm:prSet custT="1"/>
      <dgm:spPr/>
      <dgm:t>
        <a:bodyPr/>
        <a:p>
          <a:r>
            <a:rPr lang="zh-CN" altLang="en-US" sz="900" baseline="0">
              <a:latin typeface="Times New Roman" panose="02020603050405020304" charset="0"/>
              <a:cs typeface="Times New Roman" panose="02020603050405020304" charset="0"/>
            </a:rPr>
            <a:t>系统可靠性工程</a:t>
          </a:r>
          <a:endParaRPr lang="zh-CN" sz="900" baseline="0">
            <a:latin typeface="Times New Roman" panose="02020603050405020304" charset="0"/>
            <a:cs typeface="Times New Roman" panose="02020603050405020304" charset="0"/>
          </a:endParaRPr>
        </a:p>
      </dgm:t>
    </dgm:pt>
    <dgm:pt modelId="{089EC196-197A-7D43-98CF-9037359C9EC3}" cxnId="{510A00E7-A6EA-9641-8650-24FEFEEAEEAB}" type="parTrans">
      <dgm:prSet/>
      <dgm:spPr/>
      <dgm:t>
        <a:bodyPr/>
        <a:p>
          <a:endParaRPr lang="zh-CN" altLang="en-US"/>
        </a:p>
      </dgm:t>
    </dgm:pt>
    <dgm:pt modelId="{AB433C46-AC8C-E444-A6C6-0D275ACB777E}" cxnId="{510A00E7-A6EA-9641-8650-24FEFEEAEEAB}" type="sibTrans">
      <dgm:prSet/>
      <dgm:spPr/>
      <dgm:t>
        <a:bodyPr/>
        <a:p>
          <a:endParaRPr lang="zh-CN" altLang="en-US"/>
        </a:p>
      </dgm:t>
    </dgm:pt>
    <dgm:pt modelId="{E2100156-EF84-0E46-B11A-EE903C9BB43E}">
      <dgm:prSet custT="1"/>
      <dgm:spPr/>
      <dgm:t>
        <a:bodyPr/>
        <a:p>
          <a:r>
            <a:rPr lang="zh-CN" altLang="en-US" sz="900" baseline="0">
              <a:latin typeface="Times New Roman" panose="02020603050405020304" charset="0"/>
              <a:cs typeface="Times New Roman" panose="02020603050405020304" charset="0"/>
            </a:rPr>
            <a:t>安全与合规</a:t>
          </a:r>
        </a:p>
      </dgm:t>
    </dgm:pt>
    <dgm:pt modelId="{25455B9B-C9F5-1949-BAC6-1EEBA99699E6}" cxnId="{7713B2E7-108F-7A4A-B99E-B67DF54DDD2C}" type="parTrans">
      <dgm:prSet/>
      <dgm:spPr/>
      <dgm:t>
        <a:bodyPr/>
        <a:p>
          <a:endParaRPr lang="zh-CN" altLang="en-US"/>
        </a:p>
      </dgm:t>
    </dgm:pt>
    <dgm:pt modelId="{110F0052-6523-DE4D-B017-AC0F9209B4F8}" cxnId="{7713B2E7-108F-7A4A-B99E-B67DF54DDD2C}" type="sibTrans">
      <dgm:prSet/>
      <dgm:spPr/>
      <dgm:t>
        <a:bodyPr/>
        <a:p>
          <a:endParaRPr lang="zh-CN" altLang="en-US"/>
        </a:p>
      </dgm:t>
    </dgm:pt>
    <dgm:pt modelId="{2AA0F510-4E5B-DE45-8449-36E402E75786}">
      <dgm:prSet custT="1"/>
      <dgm:spPr/>
      <dgm:t>
        <a:bodyPr/>
        <a:p>
          <a:r>
            <a:rPr lang="zh-CN" sz="900" baseline="0">
              <a:latin typeface="Times New Roman" panose="02020603050405020304" charset="0"/>
              <a:cs typeface="Times New Roman" panose="02020603050405020304" charset="0"/>
            </a:rPr>
            <a:t>安全工程</a:t>
          </a:r>
        </a:p>
      </dgm:t>
    </dgm:pt>
    <dgm:pt modelId="{7434C617-2CF2-ED45-82F6-36ED553BC2D8}" cxnId="{3C5B8737-486A-0141-93DE-CE7081E947D3}" type="parTrans">
      <dgm:prSet/>
      <dgm:spPr/>
      <dgm:t>
        <a:bodyPr/>
        <a:p>
          <a:endParaRPr lang="zh-CN" altLang="en-US"/>
        </a:p>
      </dgm:t>
    </dgm:pt>
    <dgm:pt modelId="{E3F91564-B06E-1C43-8934-69CDE9080FD0}" cxnId="{3C5B8737-486A-0141-93DE-CE7081E947D3}" type="sibTrans">
      <dgm:prSet/>
      <dgm:spPr/>
      <dgm:t>
        <a:bodyPr/>
        <a:p>
          <a:endParaRPr lang="zh-CN" altLang="en-US"/>
        </a:p>
      </dgm:t>
    </dgm:pt>
    <dgm:pt modelId="{3717E8CC-4663-6040-B04E-9A4A0E77C963}">
      <dgm:prSet custT="1"/>
      <dgm:spPr/>
      <dgm:t>
        <a:bodyPr/>
        <a:p>
          <a:r>
            <a:rPr lang="zh-CN" sz="900" baseline="0">
              <a:latin typeface="Times New Roman" panose="02020603050405020304" charset="0"/>
              <a:cs typeface="Times New Roman" panose="02020603050405020304" charset="0"/>
            </a:rPr>
            <a:t>合规工程</a:t>
          </a:r>
        </a:p>
      </dgm:t>
    </dgm:pt>
    <dgm:pt modelId="{8F5EEB59-CA8D-B34C-9A13-7A3CFC6A3237}" cxnId="{EB85172D-4B02-0D47-BC4D-B180A12491BA}" type="parTrans">
      <dgm:prSet/>
      <dgm:spPr/>
      <dgm:t>
        <a:bodyPr/>
        <a:p>
          <a:endParaRPr lang="zh-CN" altLang="en-US"/>
        </a:p>
      </dgm:t>
    </dgm:pt>
    <dgm:pt modelId="{F6D0EEA4-131F-EA41-B5AB-C9D13BEB5659}" cxnId="{EB85172D-4B02-0D47-BC4D-B180A12491BA}" type="sibTrans">
      <dgm:prSet/>
      <dgm:spPr/>
      <dgm:t>
        <a:bodyPr/>
        <a:p>
          <a:endParaRPr lang="zh-CN" altLang="en-US"/>
        </a:p>
      </dgm:t>
    </dgm:pt>
    <dgm:pt modelId="{09DD563B-20AB-0040-8E82-5F57E97187C4}">
      <dgm:prSet custT="1"/>
      <dgm:spPr/>
      <dgm:t>
        <a:bodyPr/>
        <a:p>
          <a:r>
            <a:rPr lang="zh-CN" altLang="en-US" sz="900" baseline="0">
              <a:latin typeface="Times New Roman" panose="02020603050405020304" charset="0"/>
              <a:cs typeface="Times New Roman" panose="02020603050405020304" charset="0"/>
            </a:rPr>
            <a:t>安全合规顾问</a:t>
          </a:r>
          <a:endParaRPr lang="zh-CN" sz="900" baseline="0">
            <a:latin typeface="Times New Roman" panose="02020603050405020304" charset="0"/>
            <a:cs typeface="Times New Roman" panose="02020603050405020304" charset="0"/>
          </a:endParaRPr>
        </a:p>
      </dgm:t>
    </dgm:pt>
    <dgm:pt modelId="{9675249A-68B8-1E42-81F7-29A4D8427AED}" cxnId="{0BF5EC3C-8E3D-C448-86CB-AF09F2E1FC23}" type="parTrans">
      <dgm:prSet/>
      <dgm:spPr/>
      <dgm:t>
        <a:bodyPr/>
        <a:p>
          <a:endParaRPr lang="zh-CN" altLang="en-US"/>
        </a:p>
      </dgm:t>
    </dgm:pt>
    <dgm:pt modelId="{B6FEF543-56F5-A44B-9521-CD3FB1CC4BEE}" cxnId="{0BF5EC3C-8E3D-C448-86CB-AF09F2E1FC23}" type="sibTrans">
      <dgm:prSet/>
      <dgm:spPr/>
      <dgm:t>
        <a:bodyPr/>
        <a:p>
          <a:endParaRPr lang="zh-CN" altLang="en-US"/>
        </a:p>
      </dgm:t>
    </dgm:pt>
    <dgm:pt modelId="{7A9EA352-7A78-DD4B-BE5A-02DB5B237446}">
      <dgm:prSet custT="1"/>
      <dgm:spPr/>
      <dgm:t>
        <a:bodyPr/>
        <a:p>
          <a:r>
            <a:rPr lang="zh-CN" altLang="en-US" sz="900" baseline="0">
              <a:latin typeface="Times New Roman" panose="02020603050405020304" charset="0"/>
              <a:cs typeface="Times New Roman" panose="02020603050405020304" charset="0"/>
            </a:rPr>
            <a:t>数据与模型治理</a:t>
          </a:r>
        </a:p>
      </dgm:t>
    </dgm:pt>
    <dgm:pt modelId="{1391A240-22C8-6B40-B366-6A595431D702}" cxnId="{250687CB-F6CE-C14D-8E1B-B631D1E28045}" type="parTrans">
      <dgm:prSet/>
      <dgm:spPr/>
      <dgm:t>
        <a:bodyPr/>
        <a:p>
          <a:endParaRPr lang="zh-CN" altLang="en-US"/>
        </a:p>
      </dgm:t>
    </dgm:pt>
    <dgm:pt modelId="{3A6EC07D-69A7-334B-8AF4-43EC1B4A17FD}" cxnId="{250687CB-F6CE-C14D-8E1B-B631D1E28045}" type="sibTrans">
      <dgm:prSet/>
      <dgm:spPr/>
      <dgm:t>
        <a:bodyPr/>
        <a:p>
          <a:endParaRPr lang="zh-CN" altLang="en-US"/>
        </a:p>
      </dgm:t>
    </dgm:pt>
    <dgm:pt modelId="{1445EC99-7F48-D546-86EE-DEB867D6E918}">
      <dgm:prSet custT="1"/>
      <dgm:spPr/>
      <dgm:t>
        <a:bodyPr/>
        <a:p>
          <a:r>
            <a:rPr lang="zh-CN" sz="900" baseline="0">
              <a:latin typeface="Times New Roman" panose="02020603050405020304" charset="0"/>
              <a:cs typeface="Times New Roman" panose="02020603050405020304" charset="0"/>
            </a:rPr>
            <a:t>数据治</a:t>
          </a:r>
          <a:r>
            <a:rPr lang="zh-CN" altLang="en-US" sz="900" baseline="0">
              <a:latin typeface="Times New Roman" panose="02020603050405020304" charset="0"/>
              <a:cs typeface="Times New Roman" panose="02020603050405020304" charset="0"/>
            </a:rPr>
            <a:t>理</a:t>
          </a:r>
          <a:endParaRPr lang="zh-CN" sz="900" baseline="0">
            <a:latin typeface="Times New Roman" panose="02020603050405020304" charset="0"/>
            <a:cs typeface="Times New Roman" panose="02020603050405020304" charset="0"/>
          </a:endParaRPr>
        </a:p>
      </dgm:t>
    </dgm:pt>
    <dgm:pt modelId="{A1FA9086-F6FE-8143-83C7-9333E6CF8674}" cxnId="{86B44437-F802-0B41-8EE9-7575EFFB0A4D}" type="parTrans">
      <dgm:prSet/>
      <dgm:spPr/>
      <dgm:t>
        <a:bodyPr/>
        <a:p>
          <a:endParaRPr lang="zh-CN" altLang="en-US"/>
        </a:p>
      </dgm:t>
    </dgm:pt>
    <dgm:pt modelId="{0C7C5938-9139-D94C-8077-29E8A28DE746}" cxnId="{86B44437-F802-0B41-8EE9-7575EFFB0A4D}" type="sibTrans">
      <dgm:prSet/>
      <dgm:spPr/>
      <dgm:t>
        <a:bodyPr/>
        <a:p>
          <a:endParaRPr lang="zh-CN" altLang="en-US"/>
        </a:p>
      </dgm:t>
    </dgm:pt>
    <dgm:pt modelId="{08AA2556-F8E6-F341-BA43-60010BB6D592}">
      <dgm:prSet custT="1"/>
      <dgm:spPr/>
      <dgm:t>
        <a:bodyPr/>
        <a:p>
          <a:r>
            <a:rPr lang="zh-CN" sz="900" baseline="0">
              <a:latin typeface="Times New Roman" panose="02020603050405020304" charset="0"/>
              <a:cs typeface="Times New Roman" panose="02020603050405020304" charset="0"/>
            </a:rPr>
            <a:t>模型平台</a:t>
          </a:r>
        </a:p>
      </dgm:t>
    </dgm:pt>
    <dgm:pt modelId="{A1B1A2AE-1A9D-8946-90B1-B15C1A6241D0}" cxnId="{3B0DD5F0-0CA7-EF43-B248-7FC538D7E205}" type="parTrans">
      <dgm:prSet/>
      <dgm:spPr/>
      <dgm:t>
        <a:bodyPr/>
        <a:p>
          <a:endParaRPr lang="zh-CN" altLang="en-US"/>
        </a:p>
      </dgm:t>
    </dgm:pt>
    <dgm:pt modelId="{1BB0008A-BAE3-B141-8C4B-EC2C4B91F2CC}" cxnId="{3B0DD5F0-0CA7-EF43-B248-7FC538D7E205}" type="sibTrans">
      <dgm:prSet/>
      <dgm:spPr/>
      <dgm:t>
        <a:bodyPr/>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0"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0"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0"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0"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0"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0"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0"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0"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0"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0"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0"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0"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0"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0"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0"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86"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p>
          <a:endParaRPr lang="zh-CN" altLang="en-US"/>
        </a:p>
      </dgm:t>
    </dgm:pt>
    <dgm:pt modelId="{FB8BC21A-A287-8548-9270-CBB1AAEF8A0F}">
      <dgm:prSet phldrT="[文本]"/>
      <dgm:spPr/>
      <dgm:t>
        <a:bodyPr/>
        <a:p>
          <a:r>
            <a:rPr lang="zh-CN" altLang="en-US">
              <a:latin typeface="Times New Roman" panose="02020603050405020304" charset="0"/>
              <a:cs typeface="Times New Roman" panose="02020603050405020304" charset="0"/>
            </a:rPr>
            <a:t>治理层</a:t>
          </a:r>
        </a:p>
      </dgm:t>
    </dgm:pt>
    <dgm:pt modelId="{7B7E6D98-0EEB-5345-A4A4-5F126A2AD256}" cxnId="{B9AFD63F-33AD-5646-9CC9-B28F56F3BFF6}" type="parTrans">
      <dgm:prSet/>
      <dgm:spPr/>
      <dgm:t>
        <a:bodyPr/>
        <a:p>
          <a:endParaRPr lang="zh-CN" altLang="en-US"/>
        </a:p>
      </dgm:t>
    </dgm:pt>
    <dgm:pt modelId="{AED25752-A366-4245-91A4-C35CAF2E70F7}" cxnId="{B9AFD63F-33AD-5646-9CC9-B28F56F3BFF6}" type="sibTrans">
      <dgm:prSet/>
      <dgm:spPr/>
      <dgm:t>
        <a:bodyPr/>
        <a:p>
          <a:endParaRPr lang="zh-CN" altLang="en-US"/>
        </a:p>
      </dgm:t>
    </dgm:pt>
    <dgm:pt modelId="{D15B1609-CB0C-1247-84F5-BECDF240AB28}">
      <dgm:prSet phldrT="[文本]"/>
      <dgm:spPr/>
      <dgm:t>
        <a:bodyPr/>
        <a:p>
          <a:r>
            <a:rPr lang="zh-CN" altLang="en-US">
              <a:latin typeface="Times New Roman" panose="02020603050405020304" charset="0"/>
              <a:cs typeface="Times New Roman" panose="02020603050405020304" charset="0"/>
            </a:rPr>
            <a:t>团队层</a:t>
          </a:r>
        </a:p>
      </dgm:t>
    </dgm:pt>
    <dgm:pt modelId="{ACC1D357-A656-4643-B9D7-4A9573FC2978}" cxnId="{3EDC6E4B-4163-D544-B43F-AC143C4EA739}" type="parTrans">
      <dgm:prSet/>
      <dgm:spPr/>
      <dgm:t>
        <a:bodyPr/>
        <a:p>
          <a:endParaRPr lang="zh-CN" altLang="en-US"/>
        </a:p>
      </dgm:t>
    </dgm:pt>
    <dgm:pt modelId="{90E4FD94-45EA-DD4A-B17C-123FB5D344A6}" cxnId="{3EDC6E4B-4163-D544-B43F-AC143C4EA739}" type="sibTrans">
      <dgm:prSet/>
      <dgm:spPr/>
      <dgm:t>
        <a:bodyPr/>
        <a:p>
          <a:endParaRPr lang="zh-CN" altLang="en-US"/>
        </a:p>
      </dgm:t>
    </dgm:pt>
    <dgm:pt modelId="{C7281F1C-8F47-1F45-9B5F-4594532088BF}">
      <dgm:prSet phldrT="[文本]"/>
      <dgm:spPr/>
      <dgm:t>
        <a:bodyPr/>
        <a:p>
          <a:r>
            <a:rPr lang="en-US" altLang="zh-CN">
              <a:latin typeface="Times New Roman" panose="02020603050405020304" charset="0"/>
              <a:cs typeface="Times New Roman" panose="02020603050405020304" charset="0"/>
            </a:rPr>
            <a:t>Scrum</a:t>
          </a:r>
          <a:r>
            <a:rPr lang="zh-CN" altLang="en-US">
              <a:latin typeface="Times New Roman" panose="02020603050405020304" charset="0"/>
              <a:cs typeface="Times New Roman" panose="02020603050405020304" charset="0"/>
            </a:rPr>
            <a:t>迭代</a:t>
          </a:r>
        </a:p>
      </dgm:t>
    </dgm:pt>
    <dgm:pt modelId="{1F145F7F-BBA9-5049-9C94-BA7782311121}" cxnId="{CBC2ABD7-0D85-5B47-8759-EF4B4A5E1ACE}" type="parTrans">
      <dgm:prSet/>
      <dgm:spPr/>
      <dgm:t>
        <a:bodyPr/>
        <a:p>
          <a:endParaRPr lang="zh-CN" altLang="en-US"/>
        </a:p>
      </dgm:t>
    </dgm:pt>
    <dgm:pt modelId="{61D4DBA0-AEEB-E341-9126-63C2FDFCA0B5}" cxnId="{CBC2ABD7-0D85-5B47-8759-EF4B4A5E1ACE}" type="sibTrans">
      <dgm:prSet/>
      <dgm:spPr/>
      <dgm:t>
        <a:bodyPr/>
        <a:p>
          <a:endParaRPr lang="zh-CN" altLang="en-US"/>
        </a:p>
      </dgm:t>
    </dgm:pt>
    <dgm:pt modelId="{2A1F9314-F482-AF44-A0AE-39A62B043083}">
      <dgm:prSet phldrT="[文本]"/>
      <dgm:spPr/>
      <dgm:t>
        <a:bodyPr/>
        <a:p>
          <a:r>
            <a:rPr lang="zh-CN" altLang="en-US">
              <a:latin typeface="Times New Roman" panose="02020603050405020304" charset="0"/>
              <a:cs typeface="Times New Roman" panose="02020603050405020304" charset="0"/>
            </a:rPr>
            <a:t>流水线层</a:t>
          </a:r>
        </a:p>
      </dgm:t>
    </dgm:pt>
    <dgm:pt modelId="{88ADA4CF-53FA-0B47-8998-4C77A4C9091E}" cxnId="{B98157DF-6CA3-214F-9E9B-D441E74D6062}" type="parTrans">
      <dgm:prSet/>
      <dgm:spPr/>
      <dgm:t>
        <a:bodyPr/>
        <a:p>
          <a:endParaRPr lang="zh-CN" altLang="en-US"/>
        </a:p>
      </dgm:t>
    </dgm:pt>
    <dgm:pt modelId="{649BA792-610F-334D-B750-E802C3BBEB2A}" cxnId="{B98157DF-6CA3-214F-9E9B-D441E74D6062}" type="sibTrans">
      <dgm:prSet/>
      <dgm:spPr/>
      <dgm:t>
        <a:bodyPr/>
        <a:p>
          <a:endParaRPr lang="zh-CN" altLang="en-US"/>
        </a:p>
      </dgm:t>
    </dgm:pt>
    <dgm:pt modelId="{A94E9A62-251A-094F-8EE0-E4F071328FDF}">
      <dgm:prSet phldrT="[文本]"/>
      <dgm:spPr/>
      <dgm:t>
        <a:bodyPr/>
        <a:p>
          <a:r>
            <a:rPr lang="en-US" altLang="zh-CN">
              <a:latin typeface="Times New Roman" panose="02020603050405020304" charset="0"/>
              <a:cs typeface="Times New Roman" panose="02020603050405020304" charset="0"/>
            </a:rPr>
            <a:t>CI/CD</a:t>
          </a:r>
          <a:endParaRPr lang="zh-CN" altLang="en-US">
            <a:latin typeface="Times New Roman" panose="02020603050405020304" charset="0"/>
            <a:cs typeface="Times New Roman" panose="02020603050405020304" charset="0"/>
          </a:endParaRPr>
        </a:p>
      </dgm:t>
    </dgm:pt>
    <dgm:pt modelId="{C3B5728A-DF6B-CD46-BA8D-7241A0DB1DA5}" cxnId="{5F394562-E0AA-FA4B-BF09-6B0142520337}" type="parTrans">
      <dgm:prSet/>
      <dgm:spPr/>
      <dgm:t>
        <a:bodyPr/>
        <a:p>
          <a:endParaRPr lang="zh-CN" altLang="en-US"/>
        </a:p>
      </dgm:t>
    </dgm:pt>
    <dgm:pt modelId="{E212F924-375B-3B46-9533-C1E78675EBEC}" cxnId="{5F394562-E0AA-FA4B-BF09-6B0142520337}" type="sibTrans">
      <dgm:prSet/>
      <dgm:spPr/>
      <dgm:t>
        <a:bodyPr/>
        <a:p>
          <a:endParaRPr lang="zh-CN" altLang="en-US"/>
        </a:p>
      </dgm:t>
    </dgm:pt>
    <dgm:pt modelId="{D11E0801-6F43-E04F-AB08-543629186C9C}">
      <dgm:prSet phldrT="[文本]"/>
      <dgm:spPr/>
      <dgm:t>
        <a:bodyPr/>
        <a:p>
          <a:r>
            <a:rPr lang="zh-CN" altLang="en-US">
              <a:latin typeface="Times New Roman" panose="02020603050405020304" charset="0"/>
              <a:cs typeface="Times New Roman" panose="02020603050405020304" charset="0"/>
            </a:rPr>
            <a:t>质量门禁</a:t>
          </a:r>
        </a:p>
      </dgm:t>
    </dgm:pt>
    <dgm:pt modelId="{D7A07579-01F8-F048-8F40-6605502784FB}" cxnId="{58011E44-09D9-0341-AFB4-22AFC1D3073C}" type="sibTrans">
      <dgm:prSet/>
      <dgm:spPr/>
      <dgm:t>
        <a:bodyPr/>
        <a:p>
          <a:endParaRPr lang="zh-CN" altLang="en-US"/>
        </a:p>
      </dgm:t>
    </dgm:pt>
    <dgm:pt modelId="{5FFA9D43-1E47-B343-B36F-3F54F31D4D08}" cxnId="{58011E44-09D9-0341-AFB4-22AFC1D3073C}" type="parTrans">
      <dgm:prSet/>
      <dgm:spPr/>
      <dgm:t>
        <a:bodyPr/>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91"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p>
          <a:endParaRPr lang="zh-CN" altLang="en-US"/>
        </a:p>
      </dgm:t>
    </dgm:pt>
    <dgm:pt modelId="{3FDDFC85-0E1D-C54A-B5F0-84E19C1E6D97}">
      <dgm:prSet/>
      <dgm:spPr/>
      <dgm:t>
        <a:bodyPr/>
        <a:p>
          <a:r>
            <a:rPr lang="zh-CN" altLang="en-US"/>
            <a:t>需求</a:t>
          </a:r>
        </a:p>
      </dgm:t>
    </dgm:pt>
    <dgm:pt modelId="{3B98E10F-068C-BF40-9757-EB4F58032099}" cxnId="{D477EEC0-33FB-2B48-B6CA-2D5513B762B0}" type="parTrans">
      <dgm:prSet/>
      <dgm:spPr/>
      <dgm:t>
        <a:bodyPr/>
        <a:p>
          <a:endParaRPr lang="zh-CN" altLang="en-US"/>
        </a:p>
      </dgm:t>
    </dgm:pt>
    <dgm:pt modelId="{BA75E61A-D731-644B-A4BB-2838810CB42D}" cxnId="{D477EEC0-33FB-2B48-B6CA-2D5513B762B0}" type="sibTrans">
      <dgm:prSet/>
      <dgm:spPr/>
      <dgm:t>
        <a:bodyPr/>
        <a:p>
          <a:endParaRPr lang="zh-CN" altLang="en-US"/>
        </a:p>
      </dgm:t>
    </dgm:pt>
    <dgm:pt modelId="{17E0B6D4-B5D8-5245-A2B8-2C5D0154A7FD}">
      <dgm:prSet/>
      <dgm:spPr/>
      <dgm:t>
        <a:bodyPr/>
        <a:p>
          <a:r>
            <a:rPr lang="zh-CN" altLang="en-US"/>
            <a:t>架构</a:t>
          </a:r>
        </a:p>
      </dgm:t>
    </dgm:pt>
    <dgm:pt modelId="{5A6C0C8F-AF2D-7D4A-A945-55D187933469}" cxnId="{D37982E5-8FDC-0D4A-A26F-556F70E9CAF7}" type="parTrans">
      <dgm:prSet/>
      <dgm:spPr/>
      <dgm:t>
        <a:bodyPr/>
        <a:p>
          <a:endParaRPr lang="zh-CN" altLang="en-US"/>
        </a:p>
      </dgm:t>
    </dgm:pt>
    <dgm:pt modelId="{84C95AEE-E7DE-0046-B78B-6766ACA06213}" cxnId="{D37982E5-8FDC-0D4A-A26F-556F70E9CAF7}" type="sibTrans">
      <dgm:prSet/>
      <dgm:spPr/>
      <dgm:t>
        <a:bodyPr/>
        <a:p>
          <a:endParaRPr lang="zh-CN" altLang="en-US"/>
        </a:p>
      </dgm:t>
    </dgm:pt>
    <dgm:pt modelId="{24E7004F-A6E6-3946-843D-48B34AFA71A2}">
      <dgm:prSet/>
      <dgm:spPr/>
      <dgm:t>
        <a:bodyPr/>
        <a:p>
          <a:r>
            <a:rPr lang="zh-CN" altLang="en-US"/>
            <a:t>开发</a:t>
          </a:r>
        </a:p>
      </dgm:t>
    </dgm:pt>
    <dgm:pt modelId="{66328F95-D7A2-6B47-AA36-1C29A38A253D}" cxnId="{93296A2D-9447-144E-B659-80416AC97491}" type="parTrans">
      <dgm:prSet/>
      <dgm:spPr/>
      <dgm:t>
        <a:bodyPr/>
        <a:p>
          <a:endParaRPr lang="zh-CN" altLang="en-US"/>
        </a:p>
      </dgm:t>
    </dgm:pt>
    <dgm:pt modelId="{119CEE94-B0DF-3B48-8005-89313F2FC3BA}" cxnId="{93296A2D-9447-144E-B659-80416AC97491}" type="sibTrans">
      <dgm:prSet/>
      <dgm:spPr/>
      <dgm:t>
        <a:bodyPr/>
        <a:p>
          <a:endParaRPr lang="zh-CN" altLang="en-US"/>
        </a:p>
      </dgm:t>
    </dgm:pt>
    <dgm:pt modelId="{CF35DC8A-D9D7-C844-8E50-C8342B4C3A45}">
      <dgm:prSet/>
      <dgm:spPr/>
      <dgm:t>
        <a:bodyPr/>
        <a:p>
          <a:r>
            <a:rPr lang="zh-CN" altLang="en-US"/>
            <a:t>测试</a:t>
          </a:r>
        </a:p>
      </dgm:t>
    </dgm:pt>
    <dgm:pt modelId="{A568A4E4-705D-9141-BF50-4F8CD28A2ED8}" cxnId="{69232495-B03E-9449-BEC3-036C9C0DD015}" type="parTrans">
      <dgm:prSet/>
      <dgm:spPr/>
      <dgm:t>
        <a:bodyPr/>
        <a:p>
          <a:endParaRPr lang="zh-CN" altLang="en-US"/>
        </a:p>
      </dgm:t>
    </dgm:pt>
    <dgm:pt modelId="{CAFA820D-BA2B-D54B-99C7-AD27F8B7B372}" cxnId="{69232495-B03E-9449-BEC3-036C9C0DD015}" type="sibTrans">
      <dgm:prSet/>
      <dgm:spPr/>
      <dgm:t>
        <a:bodyPr/>
        <a:p>
          <a:endParaRPr lang="zh-CN" altLang="en-US"/>
        </a:p>
      </dgm:t>
    </dgm:pt>
    <dgm:pt modelId="{6E47FE2D-0B64-9949-9599-80A10B537ABA}">
      <dgm:prSet/>
      <dgm:spPr/>
      <dgm:t>
        <a:bodyPr/>
        <a:p>
          <a:r>
            <a:rPr lang="zh-CN" altLang="en-US"/>
            <a:t>部署</a:t>
          </a:r>
        </a:p>
      </dgm:t>
    </dgm:pt>
    <dgm:pt modelId="{A66BFA5F-9150-CA46-931B-625A49333C5B}" cxnId="{BBEBC1AB-E58E-5740-9A79-431742BD7492}" type="parTrans">
      <dgm:prSet/>
      <dgm:spPr/>
      <dgm:t>
        <a:bodyPr/>
        <a:p>
          <a:endParaRPr lang="zh-CN" altLang="en-US"/>
        </a:p>
      </dgm:t>
    </dgm:pt>
    <dgm:pt modelId="{80B545CF-12B0-D34E-8317-1511003A0DC4}" cxnId="{BBEBC1AB-E58E-5740-9A79-431742BD7492}" type="sibTrans">
      <dgm:prSet/>
      <dgm:spPr/>
      <dgm:t>
        <a:bodyPr/>
        <a:p>
          <a:endParaRPr lang="zh-CN" altLang="en-US"/>
        </a:p>
      </dgm:t>
    </dgm:pt>
    <dgm:pt modelId="{220AEB46-D60A-4945-B409-B7CA598862AF}">
      <dgm:prSet/>
      <dgm:spPr/>
      <dgm:t>
        <a:bodyPr/>
        <a:p>
          <a:r>
            <a:rPr lang="zh-CN" altLang="en-US"/>
            <a:t>运维</a:t>
          </a:r>
        </a:p>
      </dgm:t>
    </dgm:pt>
    <dgm:pt modelId="{C717C520-D9A5-D142-8330-ED5C72354046}" cxnId="{643B90FF-50DE-1C42-95E6-6A0DDBB5CD36}" type="parTrans">
      <dgm:prSet/>
      <dgm:spPr/>
      <dgm:t>
        <a:bodyPr/>
        <a:p>
          <a:endParaRPr lang="zh-CN" altLang="en-US"/>
        </a:p>
      </dgm:t>
    </dgm:pt>
    <dgm:pt modelId="{37DE0644-9BA8-7F4A-881F-AB75D3AA7880}" cxnId="{643B90FF-50DE-1C42-95E6-6A0DDBB5CD36}" type="sibTrans">
      <dgm:prSet/>
      <dgm:spPr/>
      <dgm:t>
        <a:bodyPr/>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96"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p>
          <a:endParaRPr lang="zh-CN" altLang="en-US"/>
        </a:p>
      </dgm:t>
    </dgm:pt>
    <dgm:pt modelId="{17DD40CC-141C-5342-A14C-B0EE6260D803}">
      <dgm:prSet phldrT="[文本]" custT="1"/>
      <dgm:spPr/>
      <dgm:t>
        <a:bodyPr/>
        <a:p>
          <a:r>
            <a:rPr lang="zh-CN" altLang="en-US" sz="1050" baseline="0"/>
            <a:t>综合能力评估体系</a:t>
          </a:r>
        </a:p>
      </dgm:t>
    </dgm:pt>
    <dgm:pt modelId="{A0EAE75A-CC4D-1A48-B702-8C1D2A09AF9B}" cxnId="{ED60B09B-9135-E446-A835-11A0D5174848}" type="parTrans">
      <dgm:prSet/>
      <dgm:spPr/>
      <dgm:t>
        <a:bodyPr/>
        <a:p>
          <a:endParaRPr lang="zh-CN" altLang="en-US"/>
        </a:p>
      </dgm:t>
    </dgm:pt>
    <dgm:pt modelId="{33C954D2-B3D3-BB47-98D2-1A2383DC78E2}" cxnId="{ED60B09B-9135-E446-A835-11A0D5174848}" type="sibTrans">
      <dgm:prSet/>
      <dgm:spPr/>
      <dgm:t>
        <a:bodyPr/>
        <a:p>
          <a:endParaRPr lang="zh-CN" altLang="en-US"/>
        </a:p>
      </dgm:t>
    </dgm:pt>
    <dgm:pt modelId="{DE8CB0BE-1D01-DD40-8321-1CA9A78B1D75}">
      <dgm:prSet phldrT="[文本]" custT="1"/>
      <dgm:spPr/>
      <dgm:t>
        <a:bodyPr/>
        <a:p>
          <a:r>
            <a:rPr lang="zh-CN" altLang="en-US" sz="1050" baseline="0"/>
            <a:t>需求管理</a:t>
          </a:r>
        </a:p>
      </dgm:t>
    </dgm:pt>
    <dgm:pt modelId="{697EF0C4-10D1-AD4B-9D3C-7BD9E900F1E2}" cxnId="{63FDB04F-A594-484A-A7D7-AECBEC372BDF}" type="parTrans">
      <dgm:prSet/>
      <dgm:spPr/>
      <dgm:t>
        <a:bodyPr/>
        <a:p>
          <a:endParaRPr lang="zh-CN" altLang="en-US"/>
        </a:p>
      </dgm:t>
    </dgm:pt>
    <dgm:pt modelId="{3458BFBC-0317-5843-8FCA-0744743DF049}" cxnId="{63FDB04F-A594-484A-A7D7-AECBEC372BDF}" type="sibTrans">
      <dgm:prSet/>
      <dgm:spPr/>
      <dgm:t>
        <a:bodyPr/>
        <a:p>
          <a:endParaRPr lang="zh-CN" altLang="en-US"/>
        </a:p>
      </dgm:t>
    </dgm:pt>
    <dgm:pt modelId="{77A7EA10-0025-FF4B-AAE3-99BC7F8A09A0}">
      <dgm:prSet phldrT="[文本]" custT="1"/>
      <dgm:spPr/>
      <dgm:t>
        <a:bodyPr/>
        <a:p>
          <a:r>
            <a:rPr lang="zh-CN" altLang="en-US" sz="1050" baseline="0"/>
            <a:t>安全控制</a:t>
          </a:r>
        </a:p>
      </dgm:t>
    </dgm:pt>
    <dgm:pt modelId="{F20EC1D2-5DB2-7840-8BBC-8FE7DF1EF8C9}" cxnId="{DF9B4DCC-E6A6-E149-A4C0-7B9130F71F2E}" type="parTrans">
      <dgm:prSet/>
      <dgm:spPr/>
      <dgm:t>
        <a:bodyPr/>
        <a:p>
          <a:endParaRPr lang="zh-CN" altLang="en-US"/>
        </a:p>
      </dgm:t>
    </dgm:pt>
    <dgm:pt modelId="{62DB6048-AC3C-5143-B7E3-7D564F6ECFA3}" cxnId="{DF9B4DCC-E6A6-E149-A4C0-7B9130F71F2E}" type="sibTrans">
      <dgm:prSet/>
      <dgm:spPr/>
      <dgm:t>
        <a:bodyPr/>
        <a:p>
          <a:endParaRPr lang="zh-CN" altLang="en-US"/>
        </a:p>
      </dgm:t>
    </dgm:pt>
    <dgm:pt modelId="{9B41CD36-04EF-E643-A891-3193CE8F93F8}">
      <dgm:prSet phldrT="[文本]" custT="1"/>
      <dgm:spPr/>
      <dgm:t>
        <a:bodyPr/>
        <a:p>
          <a:r>
            <a:rPr lang="zh-CN" altLang="en-US" sz="1050" baseline="0"/>
            <a:t>技术债务治理</a:t>
          </a:r>
        </a:p>
      </dgm:t>
    </dgm:pt>
    <dgm:pt modelId="{189D7A47-BE78-444E-95F5-EEB5ED1A1788}" cxnId="{D62ECF82-130A-ED44-BFCB-397CBB41B6DA}" type="parTrans">
      <dgm:prSet/>
      <dgm:spPr/>
      <dgm:t>
        <a:bodyPr/>
        <a:p>
          <a:endParaRPr lang="zh-CN" altLang="en-US"/>
        </a:p>
      </dgm:t>
    </dgm:pt>
    <dgm:pt modelId="{1A38EB66-F732-D240-976C-680F4A1D8E00}" cxnId="{D62ECF82-130A-ED44-BFCB-397CBB41B6DA}" type="sibTrans">
      <dgm:prSet/>
      <dgm:spPr/>
      <dgm:t>
        <a:bodyPr/>
        <a:p>
          <a:endParaRPr lang="zh-CN" altLang="en-US"/>
        </a:p>
      </dgm:t>
    </dgm:pt>
    <dgm:pt modelId="{8FD71050-D0AD-7342-99DE-D5EC4FA3E55F}">
      <dgm:prSet phldrT="[文本]" custT="1"/>
      <dgm:spPr/>
      <dgm:t>
        <a:bodyPr/>
        <a:p>
          <a:r>
            <a:rPr lang="zh-CN" altLang="en-US" sz="1050" baseline="0"/>
            <a:t>运维智能化</a:t>
          </a:r>
        </a:p>
      </dgm:t>
    </dgm:pt>
    <dgm:pt modelId="{AAA64185-2282-114E-94FB-0FCB1C3E03B2}" cxnId="{4A94488E-A143-6240-933F-1D9B5786A26A}" type="parTrans">
      <dgm:prSet/>
      <dgm:spPr/>
      <dgm:t>
        <a:bodyPr/>
        <a:p>
          <a:endParaRPr lang="zh-CN" altLang="en-US"/>
        </a:p>
      </dgm:t>
    </dgm:pt>
    <dgm:pt modelId="{D79772C0-4AFF-484F-81D6-C2A22F1670D4}" cxnId="{4A94488E-A143-6240-933F-1D9B5786A26A}" type="sibTrans">
      <dgm:prSet/>
      <dgm:spPr/>
      <dgm:t>
        <a:bodyPr/>
        <a:p>
          <a:endParaRPr lang="zh-CN" altLang="en-US"/>
        </a:p>
      </dgm:t>
    </dgm:pt>
    <dgm:pt modelId="{F4517BC2-9DA3-8E41-8838-8F8124B05F93}">
      <dgm:prSet custT="1"/>
      <dgm:spPr/>
      <dgm:t>
        <a:bodyPr/>
        <a:p>
          <a:r>
            <a:rPr lang="zh-CN" altLang="en-US" sz="1050" baseline="0"/>
            <a:t>跨职能协作</a:t>
          </a:r>
        </a:p>
      </dgm:t>
    </dgm:pt>
    <dgm:pt modelId="{055EA26E-AA23-1A47-AA63-7192A9439C13}" cxnId="{140387A8-DB75-6946-8280-42A5BEB509FA}" type="parTrans">
      <dgm:prSet/>
      <dgm:spPr/>
      <dgm:t>
        <a:bodyPr/>
        <a:p>
          <a:endParaRPr lang="zh-CN" altLang="en-US"/>
        </a:p>
      </dgm:t>
    </dgm:pt>
    <dgm:pt modelId="{C89F32BF-DC44-A146-8B96-D2CE44C081DE}" cxnId="{140387A8-DB75-6946-8280-42A5BEB509FA}" type="sibTrans">
      <dgm:prSet/>
      <dgm:spPr/>
      <dgm:t>
        <a:bodyPr/>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101"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p>
          <a:r>
            <a:rPr lang="zh-CN" altLang="en-US" sz="1050" baseline="0">
              <a:ea typeface="宋体" panose="02010600030101010101" charset="-122"/>
            </a:rPr>
            <a:t>需求优先级失衡</a:t>
          </a:r>
        </a:p>
      </dgm:t>
    </dgm:pt>
    <dgm:pt modelId="{7216A48B-D622-F444-9004-3917EED60205}" cxnId="{1129AFCC-1959-B949-8D1B-D95561D07ED2}" type="parTrans">
      <dgm:prSet/>
      <dgm:spPr/>
      <dgm:t>
        <a:bodyPr/>
        <a:p>
          <a:endParaRPr lang="zh-CN" altLang="en-US"/>
        </a:p>
      </dgm:t>
    </dgm:pt>
    <dgm:pt modelId="{796DDA00-5CF5-5C4E-9CEA-30A3FD45B1D7}" cxnId="{1129AFCC-1959-B949-8D1B-D95561D07ED2}" type="sibTrans">
      <dgm:prSet/>
      <dgm:spPr/>
      <dgm:t>
        <a:bodyPr/>
        <a:p>
          <a:endParaRPr lang="zh-CN" altLang="en-US"/>
        </a:p>
      </dgm:t>
    </dgm:pt>
    <dgm:pt modelId="{B4E783F5-55BC-7445-A16B-7084402E48AE}">
      <dgm:prSet phldrT="[文本]" custT="1"/>
      <dgm:spPr/>
      <dgm:t>
        <a:bodyPr/>
        <a:p>
          <a:r>
            <a:rPr lang="zh-CN" altLang="en-US" sz="1050" baseline="0">
              <a:ea typeface="宋体" panose="02010600030101010101" charset="-122"/>
            </a:rPr>
            <a:t>审批等待增加</a:t>
          </a:r>
        </a:p>
      </dgm:t>
    </dgm:pt>
    <dgm:pt modelId="{7CB8B0FC-2741-3640-80FF-36567B4BDB63}" cxnId="{29FB80C5-E4A0-0247-A0FE-627374D65929}" type="parTrans">
      <dgm:prSet/>
      <dgm:spPr/>
      <dgm:t>
        <a:bodyPr/>
        <a:p>
          <a:endParaRPr lang="zh-CN" altLang="en-US"/>
        </a:p>
      </dgm:t>
    </dgm:pt>
    <dgm:pt modelId="{4883C840-AF7E-054F-912B-7F4A9B2E7CEE}" cxnId="{29FB80C5-E4A0-0247-A0FE-627374D65929}" type="sibTrans">
      <dgm:prSet/>
      <dgm:spPr/>
      <dgm:t>
        <a:bodyPr/>
        <a:p>
          <a:endParaRPr lang="zh-CN" altLang="en-US"/>
        </a:p>
      </dgm:t>
    </dgm:pt>
    <dgm:pt modelId="{07655259-E876-9A41-918A-29A6CE35DAAF}">
      <dgm:prSet phldrT="[文本]" custT="1"/>
      <dgm:spPr/>
      <dgm:t>
        <a:bodyPr/>
        <a:p>
          <a:r>
            <a:rPr lang="zh-CN" altLang="en-US" sz="1050" baseline="0">
              <a:ea typeface="宋体" panose="02010600030101010101" charset="-122"/>
            </a:rPr>
            <a:t>追踪一致性下降</a:t>
          </a:r>
        </a:p>
      </dgm:t>
    </dgm:pt>
    <dgm:pt modelId="{F74B98BE-357B-B246-9ECB-3CEF80DDD1DA}" cxnId="{D3A736F1-8638-E94B-AD73-4B13FF7FEC88}" type="parTrans">
      <dgm:prSet/>
      <dgm:spPr/>
      <dgm:t>
        <a:bodyPr/>
        <a:p>
          <a:endParaRPr lang="zh-CN" altLang="en-US"/>
        </a:p>
      </dgm:t>
    </dgm:pt>
    <dgm:pt modelId="{9A8E266C-8B11-6A41-B954-64A8D9C90A7A}" cxnId="{D3A736F1-8638-E94B-AD73-4B13FF7FEC88}" type="sibTrans">
      <dgm:prSet/>
      <dgm:spPr/>
      <dgm:t>
        <a:bodyPr/>
        <a:p>
          <a:endParaRPr lang="zh-CN" altLang="en-US"/>
        </a:p>
      </dgm:t>
    </dgm:pt>
    <dgm:pt modelId="{AE23E99B-6653-3F4B-99E0-DC158D95853A}">
      <dgm:prSet custT="1"/>
      <dgm:spPr/>
      <dgm:t>
        <a:bodyPr/>
        <a:p>
          <a:r>
            <a:rPr lang="zh-CN" altLang="en-US" sz="1050" baseline="0">
              <a:ea typeface="宋体" panose="02010600030101010101" charset="-122"/>
            </a:rPr>
            <a:t>返工率上升</a:t>
          </a:r>
        </a:p>
      </dgm:t>
    </dgm:pt>
    <dgm:pt modelId="{010A28C4-21C0-E842-83C8-D2377D67FA61}" cxnId="{E17C4636-185D-B14C-9560-A6822AA3A2B1}" type="parTrans">
      <dgm:prSet/>
      <dgm:spPr/>
      <dgm:t>
        <a:bodyPr/>
        <a:p>
          <a:endParaRPr lang="zh-CN" altLang="en-US"/>
        </a:p>
      </dgm:t>
    </dgm:pt>
    <dgm:pt modelId="{22F9E010-BFBF-4C4B-BAED-BE13C84B9161}" cxnId="{E17C4636-185D-B14C-9560-A6822AA3A2B1}" type="sibTrans">
      <dgm:prSet/>
      <dgm:spPr/>
      <dgm:t>
        <a:bodyPr/>
        <a:p>
          <a:endParaRPr lang="zh-CN" altLang="en-US"/>
        </a:p>
      </dgm:t>
    </dgm:pt>
    <dgm:pt modelId="{154877CB-E3B6-0E4D-9F83-9F102863A91D}">
      <dgm:prSet custT="1"/>
      <dgm:spPr/>
      <dgm:t>
        <a:bodyPr/>
        <a:p>
          <a:r>
            <a:rPr lang="zh-CN" altLang="en-US" sz="1050" baseline="0">
              <a:ea typeface="宋体" panose="02010600030101010101" charset="-122"/>
            </a:rPr>
            <a:t>交付周期延长</a:t>
          </a:r>
        </a:p>
      </dgm:t>
    </dgm:pt>
    <dgm:pt modelId="{95EFB2EE-E825-EF44-B461-4490746998CA}" cxnId="{2DA899A5-4EDA-C64A-9EAB-3386D0B85EE8}" type="parTrans">
      <dgm:prSet/>
      <dgm:spPr/>
      <dgm:t>
        <a:bodyPr/>
        <a:p>
          <a:endParaRPr lang="zh-CN" altLang="en-US"/>
        </a:p>
      </dgm:t>
    </dgm:pt>
    <dgm:pt modelId="{C7743E43-24FA-4B40-897E-6B521C0E7657}" cxnId="{2DA899A5-4EDA-C64A-9EAB-3386D0B85EE8}" type="sibTrans">
      <dgm:prSet/>
      <dgm:spPr/>
      <dgm:t>
        <a:bodyPr/>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106"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p>
          <a:endParaRPr lang="zh-CN" altLang="en-US"/>
        </a:p>
      </dgm:t>
    </dgm:pt>
    <dgm:pt modelId="{1E4A983C-1FC9-694D-8740-EDA92FB10AEF}">
      <dgm:prSet phldrT="[文本]" custT="1"/>
      <dgm:spPr/>
      <dgm:t>
        <a:bodyPr/>
        <a:p>
          <a:r>
            <a:rPr lang="zh-CN" altLang="en-US" sz="1050" baseline="0">
              <a:ea typeface="宋体" panose="02010600030101010101" charset="-122"/>
            </a:rPr>
            <a:t>漏洞检测滞后</a:t>
          </a:r>
        </a:p>
      </dgm:t>
    </dgm:pt>
    <dgm:pt modelId="{DE2E5386-8CB9-5540-9684-4192C839F1F2}" cxnId="{39416473-AF6A-FA43-973E-F05D59AB7FE6}" type="parTrans">
      <dgm:prSet/>
      <dgm:spPr/>
      <dgm:t>
        <a:bodyPr/>
        <a:p>
          <a:endParaRPr lang="zh-CN" altLang="en-US"/>
        </a:p>
      </dgm:t>
    </dgm:pt>
    <dgm:pt modelId="{7EDA166F-0BF0-2945-957D-79F73E887148}" cxnId="{39416473-AF6A-FA43-973E-F05D59AB7FE6}" type="sibTrans">
      <dgm:prSet/>
      <dgm:spPr/>
      <dgm:t>
        <a:bodyPr/>
        <a:p>
          <a:endParaRPr lang="zh-CN" altLang="en-US"/>
        </a:p>
      </dgm:t>
    </dgm:pt>
    <dgm:pt modelId="{7F101C3B-B151-3246-BB97-4FE44E27D846}">
      <dgm:prSet phldrT="[文本]" custT="1"/>
      <dgm:spPr/>
      <dgm:t>
        <a:bodyPr/>
        <a:p>
          <a:r>
            <a:rPr lang="zh-CN" altLang="en-US" sz="1050" baseline="0">
              <a:ea typeface="宋体" panose="02010600030101010101" charset="-122"/>
            </a:rPr>
            <a:t>修复周期延长</a:t>
          </a:r>
        </a:p>
      </dgm:t>
    </dgm:pt>
    <dgm:pt modelId="{B4319BD3-2619-3841-AA8D-727D8B248F20}" cxnId="{168193DA-9EC5-3947-B4A6-8FA62BAE896D}" type="parTrans">
      <dgm:prSet/>
      <dgm:spPr/>
      <dgm:t>
        <a:bodyPr/>
        <a:p>
          <a:endParaRPr lang="zh-CN" altLang="en-US"/>
        </a:p>
      </dgm:t>
    </dgm:pt>
    <dgm:pt modelId="{6B99361F-A404-EE42-82AA-1EA7FB4AA89F}" cxnId="{168193DA-9EC5-3947-B4A6-8FA62BAE896D}" type="sibTrans">
      <dgm:prSet/>
      <dgm:spPr/>
      <dgm:t>
        <a:bodyPr/>
        <a:p>
          <a:endParaRPr lang="zh-CN" altLang="en-US"/>
        </a:p>
      </dgm:t>
    </dgm:pt>
    <dgm:pt modelId="{AE182DB2-6847-784F-A1BC-AD9F68235DC0}">
      <dgm:prSet phldrT="[文本]" custT="1"/>
      <dgm:spPr/>
      <dgm:t>
        <a:bodyPr/>
        <a:p>
          <a:r>
            <a:rPr lang="zh-CN" altLang="en-US" sz="1050" baseline="0">
              <a:ea typeface="宋体" panose="02010600030101010101" charset="-122"/>
            </a:rPr>
            <a:t>合规验证超期</a:t>
          </a:r>
        </a:p>
      </dgm:t>
    </dgm:pt>
    <dgm:pt modelId="{CC983F4F-1AA8-9B4F-A20C-DF5C9EAFEC19}" cxnId="{7CD4477A-8B90-3E4A-862F-59E973BABCAF}" type="parTrans">
      <dgm:prSet/>
      <dgm:spPr/>
      <dgm:t>
        <a:bodyPr/>
        <a:p>
          <a:endParaRPr lang="zh-CN" altLang="en-US"/>
        </a:p>
      </dgm:t>
    </dgm:pt>
    <dgm:pt modelId="{35045639-5389-0B4F-BAF3-706874449BB3}" cxnId="{7CD4477A-8B90-3E4A-862F-59E973BABCAF}" type="sibTrans">
      <dgm:prSet/>
      <dgm:spPr/>
      <dgm:t>
        <a:bodyPr/>
        <a:p>
          <a:endParaRPr lang="zh-CN" altLang="en-US"/>
        </a:p>
      </dgm:t>
    </dgm:pt>
    <dgm:pt modelId="{83D15786-EACA-324D-9658-3E7E5FA4E8E9}">
      <dgm:prSet phldrT="[文本]" custT="1"/>
      <dgm:spPr/>
      <dgm:t>
        <a:bodyPr/>
        <a:p>
          <a:r>
            <a:rPr lang="zh-CN" altLang="en-US" sz="1050" baseline="0">
              <a:ea typeface="宋体" panose="02010600030101010101" charset="-122"/>
            </a:rPr>
            <a:t>审计缺陷积压</a:t>
          </a:r>
        </a:p>
      </dgm:t>
    </dgm:pt>
    <dgm:pt modelId="{3F95379B-9CB7-A746-AC6D-9BD2F3FAB03F}" cxnId="{1E83915C-1E1E-724E-9BB6-ED1FBD95AC0F}" type="parTrans">
      <dgm:prSet/>
      <dgm:spPr/>
      <dgm:t>
        <a:bodyPr/>
        <a:p>
          <a:endParaRPr lang="zh-CN" altLang="en-US"/>
        </a:p>
      </dgm:t>
    </dgm:pt>
    <dgm:pt modelId="{CC322F6F-2E9F-6A40-83F4-D2C966D976E2}" cxnId="{1E83915C-1E1E-724E-9BB6-ED1FBD95AC0F}" type="sibTrans">
      <dgm:prSet/>
      <dgm:spPr/>
      <dgm:t>
        <a:bodyPr/>
        <a:p>
          <a:endParaRPr lang="zh-CN" altLang="en-US"/>
        </a:p>
      </dgm:t>
    </dgm:pt>
    <dgm:pt modelId="{0897B997-EE71-0342-94FC-6F48E5F4F50E}">
      <dgm:prSet phldrT="[文本]" custT="1"/>
      <dgm:spPr/>
      <dgm:t>
        <a:bodyPr/>
        <a:p>
          <a:r>
            <a:rPr lang="zh-CN" altLang="en-US" sz="1050" baseline="0">
              <a:ea typeface="宋体" panose="02010600030101010101" charset="-122"/>
            </a:rPr>
            <a:t>风险成本上升</a:t>
          </a:r>
        </a:p>
      </dgm:t>
    </dgm:pt>
    <dgm:pt modelId="{4171F5FE-5802-F141-8FCF-1DFF49A06A50}" cxnId="{E029D748-FDAE-7541-BE11-E2190E61BA21}" type="parTrans">
      <dgm:prSet/>
      <dgm:spPr/>
      <dgm:t>
        <a:bodyPr/>
        <a:p>
          <a:endParaRPr lang="zh-CN" altLang="en-US"/>
        </a:p>
      </dgm:t>
    </dgm:pt>
    <dgm:pt modelId="{27BF51C1-067B-5645-9276-1EB6FD73A852}" cxnId="{E029D748-FDAE-7541-BE11-E2190E61BA21}" type="sibTrans">
      <dgm:prSet/>
      <dgm:spPr/>
      <dgm:t>
        <a:bodyPr/>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11"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p>
          <a:endParaRPr lang="zh-CN" altLang="en-US"/>
        </a:p>
      </dgm:t>
    </dgm:pt>
    <dgm:pt modelId="{51ED85D9-0AC7-0E42-9AB2-FC408F328FFB}">
      <dgm:prSet phldrT="[文本]" custT="1"/>
      <dgm:spPr/>
      <dgm:t>
        <a:bodyPr/>
        <a:p>
          <a:r>
            <a:rPr lang="zh-CN" altLang="en-US" sz="1050" baseline="0">
              <a:ea typeface="宋体" panose="02010600030101010101" charset="-122"/>
            </a:rPr>
            <a:t>技术债务积累</a:t>
          </a:r>
        </a:p>
      </dgm:t>
    </dgm:pt>
    <dgm:pt modelId="{5A119E96-55E3-4645-B401-2F36079551F6}" cxnId="{C2B60E6D-E6DC-594F-B2C5-12B318ED3C5F}" type="parTrans">
      <dgm:prSet/>
      <dgm:spPr/>
      <dgm:t>
        <a:bodyPr/>
        <a:p>
          <a:endParaRPr lang="zh-CN" altLang="en-US"/>
        </a:p>
      </dgm:t>
    </dgm:pt>
    <dgm:pt modelId="{C2741071-A3A8-1743-A5AB-B3868642A7A5}" cxnId="{C2B60E6D-E6DC-594F-B2C5-12B318ED3C5F}" type="sibTrans">
      <dgm:prSet/>
      <dgm:spPr/>
      <dgm:t>
        <a:bodyPr/>
        <a:p>
          <a:endParaRPr lang="zh-CN" altLang="en-US"/>
        </a:p>
      </dgm:t>
    </dgm:pt>
    <dgm:pt modelId="{E5278F3A-C09B-504C-A10D-625D0A5E1E8B}">
      <dgm:prSet phldrT="[文本]" custT="1"/>
      <dgm:spPr/>
      <dgm:t>
        <a:bodyPr/>
        <a:p>
          <a:r>
            <a:rPr lang="zh-CN" altLang="en-US" sz="1050" baseline="0">
              <a:ea typeface="宋体" panose="02010600030101010101" charset="-122"/>
            </a:rPr>
            <a:t>系统复杂度上升</a:t>
          </a:r>
        </a:p>
      </dgm:t>
    </dgm:pt>
    <dgm:pt modelId="{A8BA834D-71DE-D845-874E-5D1932B3E3B3}" cxnId="{D95336DB-41F1-914E-98D2-27239879BE0F}" type="parTrans">
      <dgm:prSet/>
      <dgm:spPr/>
      <dgm:t>
        <a:bodyPr/>
        <a:p>
          <a:endParaRPr lang="zh-CN" altLang="en-US"/>
        </a:p>
      </dgm:t>
    </dgm:pt>
    <dgm:pt modelId="{FEE8620D-CA90-1E4E-9873-8304D93E3996}" cxnId="{D95336DB-41F1-914E-98D2-27239879BE0F}" type="sibTrans">
      <dgm:prSet/>
      <dgm:spPr/>
      <dgm:t>
        <a:bodyPr/>
        <a:p>
          <a:endParaRPr lang="zh-CN" altLang="en-US"/>
        </a:p>
      </dgm:t>
    </dgm:pt>
    <dgm:pt modelId="{F6F43F20-E648-8243-8ED8-3F0FC24CD710}">
      <dgm:prSet phldrT="[文本]" custT="1"/>
      <dgm:spPr/>
      <dgm:t>
        <a:bodyPr/>
        <a:p>
          <a:r>
            <a:rPr lang="zh-CN" altLang="en-US" sz="1050" baseline="0">
              <a:ea typeface="宋体" panose="02010600030101010101" charset="-122"/>
            </a:rPr>
            <a:t>自动化脚本稳定性下降</a:t>
          </a:r>
        </a:p>
      </dgm:t>
    </dgm:pt>
    <dgm:pt modelId="{15F28ACF-D748-AC45-813C-74FE7CB32734}" cxnId="{C38AF3DE-9D9D-7C46-84D6-4433DE025DDA}" type="parTrans">
      <dgm:prSet/>
      <dgm:spPr/>
      <dgm:t>
        <a:bodyPr/>
        <a:p>
          <a:endParaRPr lang="zh-CN" altLang="en-US"/>
        </a:p>
      </dgm:t>
    </dgm:pt>
    <dgm:pt modelId="{D62C3557-867D-4E47-A833-377DCA68DA91}" cxnId="{C38AF3DE-9D9D-7C46-84D6-4433DE025DDA}" type="sibTrans">
      <dgm:prSet/>
      <dgm:spPr/>
      <dgm:t>
        <a:bodyPr/>
        <a:p>
          <a:endParaRPr lang="zh-CN" altLang="en-US"/>
        </a:p>
      </dgm:t>
    </dgm:pt>
    <dgm:pt modelId="{1081A31C-7D59-B447-8DCB-3F2970472A42}">
      <dgm:prSet phldrT="[文本]" custT="1"/>
      <dgm:spPr/>
      <dgm:t>
        <a:bodyPr/>
        <a:p>
          <a:r>
            <a:rPr lang="zh-CN" altLang="en-US" sz="1050" baseline="0">
              <a:ea typeface="宋体" panose="02010600030101010101" charset="-122"/>
            </a:rPr>
            <a:t>人工干预与临时修补增多</a:t>
          </a:r>
        </a:p>
      </dgm:t>
    </dgm:pt>
    <dgm:pt modelId="{08F2C245-9B4A-314B-9C85-FCFC213463BF}" cxnId="{49F40D8F-C158-B744-B313-D988082910C9}" type="parTrans">
      <dgm:prSet/>
      <dgm:spPr/>
      <dgm:t>
        <a:bodyPr/>
        <a:p>
          <a:endParaRPr lang="zh-CN" altLang="en-US"/>
        </a:p>
      </dgm:t>
    </dgm:pt>
    <dgm:pt modelId="{FE3CC432-C6A8-0140-B2D5-6D99F42476F4}" cxnId="{49F40D8F-C158-B744-B313-D988082910C9}" type="sibTrans">
      <dgm:prSet/>
      <dgm:spPr/>
      <dgm:t>
        <a:bodyPr/>
        <a:p>
          <a:endParaRPr lang="zh-CN" altLang="en-US"/>
        </a:p>
      </dgm:t>
    </dgm:pt>
    <dgm:pt modelId="{795C0477-EDBB-5A43-9F6D-6695F2C44C9F}">
      <dgm:prSet phldrT="[文本]" custT="1"/>
      <dgm:spPr/>
      <dgm:t>
        <a:bodyPr/>
        <a:p>
          <a:r>
            <a:rPr lang="zh-CN" altLang="en-US" sz="1050" baseline="0">
              <a:ea typeface="宋体" panose="02010600030101010101" charset="-122"/>
            </a:rPr>
            <a:t>生成新的非标准化配置与债务</a:t>
          </a:r>
        </a:p>
      </dgm:t>
    </dgm:pt>
    <dgm:pt modelId="{F0C6CF64-CCB7-D941-B8EC-A934E163FBB9}" cxnId="{DD6E9F04-549D-B649-AAB1-291C11A693F0}" type="parTrans">
      <dgm:prSet/>
      <dgm:spPr/>
      <dgm:t>
        <a:bodyPr/>
        <a:p>
          <a:endParaRPr lang="zh-CN" altLang="en-US"/>
        </a:p>
      </dgm:t>
    </dgm:pt>
    <dgm:pt modelId="{8DCEA006-F6AE-E646-B33E-872C5504B443}" cxnId="{DD6E9F04-549D-B649-AAB1-291C11A693F0}" type="sibTrans">
      <dgm:prSet/>
      <dgm:spPr/>
      <dgm:t>
        <a:bodyPr/>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16"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p>
          <a:endParaRPr lang="zh-CN" altLang="en-US"/>
        </a:p>
      </dgm:t>
    </dgm:pt>
    <dgm:pt modelId="{30CF88E9-0F21-EB4D-A342-E3B5892DA0D6}">
      <dgm:prSet phldrT="[文本]" custT="1"/>
      <dgm:spPr/>
      <dgm:t>
        <a:bodyPr/>
        <a:p>
          <a:r>
            <a:rPr lang="zh-CN" altLang="en-US" sz="1050" baseline="0">
              <a:ea typeface="宋体" panose="02010600030101010101" charset="-122"/>
            </a:rPr>
            <a:t>监控自动化</a:t>
          </a:r>
        </a:p>
      </dgm:t>
    </dgm:pt>
    <dgm:pt modelId="{116BA51C-75A4-8446-9FE1-E3DA414B56A5}" cxnId="{B35CF108-6B06-9E40-AC1F-3970865A8A4C}" type="parTrans">
      <dgm:prSet/>
      <dgm:spPr/>
      <dgm:t>
        <a:bodyPr/>
        <a:p>
          <a:endParaRPr lang="zh-CN" altLang="en-US"/>
        </a:p>
      </dgm:t>
    </dgm:pt>
    <dgm:pt modelId="{CEE5AF3F-6982-2E4B-BB69-4BF4FFB3CCD8}" cxnId="{B35CF108-6B06-9E40-AC1F-3970865A8A4C}" type="sibTrans">
      <dgm:prSet/>
      <dgm:spPr/>
      <dgm:t>
        <a:bodyPr/>
        <a:p>
          <a:endParaRPr lang="zh-CN" altLang="en-US"/>
        </a:p>
      </dgm:t>
    </dgm:pt>
    <dgm:pt modelId="{89DA0854-A091-7049-A0F5-38B7ACC15026}">
      <dgm:prSet phldrT="[文本]" custT="1"/>
      <dgm:spPr/>
      <dgm:t>
        <a:bodyPr/>
        <a:p>
          <a:r>
            <a:rPr lang="zh-CN" altLang="en-US" sz="1050" baseline="0">
              <a:ea typeface="宋体" panose="02010600030101010101" charset="-122"/>
            </a:rPr>
            <a:t>异常检测</a:t>
          </a:r>
        </a:p>
      </dgm:t>
    </dgm:pt>
    <dgm:pt modelId="{1B5D93C1-0AD4-3B42-AEE4-B87BFAB6A074}" cxnId="{E2B0F050-46A0-9840-86CF-709306872649}" type="parTrans">
      <dgm:prSet/>
      <dgm:spPr/>
      <dgm:t>
        <a:bodyPr/>
        <a:p>
          <a:endParaRPr lang="zh-CN" altLang="en-US"/>
        </a:p>
      </dgm:t>
    </dgm:pt>
    <dgm:pt modelId="{4E264D20-6AAE-F34A-8038-43EAAEDC0F5D}" cxnId="{E2B0F050-46A0-9840-86CF-709306872649}" type="sibTrans">
      <dgm:prSet/>
      <dgm:spPr/>
      <dgm:t>
        <a:bodyPr/>
        <a:p>
          <a:endParaRPr lang="zh-CN" altLang="en-US"/>
        </a:p>
      </dgm:t>
    </dgm:pt>
    <dgm:pt modelId="{158AEFD2-33CF-4E4A-9413-2AC4BE00E250}">
      <dgm:prSet phldrT="[文本]" custT="1"/>
      <dgm:spPr/>
      <dgm:t>
        <a:bodyPr/>
        <a:p>
          <a:r>
            <a:rPr lang="zh-CN" altLang="en-US" sz="1050" baseline="0">
              <a:ea typeface="宋体" panose="02010600030101010101" charset="-122"/>
            </a:rPr>
            <a:t>预测分析</a:t>
          </a:r>
        </a:p>
      </dgm:t>
    </dgm:pt>
    <dgm:pt modelId="{3389E317-5F5F-BB4D-AE31-DA0F37667642}" cxnId="{BE7A93CB-1C9D-2146-85AE-1BF237D100B9}" type="parTrans">
      <dgm:prSet/>
      <dgm:spPr/>
      <dgm:t>
        <a:bodyPr/>
        <a:p>
          <a:endParaRPr lang="zh-CN" altLang="en-US"/>
        </a:p>
      </dgm:t>
    </dgm:pt>
    <dgm:pt modelId="{CDFDC26E-2FC7-0C4C-823F-1140CD83B6E6}" cxnId="{BE7A93CB-1C9D-2146-85AE-1BF237D100B9}" type="sibTrans">
      <dgm:prSet/>
      <dgm:spPr/>
      <dgm:t>
        <a:bodyPr/>
        <a:p>
          <a:endParaRPr lang="zh-CN" altLang="en-US"/>
        </a:p>
      </dgm:t>
    </dgm:pt>
    <dgm:pt modelId="{B0B952A7-ABFC-4B49-B2A1-C3A4B8324DAC}">
      <dgm:prSet custT="1"/>
      <dgm:spPr/>
      <dgm:t>
        <a:bodyPr/>
        <a:p>
          <a:r>
            <a:rPr lang="zh-CN" altLang="en-US" sz="1050" baseline="0">
              <a:ea typeface="宋体" panose="02010600030101010101" charset="-122"/>
            </a:rPr>
            <a:t>智能调度</a:t>
          </a:r>
        </a:p>
      </dgm:t>
    </dgm:pt>
    <dgm:pt modelId="{BFCEC37E-3BC2-2343-BEB9-FC1540FD3FE3}" cxnId="{5FD4AEEE-A358-3745-BD74-64595C965E18}" type="parTrans">
      <dgm:prSet/>
      <dgm:spPr/>
      <dgm:t>
        <a:bodyPr/>
        <a:p>
          <a:endParaRPr lang="zh-CN" altLang="en-US"/>
        </a:p>
      </dgm:t>
    </dgm:pt>
    <dgm:pt modelId="{C833980D-569B-9D46-8253-00527D333A43}" cxnId="{5FD4AEEE-A358-3745-BD74-64595C965E18}" type="sibTrans">
      <dgm:prSet/>
      <dgm:spPr/>
      <dgm:t>
        <a:bodyPr/>
        <a:p>
          <a:endParaRPr lang="zh-CN" altLang="en-US"/>
        </a:p>
      </dgm:t>
    </dgm:pt>
    <dgm:pt modelId="{C0BDF85D-E967-9C49-883D-1F4C8AB2E5BD}">
      <dgm:prSet custT="1"/>
      <dgm:spPr/>
      <dgm:t>
        <a:bodyPr/>
        <a:p>
          <a:r>
            <a:rPr lang="zh-CN" altLang="en-US" sz="1050" baseline="0">
              <a:ea typeface="宋体" panose="02010600030101010101" charset="-122"/>
            </a:rPr>
            <a:t>知识沉淀</a:t>
          </a:r>
        </a:p>
      </dgm:t>
    </dgm:pt>
    <dgm:pt modelId="{F68D7A95-57F7-3B4A-A1E5-A0FC7FF88133}" cxnId="{0F5B44A7-71E6-6C4A-8478-835FFBCF3047}" type="parTrans">
      <dgm:prSet/>
      <dgm:spPr/>
      <dgm:t>
        <a:bodyPr/>
        <a:p>
          <a:endParaRPr lang="zh-CN" altLang="en-US"/>
        </a:p>
      </dgm:t>
    </dgm:pt>
    <dgm:pt modelId="{17205347-E351-A840-AC47-59BEED7422FE}" cxnId="{0F5B44A7-71E6-6C4A-8478-835FFBCF3047}" type="sibTrans">
      <dgm:prSet/>
      <dgm:spPr/>
      <dgm:t>
        <a:bodyPr/>
        <a:p>
          <a:endParaRPr lang="zh-CN" altLang="en-US"/>
        </a:p>
      </dgm:t>
    </dgm:pt>
    <dgm:pt modelId="{30CB494C-4DD3-564D-9560-EDC5D30FE5CE}">
      <dgm:prSet custT="1"/>
      <dgm:spPr/>
      <dgm:t>
        <a:bodyPr/>
        <a:p>
          <a:r>
            <a:rPr lang="zh-CN" altLang="en-US" sz="1050" baseline="0">
              <a:ea typeface="宋体" panose="02010600030101010101" charset="-122"/>
            </a:rPr>
            <a:t>系统稳定性提升</a:t>
          </a:r>
        </a:p>
      </dgm:t>
    </dgm:pt>
    <dgm:pt modelId="{93FA0D7D-3C10-3943-BF07-E2BFE70C8F5B}" cxnId="{879C1DDB-632B-DE42-AFD4-5E5F95BC0C8A}" type="parTrans">
      <dgm:prSet/>
      <dgm:spPr/>
      <dgm:t>
        <a:bodyPr/>
        <a:p>
          <a:endParaRPr lang="zh-CN" altLang="en-US"/>
        </a:p>
      </dgm:t>
    </dgm:pt>
    <dgm:pt modelId="{6A4130C6-E4BF-C745-A9C4-4E885A6CE7C5}" cxnId="{879C1DDB-632B-DE42-AFD4-5E5F95BC0C8A}" type="sibTrans">
      <dgm:prSet/>
      <dgm:spPr/>
      <dgm:t>
        <a:bodyPr/>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21"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p>
          <a:r>
            <a:rPr lang="zh-CN" altLang="en-US" sz="1050" baseline="0">
              <a:ea typeface="宋体" panose="02010600030101010101" charset="-122"/>
            </a:rPr>
            <a:t>沟通壁垒上升</a:t>
          </a:r>
        </a:p>
      </dgm:t>
    </dgm:pt>
    <dgm:pt modelId="{D673DDFB-5B2D-564D-BCBF-AC652DB73C0D}" cxnId="{F3AD8615-3684-9649-982B-549A075E07BD}" type="parTrans">
      <dgm:prSet/>
      <dgm:spPr/>
      <dgm:t>
        <a:bodyPr/>
        <a:p>
          <a:endParaRPr lang="zh-CN" altLang="en-US"/>
        </a:p>
      </dgm:t>
    </dgm:pt>
    <dgm:pt modelId="{7D9B9258-783E-5444-89BD-AA8B57060F03}" cxnId="{F3AD8615-3684-9649-982B-549A075E07BD}" type="sibTrans">
      <dgm:prSet/>
      <dgm:spPr/>
      <dgm:t>
        <a:bodyPr/>
        <a:p>
          <a:endParaRPr lang="zh-CN" altLang="en-US"/>
        </a:p>
      </dgm:t>
    </dgm:pt>
    <dgm:pt modelId="{564447BB-73A4-1044-ADF6-8C047F14765A}">
      <dgm:prSet phldrT="[文本]" custT="1"/>
      <dgm:spPr/>
      <dgm:t>
        <a:bodyPr/>
        <a:p>
          <a:r>
            <a:rPr lang="zh-CN" altLang="en-US" sz="1050" baseline="0">
              <a:ea typeface="宋体" panose="02010600030101010101" charset="-122"/>
            </a:rPr>
            <a:t>信息失真与延迟</a:t>
          </a:r>
        </a:p>
      </dgm:t>
    </dgm:pt>
    <dgm:pt modelId="{A41E0FD3-C488-A84F-BBA0-361D3D29E27E}" cxnId="{A2CE4A3A-C85D-7941-8297-DE0C01FA8A3D}" type="parTrans">
      <dgm:prSet/>
      <dgm:spPr/>
      <dgm:t>
        <a:bodyPr/>
        <a:p>
          <a:endParaRPr lang="zh-CN" altLang="en-US"/>
        </a:p>
      </dgm:t>
    </dgm:pt>
    <dgm:pt modelId="{64C51CCB-C113-184D-B14B-A791E3BC2114}" cxnId="{A2CE4A3A-C85D-7941-8297-DE0C01FA8A3D}" type="sibTrans">
      <dgm:prSet/>
      <dgm:spPr/>
      <dgm:t>
        <a:bodyPr/>
        <a:p>
          <a:endParaRPr lang="zh-CN" altLang="en-US"/>
        </a:p>
      </dgm:t>
    </dgm:pt>
    <dgm:pt modelId="{895A8536-5AF2-FD45-A385-B9614AA9FE78}">
      <dgm:prSet phldrT="[文本]" custT="1"/>
      <dgm:spPr/>
      <dgm:t>
        <a:bodyPr/>
        <a:p>
          <a:r>
            <a:rPr lang="zh-CN" altLang="en-US" sz="1050" baseline="0">
              <a:ea typeface="宋体" panose="02010600030101010101" charset="-122"/>
            </a:rPr>
            <a:t>决策响应减缓</a:t>
          </a:r>
        </a:p>
      </dgm:t>
    </dgm:pt>
    <dgm:pt modelId="{FEA94F94-BB6B-ED4D-B7FE-F34769EF393E}" cxnId="{D32FEC95-B5DC-1147-926E-A6C51F7BBCDB}" type="parTrans">
      <dgm:prSet/>
      <dgm:spPr/>
      <dgm:t>
        <a:bodyPr/>
        <a:p>
          <a:endParaRPr lang="zh-CN" altLang="en-US"/>
        </a:p>
      </dgm:t>
    </dgm:pt>
    <dgm:pt modelId="{0964A5B2-321E-2D43-A539-800E3C867283}" cxnId="{D32FEC95-B5DC-1147-926E-A6C51F7BBCDB}" type="sibTrans">
      <dgm:prSet/>
      <dgm:spPr/>
      <dgm:t>
        <a:bodyPr/>
        <a:p>
          <a:endParaRPr lang="zh-CN" altLang="en-US"/>
        </a:p>
      </dgm:t>
    </dgm:pt>
    <dgm:pt modelId="{0EE36291-9246-1741-A5D2-1F733C55E11E}">
      <dgm:prSet custT="1"/>
      <dgm:spPr/>
      <dgm:t>
        <a:bodyPr/>
        <a:p>
          <a:r>
            <a:rPr lang="zh-CN" altLang="en-US" sz="1050" baseline="0">
              <a:ea typeface="宋体" panose="02010600030101010101" charset="-122"/>
            </a:rPr>
            <a:t>项目进度受阻</a:t>
          </a:r>
        </a:p>
      </dgm:t>
    </dgm:pt>
    <dgm:pt modelId="{74B1731E-9197-B44E-976F-12844E74021A}" cxnId="{BB082B43-800C-B14C-8E3A-D2538D3A7E75}" type="parTrans">
      <dgm:prSet/>
      <dgm:spPr/>
      <dgm:t>
        <a:bodyPr/>
        <a:p>
          <a:endParaRPr lang="zh-CN" altLang="en-US"/>
        </a:p>
      </dgm:t>
    </dgm:pt>
    <dgm:pt modelId="{A2EF5797-F613-D846-82A2-EA16464D78A9}" cxnId="{BB082B43-800C-B14C-8E3A-D2538D3A7E75}" type="sibTrans">
      <dgm:prSet/>
      <dgm:spPr/>
      <dgm:t>
        <a:bodyPr/>
        <a:p>
          <a:endParaRPr lang="zh-CN" altLang="en-US"/>
        </a:p>
      </dgm:t>
    </dgm:pt>
    <dgm:pt modelId="{AA2A734B-6BA9-7F43-A414-7D7AD9E5CC72}">
      <dgm:prSet custT="1"/>
      <dgm:spPr/>
      <dgm:t>
        <a:bodyPr/>
        <a:p>
          <a:r>
            <a:rPr lang="zh-CN" altLang="en-US" sz="1050" baseline="0">
              <a:ea typeface="宋体" panose="02010600030101010101" charset="-122"/>
            </a:rPr>
            <a:t>流程弹性下降</a:t>
          </a:r>
        </a:p>
      </dgm:t>
    </dgm:pt>
    <dgm:pt modelId="{FF987324-EBF6-4B41-9444-097EEB435244}" cxnId="{D2A5E781-3691-204E-BE4C-0CE525D55632}" type="parTrans">
      <dgm:prSet/>
      <dgm:spPr/>
      <dgm:t>
        <a:bodyPr/>
        <a:p>
          <a:endParaRPr lang="zh-CN" altLang="en-US"/>
        </a:p>
      </dgm:t>
    </dgm:pt>
    <dgm:pt modelId="{E30375F6-EF7F-F04E-81B0-33C42DF15CC7}" cxnId="{D2A5E781-3691-204E-BE4C-0CE525D55632}" type="sibTrans">
      <dgm:prSet/>
      <dgm:spPr/>
      <dgm:t>
        <a:bodyPr/>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26"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p>
          <a:endParaRPr lang="zh-CN" altLang="en-US"/>
        </a:p>
      </dgm:t>
    </dgm:pt>
    <dgm:pt modelId="{6CF74AAD-58A6-284D-9B37-511D0C1F61BD}">
      <dgm:prSet phldrT="[文本]" custT="1"/>
      <dgm:spPr/>
      <dgm:t>
        <a:bodyPr/>
        <a:p>
          <a:r>
            <a:rPr lang="zh-CN" altLang="en-US" sz="1050" baseline="0">
              <a:latin typeface="+mj-lt"/>
              <a:ea typeface="宋体" panose="02010600030101010101" charset="-122"/>
            </a:rPr>
            <a:t>标准化需求提交</a:t>
          </a:r>
        </a:p>
      </dgm:t>
    </dgm:pt>
    <dgm:pt modelId="{08D2EEAC-1573-8049-9591-84B93004D7E7}" cxnId="{67917683-5127-9442-911D-C9C44C92B03F}" type="parTrans">
      <dgm:prSet/>
      <dgm:spPr/>
      <dgm:t>
        <a:bodyPr/>
        <a:p>
          <a:endParaRPr lang="zh-CN" altLang="en-US"/>
        </a:p>
      </dgm:t>
    </dgm:pt>
    <dgm:pt modelId="{BB28E76E-A9EB-1741-8BAB-0EDE1E414DE5}" cxnId="{67917683-5127-9442-911D-C9C44C92B03F}" type="sibTrans">
      <dgm:prSet/>
      <dgm:spPr/>
      <dgm:t>
        <a:bodyPr/>
        <a:p>
          <a:endParaRPr lang="zh-CN" altLang="en-US"/>
        </a:p>
      </dgm:t>
    </dgm:pt>
    <dgm:pt modelId="{634F87E6-F620-284C-8C0B-392480186B81}">
      <dgm:prSet phldrT="[文本]" custT="1"/>
      <dgm:spPr/>
      <dgm:t>
        <a:bodyPr/>
        <a:p>
          <a:r>
            <a:rPr lang="zh-CN" altLang="en-US" sz="1050" baseline="0">
              <a:latin typeface="+mj-lt"/>
              <a:ea typeface="宋体" panose="02010600030101010101" charset="-122"/>
            </a:rPr>
            <a:t>跨职能需求评审</a:t>
          </a:r>
        </a:p>
      </dgm:t>
    </dgm:pt>
    <dgm:pt modelId="{07B0E7C3-3FE1-CB49-9408-7A6E9605D456}" cxnId="{27FBEEAC-7AFA-FB4C-9CF6-423FA7AABAA3}" type="parTrans">
      <dgm:prSet/>
      <dgm:spPr/>
      <dgm:t>
        <a:bodyPr/>
        <a:p>
          <a:endParaRPr lang="zh-CN" altLang="en-US"/>
        </a:p>
      </dgm:t>
    </dgm:pt>
    <dgm:pt modelId="{9222964F-1CCB-A148-A34E-0D933CF53DC8}" cxnId="{27FBEEAC-7AFA-FB4C-9CF6-423FA7AABAA3}" type="sibTrans">
      <dgm:prSet/>
      <dgm:spPr/>
      <dgm:t>
        <a:bodyPr/>
        <a:p>
          <a:endParaRPr lang="zh-CN" altLang="en-US"/>
        </a:p>
      </dgm:t>
    </dgm:pt>
    <dgm:pt modelId="{66FF4583-984D-984C-9761-99707EC3CB20}">
      <dgm:prSet phldrT="[文本]" custT="1"/>
      <dgm:spPr/>
      <dgm:t>
        <a:bodyPr/>
        <a:p>
          <a:r>
            <a:rPr lang="zh-CN" altLang="en-US" sz="1050" baseline="0">
              <a:latin typeface="+mj-lt"/>
              <a:ea typeface="宋体" panose="02010600030101010101" charset="-122"/>
            </a:rPr>
            <a:t>需求基线冻结</a:t>
          </a:r>
        </a:p>
      </dgm:t>
    </dgm:pt>
    <dgm:pt modelId="{21946EB6-127A-2E46-AC88-8864588A4A65}" cxnId="{182E60B9-0A84-044B-BA29-012A4153BFD8}" type="parTrans">
      <dgm:prSet/>
      <dgm:spPr/>
      <dgm:t>
        <a:bodyPr/>
        <a:p>
          <a:endParaRPr lang="zh-CN" altLang="en-US"/>
        </a:p>
      </dgm:t>
    </dgm:pt>
    <dgm:pt modelId="{6908838A-CE63-9B43-8AF8-466E9159A6DE}" cxnId="{182E60B9-0A84-044B-BA29-012A4153BFD8}" type="sibTrans">
      <dgm:prSet/>
      <dgm:spPr/>
      <dgm:t>
        <a:bodyPr/>
        <a:p>
          <a:endParaRPr lang="zh-CN" altLang="en-US"/>
        </a:p>
      </dgm:t>
    </dgm:pt>
    <dgm:pt modelId="{1931482F-4CB9-D947-B297-4D217D0F6FC1}">
      <dgm:prSet custT="1"/>
      <dgm:spPr/>
      <dgm:t>
        <a:bodyPr/>
        <a:p>
          <a:r>
            <a:rPr lang="zh-CN" altLang="en-US" sz="1050" baseline="0">
              <a:latin typeface="+mj-lt"/>
              <a:ea typeface="宋体" panose="02010600030101010101" charset="-122"/>
            </a:rPr>
            <a:t>变更控制审批</a:t>
          </a:r>
        </a:p>
      </dgm:t>
    </dgm:pt>
    <dgm:pt modelId="{0AB77E56-D993-8C45-A464-9EF9F9B60F71}" cxnId="{CE859ACF-642E-964F-B6D7-DD0CFF256F61}" type="parTrans">
      <dgm:prSet/>
      <dgm:spPr/>
      <dgm:t>
        <a:bodyPr/>
        <a:p>
          <a:endParaRPr lang="zh-CN" altLang="en-US"/>
        </a:p>
      </dgm:t>
    </dgm:pt>
    <dgm:pt modelId="{09D052FE-E9BC-F94F-9901-9837380939AB}" cxnId="{CE859ACF-642E-964F-B6D7-DD0CFF256F61}" type="sibTrans">
      <dgm:prSet/>
      <dgm:spPr/>
      <dgm:t>
        <a:bodyPr/>
        <a:p>
          <a:endParaRPr lang="zh-CN" altLang="en-US"/>
        </a:p>
      </dgm:t>
    </dgm:pt>
    <dgm:pt modelId="{61C89981-8BD9-E04F-8EA6-49660899BD6D}">
      <dgm:prSet custT="1"/>
      <dgm:spPr/>
      <dgm:t>
        <a:bodyPr/>
        <a:p>
          <a:r>
            <a:rPr lang="zh-CN" altLang="en-US" sz="1050" baseline="0">
              <a:latin typeface="+mj-lt"/>
              <a:ea typeface="宋体" panose="02010600030101010101" charset="-122"/>
            </a:rPr>
            <a:t>需求</a:t>
          </a:r>
          <a:r>
            <a:rPr lang="en-US" altLang="zh-CN" sz="1050" baseline="0">
              <a:latin typeface="+mj-lt"/>
              <a:ea typeface="宋体" panose="02010600030101010101" charset="-122"/>
            </a:rPr>
            <a:t>-</a:t>
          </a:r>
          <a:r>
            <a:rPr lang="zh-CN" altLang="en-US" sz="1050" baseline="0">
              <a:latin typeface="+mj-lt"/>
              <a:ea typeface="宋体" panose="02010600030101010101" charset="-122"/>
            </a:rPr>
            <a:t>实现</a:t>
          </a:r>
          <a:r>
            <a:rPr lang="en-US" altLang="zh-CN" sz="1050" baseline="0">
              <a:latin typeface="+mj-lt"/>
              <a:ea typeface="宋体" panose="02010600030101010101" charset="-122"/>
            </a:rPr>
            <a:t>-</a:t>
          </a:r>
          <a:r>
            <a:rPr lang="zh-CN" altLang="en-US" sz="1050" baseline="0">
              <a:latin typeface="+mj-lt"/>
              <a:ea typeface="宋体" panose="02010600030101010101" charset="-122"/>
            </a:rPr>
            <a:t>测试</a:t>
          </a:r>
          <a:r>
            <a:rPr lang="en-US" altLang="zh-CN" sz="1050" baseline="0">
              <a:latin typeface="+mj-lt"/>
              <a:ea typeface="宋体" panose="02010600030101010101" charset="-122"/>
            </a:rPr>
            <a:t>-</a:t>
          </a:r>
          <a:r>
            <a:rPr lang="zh-CN" altLang="en-US" sz="1050" baseline="0">
              <a:latin typeface="+mj-lt"/>
              <a:ea typeface="宋体" panose="02010600030101010101" charset="-122"/>
            </a:rPr>
            <a:t>版本</a:t>
          </a:r>
          <a:r>
            <a:rPr lang="en-US" altLang="zh-CN" sz="1050" baseline="0">
              <a:latin typeface="+mj-lt"/>
              <a:ea typeface="宋体" panose="02010600030101010101" charset="-122"/>
            </a:rPr>
            <a:t>-</a:t>
          </a:r>
          <a:r>
            <a:rPr lang="zh-CN" altLang="en-US" sz="1050" baseline="0">
              <a:latin typeface="+mj-lt"/>
              <a:ea typeface="宋体" panose="02010600030101010101" charset="-122"/>
            </a:rPr>
            <a:t>追溯</a:t>
          </a:r>
        </a:p>
      </dgm:t>
    </dgm:pt>
    <dgm:pt modelId="{68E58DEE-1FC7-BA4A-95C2-A4E6D53344E4}" cxnId="{82E2DFBE-0A3F-A648-AECD-D40891C57D49}" type="parTrans">
      <dgm:prSet/>
      <dgm:spPr/>
      <dgm:t>
        <a:bodyPr/>
        <a:p>
          <a:endParaRPr lang="zh-CN" altLang="en-US"/>
        </a:p>
      </dgm:t>
    </dgm:pt>
    <dgm:pt modelId="{B67C2A1E-FA95-3546-9AA8-5705830180EA}" cxnId="{82E2DFBE-0A3F-A648-AECD-D40891C57D49}" type="sibTrans">
      <dgm:prSet/>
      <dgm:spPr/>
      <dgm:t>
        <a:bodyPr/>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31"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p>
          <a:r>
            <a:rPr lang="zh-CN" altLang="en-US" sz="1050" baseline="0">
              <a:ea typeface="宋体" panose="02010600030101010101" charset="-122"/>
            </a:rPr>
            <a:t>提交代码</a:t>
          </a:r>
        </a:p>
      </dgm:t>
    </dgm:pt>
    <dgm:pt modelId="{6E006773-CFB1-5449-8C72-166AD15FC4AF}" cxnId="{188E135E-E3EA-5E49-93ED-D42836F40624}" type="parTrans">
      <dgm:prSet/>
      <dgm:spPr/>
      <dgm:t>
        <a:bodyPr/>
        <a:p>
          <a:endParaRPr lang="zh-CN" altLang="en-US"/>
        </a:p>
      </dgm:t>
    </dgm:pt>
    <dgm:pt modelId="{092EAEAF-E801-CD48-B1E1-0A905434B032}" cxnId="{188E135E-E3EA-5E49-93ED-D42836F40624}" type="sibTrans">
      <dgm:prSet/>
      <dgm:spPr/>
      <dgm:t>
        <a:bodyPr/>
        <a:p>
          <a:endParaRPr lang="zh-CN" altLang="en-US"/>
        </a:p>
      </dgm:t>
    </dgm:pt>
    <dgm:pt modelId="{B3CFB1D7-F785-494C-904D-302B56843045}">
      <dgm:prSet phldrT="[文本]" custT="1"/>
      <dgm:spPr/>
      <dgm:t>
        <a:bodyPr/>
        <a:p>
          <a:r>
            <a:rPr lang="zh-CN" altLang="en-US" sz="1050" baseline="0">
              <a:ea typeface="宋体" panose="02010600030101010101" charset="-122"/>
            </a:rPr>
            <a:t>运行监控</a:t>
          </a:r>
        </a:p>
      </dgm:t>
    </dgm:pt>
    <dgm:pt modelId="{C5EE6546-9184-BB49-8229-D8896FCF38B6}" cxnId="{5A850D68-E070-304B-9FA5-CBDD44126B65}" type="parTrans">
      <dgm:prSet/>
      <dgm:spPr/>
      <dgm:t>
        <a:bodyPr/>
        <a:p>
          <a:endParaRPr lang="zh-CN" altLang="en-US"/>
        </a:p>
      </dgm:t>
    </dgm:pt>
    <dgm:pt modelId="{06F3F35F-43CF-7549-AD2B-38390CC76BA6}" cxnId="{5A850D68-E070-304B-9FA5-CBDD44126B65}" type="sibTrans">
      <dgm:prSet/>
      <dgm:spPr/>
      <dgm:t>
        <a:bodyPr/>
        <a:p>
          <a:endParaRPr lang="zh-CN" altLang="en-US"/>
        </a:p>
      </dgm:t>
    </dgm:pt>
    <dgm:pt modelId="{A4528755-6A18-8240-BAE2-0F2D092799D6}">
      <dgm:prSet phldrT="[文本]" custT="1"/>
      <dgm:spPr/>
      <dgm:t>
        <a:bodyPr/>
        <a:p>
          <a:r>
            <a:rPr lang="zh-CN" altLang="en-US" sz="1050" baseline="0">
              <a:ea typeface="宋体" panose="02010600030101010101" charset="-122"/>
            </a:rPr>
            <a:t>回滚恢复</a:t>
          </a:r>
        </a:p>
      </dgm:t>
    </dgm:pt>
    <dgm:pt modelId="{AEB7BEC5-24CD-1B42-847B-DDC7FA67CD6F}" cxnId="{29ED89FC-020F-9F40-ADD6-6D4A8C7659FB}" type="parTrans">
      <dgm:prSet/>
      <dgm:spPr/>
      <dgm:t>
        <a:bodyPr/>
        <a:p>
          <a:endParaRPr lang="zh-CN" altLang="en-US"/>
        </a:p>
      </dgm:t>
    </dgm:pt>
    <dgm:pt modelId="{CDBFE10C-9CCF-4944-AC12-D711E1EF55FB}" cxnId="{29ED89FC-020F-9F40-ADD6-6D4A8C7659FB}" type="sibTrans">
      <dgm:prSet/>
      <dgm:spPr/>
      <dgm:t>
        <a:bodyPr/>
        <a:p>
          <a:endParaRPr lang="zh-CN" altLang="en-US"/>
        </a:p>
      </dgm:t>
    </dgm:pt>
    <dgm:pt modelId="{5A686282-9D31-0545-8617-79A336004142}">
      <dgm:prSet custT="1"/>
      <dgm:spPr/>
      <dgm:t>
        <a:bodyPr/>
        <a:p>
          <a:r>
            <a:rPr lang="zh-CN" altLang="en-US" sz="1050" baseline="0">
              <a:ea typeface="宋体" panose="02010600030101010101" charset="-122"/>
            </a:rPr>
            <a:t>自动构建</a:t>
          </a:r>
        </a:p>
      </dgm:t>
    </dgm:pt>
    <dgm:pt modelId="{7D418384-AD11-484B-BD62-52AD0509CCBD}" cxnId="{1573442B-82CB-6C4D-9A18-1F3BFCDBA2D2}" type="parTrans">
      <dgm:prSet/>
      <dgm:spPr/>
      <dgm:t>
        <a:bodyPr/>
        <a:p>
          <a:endParaRPr lang="zh-CN" altLang="en-US"/>
        </a:p>
      </dgm:t>
    </dgm:pt>
    <dgm:pt modelId="{46A6A70C-D4EB-AC4B-840A-B84BDF5BD102}" cxnId="{1573442B-82CB-6C4D-9A18-1F3BFCDBA2D2}" type="sibTrans">
      <dgm:prSet/>
      <dgm:spPr/>
      <dgm:t>
        <a:bodyPr/>
        <a:p>
          <a:endParaRPr lang="zh-CN" altLang="en-US"/>
        </a:p>
      </dgm:t>
    </dgm:pt>
    <dgm:pt modelId="{70A7D994-4635-CB43-86D5-66848EE7D5AD}">
      <dgm:prSet custT="1"/>
      <dgm:spPr/>
      <dgm:t>
        <a:bodyPr/>
        <a:p>
          <a:r>
            <a:rPr lang="zh-CN" altLang="en-US" sz="1050" baseline="0">
              <a:ea typeface="宋体" panose="02010600030101010101" charset="-122"/>
            </a:rPr>
            <a:t>自动测试</a:t>
          </a:r>
        </a:p>
      </dgm:t>
    </dgm:pt>
    <dgm:pt modelId="{5B099A5B-B6B1-8A4D-9EB9-5FD56191A478}" cxnId="{823A5712-068C-F94B-AABD-980AB4FCC682}" type="parTrans">
      <dgm:prSet/>
      <dgm:spPr/>
      <dgm:t>
        <a:bodyPr/>
        <a:p>
          <a:endParaRPr lang="zh-CN" altLang="en-US"/>
        </a:p>
      </dgm:t>
    </dgm:pt>
    <dgm:pt modelId="{B96D276F-CCC5-E347-B011-E7970E403DF5}" cxnId="{823A5712-068C-F94B-AABD-980AB4FCC682}" type="sibTrans">
      <dgm:prSet/>
      <dgm:spPr/>
      <dgm:t>
        <a:bodyPr/>
        <a:p>
          <a:endParaRPr lang="zh-CN" altLang="en-US"/>
        </a:p>
      </dgm:t>
    </dgm:pt>
    <dgm:pt modelId="{AECC37F2-E585-594F-93FE-8AC7BDEE8E19}">
      <dgm:prSet custT="1"/>
      <dgm:spPr/>
      <dgm:t>
        <a:bodyPr/>
        <a:p>
          <a:r>
            <a:rPr lang="zh-CN" altLang="en-US" sz="1050" baseline="0">
              <a:ea typeface="宋体" panose="02010600030101010101" charset="-122"/>
            </a:rPr>
            <a:t>灰度发布</a:t>
          </a:r>
        </a:p>
      </dgm:t>
    </dgm:pt>
    <dgm:pt modelId="{1CA9D267-D2CE-EC41-B70D-42E4BD6AC349}" cxnId="{4691733B-1939-7144-83BD-45C9EDC91E2D}" type="parTrans">
      <dgm:prSet/>
      <dgm:spPr/>
      <dgm:t>
        <a:bodyPr/>
        <a:p>
          <a:endParaRPr lang="zh-CN" altLang="en-US"/>
        </a:p>
      </dgm:t>
    </dgm:pt>
    <dgm:pt modelId="{6F8F74E9-E81D-FE4B-85FF-62F220400DA5}" cxnId="{4691733B-1939-7144-83BD-45C9EDC91E2D}" type="sibTrans">
      <dgm:prSet/>
      <dgm:spPr/>
      <dgm:t>
        <a:bodyPr/>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6"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p>
          <a:endParaRPr lang="zh-CN" altLang="en-US"/>
        </a:p>
      </dgm:t>
    </dgm:pt>
    <dgm:pt modelId="{A357347A-7634-6F49-A695-0CB36D968A99}">
      <dgm:prSet phldrT="[文本]" custT="1"/>
      <dgm:spPr/>
      <dgm:t>
        <a:bodyPr/>
        <a:p>
          <a:r>
            <a:rPr lang="zh-CN" altLang="en-US" sz="1050" baseline="0">
              <a:ea typeface="宋体" panose="02010600030101010101" charset="-122"/>
            </a:rPr>
            <a:t>过程数据采集</a:t>
          </a:r>
        </a:p>
      </dgm:t>
    </dgm:pt>
    <dgm:pt modelId="{802ECE0F-0017-FC4A-B4DE-5A683C20D3FC}" cxnId="{BDBE9DB1-FD27-2641-8871-3134ABA84F65}" type="parTrans">
      <dgm:prSet/>
      <dgm:spPr/>
      <dgm:t>
        <a:bodyPr/>
        <a:p>
          <a:endParaRPr lang="zh-CN" altLang="en-US"/>
        </a:p>
      </dgm:t>
    </dgm:pt>
    <dgm:pt modelId="{7893C479-B77E-3A40-94BE-2798D35AAFF2}" cxnId="{BDBE9DB1-FD27-2641-8871-3134ABA84F65}" type="sibTrans">
      <dgm:prSet/>
      <dgm:spPr/>
      <dgm:t>
        <a:bodyPr/>
        <a:p>
          <a:endParaRPr lang="zh-CN" altLang="en-US"/>
        </a:p>
      </dgm:t>
    </dgm:pt>
    <dgm:pt modelId="{6D889767-DAA8-4F4C-9269-BDE4749B9F7F}">
      <dgm:prSet phldrT="[文本]" custT="1"/>
      <dgm:spPr/>
      <dgm:t>
        <a:bodyPr/>
        <a:p>
          <a:r>
            <a:rPr lang="zh-CN" altLang="en-US" sz="1050" baseline="0">
              <a:ea typeface="宋体" panose="02010600030101010101" charset="-122"/>
            </a:rPr>
            <a:t>指标分析与可视化</a:t>
          </a:r>
        </a:p>
      </dgm:t>
    </dgm:pt>
    <dgm:pt modelId="{A7DB782D-9EAC-044E-8C30-DD68A34AD7BB}" cxnId="{B745E371-D779-1441-AF15-61FEACA73886}" type="parTrans">
      <dgm:prSet/>
      <dgm:spPr/>
      <dgm:t>
        <a:bodyPr/>
        <a:p>
          <a:endParaRPr lang="zh-CN" altLang="en-US"/>
        </a:p>
      </dgm:t>
    </dgm:pt>
    <dgm:pt modelId="{B8D74CFD-122D-0542-91BD-95C4D507CAEE}" cxnId="{B745E371-D779-1441-AF15-61FEACA73886}" type="sibTrans">
      <dgm:prSet/>
      <dgm:spPr/>
      <dgm:t>
        <a:bodyPr/>
        <a:p>
          <a:endParaRPr lang="zh-CN" altLang="en-US"/>
        </a:p>
      </dgm:t>
    </dgm:pt>
    <dgm:pt modelId="{D31B676C-0D07-CA4C-9B72-9C8144DE4EF8}">
      <dgm:prSet phldrT="[文本]" custT="1"/>
      <dgm:spPr/>
      <dgm:t>
        <a:bodyPr/>
        <a:p>
          <a:r>
            <a:rPr lang="zh-CN" altLang="en-US" sz="1050" baseline="0">
              <a:ea typeface="宋体" panose="02010600030101010101" charset="-122"/>
            </a:rPr>
            <a:t>绩效评估与瓶颈识别</a:t>
          </a:r>
        </a:p>
      </dgm:t>
    </dgm:pt>
    <dgm:pt modelId="{BFC256E9-A08B-4C45-BECE-48C15EF6B3E7}" cxnId="{33A35E3F-0D30-2440-94C9-48E7E08CEFD2}" type="parTrans">
      <dgm:prSet/>
      <dgm:spPr/>
      <dgm:t>
        <a:bodyPr/>
        <a:p>
          <a:endParaRPr lang="zh-CN" altLang="en-US"/>
        </a:p>
      </dgm:t>
    </dgm:pt>
    <dgm:pt modelId="{3E75E5B6-F45E-D24B-A0C5-799F3BE56B42}" cxnId="{33A35E3F-0D30-2440-94C9-48E7E08CEFD2}" type="sibTrans">
      <dgm:prSet/>
      <dgm:spPr/>
      <dgm:t>
        <a:bodyPr/>
        <a:p>
          <a:endParaRPr lang="zh-CN" altLang="en-US"/>
        </a:p>
      </dgm:t>
    </dgm:pt>
    <dgm:pt modelId="{DADA1F45-E8E0-F141-95F7-1227A0EED98F}">
      <dgm:prSet phldrT="[文本]" custT="1"/>
      <dgm:spPr/>
      <dgm:t>
        <a:bodyPr/>
        <a:p>
          <a:r>
            <a:rPr lang="zh-CN" altLang="en-US" sz="1050" baseline="0">
              <a:ea typeface="宋体" panose="02010600030101010101" charset="-122"/>
            </a:rPr>
            <a:t>改进措施与责任落实</a:t>
          </a:r>
        </a:p>
      </dgm:t>
    </dgm:pt>
    <dgm:pt modelId="{8222B8E2-114B-C64E-9B51-4AF124A54151}" cxnId="{B5664222-F75C-574C-88F2-DD23367D7550}" type="parTrans">
      <dgm:prSet/>
      <dgm:spPr/>
      <dgm:t>
        <a:bodyPr/>
        <a:p>
          <a:endParaRPr lang="zh-CN" altLang="en-US"/>
        </a:p>
      </dgm:t>
    </dgm:pt>
    <dgm:pt modelId="{DD6694E7-FF92-854F-9C4C-203A91F846A3}" cxnId="{B5664222-F75C-574C-88F2-DD23367D7550}" type="sibTrans">
      <dgm:prSet/>
      <dgm:spPr/>
      <dgm:t>
        <a:bodyPr/>
        <a:p>
          <a:endParaRPr lang="zh-CN" altLang="en-US"/>
        </a:p>
      </dgm:t>
    </dgm:pt>
    <dgm:pt modelId="{2FEE2C9E-396A-5244-83B9-422CFBBE0D75}">
      <dgm:prSet phldrT="[文本]" custT="1"/>
      <dgm:spPr/>
      <dgm:t>
        <a:bodyPr/>
        <a:p>
          <a:r>
            <a:rPr lang="zh-CN" altLang="en-US" sz="1050" baseline="0">
              <a:ea typeface="宋体" panose="02010600030101010101" charset="-122"/>
            </a:rPr>
            <a:t>效果验证与标准更新</a:t>
          </a:r>
        </a:p>
      </dgm:t>
    </dgm:pt>
    <dgm:pt modelId="{C95A5584-F902-A743-A57D-C59CEF587F10}" cxnId="{C9FF0F81-4501-5C4B-A4DF-8F65F3170B3C}" type="parTrans">
      <dgm:prSet/>
      <dgm:spPr/>
      <dgm:t>
        <a:bodyPr/>
        <a:p>
          <a:endParaRPr lang="zh-CN" altLang="en-US"/>
        </a:p>
      </dgm:t>
    </dgm:pt>
    <dgm:pt modelId="{5F1FFB5A-FD37-8D4C-A84E-C72E31C5E9A7}" cxnId="{C9FF0F81-4501-5C4B-A4DF-8F65F3170B3C}" type="sibTrans">
      <dgm:prSet/>
      <dgm:spPr/>
      <dgm:t>
        <a:bodyPr/>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p>
          <a:endParaRPr lang="zh-CN" altLang="en-US"/>
        </a:p>
      </dgm:t>
    </dgm:pt>
    <dgm:pt modelId="{E8939C1E-87A5-E845-9AF9-0C467AC44197}">
      <dgm:prSet phldrT="[文本]" custT="1"/>
      <dgm:spPr/>
      <dgm:t>
        <a:bodyPr/>
        <a:p>
          <a:r>
            <a:rPr lang="zh-CN" altLang="en-US" sz="1050" baseline="0">
              <a:ea typeface="宋体" panose="02010600030101010101" charset="-122"/>
            </a:rPr>
            <a:t>战略目标</a:t>
          </a:r>
        </a:p>
      </dgm:t>
    </dgm:pt>
    <dgm:pt modelId="{DF58E123-6134-0F4E-8B4D-6D5E7C257E08}" cxnId="{6478B203-A63A-3840-A752-07105094441A}" type="parTrans">
      <dgm:prSet/>
      <dgm:spPr/>
      <dgm:t>
        <a:bodyPr/>
        <a:p>
          <a:endParaRPr lang="zh-CN" altLang="en-US"/>
        </a:p>
      </dgm:t>
    </dgm:pt>
    <dgm:pt modelId="{4EBB3BE6-72FF-3946-9BE9-F6F0022EB8E7}" cxnId="{6478B203-A63A-3840-A752-07105094441A}" type="sibTrans">
      <dgm:prSet/>
      <dgm:spPr/>
      <dgm:t>
        <a:bodyPr/>
        <a:p>
          <a:endParaRPr lang="zh-CN" altLang="en-US"/>
        </a:p>
      </dgm:t>
    </dgm:pt>
    <dgm:pt modelId="{37DE2A24-03CC-CA40-A035-EDE3C96488F3}">
      <dgm:prSet phldrT="[文本]" custT="1"/>
      <dgm:spPr/>
      <dgm:t>
        <a:bodyPr/>
        <a:p>
          <a:r>
            <a:rPr lang="zh-CN" altLang="en-US" sz="1050" baseline="0">
              <a:ea typeface="宋体" panose="02010600030101010101" charset="-122"/>
            </a:rPr>
            <a:t>效率提升</a:t>
          </a:r>
        </a:p>
      </dgm:t>
    </dgm:pt>
    <dgm:pt modelId="{3BACE5A0-8720-5F4F-8D12-36C80F20C79C}" cxnId="{3D26B366-FA7E-9D48-961C-359989A6C0A3}" type="parTrans">
      <dgm:prSet/>
      <dgm:spPr/>
      <dgm:t>
        <a:bodyPr/>
        <a:p>
          <a:endParaRPr lang="zh-CN" altLang="en-US"/>
        </a:p>
      </dgm:t>
    </dgm:pt>
    <dgm:pt modelId="{49232A95-077F-BA4D-838D-63D487D37188}" cxnId="{3D26B366-FA7E-9D48-961C-359989A6C0A3}" type="sibTrans">
      <dgm:prSet/>
      <dgm:spPr/>
      <dgm:t>
        <a:bodyPr/>
        <a:p>
          <a:endParaRPr lang="zh-CN" altLang="en-US"/>
        </a:p>
      </dgm:t>
    </dgm:pt>
    <dgm:pt modelId="{4C0AF745-5062-2F48-B5DE-0CE65329DD18}">
      <dgm:prSet phldrT="[文本]" custT="1"/>
      <dgm:spPr/>
      <dgm:t>
        <a:bodyPr/>
        <a:p>
          <a:r>
            <a:rPr lang="zh-CN" altLang="en-US" sz="1050" baseline="0">
              <a:ea typeface="宋体" panose="02010600030101010101" charset="-122"/>
            </a:rPr>
            <a:t>质量稳定</a:t>
          </a:r>
        </a:p>
      </dgm:t>
    </dgm:pt>
    <dgm:pt modelId="{41A31F16-EB4E-984E-979B-C3D0C8D5AB9C}" cxnId="{6C646CFB-2E07-C64A-97FD-BAB414B9B24C}" type="parTrans">
      <dgm:prSet/>
      <dgm:spPr/>
      <dgm:t>
        <a:bodyPr/>
        <a:p>
          <a:endParaRPr lang="zh-CN" altLang="en-US"/>
        </a:p>
      </dgm:t>
    </dgm:pt>
    <dgm:pt modelId="{036FD696-1601-DB4D-81E4-9F29DEE5F195}" cxnId="{6C646CFB-2E07-C64A-97FD-BAB414B9B24C}" type="sibTrans">
      <dgm:prSet/>
      <dgm:spPr/>
      <dgm:t>
        <a:bodyPr/>
        <a:p>
          <a:endParaRPr lang="zh-CN" altLang="en-US"/>
        </a:p>
      </dgm:t>
    </dgm:pt>
    <dgm:pt modelId="{08C3473B-74F5-3A4F-BFD6-50780CA8EECD}">
      <dgm:prSet phldrT="[文本]" custT="1"/>
      <dgm:spPr/>
      <dgm:t>
        <a:bodyPr/>
        <a:p>
          <a:r>
            <a:rPr lang="zh-CN" altLang="en-US" sz="1050" baseline="0">
              <a:ea typeface="宋体" panose="02010600030101010101" charset="-122"/>
            </a:rPr>
            <a:t>执行原则</a:t>
          </a:r>
        </a:p>
      </dgm:t>
    </dgm:pt>
    <dgm:pt modelId="{9ED4016E-12E9-B146-9AFC-0B6165AFA7CD}" cxnId="{C66A88E4-5C5C-A14D-A08E-53220008DD5E}" type="parTrans">
      <dgm:prSet/>
      <dgm:spPr/>
      <dgm:t>
        <a:bodyPr/>
        <a:p>
          <a:endParaRPr lang="zh-CN" altLang="en-US"/>
        </a:p>
      </dgm:t>
    </dgm:pt>
    <dgm:pt modelId="{F8D8F4BA-F8F7-2143-9CFE-1FF6F5EB41AB}" cxnId="{C66A88E4-5C5C-A14D-A08E-53220008DD5E}" type="sibTrans">
      <dgm:prSet/>
      <dgm:spPr/>
      <dgm:t>
        <a:bodyPr/>
        <a:p>
          <a:endParaRPr lang="zh-CN" altLang="en-US"/>
        </a:p>
      </dgm:t>
    </dgm:pt>
    <dgm:pt modelId="{7CA6E78A-3C3D-7C4E-962B-CB477797F575}">
      <dgm:prSet phldrT="[文本]" custT="1"/>
      <dgm:spPr/>
      <dgm:t>
        <a:bodyPr/>
        <a:p>
          <a:r>
            <a:rPr lang="zh-CN" altLang="en-US" sz="1050" baseline="0">
              <a:ea typeface="宋体" panose="02010600030101010101" charset="-122"/>
            </a:rPr>
            <a:t>分段推进</a:t>
          </a:r>
        </a:p>
      </dgm:t>
    </dgm:pt>
    <dgm:pt modelId="{38196919-8E02-5243-BB41-FC586B398926}" cxnId="{FB3E915F-AD24-D844-B809-0B743035FD8B}" type="parTrans">
      <dgm:prSet/>
      <dgm:spPr/>
      <dgm:t>
        <a:bodyPr/>
        <a:p>
          <a:endParaRPr lang="zh-CN" altLang="en-US"/>
        </a:p>
      </dgm:t>
    </dgm:pt>
    <dgm:pt modelId="{757A208C-872D-0341-9CA5-E58CDDAACF4E}" cxnId="{FB3E915F-AD24-D844-B809-0B743035FD8B}" type="sibTrans">
      <dgm:prSet/>
      <dgm:spPr/>
      <dgm:t>
        <a:bodyPr/>
        <a:p>
          <a:endParaRPr lang="zh-CN" altLang="en-US"/>
        </a:p>
      </dgm:t>
    </dgm:pt>
    <dgm:pt modelId="{FBA98D40-B882-364A-98AA-7160F84F5DDC}">
      <dgm:prSet phldrT="[文本]" custT="1"/>
      <dgm:spPr/>
      <dgm:t>
        <a:bodyPr/>
        <a:p>
          <a:r>
            <a:rPr lang="zh-CN" altLang="en-US" sz="1050" baseline="0">
              <a:ea typeface="宋体" panose="02010600030101010101" charset="-122"/>
            </a:rPr>
            <a:t>持续优化</a:t>
          </a:r>
        </a:p>
      </dgm:t>
    </dgm:pt>
    <dgm:pt modelId="{8023042B-42B8-8C4B-A682-9E2881830090}" cxnId="{CB569447-E77E-D24E-9E3A-34984F98869F}" type="parTrans">
      <dgm:prSet/>
      <dgm:spPr/>
      <dgm:t>
        <a:bodyPr/>
        <a:p>
          <a:endParaRPr lang="zh-CN" altLang="en-US"/>
        </a:p>
      </dgm:t>
    </dgm:pt>
    <dgm:pt modelId="{C15426BA-E3F7-2747-B173-2B8ED36593F2}" cxnId="{CB569447-E77E-D24E-9E3A-34984F98869F}" type="sibTrans">
      <dgm:prSet/>
      <dgm:spPr/>
      <dgm:t>
        <a:bodyPr/>
        <a:p>
          <a:endParaRPr lang="zh-CN" altLang="en-US"/>
        </a:p>
      </dgm:t>
    </dgm:pt>
    <dgm:pt modelId="{FC4DBE60-958D-1E4C-88FF-5744888CEDF3}">
      <dgm:prSet custT="1"/>
      <dgm:spPr/>
      <dgm:t>
        <a:bodyPr/>
        <a:p>
          <a:r>
            <a:rPr lang="zh-CN" altLang="en-US" sz="1050" baseline="0">
              <a:ea typeface="宋体" panose="02010600030101010101" charset="-122"/>
            </a:rPr>
            <a:t>透明合规</a:t>
          </a:r>
        </a:p>
      </dgm:t>
    </dgm:pt>
    <dgm:pt modelId="{D6E0604F-8D85-364D-BAFA-8E6D4A4E02A3}" cxnId="{3ECD4B71-E3A1-F942-8E81-CB4EFD965A82}" type="parTrans">
      <dgm:prSet/>
      <dgm:spPr/>
      <dgm:t>
        <a:bodyPr/>
        <a:p>
          <a:endParaRPr lang="zh-CN" altLang="en-US"/>
        </a:p>
      </dgm:t>
    </dgm:pt>
    <dgm:pt modelId="{F471C848-FDF6-D94B-960A-AE90759294F5}" cxnId="{3ECD4B71-E3A1-F942-8E81-CB4EFD965A82}" type="sibTrans">
      <dgm:prSet/>
      <dgm:spPr/>
      <dgm:t>
        <a:bodyPr/>
        <a:p>
          <a:endParaRPr lang="zh-CN" altLang="en-US"/>
        </a:p>
      </dgm:t>
    </dgm:pt>
    <dgm:pt modelId="{0E35E0BD-1F6B-C041-B478-2090257A4255}">
      <dgm:prSet custT="1"/>
      <dgm:spPr/>
      <dgm:t>
        <a:bodyPr/>
        <a:p>
          <a:r>
            <a:rPr lang="zh-CN" altLang="en-US" sz="1050" baseline="0">
              <a:ea typeface="宋体" panose="02010600030101010101" charset="-122"/>
            </a:rPr>
            <a:t>协同增强</a:t>
          </a:r>
        </a:p>
      </dgm:t>
    </dgm:pt>
    <dgm:pt modelId="{D09FB861-9382-DB4B-81E3-4DBBD3ABE1BA}" cxnId="{0024294E-8CBB-7C4D-AD42-642BDE66EF54}" type="parTrans">
      <dgm:prSet/>
      <dgm:spPr/>
      <dgm:t>
        <a:bodyPr/>
        <a:p>
          <a:endParaRPr lang="zh-CN" altLang="en-US"/>
        </a:p>
      </dgm:t>
    </dgm:pt>
    <dgm:pt modelId="{5AF67984-D21F-3742-9A6C-79B46D15D9AE}" cxnId="{0024294E-8CBB-7C4D-AD42-642BDE66EF54}" type="sibTrans">
      <dgm:prSet/>
      <dgm:spPr/>
      <dgm:t>
        <a:bodyPr/>
        <a:p>
          <a:endParaRPr lang="zh-CN" altLang="en-US"/>
        </a:p>
      </dgm:t>
    </dgm:pt>
    <dgm:pt modelId="{16599D53-AB49-454E-A31D-D3E27783921B}">
      <dgm:prSet custT="1"/>
      <dgm:spPr/>
      <dgm:t>
        <a:bodyPr/>
        <a:p>
          <a:r>
            <a:rPr lang="zh-CN" altLang="en-US" sz="1050" baseline="0">
              <a:ea typeface="宋体" panose="02010600030101010101" charset="-122"/>
            </a:rPr>
            <a:t>风险可控</a:t>
          </a:r>
        </a:p>
      </dgm:t>
    </dgm:pt>
    <dgm:pt modelId="{9EA83ECD-7A9D-D140-822A-D60371FF523C}" cxnId="{08274A43-9B1A-C04F-8145-6D0A5D5243E5}" type="parTrans">
      <dgm:prSet/>
      <dgm:spPr/>
      <dgm:t>
        <a:bodyPr/>
        <a:p>
          <a:endParaRPr lang="zh-CN" altLang="en-US"/>
        </a:p>
      </dgm:t>
    </dgm:pt>
    <dgm:pt modelId="{9E4C8D50-A91A-E14F-8378-F6A8E82DB866}" cxnId="{08274A43-9B1A-C04F-8145-6D0A5D5243E5}" type="sibTrans">
      <dgm:prSet/>
      <dgm:spPr/>
      <dgm:t>
        <a:bodyPr/>
        <a:p>
          <a:endParaRPr lang="zh-CN" altLang="en-US"/>
        </a:p>
      </dgm:t>
    </dgm:pt>
    <dgm:pt modelId="{4E0E5A57-D136-BC47-A749-3CFA35B93037}">
      <dgm:prSet custT="1"/>
      <dgm:spPr/>
      <dgm:t>
        <a:bodyPr/>
        <a:p>
          <a:r>
            <a:rPr lang="zh-CN" altLang="en-US" sz="1050" baseline="0">
              <a:ea typeface="宋体" panose="02010600030101010101" charset="-122"/>
            </a:rPr>
            <a:t>数据驱动</a:t>
          </a:r>
        </a:p>
      </dgm:t>
    </dgm:pt>
    <dgm:pt modelId="{61A5F114-0EB4-054F-98A2-55E17BF91A35}" cxnId="{1F58749A-36F7-414D-A359-EE9CD7A9072A}" type="parTrans">
      <dgm:prSet/>
      <dgm:spPr/>
      <dgm:t>
        <a:bodyPr/>
        <a:p>
          <a:endParaRPr lang="zh-CN" altLang="en-US"/>
        </a:p>
      </dgm:t>
    </dgm:pt>
    <dgm:pt modelId="{12A00B45-A097-4745-9EC2-023DAA09FAE1}" cxnId="{1F58749A-36F7-414D-A359-EE9CD7A9072A}" type="sibTrans">
      <dgm:prSet/>
      <dgm:spPr/>
      <dgm:t>
        <a:bodyPr/>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p>
          <a:endParaRPr lang="zh-CN" altLang="en-US"/>
        </a:p>
      </dgm:t>
    </dgm:pt>
    <dgm:pt modelId="{9A2796F0-0056-F34A-92C6-FF8B3AA118DF}">
      <dgm:prSet phldrT="[文本]" custT="1"/>
      <dgm:spPr/>
      <dgm:t>
        <a:bodyPr/>
        <a:p>
          <a:r>
            <a:rPr lang="zh-CN" altLang="en-US" sz="1050" baseline="0">
              <a:latin typeface="Times New Roman" panose="02020603050405020304" charset="0"/>
              <a:ea typeface="宋体" panose="02010600030101010101" charset="-122"/>
              <a:cs typeface="Times New Roman" panose="02020603050405020304" charset="0"/>
            </a:rPr>
            <a:t>软件过程改进委员会（</a:t>
          </a:r>
          <a:r>
            <a:rPr lang="en-US" altLang="en-US" sz="1050" baseline="0">
              <a:latin typeface="Times New Roman" panose="02020603050405020304" charset="0"/>
              <a:ea typeface="宋体" panose="02010600030101010101" charset="-122"/>
              <a:cs typeface="Times New Roman" panose="02020603050405020304" charset="0"/>
            </a:rPr>
            <a:t>SPIC</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B8F7D6C8-7817-0046-856F-7D62C6E07DB8}" cxnId="{5D8EB22A-CDE4-A844-952A-442C5C722B25}" type="parTrans">
      <dgm:prSet/>
      <dgm:spPr/>
      <dgm:t>
        <a:bodyPr/>
        <a:p>
          <a:endParaRPr lang="zh-CN" altLang="en-US"/>
        </a:p>
      </dgm:t>
    </dgm:pt>
    <dgm:pt modelId="{E74E4AD1-B83E-134A-A4FA-7DA15A377F2D}" cxnId="{5D8EB22A-CDE4-A844-952A-442C5C722B25}" type="sibTrans">
      <dgm:prSet/>
      <dgm:spPr/>
      <dgm:t>
        <a:bodyPr/>
        <a:p>
          <a:endParaRPr lang="zh-CN" altLang="en-US"/>
        </a:p>
      </dgm:t>
    </dgm:pt>
    <dgm:pt modelId="{9FE15BBE-AA6D-2F4A-B4D6-A2D7C681FC43}">
      <dgm:prSet phldrT="[文本]" custT="1"/>
      <dgm:spPr/>
      <dgm:t>
        <a:bodyPr/>
        <a:p>
          <a:r>
            <a:rPr lang="zh-CN" altLang="en-US" sz="1050" baseline="0">
              <a:latin typeface="Times New Roman" panose="02020603050405020304" charset="0"/>
              <a:ea typeface="宋体" panose="02010600030101010101" charset="-122"/>
              <a:cs typeface="Times New Roman" panose="02020603050405020304" charset="0"/>
            </a:rPr>
            <a:t>技术总监（</a:t>
          </a:r>
          <a:r>
            <a:rPr lang="en-US" altLang="en-US" sz="1050" baseline="0">
              <a:latin typeface="Times New Roman" panose="02020603050405020304" charset="0"/>
              <a:ea typeface="宋体" panose="02010600030101010101" charset="-122"/>
              <a:cs typeface="Times New Roman" panose="02020603050405020304" charset="0"/>
            </a:rPr>
            <a:t>CTO</a:t>
          </a:r>
          <a:r>
            <a:rPr lang="zh-CN" altLang="en-US" sz="1050" baseline="0">
              <a:latin typeface="Times New Roman" panose="02020603050405020304" charset="0"/>
              <a:ea typeface="宋体" panose="02010600030101010101" charset="-122"/>
              <a:cs typeface="Times New Roman" panose="02020603050405020304" charset="0"/>
            </a:rPr>
            <a:t>）
质量管理负责人（</a:t>
          </a:r>
          <a:r>
            <a:rPr lang="en-US" altLang="en-US" sz="1050" baseline="0">
              <a:latin typeface="Times New Roman" panose="02020603050405020304" charset="0"/>
              <a:ea typeface="宋体" panose="02010600030101010101" charset="-122"/>
              <a:cs typeface="Times New Roman" panose="02020603050405020304" charset="0"/>
            </a:rPr>
            <a:t>Head of QA</a:t>
          </a:r>
          <a:r>
            <a:rPr lang="zh-CN" altLang="en-US" sz="1050" baseline="0">
              <a:latin typeface="Times New Roman" panose="02020603050405020304" charset="0"/>
              <a:ea typeface="宋体" panose="02010600030101010101" charset="-122"/>
              <a:cs typeface="Times New Roman" panose="02020603050405020304" charset="0"/>
            </a:rPr>
            <a:t>）
业务部门主管（</a:t>
          </a:r>
          <a:r>
            <a:rPr lang="en-US" altLang="en-US" sz="1050" baseline="0">
              <a:latin typeface="Times New Roman" panose="02020603050405020304" charset="0"/>
              <a:ea typeface="宋体" panose="02010600030101010101" charset="-122"/>
              <a:cs typeface="Times New Roman" panose="02020603050405020304" charset="0"/>
            </a:rPr>
            <a:t>BU Head</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3873ACB2-D3F9-3041-8A19-3DE724326E16}" cxnId="{01906294-E2C4-E941-9C01-A2A4B9C5AFA4}" type="parTrans">
      <dgm:prSet/>
      <dgm:spPr/>
      <dgm:t>
        <a:bodyPr/>
        <a:p>
          <a:endParaRPr lang="zh-CN" altLang="en-US"/>
        </a:p>
      </dgm:t>
    </dgm:pt>
    <dgm:pt modelId="{9F5E8FA2-C1E7-9E4A-8C61-6505788D8215}" cxnId="{01906294-E2C4-E941-9C01-A2A4B9C5AFA4}" type="sibTrans">
      <dgm:prSet/>
      <dgm:spPr/>
      <dgm:t>
        <a:bodyPr/>
        <a:p>
          <a:endParaRPr lang="zh-CN" altLang="en-US"/>
        </a:p>
      </dgm:t>
    </dgm:pt>
    <dgm:pt modelId="{BB031180-2F2F-644B-8630-8C4F52ABF316}">
      <dgm:prSet phldrT="[文本]" custT="1"/>
      <dgm:spPr/>
      <dgm:t>
        <a:bodyPr/>
        <a:p>
          <a:r>
            <a:rPr lang="zh-CN" altLang="en-US" sz="1050" baseline="0">
              <a:latin typeface="Times New Roman" panose="02020603050405020304" charset="0"/>
              <a:ea typeface="宋体" panose="02010600030101010101" charset="-122"/>
              <a:cs typeface="Times New Roman" panose="02020603050405020304" charset="0"/>
            </a:rPr>
            <a:t>研发管理部（</a:t>
          </a:r>
          <a:r>
            <a:rPr lang="en-US" altLang="en-US" sz="1050" baseline="0">
              <a:latin typeface="Times New Roman" panose="02020603050405020304" charset="0"/>
              <a:ea typeface="宋体" panose="02010600030101010101" charset="-122"/>
              <a:cs typeface="Times New Roman" panose="02020603050405020304" charset="0"/>
            </a:rPr>
            <a:t>Development Management</a:t>
          </a:r>
          <a:r>
            <a:rPr lang="zh-CN" altLang="en-US" sz="1050" baseline="0">
              <a:latin typeface="Times New Roman" panose="02020603050405020304" charset="0"/>
              <a:ea typeface="宋体" panose="02010600030101010101" charset="-122"/>
              <a:cs typeface="Times New Roman" panose="02020603050405020304" charset="0"/>
            </a:rPr>
            <a:t>）
测试管理部（</a:t>
          </a:r>
          <a:r>
            <a:rPr lang="en-US" altLang="en-US" sz="1050" baseline="0">
              <a:latin typeface="Times New Roman" panose="02020603050405020304" charset="0"/>
              <a:ea typeface="宋体" panose="02010600030101010101" charset="-122"/>
              <a:cs typeface="Times New Roman" panose="02020603050405020304" charset="0"/>
            </a:rPr>
            <a:t>Testing Management</a:t>
          </a:r>
          <a:r>
            <a:rPr lang="zh-CN" altLang="en-US" sz="1050" baseline="0">
              <a:latin typeface="Times New Roman" panose="02020603050405020304" charset="0"/>
              <a:ea typeface="宋体" panose="02010600030101010101" charset="-122"/>
              <a:cs typeface="Times New Roman" panose="02020603050405020304" charset="0"/>
            </a:rPr>
            <a:t>）
运维管理部（</a:t>
          </a:r>
          <a:r>
            <a:rPr lang="en-US" altLang="en-US" sz="1050" baseline="0">
              <a:latin typeface="Times New Roman" panose="02020603050405020304" charset="0"/>
              <a:ea typeface="宋体" panose="02010600030101010101" charset="-122"/>
              <a:cs typeface="Times New Roman" panose="02020603050405020304" charset="0"/>
            </a:rPr>
            <a:t>Operations Management</a:t>
          </a:r>
          <a:r>
            <a:rPr lang="zh-CN" altLang="en-US" sz="1050" baseline="0">
              <a:latin typeface="Times New Roman" panose="02020603050405020304" charset="0"/>
              <a:ea typeface="宋体" panose="02010600030101010101" charset="-122"/>
              <a:cs typeface="Times New Roman" panose="02020603050405020304" charset="0"/>
            </a:rPr>
            <a:t>）
信息安全与合规部（</a:t>
          </a:r>
          <a:r>
            <a:rPr lang="en-US" altLang="en-US" sz="1050" baseline="0">
              <a:latin typeface="Times New Roman" panose="02020603050405020304" charset="0"/>
              <a:ea typeface="宋体" panose="02010600030101010101" charset="-122"/>
              <a:cs typeface="Times New Roman" panose="02020603050405020304" charset="0"/>
            </a:rPr>
            <a:t>InfoSec &amp; Compliance</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7BE8F84C-5B71-2B44-8012-E0A54D671FB8}" cxnId="{17BB9E1F-67E3-FF4D-A665-9639F3FCC54F}" type="parTrans">
      <dgm:prSet/>
      <dgm:spPr/>
      <dgm:t>
        <a:bodyPr/>
        <a:p>
          <a:endParaRPr lang="zh-CN" altLang="en-US"/>
        </a:p>
      </dgm:t>
    </dgm:pt>
    <dgm:pt modelId="{9B2440A0-4AC6-AD49-AB45-449BFD5E0D26}" cxnId="{17BB9E1F-67E3-FF4D-A665-9639F3FCC54F}" type="sibTrans">
      <dgm:prSet/>
      <dgm:spPr/>
      <dgm:t>
        <a:bodyPr/>
        <a:p>
          <a:endParaRPr lang="zh-CN" altLang="en-US"/>
        </a:p>
      </dgm:t>
    </dgm:pt>
    <dgm:pt modelId="{804FBECE-CE82-4041-B4A2-15B2AD04FB21}">
      <dgm:prSet custT="1"/>
      <dgm:spPr/>
      <dgm:t>
        <a:bodyPr/>
        <a:p>
          <a:r>
            <a:rPr lang="en-US" altLang="en-US" sz="1050" baseline="0">
              <a:latin typeface="Times New Roman" panose="02020603050405020304" charset="0"/>
              <a:ea typeface="宋体" panose="02010600030101010101" charset="-122"/>
              <a:cs typeface="Times New Roman" panose="02020603050405020304" charset="0"/>
            </a:rPr>
            <a:t>DevOps</a:t>
          </a:r>
          <a:r>
            <a:rPr lang="zh-CN" altLang="en-US" sz="1050" baseline="0">
              <a:latin typeface="Times New Roman" panose="02020603050405020304" charset="0"/>
              <a:ea typeface="宋体" panose="02010600030101010101" charset="-122"/>
              <a:cs typeface="Times New Roman" panose="02020603050405020304" charset="0"/>
            </a:rPr>
            <a:t>推进办公室（</a:t>
          </a:r>
          <a:r>
            <a:rPr lang="en-US" altLang="en-US" sz="1050" baseline="0">
              <a:latin typeface="Times New Roman" panose="02020603050405020304" charset="0"/>
              <a:ea typeface="宋体" panose="02010600030101010101" charset="-122"/>
              <a:cs typeface="Times New Roman" panose="02020603050405020304" charset="0"/>
            </a:rPr>
            <a:t>DPO</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2BBFBE76-5955-3D42-A5AB-92CE8AD81693}" cxnId="{1426C7C2-AA1E-2443-B250-33051084362B}" type="parTrans">
      <dgm:prSet/>
      <dgm:spPr/>
      <dgm:t>
        <a:bodyPr/>
        <a:p>
          <a:endParaRPr lang="zh-CN" altLang="en-US"/>
        </a:p>
      </dgm:t>
    </dgm:pt>
    <dgm:pt modelId="{CFCCB430-55AF-924A-997A-A3CECCA139A1}" cxnId="{1426C7C2-AA1E-2443-B250-33051084362B}" type="sibTrans">
      <dgm:prSet/>
      <dgm:spPr/>
      <dgm:t>
        <a:bodyPr/>
        <a:p>
          <a:endParaRPr lang="zh-CN" altLang="en-US"/>
        </a:p>
      </dgm:t>
    </dgm:pt>
    <dgm:pt modelId="{4C868D68-A4FA-7246-A1AB-7B9216607DF1}">
      <dgm:prSet custT="1"/>
      <dgm:spPr/>
      <dgm:t>
        <a:bodyPr/>
        <a:p>
          <a:r>
            <a:rPr lang="zh-CN" altLang="en-US" sz="1050" baseline="0">
              <a:latin typeface="Times New Roman" panose="02020603050405020304" charset="0"/>
              <a:ea typeface="宋体" panose="02010600030101010101" charset="-122"/>
              <a:cs typeface="Times New Roman" panose="02020603050405020304" charset="0"/>
            </a:rPr>
            <a:t>项目经理（</a:t>
          </a:r>
          <a:r>
            <a:rPr lang="en-US" altLang="en-US" sz="1050" baseline="0">
              <a:latin typeface="Times New Roman" panose="02020603050405020304" charset="0"/>
              <a:ea typeface="宋体" panose="02010600030101010101" charset="-122"/>
              <a:cs typeface="Times New Roman" panose="02020603050405020304" charset="0"/>
            </a:rPr>
            <a:t>PM</a:t>
          </a:r>
          <a:r>
            <a:rPr lang="zh-CN" altLang="en-US" sz="1050" baseline="0">
              <a:latin typeface="Times New Roman" panose="02020603050405020304" charset="0"/>
              <a:ea typeface="宋体" panose="02010600030101010101" charset="-122"/>
              <a:cs typeface="Times New Roman" panose="02020603050405020304" charset="0"/>
            </a:rPr>
            <a:t>）
质量负责人（</a:t>
          </a:r>
          <a:r>
            <a:rPr lang="en-US" altLang="en-US" sz="1050" baseline="0">
              <a:latin typeface="Times New Roman" panose="02020603050405020304" charset="0"/>
              <a:ea typeface="宋体" panose="02010600030101010101" charset="-122"/>
              <a:cs typeface="Times New Roman" panose="02020603050405020304" charset="0"/>
            </a:rPr>
            <a:t>QA</a:t>
          </a:r>
          <a:r>
            <a:rPr lang="zh-CN" altLang="en-US" sz="1050" baseline="0">
              <a:latin typeface="Times New Roman" panose="02020603050405020304" charset="0"/>
              <a:ea typeface="宋体" panose="02010600030101010101" charset="-122"/>
              <a:cs typeface="Times New Roman" panose="02020603050405020304" charset="0"/>
            </a:rPr>
            <a:t>）
站点可靠性工程师（</a:t>
          </a:r>
          <a:r>
            <a:rPr lang="en-US" altLang="en-US" sz="1050" baseline="0">
              <a:latin typeface="Times New Roman" panose="02020603050405020304" charset="0"/>
              <a:ea typeface="宋体" panose="02010600030101010101" charset="-122"/>
              <a:cs typeface="Times New Roman" panose="02020603050405020304" charset="0"/>
            </a:rPr>
            <a:t>SRE</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88A0907D-C74A-4042-A6F8-EED29DF75CC6}" cxnId="{888D210D-EF75-B347-8114-23EA9600F82C}" type="parTrans">
      <dgm:prSet/>
      <dgm:spPr/>
      <dgm:t>
        <a:bodyPr/>
        <a:p>
          <a:endParaRPr lang="zh-CN" altLang="en-US"/>
        </a:p>
      </dgm:t>
    </dgm:pt>
    <dgm:pt modelId="{3DBDA687-D70D-3C47-AE09-2AECEBDCF765}" cxnId="{888D210D-EF75-B347-8114-23EA9600F82C}" type="sibTrans">
      <dgm:prSet/>
      <dgm:spPr/>
      <dgm:t>
        <a:bodyPr/>
        <a:p>
          <a:endParaRPr lang="zh-CN" altLang="en-US"/>
        </a:p>
      </dgm:t>
    </dgm:pt>
    <dgm:pt modelId="{959A9034-1518-AB4F-8347-50D252418CF4}">
      <dgm:prSet custT="1"/>
      <dgm:spPr/>
      <dgm:t>
        <a:bodyPr/>
        <a:p>
          <a:r>
            <a:rPr lang="zh-CN" altLang="en-US" sz="1050" baseline="0">
              <a:latin typeface="Times New Roman" panose="02020603050405020304" charset="0"/>
              <a:ea typeface="宋体" panose="02010600030101010101" charset="-122"/>
              <a:cs typeface="Times New Roman" panose="02020603050405020304" charset="0"/>
            </a:rPr>
            <a:t>项目级团队</a:t>
          </a:r>
        </a:p>
      </dgm:t>
    </dgm:pt>
    <dgm:pt modelId="{621EBA01-7FFE-4149-A47A-103E2817C412}" cxnId="{4ECE61C7-D547-B444-A103-035E6BB0D1DC}" type="parTrans">
      <dgm:prSet/>
      <dgm:spPr/>
      <dgm:t>
        <a:bodyPr/>
        <a:p>
          <a:endParaRPr lang="zh-CN" altLang="en-US"/>
        </a:p>
      </dgm:t>
    </dgm:pt>
    <dgm:pt modelId="{D5685D72-2BE9-5A45-B2A8-74918BABFA42}" cxnId="{4ECE61C7-D547-B444-A103-035E6BB0D1DC}" type="sibTrans">
      <dgm:prSet/>
      <dgm:spPr/>
      <dgm:t>
        <a:bodyPr/>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p>
          <a:endParaRPr lang="zh-CN" altLang="en-US"/>
        </a:p>
      </dgm:t>
    </dgm:pt>
    <dgm:pt modelId="{671973D8-AF38-BA44-A02C-82DA508E3270}">
      <dgm:prSet phldrT="[文本]"/>
      <dgm:spPr/>
      <dgm:t>
        <a:bodyPr/>
        <a:p>
          <a:r>
            <a:rPr lang="zh-CN" altLang="en-US">
              <a:latin typeface="Times New Roman" panose="02020603050405020304" charset="0"/>
              <a:cs typeface="Times New Roman" panose="02020603050405020304" charset="0"/>
            </a:rPr>
            <a:t>体系搭建阶段</a:t>
          </a:r>
        </a:p>
      </dgm:t>
    </dgm:pt>
    <dgm:pt modelId="{108A666E-4B46-B545-90E3-B8E5EDE02FDB}" cxnId="{0656FCB1-5699-6945-BE6A-34BDCBEC439C}" type="parTrans">
      <dgm:prSet/>
      <dgm:spPr/>
      <dgm:t>
        <a:bodyPr/>
        <a:p>
          <a:endParaRPr lang="zh-CN" altLang="en-US"/>
        </a:p>
      </dgm:t>
    </dgm:pt>
    <dgm:pt modelId="{9F55A35A-BAE2-6545-BA73-981A1C56B7A1}" cxnId="{0656FCB1-5699-6945-BE6A-34BDCBEC439C}" type="sibTrans">
      <dgm:prSet/>
      <dgm:spPr/>
      <dgm:t>
        <a:bodyPr/>
        <a:p>
          <a:endParaRPr lang="zh-CN" altLang="en-US"/>
        </a:p>
      </dgm:t>
    </dgm:pt>
    <dgm:pt modelId="{06F3B749-0CE4-9042-87DF-85D86BF3ECFF}">
      <dgm:prSet phldrT="[文本]"/>
      <dgm:spPr/>
      <dgm:t>
        <a:bodyPr/>
        <a:p>
          <a:r>
            <a:rPr lang="zh-CN" altLang="en-US">
              <a:latin typeface="Times New Roman" panose="02020603050405020304" charset="0"/>
              <a:cs typeface="Times New Roman" panose="02020603050405020304" charset="0"/>
            </a:rPr>
            <a:t>主要目标：流程建模、指标定义、工具选型  
关键成果：</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研发流程蓝图</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度量指标规范</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a:t>
          </a:r>
          <a:r>
            <a:rPr lang="en-US" altLang="en-US">
              <a:latin typeface="Times New Roman" panose="02020603050405020304" charset="0"/>
              <a:cs typeface="Times New Roman" panose="02020603050405020304" charset="0"/>
            </a:rPr>
            <a:t>CI/CD</a:t>
          </a:r>
          <a:r>
            <a:rPr lang="zh-CN" altLang="en-US">
              <a:latin typeface="Times New Roman" panose="02020603050405020304" charset="0"/>
              <a:cs typeface="Times New Roman" panose="02020603050405020304" charset="0"/>
            </a:rPr>
            <a:t>雏形环境</a:t>
          </a:r>
        </a:p>
      </dgm:t>
    </dgm:pt>
    <dgm:pt modelId="{25B681CA-7CBD-0C41-8D39-C7FE8ABA3FDA}" cxnId="{F558F072-E088-4D4C-A220-C1B369AB4D44}" type="parTrans">
      <dgm:prSet/>
      <dgm:spPr/>
      <dgm:t>
        <a:bodyPr/>
        <a:p>
          <a:endParaRPr lang="zh-CN" altLang="en-US"/>
        </a:p>
      </dgm:t>
    </dgm:pt>
    <dgm:pt modelId="{DF6ECC3B-E934-F140-922A-6DA7B903D349}" cxnId="{F558F072-E088-4D4C-A220-C1B369AB4D44}" type="sibTrans">
      <dgm:prSet/>
      <dgm:spPr/>
      <dgm:t>
        <a:bodyPr/>
        <a:p>
          <a:endParaRPr lang="zh-CN" altLang="en-US"/>
        </a:p>
      </dgm:t>
    </dgm:pt>
    <dgm:pt modelId="{DF149B5B-9FA4-B444-A21C-EAF3DEC19B8C}">
      <dgm:prSet phldrT="[文本]"/>
      <dgm:spPr/>
      <dgm:t>
        <a:bodyPr/>
        <a:p>
          <a:r>
            <a:rPr lang="zh-CN" altLang="en-US">
              <a:latin typeface="Times New Roman" panose="02020603050405020304" charset="0"/>
              <a:cs typeface="Times New Roman" panose="02020603050405020304" charset="0"/>
            </a:rPr>
            <a:t>试点验证阶段</a:t>
          </a:r>
        </a:p>
      </dgm:t>
    </dgm:pt>
    <dgm:pt modelId="{C55DC8C4-AB20-4B48-B3E4-E7AA16DF25CD}" cxnId="{6A57107F-8259-354D-8829-62B80172F62D}" type="parTrans">
      <dgm:prSet/>
      <dgm:spPr/>
      <dgm:t>
        <a:bodyPr/>
        <a:p>
          <a:endParaRPr lang="zh-CN" altLang="en-US"/>
        </a:p>
      </dgm:t>
    </dgm:pt>
    <dgm:pt modelId="{A0434E6D-F8E0-534C-904E-B4B1A688361E}" cxnId="{6A57107F-8259-354D-8829-62B80172F62D}" type="sibTrans">
      <dgm:prSet/>
      <dgm:spPr/>
      <dgm:t>
        <a:bodyPr/>
        <a:p>
          <a:endParaRPr lang="zh-CN" altLang="en-US"/>
        </a:p>
      </dgm:t>
    </dgm:pt>
    <dgm:pt modelId="{F28314DE-4E06-304C-AB9E-8D3108292CCA}">
      <dgm:prSet phldrT="[文本]"/>
      <dgm:spPr/>
      <dgm:t>
        <a:bodyPr/>
        <a:p>
          <a:r>
            <a:rPr lang="zh-CN" altLang="en-US">
              <a:latin typeface="Times New Roman" panose="02020603050405020304" charset="0"/>
              <a:cs typeface="Times New Roman" panose="02020603050405020304" charset="0"/>
            </a:rPr>
            <a:t>主要目标：核心系统试运行、度量体系验证  
关键成果：试点项目上线、自动化测试运行、改进报告 </a:t>
          </a:r>
        </a:p>
      </dgm:t>
    </dgm:pt>
    <dgm:pt modelId="{3783179D-EB28-EC4A-9220-137D2E443275}" cxnId="{E7A88C33-E5C2-6946-A6A7-04BEF8E406BE}" type="parTrans">
      <dgm:prSet/>
      <dgm:spPr/>
      <dgm:t>
        <a:bodyPr/>
        <a:p>
          <a:endParaRPr lang="zh-CN" altLang="en-US"/>
        </a:p>
      </dgm:t>
    </dgm:pt>
    <dgm:pt modelId="{BFEABAE7-1B67-734F-A4F2-790257EAE8A0}" cxnId="{E7A88C33-E5C2-6946-A6A7-04BEF8E406BE}" type="sibTrans">
      <dgm:prSet/>
      <dgm:spPr/>
      <dgm:t>
        <a:bodyPr/>
        <a:p>
          <a:endParaRPr lang="zh-CN" altLang="en-US"/>
        </a:p>
      </dgm:t>
    </dgm:pt>
    <dgm:pt modelId="{B1B356FB-E85E-C947-B5C3-1BA2D5E22C17}">
      <dgm:prSet phldrT="[文本]"/>
      <dgm:spPr/>
      <dgm:t>
        <a:bodyPr/>
        <a:p>
          <a:r>
            <a:rPr lang="zh-CN" altLang="en-US">
              <a:latin typeface="Times New Roman" panose="02020603050405020304" charset="0"/>
              <a:cs typeface="Times New Roman" panose="02020603050405020304" charset="0"/>
            </a:rPr>
            <a:t>推广固化阶段</a:t>
          </a:r>
        </a:p>
      </dgm:t>
    </dgm:pt>
    <dgm:pt modelId="{BC5A68CB-A01F-5C42-A6BF-1AD4C285A515}" cxnId="{4BCBC9D5-AA94-BB48-B294-BD3BC2BA36B0}" type="parTrans">
      <dgm:prSet/>
      <dgm:spPr/>
      <dgm:t>
        <a:bodyPr/>
        <a:p>
          <a:endParaRPr lang="zh-CN" altLang="en-US"/>
        </a:p>
      </dgm:t>
    </dgm:pt>
    <dgm:pt modelId="{9661ECD4-C9CC-FE4F-A3F7-E2DFFA04FF19}" cxnId="{4BCBC9D5-AA94-BB48-B294-BD3BC2BA36B0}" type="sibTrans">
      <dgm:prSet/>
      <dgm:spPr/>
      <dgm:t>
        <a:bodyPr/>
        <a:p>
          <a:endParaRPr lang="zh-CN" altLang="en-US"/>
        </a:p>
      </dgm:t>
    </dgm:pt>
    <dgm:pt modelId="{B2BBBDCA-3886-CE4F-8DA5-02A4E871E9AE}">
      <dgm:prSet phldrT="[文本]"/>
      <dgm:spPr/>
      <dgm:t>
        <a:bodyPr/>
        <a:p>
          <a:r>
            <a:rPr lang="zh-CN" altLang="en-US">
              <a:latin typeface="Times New Roman" panose="02020603050405020304" charset="0"/>
              <a:cs typeface="Times New Roman" panose="02020603050405020304" charset="0"/>
            </a:rPr>
            <a:t>主要目标：流程标准化、制度固化  
关键成果：</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过程改进操作手册</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、公司级</a:t>
          </a:r>
          <a:r>
            <a:rPr lang="en-US" altLang="en-US">
              <a:latin typeface="Times New Roman" panose="02020603050405020304" charset="0"/>
              <a:cs typeface="Times New Roman" panose="02020603050405020304" charset="0"/>
            </a:rPr>
            <a:t>CI/CD</a:t>
          </a:r>
          <a:r>
            <a:rPr lang="zh-CN" altLang="en-US">
              <a:latin typeface="Times New Roman" panose="02020603050405020304" charset="0"/>
              <a:cs typeface="Times New Roman" panose="02020603050405020304" charset="0"/>
            </a:rPr>
            <a:t>一体化平台、绩效考核机制 </a:t>
          </a:r>
        </a:p>
      </dgm:t>
    </dgm:pt>
    <dgm:pt modelId="{2A09FB15-C194-8942-B440-7DA953C24060}" cxnId="{C86E8F8C-806A-9D40-BE9A-5F7DDDAAACD0}" type="parTrans">
      <dgm:prSet/>
      <dgm:spPr/>
      <dgm:t>
        <a:bodyPr/>
        <a:p>
          <a:endParaRPr lang="zh-CN" altLang="en-US"/>
        </a:p>
      </dgm:t>
    </dgm:pt>
    <dgm:pt modelId="{2EEB38B3-5E3F-D24D-B7BD-24490F9EB99F}" cxnId="{C86E8F8C-806A-9D40-BE9A-5F7DDDAAACD0}" type="sibTrans">
      <dgm:prSet/>
      <dgm:spPr/>
      <dgm:t>
        <a:bodyPr/>
        <a:p>
          <a:endParaRPr lang="zh-CN" altLang="en-US"/>
        </a:p>
      </dgm:t>
    </dgm:pt>
    <dgm:pt modelId="{9EE42231-9E5B-054C-93A2-154FB2E41458}">
      <dgm:prSet/>
      <dgm:spPr/>
      <dgm:t>
        <a:bodyPr/>
        <a:p>
          <a:r>
            <a:rPr lang="zh-CN" altLang="en-US">
              <a:latin typeface="Times New Roman" panose="02020603050405020304" charset="0"/>
              <a:cs typeface="Times New Roman" panose="02020603050405020304" charset="0"/>
            </a:rPr>
            <a:t>持续优化阶段</a:t>
          </a:r>
        </a:p>
      </dgm:t>
    </dgm:pt>
    <dgm:pt modelId="{0A8D77A4-1F27-5040-940B-81C7F1D9F96D}" cxnId="{81A60F97-3BA4-244B-B6FE-7FEBA082A25F}" type="parTrans">
      <dgm:prSet/>
      <dgm:spPr/>
      <dgm:t>
        <a:bodyPr/>
        <a:p>
          <a:endParaRPr lang="zh-CN" altLang="en-US"/>
        </a:p>
      </dgm:t>
    </dgm:pt>
    <dgm:pt modelId="{8ACE58DD-C207-B043-8385-5DB5634C57D1}" cxnId="{81A60F97-3BA4-244B-B6FE-7FEBA082A25F}" type="sibTrans">
      <dgm:prSet/>
      <dgm:spPr/>
      <dgm:t>
        <a:bodyPr/>
        <a:p>
          <a:endParaRPr lang="zh-CN" altLang="en-US"/>
        </a:p>
      </dgm:t>
    </dgm:pt>
    <dgm:pt modelId="{6BFA8340-00A2-8140-90D5-E87A79B9C0B9}">
      <dgm:prSet/>
      <dgm:spPr/>
      <dgm:t>
        <a:bodyPr/>
        <a:p>
          <a:r>
            <a:rPr lang="zh-CN" altLang="zh-CN">
              <a:latin typeface="Times New Roman" panose="02020603050405020304" charset="0"/>
              <a:cs typeface="Times New Roman" panose="02020603050405020304" charset="0"/>
            </a:rPr>
            <a:t>主要目标：建立</a:t>
          </a:r>
          <a:r>
            <a:rPr lang="en-US" altLang="zh-CN">
              <a:latin typeface="Times New Roman" panose="02020603050405020304" charset="0"/>
              <a:cs typeface="Times New Roman" panose="02020603050405020304" charset="0"/>
            </a:rPr>
            <a:t>PDCA</a:t>
          </a:r>
          <a:r>
            <a:rPr lang="zh-CN" altLang="zh-CN">
              <a:latin typeface="Times New Roman" panose="02020603050405020304" charset="0"/>
              <a:cs typeface="Times New Roman" panose="02020603050405020304" charset="0"/>
            </a:rPr>
            <a:t>与</a:t>
          </a:r>
          <a:r>
            <a:rPr lang="en-US" altLang="zh-CN">
              <a:latin typeface="Times New Roman" panose="02020603050405020304" charset="0"/>
              <a:cs typeface="Times New Roman" panose="02020603050405020304" charset="0"/>
            </a:rPr>
            <a:t>CAPA</a:t>
          </a:r>
          <a:r>
            <a:rPr lang="zh-CN" altLang="zh-CN">
              <a:latin typeface="Times New Roman" panose="02020603050405020304" charset="0"/>
              <a:cs typeface="Times New Roman" panose="02020603050405020304" charset="0"/>
            </a:rPr>
            <a:t>闭环  
关键成果：年度改进白皮书、持续改进知识库、成熟度评估报告</a:t>
          </a:r>
          <a:r>
            <a:rPr lang="en-US" altLang="zh-CN">
              <a:latin typeface="Times New Roman" panose="02020603050405020304" charset="0"/>
              <a:cs typeface="Times New Roman" panose="02020603050405020304" charset="0"/>
            </a:rPr>
            <a:t>	</a:t>
          </a:r>
          <a:endParaRPr lang="zh-CN" altLang="en-US">
            <a:latin typeface="Times New Roman" panose="02020603050405020304" charset="0"/>
            <a:cs typeface="Times New Roman" panose="02020603050405020304" charset="0"/>
          </a:endParaRPr>
        </a:p>
      </dgm:t>
    </dgm:pt>
    <dgm:pt modelId="{59C9803D-5715-074B-9CD1-42546C7ADF3F}" cxnId="{759ED9A4-E7F7-F14D-A256-972C7C9F3746}" type="parTrans">
      <dgm:prSet/>
      <dgm:spPr/>
      <dgm:t>
        <a:bodyPr/>
        <a:p>
          <a:endParaRPr lang="zh-CN" altLang="en-US"/>
        </a:p>
      </dgm:t>
    </dgm:pt>
    <dgm:pt modelId="{AB14015A-3A4D-E54E-8FAA-5DCCF625C095}" cxnId="{759ED9A4-E7F7-F14D-A256-972C7C9F3746}" type="sibTrans">
      <dgm:prSet/>
      <dgm:spPr/>
      <dgm:t>
        <a:bodyPr/>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p>
          <a:endParaRPr lang="zh-CN" altLang="en-US"/>
        </a:p>
      </dgm:t>
    </dgm:pt>
    <dgm:pt modelId="{7CDB025E-681E-6443-9428-BA79301723B1}">
      <dgm:prSet phldrT="[文本]" custT="1"/>
      <dgm:spPr/>
      <dgm:t>
        <a:bodyPr/>
        <a:p>
          <a:r>
            <a:rPr lang="zh-CN" altLang="en-US" sz="1050" baseline="0">
              <a:ea typeface="宋体" panose="02010600030101010101" charset="-122"/>
            </a:rPr>
            <a:t>标准</a:t>
          </a:r>
        </a:p>
      </dgm:t>
    </dgm:pt>
    <dgm:pt modelId="{4451E5C2-3956-334D-A126-EF190C2137FA}" cxnId="{9741CD48-C0FD-8247-9A9F-813B709C5332}" type="parTrans">
      <dgm:prSet/>
      <dgm:spPr/>
      <dgm:t>
        <a:bodyPr/>
        <a:p>
          <a:endParaRPr lang="zh-CN" altLang="en-US"/>
        </a:p>
      </dgm:t>
    </dgm:pt>
    <dgm:pt modelId="{4142F9E7-A632-BD46-A147-176F028EE578}" cxnId="{9741CD48-C0FD-8247-9A9F-813B709C5332}" type="sibTrans">
      <dgm:prSet/>
      <dgm:spPr/>
      <dgm:t>
        <a:bodyPr/>
        <a:p>
          <a:endParaRPr lang="zh-CN" altLang="en-US"/>
        </a:p>
      </dgm:t>
    </dgm:pt>
    <dgm:pt modelId="{5A065D02-CC0E-4E4E-9EE6-9F398CCD9521}">
      <dgm:prSet phldrT="[文本]" custT="1"/>
      <dgm:spPr/>
      <dgm:t>
        <a:bodyPr/>
        <a:p>
          <a:r>
            <a:rPr lang="zh-CN" altLang="en-US" sz="1050" baseline="0">
              <a:ea typeface="宋体" panose="02010600030101010101" charset="-122"/>
            </a:rPr>
            <a:t>执行</a:t>
          </a:r>
        </a:p>
      </dgm:t>
    </dgm:pt>
    <dgm:pt modelId="{D9EF372B-196E-9947-9205-230C44A0E0E1}" cxnId="{DA01445D-01E5-7C46-9889-581564E7656E}" type="parTrans">
      <dgm:prSet/>
      <dgm:spPr/>
      <dgm:t>
        <a:bodyPr/>
        <a:p>
          <a:endParaRPr lang="zh-CN" altLang="en-US"/>
        </a:p>
      </dgm:t>
    </dgm:pt>
    <dgm:pt modelId="{C1260C09-9997-224D-9574-DA12DDA02EF4}" cxnId="{DA01445D-01E5-7C46-9889-581564E7656E}" type="sibTrans">
      <dgm:prSet/>
      <dgm:spPr/>
      <dgm:t>
        <a:bodyPr/>
        <a:p>
          <a:endParaRPr lang="zh-CN" altLang="en-US"/>
        </a:p>
      </dgm:t>
    </dgm:pt>
    <dgm:pt modelId="{96CFA629-E335-0944-8036-3F5818410D06}">
      <dgm:prSet phldrT="[文本]" custT="1"/>
      <dgm:spPr/>
      <dgm:t>
        <a:bodyPr/>
        <a:p>
          <a:r>
            <a:rPr lang="zh-CN" altLang="en-US" sz="1050" baseline="0">
              <a:ea typeface="宋体" panose="02010600030101010101" charset="-122"/>
            </a:rPr>
            <a:t>质量</a:t>
          </a:r>
        </a:p>
      </dgm:t>
    </dgm:pt>
    <dgm:pt modelId="{95569597-6143-C14F-BC28-0E42FCED435C}" cxnId="{A61436BD-1214-924D-AABE-F4BD32647213}" type="parTrans">
      <dgm:prSet/>
      <dgm:spPr/>
      <dgm:t>
        <a:bodyPr/>
        <a:p>
          <a:endParaRPr lang="zh-CN" altLang="en-US"/>
        </a:p>
      </dgm:t>
    </dgm:pt>
    <dgm:pt modelId="{B9189704-D19F-9447-94B1-8CBC7D70D632}" cxnId="{A61436BD-1214-924D-AABE-F4BD32647213}" type="sibTrans">
      <dgm:prSet/>
      <dgm:spPr/>
      <dgm:t>
        <a:bodyPr/>
        <a:p>
          <a:endParaRPr lang="zh-CN" altLang="en-US"/>
        </a:p>
      </dgm:t>
    </dgm:pt>
    <dgm:pt modelId="{CD28251D-061A-F348-A585-5FBAA46C463B}">
      <dgm:prSet phldrT="[文本]" custT="1"/>
      <dgm:spPr/>
      <dgm:t>
        <a:bodyPr/>
        <a:p>
          <a:r>
            <a:rPr lang="zh-CN" altLang="en-US" sz="1050" baseline="0">
              <a:ea typeface="宋体" panose="02010600030101010101" charset="-122"/>
            </a:rPr>
            <a:t>审核</a:t>
          </a:r>
        </a:p>
      </dgm:t>
    </dgm:pt>
    <dgm:pt modelId="{87590A44-6F6E-0348-9190-DED1DF60C7B2}" cxnId="{07E06CA8-5103-7643-B32C-54C5B9FC5792}" type="parTrans">
      <dgm:prSet/>
      <dgm:spPr/>
      <dgm:t>
        <a:bodyPr/>
        <a:p>
          <a:endParaRPr lang="zh-CN" altLang="en-US"/>
        </a:p>
      </dgm:t>
    </dgm:pt>
    <dgm:pt modelId="{5CF688A5-FA2B-8D4D-93B8-B9FF81BEFA26}" cxnId="{07E06CA8-5103-7643-B32C-54C5B9FC5792}" type="sibTrans">
      <dgm:prSet/>
      <dgm:spPr/>
      <dgm:t>
        <a:bodyPr/>
        <a:p>
          <a:endParaRPr lang="zh-CN" altLang="en-US"/>
        </a:p>
      </dgm:t>
    </dgm:pt>
    <dgm:pt modelId="{13F55303-5129-104A-A955-CF50EE6A78B2}">
      <dgm:prSet phldrT="[文本]" custT="1"/>
      <dgm:spPr/>
      <dgm:t>
        <a:bodyPr/>
        <a:p>
          <a:r>
            <a:rPr lang="zh-CN" altLang="en-US" sz="1050" baseline="0">
              <a:ea typeface="宋体" panose="02010600030101010101" charset="-122"/>
            </a:rPr>
            <a:t>改进</a:t>
          </a:r>
        </a:p>
      </dgm:t>
    </dgm:pt>
    <dgm:pt modelId="{109C2C76-1D35-234B-A47F-4DCDF81E692D}" cxnId="{CFA1BD04-8D0C-A54E-BC20-40713221F2EA}" type="parTrans">
      <dgm:prSet/>
      <dgm:spPr/>
      <dgm:t>
        <a:bodyPr/>
        <a:p>
          <a:endParaRPr lang="zh-CN" altLang="en-US"/>
        </a:p>
      </dgm:t>
    </dgm:pt>
    <dgm:pt modelId="{5AD4DB22-347E-CF4D-AF6B-FD2983814AED}" cxnId="{CFA1BD04-8D0C-A54E-BC20-40713221F2EA}" type="sibTrans">
      <dgm:prSet/>
      <dgm:spPr/>
      <dgm:t>
        <a:bodyPr/>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p>
          <a:endParaRPr lang="zh-CN" altLang="en-US"/>
        </a:p>
      </dgm:t>
    </dgm:pt>
    <dgm:pt modelId="{C83917B1-C61F-584B-B7CA-96CECCA5548B}">
      <dgm:prSet phldrT="[文本]" custT="1"/>
      <dgm:spPr/>
      <dgm:t>
        <a:bodyPr/>
        <a:p>
          <a:r>
            <a:rPr lang="zh-CN" altLang="en-US" sz="1050" baseline="0">
              <a:ea typeface="宋体" panose="02010600030101010101" charset="-122"/>
            </a:rPr>
            <a:t>文化认同</a:t>
          </a:r>
        </a:p>
      </dgm:t>
    </dgm:pt>
    <dgm:pt modelId="{A59FF08C-3C14-9943-B53F-336ED1125CA3}" cxnId="{D1D2F1F0-7BAE-F14A-A5B1-5B1080DBE707}" type="parTrans">
      <dgm:prSet/>
      <dgm:spPr/>
      <dgm:t>
        <a:bodyPr/>
        <a:p>
          <a:endParaRPr lang="zh-CN" altLang="en-US"/>
        </a:p>
      </dgm:t>
    </dgm:pt>
    <dgm:pt modelId="{C6DD0CBF-BD24-5D40-B30A-9E641159EF4D}" cxnId="{D1D2F1F0-7BAE-F14A-A5B1-5B1080DBE707}" type="sibTrans">
      <dgm:prSet/>
      <dgm:spPr/>
      <dgm:t>
        <a:bodyPr/>
        <a:p>
          <a:endParaRPr lang="zh-CN" altLang="en-US"/>
        </a:p>
      </dgm:t>
    </dgm:pt>
    <dgm:pt modelId="{46584E16-AE1D-9741-9AB1-A6F4616E9CB5}">
      <dgm:prSet phldrT="[文本]" custT="1"/>
      <dgm:spPr/>
      <dgm:t>
        <a:bodyPr/>
        <a:p>
          <a:r>
            <a:rPr lang="zh-CN" altLang="en-US" sz="1050" baseline="0">
              <a:ea typeface="宋体" panose="02010600030101010101" charset="-122"/>
            </a:rPr>
            <a:t>协同机制</a:t>
          </a:r>
        </a:p>
      </dgm:t>
    </dgm:pt>
    <dgm:pt modelId="{74834363-29C1-474C-9EEE-7EDA6D3B250B}" cxnId="{C4D25497-4132-8447-B176-BAB91DF7ADE9}" type="parTrans">
      <dgm:prSet/>
      <dgm:spPr/>
      <dgm:t>
        <a:bodyPr/>
        <a:p>
          <a:endParaRPr lang="zh-CN" altLang="en-US"/>
        </a:p>
      </dgm:t>
    </dgm:pt>
    <dgm:pt modelId="{EE13A478-D6DD-5041-A5F0-46F158EF6DF5}" cxnId="{C4D25497-4132-8447-B176-BAB91DF7ADE9}" type="sibTrans">
      <dgm:prSet/>
      <dgm:spPr/>
      <dgm:t>
        <a:bodyPr/>
        <a:p>
          <a:endParaRPr lang="zh-CN" altLang="en-US"/>
        </a:p>
      </dgm:t>
    </dgm:pt>
    <dgm:pt modelId="{ACFD80E3-9550-4F4E-8C8A-D6DD43D8E730}">
      <dgm:prSet phldrT="[文本]" custT="1"/>
      <dgm:spPr/>
      <dgm:t>
        <a:bodyPr/>
        <a:p>
          <a:r>
            <a:rPr lang="zh-CN" altLang="en-US" sz="1050" baseline="0">
              <a:ea typeface="宋体" panose="02010600030101010101" charset="-122"/>
            </a:rPr>
            <a:t>激励反馈</a:t>
          </a:r>
        </a:p>
      </dgm:t>
    </dgm:pt>
    <dgm:pt modelId="{57F37C0F-0F67-5F40-A56B-A63915056271}" cxnId="{94C88527-BAA0-434F-BC2E-15919DE472FB}" type="parTrans">
      <dgm:prSet/>
      <dgm:spPr/>
      <dgm:t>
        <a:bodyPr/>
        <a:p>
          <a:endParaRPr lang="zh-CN" altLang="en-US"/>
        </a:p>
      </dgm:t>
    </dgm:pt>
    <dgm:pt modelId="{96C6D943-C97F-F447-B1F9-445DFC89F251}" cxnId="{94C88527-BAA0-434F-BC2E-15919DE472FB}" type="sibTrans">
      <dgm:prSet/>
      <dgm:spPr/>
      <dgm:t>
        <a:bodyPr/>
        <a:p>
          <a:endParaRPr lang="zh-CN" altLang="en-US"/>
        </a:p>
      </dgm:t>
    </dgm:pt>
    <dgm:pt modelId="{92839799-0B80-A240-BC84-1DF537C130CF}">
      <dgm:prSet phldrT="[文本]" custT="1"/>
      <dgm:spPr/>
      <dgm:t>
        <a:bodyPr/>
        <a:p>
          <a:r>
            <a:rPr lang="zh-CN" altLang="en-US" sz="1050" baseline="0">
              <a:ea typeface="宋体" panose="02010600030101010101" charset="-122"/>
            </a:rPr>
            <a:t>持续改进</a:t>
          </a:r>
        </a:p>
      </dgm:t>
    </dgm:pt>
    <dgm:pt modelId="{4E85C5E8-2C7B-C546-826F-3943D1054DF8}" cxnId="{7A29529F-F84E-8F44-8396-6273BC2CF993}" type="parTrans">
      <dgm:prSet/>
      <dgm:spPr/>
      <dgm:t>
        <a:bodyPr/>
        <a:p>
          <a:endParaRPr lang="zh-CN" altLang="en-US"/>
        </a:p>
      </dgm:t>
    </dgm:pt>
    <dgm:pt modelId="{78111264-2EF3-4F4F-BA68-C6CE9D430FF0}" cxnId="{7A29529F-F84E-8F44-8396-6273BC2CF993}" type="sibTrans">
      <dgm:prSet/>
      <dgm:spPr/>
      <dgm:t>
        <a:bodyPr/>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p>
          <a:endParaRPr lang="zh-CN" altLang="en-US"/>
        </a:p>
      </dgm:t>
    </dgm:pt>
    <dgm:pt modelId="{DE1FA9B8-8209-E146-A930-36AC8F278BD6}">
      <dgm:prSet phldrT="[文本]" custT="1"/>
      <dgm:spPr/>
      <dgm:t>
        <a:bodyPr/>
        <a:p>
          <a:r>
            <a:rPr lang="zh-CN" altLang="en-US" sz="1050" baseline="0">
              <a:ea typeface="宋体" panose="02010600030101010101" charset="-122"/>
            </a:rPr>
            <a:t>数据采集层</a:t>
          </a:r>
        </a:p>
      </dgm:t>
    </dgm:pt>
    <dgm:pt modelId="{9CC6C057-2AAD-2D42-A0B8-806DC6C17E9C}" cxnId="{FD21BFD7-890D-FA4F-9B55-F71568F61508}" type="parTrans">
      <dgm:prSet/>
      <dgm:spPr/>
      <dgm:t>
        <a:bodyPr/>
        <a:p>
          <a:endParaRPr lang="zh-CN" altLang="en-US"/>
        </a:p>
      </dgm:t>
    </dgm:pt>
    <dgm:pt modelId="{ED8939D6-7E86-1B4C-8A1E-1C429957CD63}" cxnId="{FD21BFD7-890D-FA4F-9B55-F71568F61508}" type="sibTrans">
      <dgm:prSet/>
      <dgm:spPr/>
      <dgm:t>
        <a:bodyPr/>
        <a:p>
          <a:endParaRPr lang="zh-CN" altLang="en-US"/>
        </a:p>
      </dgm:t>
    </dgm:pt>
    <dgm:pt modelId="{1D562139-7EB9-C447-8BD4-52812C5862B1}">
      <dgm:prSet phldrT="[文本]" custT="1"/>
      <dgm:spPr/>
      <dgm:t>
        <a:bodyPr/>
        <a:p>
          <a:r>
            <a:rPr lang="zh-CN" altLang="en-US" sz="1050" baseline="0">
              <a:ea typeface="宋体" panose="02010600030101010101" charset="-122"/>
            </a:rPr>
            <a:t>分析层</a:t>
          </a:r>
        </a:p>
      </dgm:t>
    </dgm:pt>
    <dgm:pt modelId="{7DA7AF89-08A1-7440-947D-C755B685E60D}" cxnId="{749F10EB-B893-B140-8D93-8CB80534D6DF}" type="parTrans">
      <dgm:prSet/>
      <dgm:spPr/>
      <dgm:t>
        <a:bodyPr/>
        <a:p>
          <a:endParaRPr lang="zh-CN" altLang="en-US"/>
        </a:p>
      </dgm:t>
    </dgm:pt>
    <dgm:pt modelId="{36BCC0CE-4F95-B447-BFAB-54405042A8BD}" cxnId="{749F10EB-B893-B140-8D93-8CB80534D6DF}" type="sibTrans">
      <dgm:prSet/>
      <dgm:spPr/>
      <dgm:t>
        <a:bodyPr/>
        <a:p>
          <a:endParaRPr lang="zh-CN" altLang="en-US"/>
        </a:p>
      </dgm:t>
    </dgm:pt>
    <dgm:pt modelId="{4EBEBDD0-1797-0C48-9040-8192C98A3C85}">
      <dgm:prSet phldrT="[文本]" custT="1"/>
      <dgm:spPr/>
      <dgm:t>
        <a:bodyPr/>
        <a:p>
          <a:r>
            <a:rPr lang="zh-CN" altLang="en-US" sz="1050" baseline="0">
              <a:ea typeface="宋体" panose="02010600030101010101" charset="-122"/>
            </a:rPr>
            <a:t>展示层</a:t>
          </a:r>
        </a:p>
      </dgm:t>
    </dgm:pt>
    <dgm:pt modelId="{49554CCF-894E-EE4D-B634-FE7EE9259903}" cxnId="{FE3DFE14-1913-FE45-920A-9C9CE320F5E7}" type="parTrans">
      <dgm:prSet/>
      <dgm:spPr/>
      <dgm:t>
        <a:bodyPr/>
        <a:p>
          <a:endParaRPr lang="zh-CN" altLang="en-US"/>
        </a:p>
      </dgm:t>
    </dgm:pt>
    <dgm:pt modelId="{93BFE433-A10E-E148-8C28-B6E22A4E757E}" cxnId="{FE3DFE14-1913-FE45-920A-9C9CE320F5E7}" type="sibTrans">
      <dgm:prSet/>
      <dgm:spPr/>
      <dgm:t>
        <a:bodyPr/>
        <a:p>
          <a:endParaRPr lang="zh-CN" altLang="en-US"/>
        </a:p>
      </dgm:t>
    </dgm:pt>
    <dgm:pt modelId="{7CDDA14C-48BE-0F43-B327-92F82C6A461A}">
      <dgm:prSet custT="1"/>
      <dgm:spPr/>
      <dgm:t>
        <a:bodyPr/>
        <a:p>
          <a:r>
            <a:rPr lang="zh-CN" altLang="en-US" sz="1050" baseline="0">
              <a:ea typeface="宋体" panose="02010600030101010101" charset="-122"/>
            </a:rPr>
            <a:t>决策层</a:t>
          </a:r>
        </a:p>
      </dgm:t>
    </dgm:pt>
    <dgm:pt modelId="{5A19C216-5E6E-FC43-8BB5-28D1E4DC668A}" cxnId="{8C10669D-FA7A-9148-845E-F00F315D3B96}" type="parTrans">
      <dgm:prSet/>
      <dgm:spPr/>
      <dgm:t>
        <a:bodyPr/>
        <a:p>
          <a:endParaRPr lang="zh-CN" altLang="en-US"/>
        </a:p>
      </dgm:t>
    </dgm:pt>
    <dgm:pt modelId="{2ADBDCF0-9F39-9047-8251-809842B892A0}" cxnId="{8C10669D-FA7A-9148-845E-F00F315D3B96}" type="sibTrans">
      <dgm:prSet/>
      <dgm:spPr/>
      <dgm:t>
        <a:bodyPr/>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p>
          <a:endParaRPr lang="zh-CN" altLang="en-US"/>
        </a:p>
      </dgm:t>
    </dgm:pt>
    <dgm:pt modelId="{60CAFCEA-22A7-6F4D-9F14-B1728B291B4F}">
      <dgm:prSet phldrT="[文本]" custT="1"/>
      <dgm:spPr/>
      <dgm:t>
        <a:bodyPr/>
        <a:p>
          <a:r>
            <a:rPr lang="en-US" altLang="zh-CN" sz="1050" baseline="0">
              <a:latin typeface="Times New Roman" panose="02020603050405020304" charset="0"/>
              <a:ea typeface="宋体" panose="02010600030101010101" charset="-122"/>
              <a:cs typeface="Times New Roman" panose="02020603050405020304" charset="0"/>
            </a:rPr>
            <a:t>Plan</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68015F7D-297D-9840-9B53-4BB810A7B835}" cxnId="{DDA7AE25-D31A-C048-8658-47E05066E7DC}" type="parTrans">
      <dgm:prSet/>
      <dgm:spPr/>
      <dgm:t>
        <a:bodyPr/>
        <a:p>
          <a:endParaRPr lang="zh-CN" altLang="en-US"/>
        </a:p>
      </dgm:t>
    </dgm:pt>
    <dgm:pt modelId="{AB21BAEB-43E9-A045-A656-5076E2E46497}" cxnId="{DDA7AE25-D31A-C048-8658-47E05066E7DC}" type="sibTrans">
      <dgm:prSet/>
      <dgm:spPr/>
      <dgm:t>
        <a:bodyPr/>
        <a:p>
          <a:endParaRPr lang="zh-CN" altLang="en-US"/>
        </a:p>
      </dgm:t>
    </dgm:pt>
    <dgm:pt modelId="{D0232625-D561-8041-A62A-BE6A3AD458F9}">
      <dgm:prSet phldrT="[文本]" custT="1"/>
      <dgm:spPr/>
      <dgm:t>
        <a:bodyPr/>
        <a:p>
          <a:r>
            <a:rPr lang="en-US" altLang="zh-CN" sz="1050" baseline="0">
              <a:latin typeface="Times New Roman" panose="02020603050405020304" charset="0"/>
              <a:ea typeface="宋体" panose="02010600030101010101" charset="-122"/>
              <a:cs typeface="Times New Roman" panose="02020603050405020304" charset="0"/>
            </a:rPr>
            <a:t>Do</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608B9896-CD20-9D4C-9CDB-A26EC4CFBEAE}" cxnId="{ED207A1C-FED3-5347-8193-E2C25479B6B6}" type="parTrans">
      <dgm:prSet/>
      <dgm:spPr/>
      <dgm:t>
        <a:bodyPr/>
        <a:p>
          <a:endParaRPr lang="zh-CN" altLang="en-US"/>
        </a:p>
      </dgm:t>
    </dgm:pt>
    <dgm:pt modelId="{44F49B99-D0C8-6F45-893C-B8940D8BC297}" cxnId="{ED207A1C-FED3-5347-8193-E2C25479B6B6}" type="sibTrans">
      <dgm:prSet/>
      <dgm:spPr/>
      <dgm:t>
        <a:bodyPr/>
        <a:p>
          <a:endParaRPr lang="zh-CN" altLang="en-US"/>
        </a:p>
      </dgm:t>
    </dgm:pt>
    <dgm:pt modelId="{E9BC9F31-34CD-AB48-B6FE-62060C15C244}">
      <dgm:prSet phldrT="[文本]" custT="1"/>
      <dgm:spPr/>
      <dgm:t>
        <a:bodyPr/>
        <a:p>
          <a:r>
            <a:rPr lang="en-US" altLang="zh-CN" sz="1050" baseline="0">
              <a:latin typeface="Times New Roman" panose="02020603050405020304" charset="0"/>
              <a:ea typeface="宋体" panose="02010600030101010101" charset="-122"/>
              <a:cs typeface="Times New Roman" panose="02020603050405020304" charset="0"/>
            </a:rPr>
            <a:t>Check</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301B197A-42B5-D54A-B8A6-7A97921871DB}" cxnId="{06AFEB54-4F8A-8446-9292-021A7C0F3946}" type="parTrans">
      <dgm:prSet/>
      <dgm:spPr/>
      <dgm:t>
        <a:bodyPr/>
        <a:p>
          <a:endParaRPr lang="zh-CN" altLang="en-US"/>
        </a:p>
      </dgm:t>
    </dgm:pt>
    <dgm:pt modelId="{D86F5DF8-569A-E246-82C8-0BAB607C2083}" cxnId="{06AFEB54-4F8A-8446-9292-021A7C0F3946}" type="sibTrans">
      <dgm:prSet/>
      <dgm:spPr/>
      <dgm:t>
        <a:bodyPr/>
        <a:p>
          <a:endParaRPr lang="zh-CN" altLang="en-US"/>
        </a:p>
      </dgm:t>
    </dgm:pt>
    <dgm:pt modelId="{844696F3-7E5F-4B44-AD76-E3C9D5879828}">
      <dgm:prSet phldrT="[文本]" custT="1"/>
      <dgm:spPr/>
      <dgm:t>
        <a:bodyPr/>
        <a:p>
          <a:r>
            <a:rPr lang="en-US" altLang="zh-CN" sz="1050" baseline="0">
              <a:latin typeface="Times New Roman" panose="02020603050405020304" charset="0"/>
              <a:ea typeface="宋体" panose="02010600030101010101" charset="-122"/>
              <a:cs typeface="Times New Roman" panose="02020603050405020304" charset="0"/>
            </a:rPr>
            <a:t>Act</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6BD47FA9-2BFA-B441-9DC2-7D08811600F2}" cxnId="{F7280F72-22EA-4E46-8437-E947578B231B}" type="parTrans">
      <dgm:prSet/>
      <dgm:spPr/>
      <dgm:t>
        <a:bodyPr/>
        <a:p>
          <a:endParaRPr lang="zh-CN" altLang="en-US"/>
        </a:p>
      </dgm:t>
    </dgm:pt>
    <dgm:pt modelId="{1BD77BF0-174C-5E47-ABF6-5FDE1EF126E4}" cxnId="{F7280F72-22EA-4E46-8437-E947578B231B}" type="sibTrans">
      <dgm:prSet/>
      <dgm:spPr/>
      <dgm:t>
        <a:bodyPr/>
        <a:p>
          <a:endParaRPr lang="zh-CN" altLang="en-US"/>
        </a:p>
      </dgm:t>
    </dgm:pt>
    <dgm:pt modelId="{5C2866C2-AB07-FF49-B252-0D4FCCF8C08D}">
      <dgm:prSet phldrT="[文本]" custT="1"/>
      <dgm:spPr/>
      <dgm:t>
        <a:bodyPr/>
        <a:p>
          <a:r>
            <a:rPr lang="en-US" altLang="zh-CN" sz="1050" baseline="0">
              <a:latin typeface="Times New Roman" panose="02020603050405020304" charset="0"/>
              <a:ea typeface="宋体" panose="02010600030101010101" charset="-122"/>
              <a:cs typeface="Times New Roman" panose="02020603050405020304" charset="0"/>
            </a:rPr>
            <a:t>Prevent</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9DFD4023-5585-A14A-8291-3EED587BD491}" cxnId="{58139FD7-7758-D843-877A-9C27F45E21DC}" type="parTrans">
      <dgm:prSet/>
      <dgm:spPr/>
      <dgm:t>
        <a:bodyPr/>
        <a:p>
          <a:endParaRPr lang="zh-CN" altLang="en-US"/>
        </a:p>
      </dgm:t>
    </dgm:pt>
    <dgm:pt modelId="{C0B53690-C2C1-634D-8142-779490F12A19}" cxnId="{58139FD7-7758-D843-877A-9C27F45E21DC}" type="sibTrans">
      <dgm:prSet/>
      <dgm:spPr/>
      <dgm:t>
        <a:bodyPr/>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p>
          <a:endParaRPr lang="zh-CN" altLang="en-US"/>
        </a:p>
      </dgm:t>
    </dgm:pt>
    <dgm:pt modelId="{7311DB0F-3891-AD40-A1D5-CD63E077D9E2}">
      <dgm:prSet phldrT="[文本]" custT="1"/>
      <dgm:spPr/>
      <dgm:t>
        <a:bodyPr/>
        <a:p>
          <a:r>
            <a:rPr lang="zh-CN" altLang="en-US" sz="1050" baseline="0">
              <a:latin typeface="Times New Roman" panose="02020603050405020304" charset="0"/>
              <a:ea typeface="宋体" panose="02010600030101010101" charset="-122"/>
              <a:cs typeface="Times New Roman" panose="02020603050405020304" charset="0"/>
            </a:rPr>
            <a:t>管控强化区（</a:t>
          </a:r>
          <a:r>
            <a:rPr lang="en-US" altLang="en-US" sz="1050" baseline="0">
              <a:latin typeface="Times New Roman" panose="02020603050405020304" charset="0"/>
              <a:ea typeface="宋体" panose="02010600030101010101" charset="-122"/>
              <a:cs typeface="Times New Roman" panose="02020603050405020304" charset="0"/>
            </a:rPr>
            <a:t>Governance Enhancement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高复杂度，低改进深度，需顶层协调治理 </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3F892737-188D-1A46-8DE8-1DBBE8577DE2}" cxnId="{EF8B9979-CA9A-FF45-9CFC-81DA7389012A}" type="parTrans">
      <dgm:prSet/>
      <dgm:spPr/>
      <dgm:t>
        <a:bodyPr/>
        <a:p>
          <a:endParaRPr lang="zh-CN" altLang="en-US"/>
        </a:p>
      </dgm:t>
    </dgm:pt>
    <dgm:pt modelId="{A7CA5F5A-3FD0-704B-A02F-A7424AA2724D}" cxnId="{EF8B9979-CA9A-FF45-9CFC-81DA7389012A}" type="sibTrans">
      <dgm:prSet/>
      <dgm:spPr/>
      <dgm:t>
        <a:bodyPr/>
        <a:p>
          <a:endParaRPr lang="zh-CN" altLang="en-US"/>
        </a:p>
      </dgm:t>
    </dgm:pt>
    <dgm:pt modelId="{E877D1EC-0DCB-2A45-9A61-0E1093B6977A}">
      <dgm:prSet phldrT="[文本]" custT="1"/>
      <dgm:spPr/>
      <dgm:t>
        <a:bodyPr/>
        <a:p>
          <a:r>
            <a:rPr lang="zh-CN" altLang="en-US" sz="1050" baseline="0">
              <a:latin typeface="Times New Roman" panose="02020603050405020304" charset="0"/>
              <a:ea typeface="宋体" panose="02010600030101010101" charset="-122"/>
              <a:cs typeface="Times New Roman" panose="02020603050405020304" charset="0"/>
            </a:rPr>
            <a:t>成熟体系区（</a:t>
          </a:r>
          <a:r>
            <a:rPr lang="en-US" altLang="en-US" sz="1050" baseline="0">
              <a:latin typeface="Times New Roman" panose="02020603050405020304" charset="0"/>
              <a:ea typeface="宋体" panose="02010600030101010101" charset="-122"/>
              <a:cs typeface="Times New Roman" panose="02020603050405020304" charset="0"/>
            </a:rPr>
            <a:t>Mature System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高复杂度，高改进深度，组织级文化驱动 </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E35A4F6D-4835-EC44-BC81-4AA323144804}" cxnId="{14B0D680-8EBA-EF46-9E6B-741A8E038A30}" type="parTrans">
      <dgm:prSet/>
      <dgm:spPr/>
      <dgm:t>
        <a:bodyPr/>
        <a:p>
          <a:endParaRPr lang="zh-CN" altLang="en-US"/>
        </a:p>
      </dgm:t>
    </dgm:pt>
    <dgm:pt modelId="{C359915F-9A13-6742-B63E-E3CE5AB7BB45}" cxnId="{14B0D680-8EBA-EF46-9E6B-741A8E038A30}" type="sibTrans">
      <dgm:prSet/>
      <dgm:spPr/>
      <dgm:t>
        <a:bodyPr/>
        <a:p>
          <a:endParaRPr lang="zh-CN" altLang="en-US"/>
        </a:p>
      </dgm:t>
    </dgm:pt>
    <dgm:pt modelId="{0721984E-DB99-2E4E-9143-033F1B059C67}">
      <dgm:prSet phldrT="[文本]" custT="1"/>
      <dgm:spPr/>
      <dgm:t>
        <a:bodyPr/>
        <a:p>
          <a:r>
            <a:rPr lang="zh-CN" altLang="en-US" sz="1050" baseline="0">
              <a:latin typeface="Times New Roman" panose="02020603050405020304" charset="0"/>
              <a:ea typeface="宋体" panose="02010600030101010101" charset="-122"/>
              <a:cs typeface="Times New Roman" panose="02020603050405020304" charset="0"/>
            </a:rPr>
            <a:t>平衡优化区（</a:t>
          </a:r>
          <a:r>
            <a:rPr lang="en-US" altLang="en-US" sz="1050" baseline="0">
              <a:latin typeface="Times New Roman" panose="02020603050405020304" charset="0"/>
              <a:ea typeface="宋体" panose="02010600030101010101" charset="-122"/>
              <a:cs typeface="Times New Roman" panose="02020603050405020304" charset="0"/>
            </a:rPr>
            <a:t>Balanced Optimization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中复杂度，较高改进深度，标准化与协同兼顾</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06A2D304-11AC-4743-9EEB-B0C90EBC5A4E}" cxnId="{EE5E4F25-576C-244C-813A-AF28DDF29E73}" type="parTrans">
      <dgm:prSet/>
      <dgm:spPr/>
      <dgm:t>
        <a:bodyPr/>
        <a:p>
          <a:endParaRPr lang="zh-CN" altLang="en-US"/>
        </a:p>
      </dgm:t>
    </dgm:pt>
    <dgm:pt modelId="{6B8A2642-2552-A147-8B6D-69A00C6A5774}" cxnId="{EE5E4F25-576C-244C-813A-AF28DDF29E73}" type="sibTrans">
      <dgm:prSet/>
      <dgm:spPr/>
      <dgm:t>
        <a:bodyPr/>
        <a:p>
          <a:endParaRPr lang="zh-CN" altLang="en-US"/>
        </a:p>
      </dgm:t>
    </dgm:pt>
    <dgm:pt modelId="{F96C5900-FF8A-F648-8C1F-C4297CA2B4CB}">
      <dgm:prSet phldrT="[文本]" custT="1"/>
      <dgm:spPr/>
      <dgm:t>
        <a:bodyPr/>
        <a:p>
          <a:r>
            <a:rPr lang="zh-CN" altLang="en-US" sz="1050" baseline="0">
              <a:latin typeface="Times New Roman" panose="02020603050405020304" charset="0"/>
              <a:ea typeface="宋体" panose="02010600030101010101" charset="-122"/>
              <a:cs typeface="Times New Roman" panose="02020603050405020304" charset="0"/>
            </a:rPr>
            <a:t>规范启动区（</a:t>
          </a:r>
          <a:r>
            <a:rPr lang="en-US" altLang="en-US" sz="1050" baseline="0">
              <a:latin typeface="Times New Roman" panose="02020603050405020304" charset="0"/>
              <a:ea typeface="宋体" panose="02010600030101010101" charset="-122"/>
              <a:cs typeface="Times New Roman" panose="02020603050405020304" charset="0"/>
            </a:rPr>
            <a:t>Standardization Initiation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低复杂度，低改进深度，流程起步阶段 </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047B08BA-3248-2F4C-B7EC-648B6298B28C}" cxnId="{BECB1835-FC92-6D4A-876E-D7017F30B91F}" type="parTrans">
      <dgm:prSet/>
      <dgm:spPr/>
      <dgm:t>
        <a:bodyPr/>
        <a:p>
          <a:endParaRPr lang="zh-CN" altLang="en-US"/>
        </a:p>
      </dgm:t>
    </dgm:pt>
    <dgm:pt modelId="{8E5E2B3E-C3E9-7041-9311-D96C81DE3604}" cxnId="{BECB1835-FC92-6D4A-876E-D7017F30B91F}" type="sibTrans">
      <dgm:prSet/>
      <dgm:spPr/>
      <dgm:t>
        <a:bodyPr/>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8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5123180" cy="3430270"/>
        <a:chOff x="0" y="0"/>
        <a:chExt cx="5123180" cy="3430270"/>
      </a:xfrm>
    </dsp:grpSpPr>
    <dsp:sp modelId="{DEB68682-FAA6-0848-8056-D6D505DC64E4}">
      <dsp:nvSpPr>
        <dsp:cNvPr id="4" name="任意多边形 3"/>
        <dsp:cNvSpPr/>
      </dsp:nvSpPr>
      <dsp:spPr bwMode="white">
        <a:xfrm>
          <a:off x="601459" y="236570"/>
          <a:ext cx="310380" cy="1478565"/>
        </a:xfrm>
        <a:custGeom>
          <a:avLst/>
          <a:gdLst/>
          <a:ahLst/>
          <a:cxnLst/>
          <a:pathLst>
            <a:path w="489" h="2328">
              <a:moveTo>
                <a:pt x="0" y="2328"/>
              </a:moveTo>
              <a:lnTo>
                <a:pt x="244" y="2328"/>
              </a:lnTo>
              <a:lnTo>
                <a:pt x="244" y="0"/>
              </a:lnTo>
              <a:lnTo>
                <a:pt x="489" y="0"/>
              </a:lnTo>
            </a:path>
          </a:pathLst>
        </a:custGeom>
      </dsp:spPr>
      <dsp:style>
        <a:lnRef idx="2">
          <a:schemeClr val="dk1">
            <a:shade val="60000"/>
          </a:schemeClr>
        </a:lnRef>
        <a:fillRef idx="0">
          <a:schemeClr val="dk1"/>
        </a:fillRef>
        <a:effectRef idx="0">
          <a:scrgbClr r="0" g="0" b="0"/>
        </a:effectRef>
        <a:fontRef idx="minor"/>
      </dsp:style>
      <dsp:txBody>
        <a:bodyPr lIns="12700" tIns="0" rIns="12700" bIns="0" anchor="ctr"/>
        <a:lstStyle>
          <a:lvl1pPr algn="ctr">
            <a:defRPr sz="5000"/>
          </a:lvl1pPr>
          <a:lvl2pPr marL="285750" indent="-285750" algn="ctr">
            <a:defRPr sz="3900"/>
          </a:lvl2pPr>
          <a:lvl3pPr marL="571500" indent="-285750" algn="ctr">
            <a:defRPr sz="3900"/>
          </a:lvl3pPr>
          <a:lvl4pPr marL="857250" indent="-285750" algn="ctr">
            <a:defRPr sz="3900"/>
          </a:lvl4pPr>
          <a:lvl5pPr marL="1143000" indent="-285750" algn="ctr">
            <a:defRPr sz="3900"/>
          </a:lvl5pPr>
          <a:lvl6pPr marL="1428750" indent="-285750" algn="ctr">
            <a:defRPr sz="3900"/>
          </a:lvl6pPr>
          <a:lvl7pPr marL="1714500" indent="-285750" algn="ctr">
            <a:defRPr sz="3900"/>
          </a:lvl7pPr>
          <a:lvl8pPr marL="2000250" indent="-285750" algn="ctr">
            <a:defRPr sz="3900"/>
          </a:lvl8pPr>
          <a:lvl9pPr marL="2286000" indent="-285750" algn="ctr">
            <a:defRPr sz="3900"/>
          </a:lvl9pPr>
        </a:lstStyle>
        <a:p>
          <a:pPr lvl="0">
            <a:lnSpc>
              <a:spcPct val="100000"/>
            </a:lnSpc>
            <a:spcBef>
              <a:spcPct val="0"/>
            </a:spcBef>
            <a:spcAft>
              <a:spcPct val="35000"/>
            </a:spcAft>
          </a:pPr>
          <a:endParaRPr lang="zh-CN" altLang="en-US">
            <a:solidFill>
              <a:schemeClr val="tx1"/>
            </a:solidFill>
          </a:endParaRPr>
        </a:p>
      </dsp:txBody>
      <dsp:txXfrm>
        <a:off x="601459" y="236570"/>
        <a:ext cx="310380" cy="1478565"/>
      </dsp:txXfrm>
    </dsp:sp>
    <dsp:sp modelId="{36F05077-8A84-4843-A343-4630BFC35F41}">
      <dsp:nvSpPr>
        <dsp:cNvPr id="6" name="任意多边形 5"/>
        <dsp:cNvSpPr/>
      </dsp:nvSpPr>
      <dsp:spPr bwMode="white">
        <a:xfrm>
          <a:off x="2463741" y="236570"/>
          <a:ext cx="310380" cy="0"/>
        </a:xfrm>
        <a:custGeom>
          <a:avLst/>
          <a:gdLst/>
          <a:ahLst/>
          <a:cxnLst/>
          <a:pathLst>
            <a:path w="489">
              <a:moveTo>
                <a:pt x="0" y="0"/>
              </a:moveTo>
              <a:lnTo>
                <a:pt x="489" y="0"/>
              </a:lnTo>
            </a:path>
          </a:pathLst>
        </a:custGeom>
      </dsp:spPr>
      <dsp:style>
        <a:lnRef idx="2">
          <a:schemeClr val="dk1">
            <a:shade val="80000"/>
          </a:schemeClr>
        </a:lnRef>
        <a:fillRef idx="0">
          <a:schemeClr val="dk1"/>
        </a:fillRef>
        <a:effectRef idx="0">
          <a:scrgbClr r="0" g="0" b="0"/>
        </a:effectRef>
        <a:fontRef idx="minor"/>
      </dsp:style>
      <dsp:txBody>
        <a:bodyPr lIns="12700" tIns="0" rIns="1270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tx1"/>
            </a:solidFill>
          </a:endParaRPr>
        </a:p>
      </dsp:txBody>
      <dsp:txXfrm>
        <a:off x="2463741" y="236570"/>
        <a:ext cx="310380" cy="0"/>
      </dsp:txXfrm>
    </dsp:sp>
    <dsp:sp modelId="{6C7EFA24-7860-F343-82EB-771625279018}">
      <dsp:nvSpPr>
        <dsp:cNvPr id="8" name="任意多边形 7"/>
        <dsp:cNvSpPr/>
      </dsp:nvSpPr>
      <dsp:spPr bwMode="white">
        <a:xfrm>
          <a:off x="601459" y="827996"/>
          <a:ext cx="310380" cy="887139"/>
        </a:xfrm>
        <a:custGeom>
          <a:avLst/>
          <a:gdLst/>
          <a:ahLst/>
          <a:cxnLst/>
          <a:pathLst>
            <a:path w="489" h="1397">
              <a:moveTo>
                <a:pt x="0" y="1397"/>
              </a:moveTo>
              <a:lnTo>
                <a:pt x="244" y="1397"/>
              </a:lnTo>
              <a:lnTo>
                <a:pt x="244" y="0"/>
              </a:lnTo>
              <a:lnTo>
                <a:pt x="489" y="0"/>
              </a:lnTo>
            </a:path>
          </a:pathLst>
        </a:custGeom>
      </dsp:spPr>
      <dsp:style>
        <a:lnRef idx="2">
          <a:schemeClr val="dk1">
            <a:shade val="60000"/>
          </a:schemeClr>
        </a:lnRef>
        <a:fillRef idx="0">
          <a:schemeClr val="dk1"/>
        </a:fillRef>
        <a:effectRef idx="0">
          <a:scrgbClr r="0" g="0" b="0"/>
        </a:effectRef>
        <a:fontRef idx="minor"/>
      </dsp:style>
      <dsp:txBody>
        <a:bodyPr lIns="12700" tIns="0" rIns="12700" bIns="0" anchor="ctr"/>
        <a:lstStyle>
          <a:lvl1pPr algn="ctr">
            <a:defRPr sz="5000"/>
          </a:lvl1pPr>
          <a:lvl2pPr marL="285750" indent="-285750" algn="ctr">
            <a:defRPr sz="3900"/>
          </a:lvl2pPr>
          <a:lvl3pPr marL="571500" indent="-285750" algn="ctr">
            <a:defRPr sz="3900"/>
          </a:lvl3pPr>
          <a:lvl4pPr marL="857250" indent="-285750" algn="ctr">
            <a:defRPr sz="3900"/>
          </a:lvl4pPr>
          <a:lvl5pPr marL="1143000" indent="-285750" algn="ctr">
            <a:defRPr sz="3900"/>
          </a:lvl5pPr>
          <a:lvl6pPr marL="1428750" indent="-285750" algn="ctr">
            <a:defRPr sz="3900"/>
          </a:lvl6pPr>
          <a:lvl7pPr marL="1714500" indent="-285750" algn="ctr">
            <a:defRPr sz="3900"/>
          </a:lvl7pPr>
          <a:lvl8pPr marL="2000250" indent="-285750" algn="ctr">
            <a:defRPr sz="3900"/>
          </a:lvl8pPr>
          <a:lvl9pPr marL="2286000" indent="-285750" algn="ctr">
            <a:defRPr sz="3900"/>
          </a:lvl9pPr>
        </a:lstStyle>
        <a:p>
          <a:pPr lvl="0">
            <a:lnSpc>
              <a:spcPct val="100000"/>
            </a:lnSpc>
            <a:spcBef>
              <a:spcPct val="0"/>
            </a:spcBef>
            <a:spcAft>
              <a:spcPct val="35000"/>
            </a:spcAft>
          </a:pPr>
          <a:endParaRPr lang="zh-CN" altLang="en-US">
            <a:solidFill>
              <a:schemeClr val="tx1"/>
            </a:solidFill>
          </a:endParaRPr>
        </a:p>
      </dsp:txBody>
      <dsp:txXfrm>
        <a:off x="601459" y="827996"/>
        <a:ext cx="310380" cy="887139"/>
      </dsp:txXfrm>
    </dsp:sp>
    <dsp:sp modelId="{D6A3B381-55C7-4946-86BC-9F52CCCFD3CA}">
      <dsp:nvSpPr>
        <dsp:cNvPr id="10" name="任意多边形 9"/>
        <dsp:cNvSpPr/>
      </dsp:nvSpPr>
      <dsp:spPr bwMode="white">
        <a:xfrm>
          <a:off x="2463741" y="827996"/>
          <a:ext cx="310380" cy="0"/>
        </a:xfrm>
        <a:custGeom>
          <a:avLst/>
          <a:gdLst/>
          <a:ahLst/>
          <a:cxnLst/>
          <a:pathLst>
            <a:path w="489">
              <a:moveTo>
                <a:pt x="0" y="0"/>
              </a:moveTo>
              <a:lnTo>
                <a:pt x="489" y="0"/>
              </a:lnTo>
            </a:path>
          </a:pathLst>
        </a:custGeom>
      </dsp:spPr>
      <dsp:style>
        <a:lnRef idx="2">
          <a:schemeClr val="dk1">
            <a:shade val="80000"/>
          </a:schemeClr>
        </a:lnRef>
        <a:fillRef idx="0">
          <a:schemeClr val="dk1"/>
        </a:fillRef>
        <a:effectRef idx="0">
          <a:scrgbClr r="0" g="0" b="0"/>
        </a:effectRef>
        <a:fontRef idx="minor"/>
      </dsp:style>
      <dsp:txBody>
        <a:bodyPr lIns="12700" tIns="0" rIns="1270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tx1"/>
            </a:solidFill>
          </a:endParaRPr>
        </a:p>
      </dsp:txBody>
      <dsp:txXfrm>
        <a:off x="2463741" y="827996"/>
        <a:ext cx="310380" cy="0"/>
      </dsp:txXfrm>
    </dsp:sp>
    <dsp:sp modelId="{3558943C-499D-3C4D-ADA4-B25088C86140}">
      <dsp:nvSpPr>
        <dsp:cNvPr id="12" name="任意多边形 11"/>
        <dsp:cNvSpPr/>
      </dsp:nvSpPr>
      <dsp:spPr bwMode="white">
        <a:xfrm>
          <a:off x="601459" y="1419422"/>
          <a:ext cx="310380" cy="295713"/>
        </a:xfrm>
        <a:custGeom>
          <a:avLst/>
          <a:gdLst/>
          <a:ahLst/>
          <a:cxnLst/>
          <a:pathLst>
            <a:path w="489" h="466">
              <a:moveTo>
                <a:pt x="0" y="466"/>
              </a:moveTo>
              <a:lnTo>
                <a:pt x="244" y="466"/>
              </a:lnTo>
              <a:lnTo>
                <a:pt x="244" y="0"/>
              </a:lnTo>
              <a:lnTo>
                <a:pt x="489" y="0"/>
              </a:lnTo>
            </a:path>
          </a:pathLst>
        </a:custGeom>
      </dsp:spPr>
      <dsp:style>
        <a:lnRef idx="2">
          <a:schemeClr val="dk1">
            <a:shade val="60000"/>
          </a:schemeClr>
        </a:lnRef>
        <a:fillRef idx="0">
          <a:schemeClr val="dk1"/>
        </a:fillRef>
        <a:effectRef idx="0">
          <a:scrgbClr r="0" g="0" b="0"/>
        </a:effectRef>
        <a:fontRef idx="minor"/>
      </dsp:style>
      <dsp:txBody>
        <a:bodyPr lIns="12700" tIns="0" rIns="12700" bIns="0" anchor="ctr"/>
        <a:lstStyle>
          <a:lvl1pPr algn="ctr">
            <a:defRPr sz="1900"/>
          </a:lvl1pPr>
          <a:lvl2pPr marL="114300" indent="-114300" algn="ctr">
            <a:defRPr sz="1500"/>
          </a:lvl2pPr>
          <a:lvl3pPr marL="228600" indent="-114300" algn="ctr">
            <a:defRPr sz="1500"/>
          </a:lvl3pPr>
          <a:lvl4pPr marL="342900" indent="-114300" algn="ctr">
            <a:defRPr sz="1500"/>
          </a:lvl4pPr>
          <a:lvl5pPr marL="457200" indent="-114300" algn="ctr">
            <a:defRPr sz="1500"/>
          </a:lvl5pPr>
          <a:lvl6pPr marL="571500" indent="-114300" algn="ctr">
            <a:defRPr sz="1500"/>
          </a:lvl6pPr>
          <a:lvl7pPr marL="685800" indent="-114300" algn="ctr">
            <a:defRPr sz="1500"/>
          </a:lvl7pPr>
          <a:lvl8pPr marL="800100" indent="-114300" algn="ctr">
            <a:defRPr sz="1500"/>
          </a:lvl8pPr>
          <a:lvl9pPr marL="914400" indent="-114300" algn="ctr">
            <a:defRPr sz="1500"/>
          </a:lvl9pPr>
        </a:lstStyle>
        <a:p>
          <a:pPr lvl="0">
            <a:lnSpc>
              <a:spcPct val="100000"/>
            </a:lnSpc>
            <a:spcBef>
              <a:spcPct val="0"/>
            </a:spcBef>
            <a:spcAft>
              <a:spcPct val="35000"/>
            </a:spcAft>
          </a:pPr>
          <a:endParaRPr lang="zh-CN" altLang="en-US">
            <a:solidFill>
              <a:schemeClr val="tx1"/>
            </a:solidFill>
          </a:endParaRPr>
        </a:p>
      </dsp:txBody>
      <dsp:txXfrm>
        <a:off x="601459" y="1419422"/>
        <a:ext cx="310380" cy="295713"/>
      </dsp:txXfrm>
    </dsp:sp>
    <dsp:sp modelId="{5CD81B3E-A604-4D40-BA7B-52A29A2675E6}">
      <dsp:nvSpPr>
        <dsp:cNvPr id="14" name="任意多边形 13"/>
        <dsp:cNvSpPr/>
      </dsp:nvSpPr>
      <dsp:spPr bwMode="white">
        <a:xfrm>
          <a:off x="2463741" y="1419422"/>
          <a:ext cx="310380" cy="0"/>
        </a:xfrm>
        <a:custGeom>
          <a:avLst/>
          <a:gdLst/>
          <a:ahLst/>
          <a:cxnLst/>
          <a:pathLst>
            <a:path w="489">
              <a:moveTo>
                <a:pt x="0" y="0"/>
              </a:moveTo>
              <a:lnTo>
                <a:pt x="489" y="0"/>
              </a:lnTo>
            </a:path>
          </a:pathLst>
        </a:custGeom>
      </dsp:spPr>
      <dsp:style>
        <a:lnRef idx="2">
          <a:schemeClr val="dk1">
            <a:shade val="80000"/>
          </a:schemeClr>
        </a:lnRef>
        <a:fillRef idx="0">
          <a:schemeClr val="dk1"/>
        </a:fillRef>
        <a:effectRef idx="0">
          <a:scrgbClr r="0" g="0" b="0"/>
        </a:effectRef>
        <a:fontRef idx="minor"/>
      </dsp:style>
      <dsp:txBody>
        <a:bodyPr lIns="12700" tIns="0" rIns="1270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tx1"/>
            </a:solidFill>
          </a:endParaRPr>
        </a:p>
      </dsp:txBody>
      <dsp:txXfrm>
        <a:off x="2463741" y="1419422"/>
        <a:ext cx="310380" cy="0"/>
      </dsp:txXfrm>
    </dsp:sp>
    <dsp:sp modelId="{5E3AF9FE-E167-1B44-93A0-65CE50784825}">
      <dsp:nvSpPr>
        <dsp:cNvPr id="16" name="任意多边形 15"/>
        <dsp:cNvSpPr/>
      </dsp:nvSpPr>
      <dsp:spPr bwMode="white">
        <a:xfrm>
          <a:off x="601459" y="1715135"/>
          <a:ext cx="310380" cy="295713"/>
        </a:xfrm>
        <a:custGeom>
          <a:avLst/>
          <a:gdLst/>
          <a:ahLst/>
          <a:cxnLst/>
          <a:pathLst>
            <a:path w="489" h="466">
              <a:moveTo>
                <a:pt x="0" y="0"/>
              </a:moveTo>
              <a:lnTo>
                <a:pt x="244" y="0"/>
              </a:lnTo>
              <a:lnTo>
                <a:pt x="244" y="466"/>
              </a:lnTo>
              <a:lnTo>
                <a:pt x="489" y="466"/>
              </a:lnTo>
            </a:path>
          </a:pathLst>
        </a:custGeom>
      </dsp:spPr>
      <dsp:style>
        <a:lnRef idx="2">
          <a:schemeClr val="dk1">
            <a:shade val="60000"/>
          </a:schemeClr>
        </a:lnRef>
        <a:fillRef idx="0">
          <a:schemeClr val="dk1"/>
        </a:fillRef>
        <a:effectRef idx="0">
          <a:scrgbClr r="0" g="0" b="0"/>
        </a:effectRef>
        <a:fontRef idx="minor"/>
      </dsp:style>
      <dsp:txBody>
        <a:bodyPr lIns="12700" tIns="0" rIns="12700" bIns="0" anchor="ctr"/>
        <a:lstStyle>
          <a:lvl1pPr algn="ctr">
            <a:defRPr sz="1900"/>
          </a:lvl1pPr>
          <a:lvl2pPr marL="114300" indent="-114300" algn="ctr">
            <a:defRPr sz="1500"/>
          </a:lvl2pPr>
          <a:lvl3pPr marL="228600" indent="-114300" algn="ctr">
            <a:defRPr sz="1500"/>
          </a:lvl3pPr>
          <a:lvl4pPr marL="342900" indent="-114300" algn="ctr">
            <a:defRPr sz="1500"/>
          </a:lvl4pPr>
          <a:lvl5pPr marL="457200" indent="-114300" algn="ctr">
            <a:defRPr sz="1500"/>
          </a:lvl5pPr>
          <a:lvl6pPr marL="571500" indent="-114300" algn="ctr">
            <a:defRPr sz="1500"/>
          </a:lvl6pPr>
          <a:lvl7pPr marL="685800" indent="-114300" algn="ctr">
            <a:defRPr sz="1500"/>
          </a:lvl7pPr>
          <a:lvl8pPr marL="800100" indent="-114300" algn="ctr">
            <a:defRPr sz="1500"/>
          </a:lvl8pPr>
          <a:lvl9pPr marL="914400" indent="-114300" algn="ctr">
            <a:defRPr sz="1500"/>
          </a:lvl9pPr>
        </a:lstStyle>
        <a:p>
          <a:pPr lvl="0">
            <a:lnSpc>
              <a:spcPct val="100000"/>
            </a:lnSpc>
            <a:spcBef>
              <a:spcPct val="0"/>
            </a:spcBef>
            <a:spcAft>
              <a:spcPct val="35000"/>
            </a:spcAft>
          </a:pPr>
          <a:endParaRPr lang="zh-CN" altLang="en-US">
            <a:solidFill>
              <a:schemeClr val="tx1"/>
            </a:solidFill>
          </a:endParaRPr>
        </a:p>
      </dsp:txBody>
      <dsp:txXfrm>
        <a:off x="601459" y="1715135"/>
        <a:ext cx="310380" cy="295713"/>
      </dsp:txXfrm>
    </dsp:sp>
    <dsp:sp modelId="{72E4EEE5-BD6A-754B-B84B-59F2B7CAF0F3}">
      <dsp:nvSpPr>
        <dsp:cNvPr id="18" name="任意多边形 17"/>
        <dsp:cNvSpPr/>
      </dsp:nvSpPr>
      <dsp:spPr bwMode="white">
        <a:xfrm>
          <a:off x="2463741" y="2010848"/>
          <a:ext cx="310380" cy="0"/>
        </a:xfrm>
        <a:custGeom>
          <a:avLst/>
          <a:gdLst/>
          <a:ahLst/>
          <a:cxnLst/>
          <a:pathLst>
            <a:path w="489">
              <a:moveTo>
                <a:pt x="0" y="0"/>
              </a:moveTo>
              <a:lnTo>
                <a:pt x="489" y="0"/>
              </a:lnTo>
            </a:path>
          </a:pathLst>
        </a:custGeom>
      </dsp:spPr>
      <dsp:style>
        <a:lnRef idx="2">
          <a:schemeClr val="dk1">
            <a:shade val="80000"/>
          </a:schemeClr>
        </a:lnRef>
        <a:fillRef idx="0">
          <a:schemeClr val="dk1"/>
        </a:fillRef>
        <a:effectRef idx="0">
          <a:scrgbClr r="0" g="0" b="0"/>
        </a:effectRef>
        <a:fontRef idx="minor"/>
      </dsp:style>
      <dsp:txBody>
        <a:bodyPr lIns="12700" tIns="0" rIns="1270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tx1"/>
            </a:solidFill>
          </a:endParaRPr>
        </a:p>
      </dsp:txBody>
      <dsp:txXfrm>
        <a:off x="2463741" y="2010848"/>
        <a:ext cx="310380" cy="0"/>
      </dsp:txXfrm>
    </dsp:sp>
    <dsp:sp modelId="{C1D554B6-28E7-8347-8726-58AE5CD35421}">
      <dsp:nvSpPr>
        <dsp:cNvPr id="20" name="任意多边形 19"/>
        <dsp:cNvSpPr/>
      </dsp:nvSpPr>
      <dsp:spPr bwMode="white">
        <a:xfrm>
          <a:off x="601459" y="1715135"/>
          <a:ext cx="310380" cy="887139"/>
        </a:xfrm>
        <a:custGeom>
          <a:avLst/>
          <a:gdLst/>
          <a:ahLst/>
          <a:cxnLst/>
          <a:pathLst>
            <a:path w="489" h="1397">
              <a:moveTo>
                <a:pt x="0" y="0"/>
              </a:moveTo>
              <a:lnTo>
                <a:pt x="244" y="0"/>
              </a:lnTo>
              <a:lnTo>
                <a:pt x="244" y="1397"/>
              </a:lnTo>
              <a:lnTo>
                <a:pt x="489" y="1397"/>
              </a:lnTo>
            </a:path>
          </a:pathLst>
        </a:custGeom>
      </dsp:spPr>
      <dsp:style>
        <a:lnRef idx="2">
          <a:schemeClr val="dk1">
            <a:shade val="60000"/>
          </a:schemeClr>
        </a:lnRef>
        <a:fillRef idx="0">
          <a:schemeClr val="dk1"/>
        </a:fillRef>
        <a:effectRef idx="0">
          <a:scrgbClr r="0" g="0" b="0"/>
        </a:effectRef>
        <a:fontRef idx="minor"/>
      </dsp:style>
      <dsp:txBody>
        <a:bodyPr lIns="12700" tIns="0" rIns="12700" bIns="0" anchor="ctr"/>
        <a:lstStyle>
          <a:lvl1pPr algn="ctr">
            <a:defRPr sz="5000"/>
          </a:lvl1pPr>
          <a:lvl2pPr marL="285750" indent="-285750" algn="ctr">
            <a:defRPr sz="3900"/>
          </a:lvl2pPr>
          <a:lvl3pPr marL="571500" indent="-285750" algn="ctr">
            <a:defRPr sz="3900"/>
          </a:lvl3pPr>
          <a:lvl4pPr marL="857250" indent="-285750" algn="ctr">
            <a:defRPr sz="3900"/>
          </a:lvl4pPr>
          <a:lvl5pPr marL="1143000" indent="-285750" algn="ctr">
            <a:defRPr sz="3900"/>
          </a:lvl5pPr>
          <a:lvl6pPr marL="1428750" indent="-285750" algn="ctr">
            <a:defRPr sz="3900"/>
          </a:lvl6pPr>
          <a:lvl7pPr marL="1714500" indent="-285750" algn="ctr">
            <a:defRPr sz="3900"/>
          </a:lvl7pPr>
          <a:lvl8pPr marL="2000250" indent="-285750" algn="ctr">
            <a:defRPr sz="3900"/>
          </a:lvl8pPr>
          <a:lvl9pPr marL="2286000" indent="-285750" algn="ctr">
            <a:defRPr sz="3900"/>
          </a:lvl9pPr>
        </a:lstStyle>
        <a:p>
          <a:pPr lvl="0">
            <a:lnSpc>
              <a:spcPct val="100000"/>
            </a:lnSpc>
            <a:spcBef>
              <a:spcPct val="0"/>
            </a:spcBef>
            <a:spcAft>
              <a:spcPct val="35000"/>
            </a:spcAft>
          </a:pPr>
          <a:endParaRPr lang="zh-CN" altLang="en-US">
            <a:solidFill>
              <a:schemeClr val="tx1"/>
            </a:solidFill>
          </a:endParaRPr>
        </a:p>
      </dsp:txBody>
      <dsp:txXfrm>
        <a:off x="601459" y="1715135"/>
        <a:ext cx="310380" cy="887139"/>
      </dsp:txXfrm>
    </dsp:sp>
    <dsp:sp modelId="{C2A6A271-A89B-2E41-B46A-5D6BCD815C40}">
      <dsp:nvSpPr>
        <dsp:cNvPr id="22" name="任意多边形 21"/>
        <dsp:cNvSpPr/>
      </dsp:nvSpPr>
      <dsp:spPr bwMode="white">
        <a:xfrm>
          <a:off x="2463741" y="2602274"/>
          <a:ext cx="310380" cy="0"/>
        </a:xfrm>
        <a:custGeom>
          <a:avLst/>
          <a:gdLst/>
          <a:ahLst/>
          <a:cxnLst/>
          <a:pathLst>
            <a:path w="489">
              <a:moveTo>
                <a:pt x="0" y="0"/>
              </a:moveTo>
              <a:lnTo>
                <a:pt x="489" y="0"/>
              </a:lnTo>
            </a:path>
          </a:pathLst>
        </a:custGeom>
      </dsp:spPr>
      <dsp:style>
        <a:lnRef idx="2">
          <a:schemeClr val="dk1">
            <a:shade val="80000"/>
          </a:schemeClr>
        </a:lnRef>
        <a:fillRef idx="0">
          <a:schemeClr val="dk1"/>
        </a:fillRef>
        <a:effectRef idx="0">
          <a:scrgbClr r="0" g="0" b="0"/>
        </a:effectRef>
        <a:fontRef idx="minor"/>
      </dsp:style>
      <dsp:txBody>
        <a:bodyPr lIns="12700" tIns="0" rIns="1270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tx1"/>
            </a:solidFill>
          </a:endParaRPr>
        </a:p>
      </dsp:txBody>
      <dsp:txXfrm>
        <a:off x="2463741" y="2602274"/>
        <a:ext cx="310380" cy="0"/>
      </dsp:txXfrm>
    </dsp:sp>
    <dsp:sp modelId="{4405C133-5111-A744-BB96-B2E24A117EC3}">
      <dsp:nvSpPr>
        <dsp:cNvPr id="24" name="任意多边形 23"/>
        <dsp:cNvSpPr/>
      </dsp:nvSpPr>
      <dsp:spPr bwMode="white">
        <a:xfrm>
          <a:off x="601459" y="1715135"/>
          <a:ext cx="310380" cy="1478565"/>
        </a:xfrm>
        <a:custGeom>
          <a:avLst/>
          <a:gdLst/>
          <a:ahLst/>
          <a:cxnLst/>
          <a:pathLst>
            <a:path w="489" h="2328">
              <a:moveTo>
                <a:pt x="0" y="0"/>
              </a:moveTo>
              <a:lnTo>
                <a:pt x="244" y="0"/>
              </a:lnTo>
              <a:lnTo>
                <a:pt x="244" y="2328"/>
              </a:lnTo>
              <a:lnTo>
                <a:pt x="489" y="2328"/>
              </a:lnTo>
            </a:path>
          </a:pathLst>
        </a:custGeom>
      </dsp:spPr>
      <dsp:style>
        <a:lnRef idx="2">
          <a:schemeClr val="dk1">
            <a:shade val="60000"/>
          </a:schemeClr>
        </a:lnRef>
        <a:fillRef idx="0">
          <a:schemeClr val="dk1"/>
        </a:fillRef>
        <a:effectRef idx="0">
          <a:scrgbClr r="0" g="0" b="0"/>
        </a:effectRef>
        <a:fontRef idx="minor"/>
      </dsp:style>
      <dsp:txBody>
        <a:bodyPr lIns="12700" tIns="0" rIns="12700" bIns="0" anchor="ctr"/>
        <a:lstStyle>
          <a:lvl1pPr algn="ctr">
            <a:defRPr sz="5000"/>
          </a:lvl1pPr>
          <a:lvl2pPr marL="285750" indent="-285750" algn="ctr">
            <a:defRPr sz="3900"/>
          </a:lvl2pPr>
          <a:lvl3pPr marL="571500" indent="-285750" algn="ctr">
            <a:defRPr sz="3900"/>
          </a:lvl3pPr>
          <a:lvl4pPr marL="857250" indent="-285750" algn="ctr">
            <a:defRPr sz="3900"/>
          </a:lvl4pPr>
          <a:lvl5pPr marL="1143000" indent="-285750" algn="ctr">
            <a:defRPr sz="3900"/>
          </a:lvl5pPr>
          <a:lvl6pPr marL="1428750" indent="-285750" algn="ctr">
            <a:defRPr sz="3900"/>
          </a:lvl6pPr>
          <a:lvl7pPr marL="1714500" indent="-285750" algn="ctr">
            <a:defRPr sz="3900"/>
          </a:lvl7pPr>
          <a:lvl8pPr marL="2000250" indent="-285750" algn="ctr">
            <a:defRPr sz="3900"/>
          </a:lvl8pPr>
          <a:lvl9pPr marL="2286000" indent="-285750" algn="ctr">
            <a:defRPr sz="3900"/>
          </a:lvl9pPr>
        </a:lstStyle>
        <a:p>
          <a:pPr lvl="0">
            <a:lnSpc>
              <a:spcPct val="100000"/>
            </a:lnSpc>
            <a:spcBef>
              <a:spcPct val="0"/>
            </a:spcBef>
            <a:spcAft>
              <a:spcPct val="35000"/>
            </a:spcAft>
          </a:pPr>
          <a:endParaRPr lang="zh-CN" altLang="en-US">
            <a:solidFill>
              <a:schemeClr val="tx1"/>
            </a:solidFill>
          </a:endParaRPr>
        </a:p>
      </dsp:txBody>
      <dsp:txXfrm>
        <a:off x="601459" y="1715135"/>
        <a:ext cx="310380" cy="1478565"/>
      </dsp:txXfrm>
    </dsp:sp>
    <dsp:sp modelId="{3C9B86A8-4124-0F47-80C6-6A64701BCBC4}">
      <dsp:nvSpPr>
        <dsp:cNvPr id="26" name="任意多边形 25"/>
        <dsp:cNvSpPr/>
      </dsp:nvSpPr>
      <dsp:spPr bwMode="white">
        <a:xfrm>
          <a:off x="2463741" y="3193700"/>
          <a:ext cx="310380" cy="0"/>
        </a:xfrm>
        <a:custGeom>
          <a:avLst/>
          <a:gdLst/>
          <a:ahLst/>
          <a:cxnLst/>
          <a:pathLst>
            <a:path w="489">
              <a:moveTo>
                <a:pt x="0" y="0"/>
              </a:moveTo>
              <a:lnTo>
                <a:pt x="489" y="0"/>
              </a:lnTo>
            </a:path>
          </a:pathLst>
        </a:custGeom>
      </dsp:spPr>
      <dsp:style>
        <a:lnRef idx="2">
          <a:schemeClr val="dk1">
            <a:shade val="80000"/>
          </a:schemeClr>
        </a:lnRef>
        <a:fillRef idx="0">
          <a:schemeClr val="dk1"/>
        </a:fillRef>
        <a:effectRef idx="0">
          <a:scrgbClr r="0" g="0" b="0"/>
        </a:effectRef>
        <a:fontRef idx="minor"/>
      </dsp:style>
      <dsp:txBody>
        <a:bodyPr lIns="12700" tIns="0" rIns="1270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tx1"/>
            </a:solidFill>
          </a:endParaRPr>
        </a:p>
      </dsp:txBody>
      <dsp:txXfrm>
        <a:off x="2463741" y="3193700"/>
        <a:ext cx="310380" cy="0"/>
      </dsp:txXfrm>
    </dsp:sp>
    <dsp:sp modelId="{E749336D-C188-7645-BA5B-19AA33F8C878}">
      <dsp:nvSpPr>
        <dsp:cNvPr id="3" name="矩形 2"/>
        <dsp:cNvSpPr/>
      </dsp:nvSpPr>
      <dsp:spPr bwMode="white">
        <a:xfrm rot="16200000">
          <a:off x="-880218" y="1478565"/>
          <a:ext cx="2490214"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altLang="zh-CN" sz="900" b="0" baseline="0">
              <a:solidFill>
                <a:schemeClr val="dk1"/>
              </a:solidFill>
              <a:latin typeface="Times New Roman" panose="02020603050405020304" charset="0"/>
              <a:ea typeface="宋体" panose="02010600030101010101" charset="-122"/>
              <a:cs typeface="Times New Roman" panose="02020603050405020304" charset="0"/>
            </a:rPr>
            <a:t>H</a:t>
          </a: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公司软件开发过程的改进研究</a:t>
          </a:r>
          <a:endParaRPr>
            <a:solidFill>
              <a:schemeClr val="dk1"/>
            </a:solidFill>
          </a:endParaRPr>
        </a:p>
      </dsp:txBody>
      <dsp:txXfrm rot="16200000">
        <a:off x="-880218" y="1478565"/>
        <a:ext cx="2490214" cy="473141"/>
      </dsp:txXfrm>
    </dsp:sp>
    <dsp:sp modelId="{339CC150-DC00-FF4E-9726-E806C004C3E7}">
      <dsp:nvSpPr>
        <dsp:cNvPr id="5" name="矩形 4"/>
        <dsp:cNvSpPr/>
      </dsp:nvSpPr>
      <dsp:spPr bwMode="white">
        <a:xfrm>
          <a:off x="911840" y="0"/>
          <a:ext cx="1551901"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第一章</a:t>
          </a:r>
          <a:br>
            <a:rPr lang="en-US" altLang="zh-CN" sz="900" b="0" baseline="0">
              <a:solidFill>
                <a:schemeClr val="dk1"/>
              </a:solidFill>
              <a:latin typeface="Times New Roman" panose="02020603050405020304" charset="0"/>
              <a:ea typeface="宋体" panose="02010600030101010101" charset="-122"/>
              <a:cs typeface="Times New Roman" panose="02020603050405020304" charset="0"/>
            </a:rPr>
          </a:b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绪论</a:t>
          </a:r>
          <a:endParaRPr>
            <a:solidFill>
              <a:schemeClr val="dk1"/>
            </a:solidFill>
          </a:endParaRPr>
        </a:p>
      </dsp:txBody>
      <dsp:txXfrm>
        <a:off x="911840" y="0"/>
        <a:ext cx="1551901" cy="473141"/>
      </dsp:txXfrm>
    </dsp:sp>
    <dsp:sp modelId="{E793642C-6D62-1242-B3BC-8A4B4E48F20A}">
      <dsp:nvSpPr>
        <dsp:cNvPr id="7" name="矩形 6"/>
        <dsp:cNvSpPr/>
      </dsp:nvSpPr>
      <dsp:spPr bwMode="white">
        <a:xfrm>
          <a:off x="2774121" y="0"/>
          <a:ext cx="2220740"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阐述研究背景、意义、目标与方法，分析国内外研究现状，明确研究定位与框架。</a:t>
          </a:r>
          <a:endParaRPr>
            <a:solidFill>
              <a:schemeClr val="dk1"/>
            </a:solidFill>
          </a:endParaRPr>
        </a:p>
      </dsp:txBody>
      <dsp:txXfrm>
        <a:off x="2774121" y="0"/>
        <a:ext cx="2220740" cy="473141"/>
      </dsp:txXfrm>
    </dsp:sp>
    <dsp:sp modelId="{31A5984E-B059-2A42-8FD4-1D3E10D234E2}">
      <dsp:nvSpPr>
        <dsp:cNvPr id="9" name="矩形 8"/>
        <dsp:cNvSpPr/>
      </dsp:nvSpPr>
      <dsp:spPr bwMode="white">
        <a:xfrm>
          <a:off x="911840" y="591426"/>
          <a:ext cx="1551901"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第二章</a:t>
          </a:r>
          <a:br>
            <a:rPr lang="en-US" altLang="zh-CN" sz="900" b="0" baseline="0">
              <a:solidFill>
                <a:schemeClr val="dk1"/>
              </a:solidFill>
              <a:latin typeface="Times New Roman" panose="02020603050405020304" charset="0"/>
              <a:ea typeface="宋体" panose="02010600030101010101" charset="-122"/>
              <a:cs typeface="Times New Roman" panose="02020603050405020304" charset="0"/>
            </a:rPr>
          </a:b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相关理论与方法</a:t>
          </a:r>
          <a:endParaRPr>
            <a:solidFill>
              <a:schemeClr val="dk1"/>
            </a:solidFill>
          </a:endParaRPr>
        </a:p>
      </dsp:txBody>
      <dsp:txXfrm>
        <a:off x="911840" y="591426"/>
        <a:ext cx="1551901" cy="473141"/>
      </dsp:txXfrm>
    </dsp:sp>
    <dsp:sp modelId="{ADAE1E00-8CCF-0E4D-9852-10E857A0AA10}">
      <dsp:nvSpPr>
        <dsp:cNvPr id="11" name="矩形 10"/>
        <dsp:cNvSpPr/>
      </dsp:nvSpPr>
      <dsp:spPr bwMode="white">
        <a:xfrm>
          <a:off x="2774121" y="591426"/>
          <a:ext cx="2220740"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介绍软件过程改进、价值流管理、工程效能度量、</a:t>
          </a:r>
          <a:r>
            <a:rPr lang="en-US" sz="900" b="0" baseline="0">
              <a:solidFill>
                <a:schemeClr val="dk1"/>
              </a:solidFill>
              <a:latin typeface="Times New Roman" panose="02020603050405020304" charset="0"/>
              <a:ea typeface="宋体" panose="02010600030101010101" charset="-122"/>
              <a:cs typeface="Times New Roman" panose="02020603050405020304" charset="0"/>
            </a:rPr>
            <a:t>DevSecOps、</a:t>
          </a: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技术债务治理、</a:t>
          </a:r>
          <a:r>
            <a:rPr lang="en-US" sz="900" b="0" baseline="0">
              <a:solidFill>
                <a:schemeClr val="dk1"/>
              </a:solidFill>
              <a:latin typeface="Times New Roman" panose="02020603050405020304" charset="0"/>
              <a:ea typeface="宋体" panose="02010600030101010101" charset="-122"/>
              <a:cs typeface="Times New Roman" panose="02020603050405020304" charset="0"/>
            </a:rPr>
            <a:t>AIOps</a:t>
          </a: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与</a:t>
          </a:r>
          <a:r>
            <a:rPr lang="en-US" sz="900" b="0" baseline="0">
              <a:solidFill>
                <a:schemeClr val="dk1"/>
              </a:solidFill>
              <a:latin typeface="Times New Roman" panose="02020603050405020304" charset="0"/>
              <a:ea typeface="宋体" panose="02010600030101010101" charset="-122"/>
              <a:cs typeface="Times New Roman" panose="02020603050405020304" charset="0"/>
            </a:rPr>
            <a:t>SRE</a:t>
          </a: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及协作理论，为研究提供支撑。</a:t>
          </a:r>
          <a:endParaRPr>
            <a:solidFill>
              <a:schemeClr val="dk1"/>
            </a:solidFill>
          </a:endParaRPr>
        </a:p>
      </dsp:txBody>
      <dsp:txXfrm>
        <a:off x="2774121" y="591426"/>
        <a:ext cx="2220740" cy="473141"/>
      </dsp:txXfrm>
    </dsp:sp>
    <dsp:sp modelId="{8B94E469-9AF0-C24C-9353-967D2B521024}">
      <dsp:nvSpPr>
        <dsp:cNvPr id="13" name="矩形 12"/>
        <dsp:cNvSpPr/>
      </dsp:nvSpPr>
      <dsp:spPr bwMode="white">
        <a:xfrm>
          <a:off x="911840" y="1182852"/>
          <a:ext cx="1551901"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第三章</a:t>
          </a:r>
          <a:br>
            <a:rPr lang="en-US" altLang="zh-CN" sz="900" b="0" baseline="0">
              <a:solidFill>
                <a:schemeClr val="dk1"/>
              </a:solidFill>
              <a:latin typeface="Times New Roman" panose="02020603050405020304" charset="0"/>
              <a:ea typeface="宋体" panose="02010600030101010101" charset="-122"/>
              <a:cs typeface="Times New Roman" panose="02020603050405020304" charset="0"/>
            </a:rPr>
          </a:br>
          <a:r>
            <a:rPr lang="en-US" sz="900" b="0" baseline="0">
              <a:solidFill>
                <a:schemeClr val="dk1"/>
              </a:solidFill>
              <a:latin typeface="Times New Roman" panose="02020603050405020304" charset="0"/>
              <a:ea typeface="宋体" panose="02010600030101010101" charset="-122"/>
              <a:cs typeface="Times New Roman" panose="02020603050405020304" charset="0"/>
            </a:rPr>
            <a:t>H</a:t>
          </a: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公司软件开发过程现状与问题分析</a:t>
          </a:r>
          <a:endParaRPr>
            <a:solidFill>
              <a:schemeClr val="dk1"/>
            </a:solidFill>
          </a:endParaRPr>
        </a:p>
      </dsp:txBody>
      <dsp:txXfrm>
        <a:off x="911840" y="1182852"/>
        <a:ext cx="1551901" cy="473141"/>
      </dsp:txXfrm>
    </dsp:sp>
    <dsp:sp modelId="{CFE2706E-AFF9-A142-BD18-1DB4BAB59BFB}">
      <dsp:nvSpPr>
        <dsp:cNvPr id="15" name="矩形 14"/>
        <dsp:cNvSpPr/>
      </dsp:nvSpPr>
      <dsp:spPr bwMode="white">
        <a:xfrm>
          <a:off x="2774121" y="1182852"/>
          <a:ext cx="2220740"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基于调研与数据，从需求、安全、债务、运维与协作五方面诊断现状，识别主要问题与改进方向。</a:t>
          </a:r>
          <a:endParaRPr>
            <a:solidFill>
              <a:schemeClr val="dk1"/>
            </a:solidFill>
          </a:endParaRPr>
        </a:p>
      </dsp:txBody>
      <dsp:txXfrm>
        <a:off x="2774121" y="1182852"/>
        <a:ext cx="2220740" cy="473141"/>
      </dsp:txXfrm>
    </dsp:sp>
    <dsp:sp modelId="{3E24C4C3-1B4C-C846-BFE2-323F73BA756F}">
      <dsp:nvSpPr>
        <dsp:cNvPr id="17" name="矩形 16"/>
        <dsp:cNvSpPr/>
      </dsp:nvSpPr>
      <dsp:spPr bwMode="white">
        <a:xfrm>
          <a:off x="911840" y="1774278"/>
          <a:ext cx="1551901"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第四章</a:t>
          </a:r>
          <a:br>
            <a:rPr lang="en-US" altLang="zh-CN" sz="900" b="0" baseline="0">
              <a:solidFill>
                <a:schemeClr val="dk1"/>
              </a:solidFill>
              <a:latin typeface="Times New Roman" panose="02020603050405020304" charset="0"/>
              <a:ea typeface="宋体" panose="02010600030101010101" charset="-122"/>
              <a:cs typeface="Times New Roman" panose="02020603050405020304" charset="0"/>
            </a:rPr>
          </a:b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软件开发过程改进方案设计</a:t>
          </a:r>
          <a:endParaRPr>
            <a:solidFill>
              <a:schemeClr val="dk1"/>
            </a:solidFill>
          </a:endParaRPr>
        </a:p>
      </dsp:txBody>
      <dsp:txXfrm>
        <a:off x="911840" y="1774278"/>
        <a:ext cx="1551901" cy="473141"/>
      </dsp:txXfrm>
    </dsp:sp>
    <dsp:sp modelId="{2AEFD78C-04E4-994C-BAAF-CA9FA9B446AB}">
      <dsp:nvSpPr>
        <dsp:cNvPr id="19" name="矩形 18"/>
        <dsp:cNvSpPr/>
      </dsp:nvSpPr>
      <dsp:spPr bwMode="white">
        <a:xfrm>
          <a:off x="2774121" y="1774278"/>
          <a:ext cx="2220740"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提出系统化改进方案，涵盖需求响应、安全左移、债务治理、智能运维与组织协同，构建价值流驱动与持续优化框架。</a:t>
          </a:r>
          <a:endParaRPr>
            <a:solidFill>
              <a:schemeClr val="dk1"/>
            </a:solidFill>
          </a:endParaRPr>
        </a:p>
      </dsp:txBody>
      <dsp:txXfrm>
        <a:off x="2774121" y="1774278"/>
        <a:ext cx="2220740" cy="473141"/>
      </dsp:txXfrm>
    </dsp:sp>
    <dsp:sp modelId="{DB53C825-8086-C24D-B263-344C296D465D}">
      <dsp:nvSpPr>
        <dsp:cNvPr id="21" name="矩形 20"/>
        <dsp:cNvSpPr/>
      </dsp:nvSpPr>
      <dsp:spPr bwMode="white">
        <a:xfrm>
          <a:off x="911840" y="2365703"/>
          <a:ext cx="1551901"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第五章</a:t>
          </a:r>
          <a:br>
            <a:rPr lang="en-US" altLang="zh-CN" sz="900" b="0" baseline="0">
              <a:solidFill>
                <a:schemeClr val="dk1"/>
              </a:solidFill>
              <a:latin typeface="Times New Roman" panose="02020603050405020304" charset="0"/>
              <a:ea typeface="宋体" panose="02010600030101010101" charset="-122"/>
              <a:cs typeface="Times New Roman" panose="02020603050405020304" charset="0"/>
            </a:rPr>
          </a:b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改进方案实施与效果验证</a:t>
          </a:r>
          <a:endParaRPr>
            <a:solidFill>
              <a:schemeClr val="dk1"/>
            </a:solidFill>
          </a:endParaRPr>
        </a:p>
      </dsp:txBody>
      <dsp:txXfrm>
        <a:off x="911840" y="2365703"/>
        <a:ext cx="1551901" cy="473141"/>
      </dsp:txXfrm>
    </dsp:sp>
    <dsp:sp modelId="{F4A984C9-5B32-D546-BCBD-A60315B41A05}">
      <dsp:nvSpPr>
        <dsp:cNvPr id="23" name="矩形 22"/>
        <dsp:cNvSpPr/>
      </dsp:nvSpPr>
      <dsp:spPr bwMode="white">
        <a:xfrm>
          <a:off x="2774121" y="2365703"/>
          <a:ext cx="2220740"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通过实践验证方案可行性，基于效能指标评估效率、质量与协作提升，并建立持续改进机制。</a:t>
          </a:r>
          <a:endParaRPr>
            <a:solidFill>
              <a:schemeClr val="dk1"/>
            </a:solidFill>
          </a:endParaRPr>
        </a:p>
      </dsp:txBody>
      <dsp:txXfrm>
        <a:off x="2774121" y="2365703"/>
        <a:ext cx="2220740" cy="473141"/>
      </dsp:txXfrm>
    </dsp:sp>
    <dsp:sp modelId="{D8435FA2-7632-6742-8CF5-482B8169226E}">
      <dsp:nvSpPr>
        <dsp:cNvPr id="25" name="矩形 24"/>
        <dsp:cNvSpPr/>
      </dsp:nvSpPr>
      <dsp:spPr bwMode="white">
        <a:xfrm>
          <a:off x="911840" y="2957129"/>
          <a:ext cx="1551901"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第六章</a:t>
          </a:r>
          <a:endParaRPr lang="en-US" altLang="zh-CN" sz="900" b="0" baseline="0">
            <a:solidFill>
              <a:schemeClr val="dk1"/>
            </a:solidFill>
            <a:latin typeface="Times New Roman" panose="02020603050405020304" charset="0"/>
            <a:ea typeface="宋体" panose="02010600030101010101" charset="-122"/>
            <a:cs typeface="Times New Roman" panose="02020603050405020304" charset="0"/>
          </a:endParaRPr>
        </a:p>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研究结论与展望</a:t>
          </a:r>
          <a:endParaRPr>
            <a:solidFill>
              <a:schemeClr val="dk1"/>
            </a:solidFill>
          </a:endParaRPr>
        </a:p>
      </dsp:txBody>
      <dsp:txXfrm>
        <a:off x="911840" y="2957129"/>
        <a:ext cx="1551901" cy="473141"/>
      </dsp:txXfrm>
    </dsp:sp>
    <dsp:sp modelId="{06656117-6FDD-D44B-ACF9-53109F7FBC79}">
      <dsp:nvSpPr>
        <dsp:cNvPr id="27" name="矩形 26"/>
        <dsp:cNvSpPr/>
      </dsp:nvSpPr>
      <dsp:spPr bwMode="white">
        <a:xfrm>
          <a:off x="2774121" y="2957129"/>
          <a:ext cx="2220740" cy="473141"/>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0" baseline="0">
              <a:solidFill>
                <a:schemeClr val="dk1"/>
              </a:solidFill>
              <a:latin typeface="Times New Roman" panose="02020603050405020304" charset="0"/>
              <a:ea typeface="宋体" panose="02010600030101010101" charset="-122"/>
              <a:cs typeface="Times New Roman" panose="02020603050405020304" charset="0"/>
            </a:rPr>
            <a:t>总结成果与创新，阐明理论与实践价值，展望智能开发与数字化合规方向。</a:t>
          </a:r>
          <a:endParaRPr>
            <a:solidFill>
              <a:schemeClr val="dk1"/>
            </a:solidFill>
          </a:endParaRPr>
        </a:p>
      </dsp:txBody>
      <dsp:txXfrm>
        <a:off x="2774121" y="2957129"/>
        <a:ext cx="2220740" cy="473141"/>
      </dsp:txXfrm>
    </dsp:sp>
  </dsp:spTree>
</dsp:drawing>
</file>

<file path=word/diagrams/drawing2.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3000375" cy="546100"/>
        <a:chOff x="0" y="0"/>
        <a:chExt cx="3000375" cy="546100"/>
      </a:xfrm>
    </dsp:grpSpPr>
    <dsp:sp modelId="{0DE70EDB-5FDE-B24B-8ADB-53D14C46A554}">
      <dsp:nvSpPr>
        <dsp:cNvPr id="3" name="圆角矩形 2"/>
        <dsp:cNvSpPr/>
      </dsp:nvSpPr>
      <dsp:spPr bwMode="white">
        <a:xfrm>
          <a:off x="0" y="36178"/>
          <a:ext cx="789572" cy="473743"/>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过程规范化</a:t>
          </a:r>
          <a:endParaRPr>
            <a:solidFill>
              <a:schemeClr val="dk1"/>
            </a:solidFill>
          </a:endParaRPr>
        </a:p>
      </dsp:txBody>
      <dsp:txXfrm>
        <a:off x="0" y="36178"/>
        <a:ext cx="789572" cy="473743"/>
      </dsp:txXfrm>
    </dsp:sp>
    <dsp:sp modelId="{F10AD1CB-4D14-2945-A33C-EF07010C56A7}">
      <dsp:nvSpPr>
        <dsp:cNvPr id="4" name="右箭头 3"/>
        <dsp:cNvSpPr/>
      </dsp:nvSpPr>
      <dsp:spPr bwMode="white">
        <a:xfrm>
          <a:off x="863792" y="175143"/>
          <a:ext cx="167389" cy="195814"/>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lang="zh-CN" altLang="en-US">
            <a:solidFill>
              <a:schemeClr val="dk1"/>
            </a:solidFill>
          </a:endParaRPr>
        </a:p>
      </dsp:txBody>
      <dsp:txXfrm>
        <a:off x="863792" y="175143"/>
        <a:ext cx="167389" cy="195814"/>
      </dsp:txXfrm>
    </dsp:sp>
    <dsp:sp modelId="{4526BD3E-9BAC-264C-84CA-49551D19368D}">
      <dsp:nvSpPr>
        <dsp:cNvPr id="5" name="圆角矩形 4"/>
        <dsp:cNvSpPr/>
      </dsp:nvSpPr>
      <dsp:spPr bwMode="white">
        <a:xfrm>
          <a:off x="1105401" y="36178"/>
          <a:ext cx="789572" cy="473743"/>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度量驱动化</a:t>
          </a:r>
          <a:endParaRPr>
            <a:solidFill>
              <a:schemeClr val="dk1"/>
            </a:solidFill>
          </a:endParaRPr>
        </a:p>
      </dsp:txBody>
      <dsp:txXfrm>
        <a:off x="1105401" y="36178"/>
        <a:ext cx="789572" cy="473743"/>
      </dsp:txXfrm>
    </dsp:sp>
    <dsp:sp modelId="{29B31130-F6FA-FC46-B92F-907D4C100269}">
      <dsp:nvSpPr>
        <dsp:cNvPr id="6" name="右箭头 5"/>
        <dsp:cNvSpPr/>
      </dsp:nvSpPr>
      <dsp:spPr bwMode="white">
        <a:xfrm>
          <a:off x="1969193" y="175143"/>
          <a:ext cx="167389" cy="195814"/>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lang="zh-CN" altLang="en-US">
            <a:solidFill>
              <a:schemeClr val="dk1"/>
            </a:solidFill>
          </a:endParaRPr>
        </a:p>
      </dsp:txBody>
      <dsp:txXfrm>
        <a:off x="1969193" y="175143"/>
        <a:ext cx="167389" cy="195814"/>
      </dsp:txXfrm>
    </dsp:sp>
    <dsp:sp modelId="{23E57E01-157C-7F40-9642-E2B4733EBD60}">
      <dsp:nvSpPr>
        <dsp:cNvPr id="7" name="圆角矩形 6"/>
        <dsp:cNvSpPr/>
      </dsp:nvSpPr>
      <dsp:spPr bwMode="white">
        <a:xfrm>
          <a:off x="2210803" y="36178"/>
          <a:ext cx="789572" cy="473743"/>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持续优化化</a:t>
          </a:r>
          <a:endParaRPr>
            <a:solidFill>
              <a:schemeClr val="dk1"/>
            </a:solidFill>
          </a:endParaRPr>
        </a:p>
      </dsp:txBody>
      <dsp:txXfrm>
        <a:off x="2210803" y="36178"/>
        <a:ext cx="789572" cy="473743"/>
      </dsp:txXfrm>
    </dsp:sp>
  </dsp:spTree>
</dsp:drawing>
</file>

<file path=word/diagrams/drawing3.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2648869" cy="1926590"/>
        <a:chOff x="0" y="0"/>
        <a:chExt cx="2648869" cy="1926590"/>
      </a:xfrm>
    </dsp:grpSpPr>
    <dsp:sp modelId="{5EEEB0FA-CD72-6D4C-806F-2C774BF70FA0}">
      <dsp:nvSpPr>
        <dsp:cNvPr id="3" name="椭圆 2"/>
        <dsp:cNvSpPr/>
      </dsp:nvSpPr>
      <dsp:spPr bwMode="white">
        <a:xfrm>
          <a:off x="1159570" y="58954"/>
          <a:ext cx="1291323" cy="1291393"/>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a:solidFill>
                <a:schemeClr val="dk1"/>
              </a:solidFill>
              <a:latin typeface="+mj-ea"/>
              <a:ea typeface="+mj-ea"/>
            </a:rPr>
            <a:t>价值流</a:t>
          </a:r>
          <a:endParaRPr>
            <a:solidFill>
              <a:schemeClr val="dk1"/>
            </a:solidFill>
          </a:endParaRPr>
        </a:p>
      </dsp:txBody>
      <dsp:txXfrm>
        <a:off x="1159570" y="58954"/>
        <a:ext cx="1291323" cy="1291393"/>
      </dsp:txXfrm>
    </dsp:sp>
    <dsp:sp modelId="{617F1CD7-C43E-1943-979A-E3A30BB4CB35}">
      <dsp:nvSpPr>
        <dsp:cNvPr id="4" name="椭圆 3"/>
        <dsp:cNvSpPr/>
      </dsp:nvSpPr>
      <dsp:spPr bwMode="white">
        <a:xfrm>
          <a:off x="1896485" y="0"/>
          <a:ext cx="143569" cy="143724"/>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896485" y="0"/>
        <a:ext cx="143569" cy="143724"/>
      </dsp:txXfrm>
    </dsp:sp>
    <dsp:sp modelId="{4BC0B757-D4F6-1448-BAFE-2BB67D6020FE}">
      <dsp:nvSpPr>
        <dsp:cNvPr id="5" name="椭圆 4"/>
        <dsp:cNvSpPr/>
      </dsp:nvSpPr>
      <dsp:spPr bwMode="white">
        <a:xfrm>
          <a:off x="1556635" y="1254403"/>
          <a:ext cx="104101" cy="104036"/>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556635" y="1254403"/>
        <a:ext cx="104101" cy="104036"/>
      </dsp:txXfrm>
    </dsp:sp>
    <dsp:sp modelId="{9FBD1228-A595-5142-A46C-CF373060E3DF}">
      <dsp:nvSpPr>
        <dsp:cNvPr id="6" name="椭圆 5"/>
        <dsp:cNvSpPr/>
      </dsp:nvSpPr>
      <dsp:spPr bwMode="white">
        <a:xfrm>
          <a:off x="2534068" y="582986"/>
          <a:ext cx="104101" cy="104036"/>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2534068" y="582986"/>
        <a:ext cx="104101" cy="104036"/>
      </dsp:txXfrm>
    </dsp:sp>
    <dsp:sp modelId="{6DEAB764-A13F-664F-8284-FA4CDD314773}">
      <dsp:nvSpPr>
        <dsp:cNvPr id="7" name="椭圆 6"/>
        <dsp:cNvSpPr/>
      </dsp:nvSpPr>
      <dsp:spPr bwMode="white">
        <a:xfrm>
          <a:off x="2036610" y="1364989"/>
          <a:ext cx="143569" cy="143724"/>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2036610" y="1364989"/>
        <a:ext cx="143569" cy="143724"/>
      </dsp:txXfrm>
    </dsp:sp>
    <dsp:sp modelId="{FB3992F3-CA84-464F-BC60-772EF553BD51}">
      <dsp:nvSpPr>
        <dsp:cNvPr id="8" name="椭圆 7"/>
        <dsp:cNvSpPr/>
      </dsp:nvSpPr>
      <dsp:spPr bwMode="white">
        <a:xfrm>
          <a:off x="1585773" y="204026"/>
          <a:ext cx="104101" cy="104036"/>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585773" y="204026"/>
        <a:ext cx="104101" cy="104036"/>
      </dsp:txXfrm>
    </dsp:sp>
    <dsp:sp modelId="{D7B75B9D-1DEF-FC41-A42E-014A5CA44199}">
      <dsp:nvSpPr>
        <dsp:cNvPr id="9" name="椭圆 8"/>
        <dsp:cNvSpPr/>
      </dsp:nvSpPr>
      <dsp:spPr bwMode="white">
        <a:xfrm>
          <a:off x="1258108" y="799728"/>
          <a:ext cx="104101" cy="104036"/>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258108" y="799728"/>
        <a:ext cx="104101" cy="104036"/>
      </dsp:txXfrm>
    </dsp:sp>
    <dsp:sp modelId="{7C35D9C6-D8B9-974F-BB40-07989ACAD9CA}">
      <dsp:nvSpPr>
        <dsp:cNvPr id="10" name="椭圆 9"/>
        <dsp:cNvSpPr/>
      </dsp:nvSpPr>
      <dsp:spPr bwMode="white">
        <a:xfrm>
          <a:off x="755882" y="291878"/>
          <a:ext cx="525006" cy="524996"/>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a:solidFill>
                <a:schemeClr val="dk1"/>
              </a:solidFill>
              <a:latin typeface="+mj-ea"/>
              <a:ea typeface="+mj-ea"/>
            </a:rPr>
            <a:t>需求流</a:t>
          </a:r>
          <a:endParaRPr>
            <a:solidFill>
              <a:schemeClr val="dk1"/>
            </a:solidFill>
          </a:endParaRPr>
        </a:p>
      </dsp:txBody>
      <dsp:txXfrm>
        <a:off x="755882" y="291878"/>
        <a:ext cx="525006" cy="524996"/>
      </dsp:txXfrm>
    </dsp:sp>
    <dsp:sp modelId="{39F165DF-0665-6747-8DD3-32AAC2ADA465}">
      <dsp:nvSpPr>
        <dsp:cNvPr id="11" name="椭圆 10"/>
        <dsp:cNvSpPr/>
      </dsp:nvSpPr>
      <dsp:spPr bwMode="white">
        <a:xfrm>
          <a:off x="1751327" y="208650"/>
          <a:ext cx="143569" cy="143724"/>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751327" y="208650"/>
        <a:ext cx="143569" cy="143724"/>
      </dsp:txXfrm>
    </dsp:sp>
    <dsp:sp modelId="{C032357D-47B1-5C43-9108-4766CDC0E01D}">
      <dsp:nvSpPr>
        <dsp:cNvPr id="12" name="椭圆 11"/>
        <dsp:cNvSpPr/>
      </dsp:nvSpPr>
      <dsp:spPr bwMode="white">
        <a:xfrm>
          <a:off x="805416" y="970616"/>
          <a:ext cx="259589" cy="259704"/>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805416" y="970616"/>
        <a:ext cx="259589" cy="259704"/>
      </dsp:txXfrm>
    </dsp:sp>
    <dsp:sp modelId="{01DB25C8-FA11-6142-9C8C-0E400EDB2B14}">
      <dsp:nvSpPr>
        <dsp:cNvPr id="13" name="椭圆 12"/>
        <dsp:cNvSpPr/>
      </dsp:nvSpPr>
      <dsp:spPr bwMode="white">
        <a:xfrm>
          <a:off x="2583601" y="44890"/>
          <a:ext cx="525006" cy="524996"/>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a:solidFill>
                <a:schemeClr val="dk1"/>
              </a:solidFill>
              <a:latin typeface="+mj-ea"/>
              <a:ea typeface="+mj-ea"/>
            </a:rPr>
            <a:t>开发流</a:t>
          </a:r>
          <a:endParaRPr>
            <a:solidFill>
              <a:schemeClr val="dk1"/>
            </a:solidFill>
          </a:endParaRPr>
        </a:p>
      </dsp:txBody>
      <dsp:txXfrm>
        <a:off x="2583601" y="44890"/>
        <a:ext cx="525006" cy="524996"/>
      </dsp:txXfrm>
    </dsp:sp>
    <dsp:sp modelId="{1495D0A2-DFD4-3345-B725-D3B3F5377F73}">
      <dsp:nvSpPr>
        <dsp:cNvPr id="14" name="椭圆 13"/>
        <dsp:cNvSpPr/>
      </dsp:nvSpPr>
      <dsp:spPr bwMode="white">
        <a:xfrm>
          <a:off x="2349177" y="407474"/>
          <a:ext cx="143569" cy="143724"/>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2349177" y="407474"/>
        <a:ext cx="143569" cy="143724"/>
      </dsp:txXfrm>
    </dsp:sp>
    <dsp:sp modelId="{5DCCB711-9EEC-924B-92B1-AD9DD8366160}">
      <dsp:nvSpPr>
        <dsp:cNvPr id="15" name="椭圆 14"/>
        <dsp:cNvSpPr/>
      </dsp:nvSpPr>
      <dsp:spPr bwMode="white">
        <a:xfrm>
          <a:off x="706613" y="1279641"/>
          <a:ext cx="104101" cy="104036"/>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706613" y="1279641"/>
        <a:ext cx="104101" cy="104036"/>
      </dsp:txXfrm>
    </dsp:sp>
    <dsp:sp modelId="{29D71053-3B9B-CA4E-88E9-DF089CF7DF4B}">
      <dsp:nvSpPr>
        <dsp:cNvPr id="16" name="椭圆 15"/>
        <dsp:cNvSpPr/>
      </dsp:nvSpPr>
      <dsp:spPr bwMode="white">
        <a:xfrm>
          <a:off x="1743910" y="1131486"/>
          <a:ext cx="104101" cy="104036"/>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743910" y="1131486"/>
        <a:ext cx="104101" cy="104036"/>
      </dsp:txXfrm>
    </dsp:sp>
    <dsp:sp modelId="{28257479-E356-2D48-88C6-742A8988BC9E}">
      <dsp:nvSpPr>
        <dsp:cNvPr id="17" name="椭圆 16"/>
        <dsp:cNvSpPr/>
      </dsp:nvSpPr>
      <dsp:spPr bwMode="white">
        <a:xfrm>
          <a:off x="2830476" y="952313"/>
          <a:ext cx="525006" cy="524996"/>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a:solidFill>
                <a:schemeClr val="dk1"/>
              </a:solidFill>
              <a:latin typeface="+mj-ea"/>
              <a:ea typeface="+mj-ea"/>
            </a:rPr>
            <a:t>交付流</a:t>
          </a:r>
          <a:endParaRPr>
            <a:solidFill>
              <a:schemeClr val="dk1"/>
            </a:solidFill>
          </a:endParaRPr>
        </a:p>
      </dsp:txBody>
      <dsp:txXfrm>
        <a:off x="2830476" y="952313"/>
        <a:ext cx="525006" cy="524996"/>
      </dsp:txXfrm>
    </dsp:sp>
    <dsp:sp modelId="{6CBFCC3B-7D7A-7844-BB7A-D0CBED1C549A}">
      <dsp:nvSpPr>
        <dsp:cNvPr id="18" name="椭圆 17"/>
        <dsp:cNvSpPr/>
      </dsp:nvSpPr>
      <dsp:spPr bwMode="white">
        <a:xfrm>
          <a:off x="2682404" y="934011"/>
          <a:ext cx="104101" cy="104036"/>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2682404" y="934011"/>
        <a:ext cx="104101" cy="104036"/>
      </dsp:txXfrm>
    </dsp:sp>
    <dsp:sp modelId="{13A5D293-F259-BD49-B561-7860F9B4E0AB}">
      <dsp:nvSpPr>
        <dsp:cNvPr id="19" name="椭圆 18"/>
        <dsp:cNvSpPr/>
      </dsp:nvSpPr>
      <dsp:spPr bwMode="white">
        <a:xfrm>
          <a:off x="1323535" y="1401594"/>
          <a:ext cx="525006" cy="524996"/>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a:solidFill>
                <a:schemeClr val="dk1"/>
              </a:solidFill>
              <a:latin typeface="+mj-ea"/>
              <a:ea typeface="+mj-ea"/>
            </a:rPr>
            <a:t>反馈流</a:t>
          </a:r>
          <a:endParaRPr>
            <a:solidFill>
              <a:schemeClr val="dk1"/>
            </a:solidFill>
          </a:endParaRPr>
        </a:p>
      </dsp:txBody>
      <dsp:txXfrm>
        <a:off x="1323535" y="1401594"/>
        <a:ext cx="525006" cy="524996"/>
      </dsp:txXfrm>
    </dsp:sp>
    <dsp:sp modelId="{3C16AB31-7422-7F45-8B4D-6EC2FEAC4600}">
      <dsp:nvSpPr>
        <dsp:cNvPr id="20" name="椭圆 19"/>
        <dsp:cNvSpPr/>
      </dsp:nvSpPr>
      <dsp:spPr bwMode="white">
        <a:xfrm>
          <a:off x="1792384" y="1383870"/>
          <a:ext cx="104101" cy="104036"/>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792384" y="1383870"/>
        <a:ext cx="104101" cy="104036"/>
      </dsp:txXfrm>
    </dsp:sp>
  </dsp:spTree>
</dsp:drawing>
</file>

<file path=word/diagrams/drawing4.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3601720" cy="1988185"/>
        <a:chOff x="0" y="0"/>
        <a:chExt cx="3601720" cy="1988185"/>
      </a:xfrm>
    </dsp:grpSpPr>
    <dsp:sp modelId="{C2CF36BF-308B-014F-8030-9CFBE7ECA9D7}">
      <dsp:nvSpPr>
        <dsp:cNvPr id="4" name="环形箭头 3"/>
        <dsp:cNvSpPr/>
      </dsp:nvSpPr>
      <dsp:spPr bwMode="white">
        <a:xfrm>
          <a:off x="816572" y="-23766"/>
          <a:ext cx="1968577" cy="1968577"/>
        </a:xfrm>
        <a:prstGeom prst="circularArrow">
          <a:avLst>
            <a:gd name="adj1" fmla="val 5000"/>
            <a:gd name="adj2" fmla="val 360000"/>
            <a:gd name="adj3" fmla="val 13140249"/>
            <a:gd name="adj4" fmla="val 17672590"/>
            <a:gd name="adj5" fmla="val 5500"/>
          </a:avLst>
        </a:prstGeom>
      </dsp:spPr>
      <dsp:style>
        <a:lnRef idx="0">
          <a:schemeClr val="dk1"/>
        </a:lnRef>
        <a:fillRef idx="1">
          <a:schemeClr val="dk1">
            <a:tint val="40000"/>
          </a:schemeClr>
        </a:fillRef>
        <a:effectRef idx="1">
          <a:scrgbClr r="0" g="0" b="0"/>
        </a:effectRef>
        <a:fontRef idx="minor"/>
      </dsp:style>
      <dsp:txXfrm>
        <a:off x="816572" y="-23766"/>
        <a:ext cx="1968577" cy="1968577"/>
      </dsp:txXfrm>
    </dsp:sp>
    <dsp:sp modelId="{A178BECE-80A4-A348-A52A-DE107082BF48}">
      <dsp:nvSpPr>
        <dsp:cNvPr id="3" name="圆角矩形 2"/>
        <dsp:cNvSpPr/>
      </dsp:nvSpPr>
      <dsp:spPr bwMode="white">
        <a:xfrm>
          <a:off x="1220209" y="0"/>
          <a:ext cx="1161302" cy="580651"/>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计划</a:t>
          </a:r>
          <a:endParaRPr>
            <a:solidFill>
              <a:schemeClr val="dk1"/>
            </a:solidFill>
          </a:endParaRPr>
        </a:p>
      </dsp:txBody>
      <dsp:txXfrm>
        <a:off x="1220209" y="0"/>
        <a:ext cx="1161302" cy="580651"/>
      </dsp:txXfrm>
    </dsp:sp>
    <dsp:sp modelId="{EE0DCDB1-60E6-6A4B-89DC-AC63447E4875}">
      <dsp:nvSpPr>
        <dsp:cNvPr id="5" name="圆角矩形 4"/>
        <dsp:cNvSpPr/>
      </dsp:nvSpPr>
      <dsp:spPr bwMode="white">
        <a:xfrm>
          <a:off x="1923976" y="703767"/>
          <a:ext cx="1161302" cy="580651"/>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执行</a:t>
          </a:r>
          <a:endParaRPr>
            <a:solidFill>
              <a:schemeClr val="dk1"/>
            </a:solidFill>
          </a:endParaRPr>
        </a:p>
      </dsp:txBody>
      <dsp:txXfrm>
        <a:off x="1923976" y="703767"/>
        <a:ext cx="1161302" cy="580651"/>
      </dsp:txXfrm>
    </dsp:sp>
    <dsp:sp modelId="{9D7FB5AD-5BF3-C443-AAF7-3E93E1DC0687}">
      <dsp:nvSpPr>
        <dsp:cNvPr id="6" name="圆角矩形 5"/>
        <dsp:cNvSpPr/>
      </dsp:nvSpPr>
      <dsp:spPr bwMode="white">
        <a:xfrm>
          <a:off x="1220209" y="1407534"/>
          <a:ext cx="1161302" cy="580651"/>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检查</a:t>
          </a:r>
          <a:endParaRPr>
            <a:solidFill>
              <a:schemeClr val="dk1"/>
            </a:solidFill>
          </a:endParaRPr>
        </a:p>
      </dsp:txBody>
      <dsp:txXfrm>
        <a:off x="1220209" y="1407534"/>
        <a:ext cx="1161302" cy="580651"/>
      </dsp:txXfrm>
    </dsp:sp>
    <dsp:sp modelId="{61484F7C-ED8D-8043-8E01-F6EC99690E13}">
      <dsp:nvSpPr>
        <dsp:cNvPr id="7" name="圆角矩形 6"/>
        <dsp:cNvSpPr/>
      </dsp:nvSpPr>
      <dsp:spPr bwMode="white">
        <a:xfrm>
          <a:off x="516442" y="703767"/>
          <a:ext cx="1161302" cy="580651"/>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改进</a:t>
          </a:r>
          <a:endParaRPr>
            <a:solidFill>
              <a:schemeClr val="dk1"/>
            </a:solidFill>
          </a:endParaRPr>
        </a:p>
      </dsp:txBody>
      <dsp:txXfrm>
        <a:off x="516442" y="703767"/>
        <a:ext cx="1161302" cy="580651"/>
      </dsp:txXfrm>
    </dsp:sp>
  </dsp:spTree>
</dsp:drawing>
</file>

<file path=word/diagrams/drawing5.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2877820" cy="1294765"/>
        <a:chOff x="0" y="0"/>
        <a:chExt cx="2877820" cy="1294765"/>
      </a:xfrm>
    </dsp:grpSpPr>
    <dsp:sp modelId="{D7B30BBB-47EB-2547-A61F-2717D083206E}">
      <dsp:nvSpPr>
        <dsp:cNvPr id="5" name="矩形 4"/>
        <dsp:cNvSpPr/>
      </dsp:nvSpPr>
      <dsp:spPr bwMode="white">
        <a:xfrm>
          <a:off x="0" y="192162"/>
          <a:ext cx="2877820" cy="226800"/>
        </a:xfrm>
        <a:prstGeom prst="rect">
          <a:avLst/>
        </a:prstGeom>
      </dsp:spPr>
      <dsp:style>
        <a:lnRef idx="1">
          <a:schemeClr val="dk1"/>
        </a:lnRef>
        <a:fillRef idx="1">
          <a:schemeClr val="dk1">
            <a:alpha val="90000"/>
            <a:tint val="40000"/>
          </a:schemeClr>
        </a:fillRef>
        <a:effectRef idx="0">
          <a:scrgbClr r="0" g="0" b="0"/>
        </a:effectRef>
        <a:fontRef idx="minor"/>
      </dsp:style>
      <dsp:txBody>
        <a:bodyPr lIns="223350" tIns="187452" rIns="223350" bIns="64008" anchor="t"/>
        <a:lstStyle>
          <a:lvl1pPr algn="l">
            <a:defRPr sz="900"/>
          </a:lvl1pPr>
          <a:lvl2pPr marL="57150" indent="-57150" algn="l">
            <a:defRPr sz="900"/>
          </a:lvl2pPr>
          <a:lvl3pPr marL="114300" indent="-57150" algn="l">
            <a:defRPr sz="900"/>
          </a:lvl3pPr>
          <a:lvl4pPr marL="171450" indent="-57150" algn="l">
            <a:defRPr sz="900"/>
          </a:lvl4pPr>
          <a:lvl5pPr marL="228600" indent="-57150" algn="l">
            <a:defRPr sz="900"/>
          </a:lvl5pPr>
          <a:lvl6pPr marL="285750" indent="-57150" algn="l">
            <a:defRPr sz="900"/>
          </a:lvl6pPr>
          <a:lvl7pPr marL="342900" indent="-57150" algn="l">
            <a:defRPr sz="900"/>
          </a:lvl7pPr>
          <a:lvl8pPr marL="400050" indent="-57150" algn="l">
            <a:defRPr sz="900"/>
          </a:lvl8pPr>
          <a:lvl9pPr marL="457200" indent="-57150" algn="l">
            <a:defRPr sz="900"/>
          </a:lvl9pPr>
        </a:lstStyle>
        <a:p>
          <a:endParaRPr>
            <a:solidFill>
              <a:schemeClr val="dk1"/>
            </a:solidFill>
          </a:endParaRPr>
        </a:p>
      </dsp:txBody>
      <dsp:txXfrm>
        <a:off x="0" y="192162"/>
        <a:ext cx="2877820" cy="226800"/>
      </dsp:txXfrm>
    </dsp:sp>
    <dsp:sp modelId="{41A752BD-B16C-A447-8E2B-52786F3ADEEA}">
      <dsp:nvSpPr>
        <dsp:cNvPr id="4" name="圆角矩形 3"/>
        <dsp:cNvSpPr/>
      </dsp:nvSpPr>
      <dsp:spPr bwMode="white">
        <a:xfrm>
          <a:off x="143891" y="59322"/>
          <a:ext cx="2014474" cy="265680"/>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76142" tIns="0" rIns="76142" bIns="0" anchor="ctr"/>
        <a:lstStyle>
          <a:lvl1pPr algn="l">
            <a:defRPr sz="9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gn="ctr">
            <a:lnSpc>
              <a:spcPct val="100000"/>
            </a:lnSpc>
            <a:spcBef>
              <a:spcPct val="0"/>
            </a:spcBef>
            <a:spcAft>
              <a:spcPct val="35000"/>
            </a:spcAft>
          </a:pPr>
          <a:r>
            <a:rPr lang="zh-CN" altLang="en-US" sz="1050" baseline="0">
              <a:solidFill>
                <a:schemeClr val="dk1"/>
              </a:solidFill>
              <a:ea typeface="宋体" panose="02010600030101010101" charset="-122"/>
            </a:rPr>
            <a:t>政策规则层</a:t>
          </a:r>
          <a:endParaRPr>
            <a:solidFill>
              <a:schemeClr val="dk1"/>
            </a:solidFill>
          </a:endParaRPr>
        </a:p>
      </dsp:txBody>
      <dsp:txXfrm>
        <a:off x="143891" y="59322"/>
        <a:ext cx="2014474" cy="265680"/>
      </dsp:txXfrm>
    </dsp:sp>
    <dsp:sp modelId="{71668262-7B02-5A4D-AE78-B3C5D54E17F8}">
      <dsp:nvSpPr>
        <dsp:cNvPr id="8" name="矩形 7"/>
        <dsp:cNvSpPr/>
      </dsp:nvSpPr>
      <dsp:spPr bwMode="white">
        <a:xfrm>
          <a:off x="0" y="600402"/>
          <a:ext cx="2877820" cy="226800"/>
        </a:xfrm>
        <a:prstGeom prst="rect">
          <a:avLst/>
        </a:prstGeom>
      </dsp:spPr>
      <dsp:style>
        <a:lnRef idx="1">
          <a:schemeClr val="dk1"/>
        </a:lnRef>
        <a:fillRef idx="1">
          <a:schemeClr val="dk1">
            <a:alpha val="90000"/>
            <a:tint val="40000"/>
          </a:schemeClr>
        </a:fillRef>
        <a:effectRef idx="0">
          <a:scrgbClr r="0" g="0" b="0"/>
        </a:effectRef>
        <a:fontRef idx="minor"/>
      </dsp:style>
      <dsp:txBody>
        <a:bodyPr lIns="223350" tIns="187452" rIns="223350" bIns="64008" anchor="t"/>
        <a:lstStyle>
          <a:lvl1pPr algn="l">
            <a:defRPr sz="900"/>
          </a:lvl1pPr>
          <a:lvl2pPr marL="57150" indent="-57150" algn="l">
            <a:defRPr sz="900"/>
          </a:lvl2pPr>
          <a:lvl3pPr marL="114300" indent="-57150" algn="l">
            <a:defRPr sz="900"/>
          </a:lvl3pPr>
          <a:lvl4pPr marL="171450" indent="-57150" algn="l">
            <a:defRPr sz="900"/>
          </a:lvl4pPr>
          <a:lvl5pPr marL="228600" indent="-57150" algn="l">
            <a:defRPr sz="900"/>
          </a:lvl5pPr>
          <a:lvl6pPr marL="285750" indent="-57150" algn="l">
            <a:defRPr sz="900"/>
          </a:lvl6pPr>
          <a:lvl7pPr marL="342900" indent="-57150" algn="l">
            <a:defRPr sz="900"/>
          </a:lvl7pPr>
          <a:lvl8pPr marL="400050" indent="-57150" algn="l">
            <a:defRPr sz="900"/>
          </a:lvl8pPr>
          <a:lvl9pPr marL="457200" indent="-57150" algn="l">
            <a:defRPr sz="900"/>
          </a:lvl9pPr>
        </a:lstStyle>
        <a:p>
          <a:endParaRPr>
            <a:solidFill>
              <a:schemeClr val="dk1"/>
            </a:solidFill>
          </a:endParaRPr>
        </a:p>
      </dsp:txBody>
      <dsp:txXfrm>
        <a:off x="0" y="600402"/>
        <a:ext cx="2877820" cy="226800"/>
      </dsp:txXfrm>
    </dsp:sp>
    <dsp:sp modelId="{39BCF212-7440-CE4F-8762-B2A4697ED16A}">
      <dsp:nvSpPr>
        <dsp:cNvPr id="7" name="圆角矩形 6"/>
        <dsp:cNvSpPr/>
      </dsp:nvSpPr>
      <dsp:spPr bwMode="white">
        <a:xfrm>
          <a:off x="143891" y="467562"/>
          <a:ext cx="2014474" cy="265680"/>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76142" tIns="0" rIns="76142" bIns="0" anchor="ctr"/>
        <a:lstStyle>
          <a:lvl1pPr algn="l">
            <a:defRPr sz="9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gn="ctr">
            <a:lnSpc>
              <a:spcPct val="100000"/>
            </a:lnSpc>
            <a:spcBef>
              <a:spcPct val="0"/>
            </a:spcBef>
            <a:spcAft>
              <a:spcPct val="35000"/>
            </a:spcAft>
          </a:pPr>
          <a:r>
            <a:rPr lang="zh-CN" altLang="en-US" sz="1050" baseline="0">
              <a:solidFill>
                <a:schemeClr val="dk1"/>
              </a:solidFill>
              <a:ea typeface="宋体" panose="02010600030101010101" charset="-122"/>
            </a:rPr>
            <a:t>执行层引擎</a:t>
          </a:r>
          <a:endParaRPr>
            <a:solidFill>
              <a:schemeClr val="dk1"/>
            </a:solidFill>
          </a:endParaRPr>
        </a:p>
      </dsp:txBody>
      <dsp:txXfrm>
        <a:off x="143891" y="467562"/>
        <a:ext cx="2014474" cy="265680"/>
      </dsp:txXfrm>
    </dsp:sp>
    <dsp:sp modelId="{450978B5-73BB-2245-9347-06E9A6847568}">
      <dsp:nvSpPr>
        <dsp:cNvPr id="11" name="矩形 10"/>
        <dsp:cNvSpPr/>
      </dsp:nvSpPr>
      <dsp:spPr bwMode="white">
        <a:xfrm>
          <a:off x="0" y="1008643"/>
          <a:ext cx="2877820" cy="226800"/>
        </a:xfrm>
        <a:prstGeom prst="rect">
          <a:avLst/>
        </a:prstGeom>
      </dsp:spPr>
      <dsp:style>
        <a:lnRef idx="1">
          <a:schemeClr val="dk1"/>
        </a:lnRef>
        <a:fillRef idx="1">
          <a:schemeClr val="dk1">
            <a:alpha val="90000"/>
            <a:tint val="40000"/>
          </a:schemeClr>
        </a:fillRef>
        <a:effectRef idx="0">
          <a:scrgbClr r="0" g="0" b="0"/>
        </a:effectRef>
        <a:fontRef idx="minor"/>
      </dsp:style>
      <dsp:txBody>
        <a:bodyPr lIns="223350" tIns="187452" rIns="223350" bIns="64008" anchor="t"/>
        <a:lstStyle>
          <a:lvl1pPr algn="l">
            <a:defRPr sz="900"/>
          </a:lvl1pPr>
          <a:lvl2pPr marL="57150" indent="-57150" algn="l">
            <a:defRPr sz="900"/>
          </a:lvl2pPr>
          <a:lvl3pPr marL="114300" indent="-57150" algn="l">
            <a:defRPr sz="900"/>
          </a:lvl3pPr>
          <a:lvl4pPr marL="171450" indent="-57150" algn="l">
            <a:defRPr sz="900"/>
          </a:lvl4pPr>
          <a:lvl5pPr marL="228600" indent="-57150" algn="l">
            <a:defRPr sz="900"/>
          </a:lvl5pPr>
          <a:lvl6pPr marL="285750" indent="-57150" algn="l">
            <a:defRPr sz="900"/>
          </a:lvl6pPr>
          <a:lvl7pPr marL="342900" indent="-57150" algn="l">
            <a:defRPr sz="900"/>
          </a:lvl7pPr>
          <a:lvl8pPr marL="400050" indent="-57150" algn="l">
            <a:defRPr sz="900"/>
          </a:lvl8pPr>
          <a:lvl9pPr marL="457200" indent="-57150" algn="l">
            <a:defRPr sz="900"/>
          </a:lvl9pPr>
        </a:lstStyle>
        <a:p>
          <a:endParaRPr>
            <a:solidFill>
              <a:schemeClr val="dk1"/>
            </a:solidFill>
          </a:endParaRPr>
        </a:p>
      </dsp:txBody>
      <dsp:txXfrm>
        <a:off x="0" y="1008643"/>
        <a:ext cx="2877820" cy="226800"/>
      </dsp:txXfrm>
    </dsp:sp>
    <dsp:sp modelId="{3DFDE78E-107B-4548-8F1C-65CBEA55D0FB}">
      <dsp:nvSpPr>
        <dsp:cNvPr id="10" name="圆角矩形 9"/>
        <dsp:cNvSpPr/>
      </dsp:nvSpPr>
      <dsp:spPr bwMode="white">
        <a:xfrm>
          <a:off x="143891" y="875802"/>
          <a:ext cx="2014474" cy="265680"/>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76142" tIns="0" rIns="76142" bIns="0" anchor="ctr"/>
        <a:lstStyle>
          <a:lvl1pPr algn="l">
            <a:defRPr sz="9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gn="ctr">
            <a:lnSpc>
              <a:spcPct val="100000"/>
            </a:lnSpc>
            <a:spcBef>
              <a:spcPct val="0"/>
            </a:spcBef>
            <a:spcAft>
              <a:spcPct val="35000"/>
            </a:spcAft>
          </a:pPr>
          <a:r>
            <a:rPr lang="zh-CN" altLang="en-US" sz="1050" baseline="0">
              <a:solidFill>
                <a:schemeClr val="dk1"/>
              </a:solidFill>
              <a:ea typeface="宋体" panose="02010600030101010101" charset="-122"/>
            </a:rPr>
            <a:t>反馈闭环层</a:t>
          </a:r>
          <a:endParaRPr>
            <a:solidFill>
              <a:schemeClr val="dk1"/>
            </a:solidFill>
          </a:endParaRPr>
        </a:p>
      </dsp:txBody>
      <dsp:txXfrm>
        <a:off x="143891" y="875802"/>
        <a:ext cx="2014474" cy="265680"/>
      </dsp:txXfrm>
    </dsp:sp>
    <dsp:sp modelId="{87E918B9-6C89-7745-B9A9-EF2FAC05253C}">
      <dsp:nvSpPr>
        <dsp:cNvPr id="3" name="矩形 2" hidden="1"/>
        <dsp:cNvSpPr/>
      </dsp:nvSpPr>
      <dsp:spPr>
        <a:xfrm>
          <a:off x="0" y="59322"/>
          <a:ext cx="143891" cy="265680"/>
        </a:xfrm>
        <a:prstGeom prst="rect">
          <a:avLst/>
        </a:prstGeom>
      </dsp:spPr>
      <dsp:txXfrm>
        <a:off x="0" y="59322"/>
        <a:ext cx="143891" cy="265680"/>
      </dsp:txXfrm>
    </dsp:sp>
    <dsp:sp modelId="{561E1887-4647-8345-9427-D21BB684E835}">
      <dsp:nvSpPr>
        <dsp:cNvPr id="6" name="矩形 5" hidden="1"/>
        <dsp:cNvSpPr/>
      </dsp:nvSpPr>
      <dsp:spPr>
        <a:xfrm>
          <a:off x="0" y="467562"/>
          <a:ext cx="143891" cy="265680"/>
        </a:xfrm>
        <a:prstGeom prst="rect">
          <a:avLst/>
        </a:prstGeom>
      </dsp:spPr>
      <dsp:txXfrm>
        <a:off x="0" y="467562"/>
        <a:ext cx="143891" cy="265680"/>
      </dsp:txXfrm>
    </dsp:sp>
    <dsp:sp modelId="{8F37AAD1-C68E-EE4D-B57B-4B508929A1DD}">
      <dsp:nvSpPr>
        <dsp:cNvPr id="9" name="矩形 8" hidden="1"/>
        <dsp:cNvSpPr/>
      </dsp:nvSpPr>
      <dsp:spPr>
        <a:xfrm>
          <a:off x="0" y="875802"/>
          <a:ext cx="143891" cy="265680"/>
        </a:xfrm>
        <a:prstGeom prst="rect">
          <a:avLst/>
        </a:prstGeom>
      </dsp:spPr>
      <dsp:txXfrm>
        <a:off x="0" y="875802"/>
        <a:ext cx="143891" cy="265680"/>
      </dsp:txXfrm>
    </dsp:sp>
  </dsp:spTree>
</dsp:drawing>
</file>

<file path=word/diagrams/drawing6.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3785870" cy="2037080"/>
        <a:chOff x="0" y="0"/>
        <a:chExt cx="3785870" cy="2037080"/>
      </a:xfrm>
    </dsp:grpSpPr>
    <dsp:sp modelId="{B1FD2481-1A9A-E843-9E8C-5B7836BA0F88}">
      <dsp:nvSpPr>
        <dsp:cNvPr id="3" name="椭圆 2"/>
        <dsp:cNvSpPr/>
      </dsp:nvSpPr>
      <dsp:spPr bwMode="white">
        <a:xfrm>
          <a:off x="1585057" y="0"/>
          <a:ext cx="615755" cy="615755"/>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技术债务类型</a:t>
          </a:r>
          <a:endParaRPr>
            <a:solidFill>
              <a:schemeClr val="dk1"/>
            </a:solidFill>
          </a:endParaRPr>
        </a:p>
      </dsp:txBody>
      <dsp:txXfrm>
        <a:off x="1585057" y="0"/>
        <a:ext cx="615755" cy="615755"/>
      </dsp:txXfrm>
    </dsp:sp>
    <dsp:sp modelId="{CFB88C2D-2B77-D841-9005-A513390E1E6C}">
      <dsp:nvSpPr>
        <dsp:cNvPr id="4" name="右箭头 3"/>
        <dsp:cNvSpPr/>
      </dsp:nvSpPr>
      <dsp:spPr bwMode="white">
        <a:xfrm rot="2159999">
          <a:off x="2184965" y="475418"/>
          <a:ext cx="163175" cy="207817"/>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800"/>
          </a:lvl1pPr>
          <a:lvl2pPr marL="57150" indent="-57150" algn="ctr">
            <a:defRPr sz="600"/>
          </a:lvl2pPr>
          <a:lvl3pPr marL="114300" indent="-57150" algn="ctr">
            <a:defRPr sz="600"/>
          </a:lvl3pPr>
          <a:lvl4pPr marL="171450" indent="-57150" algn="ctr">
            <a:defRPr sz="600"/>
          </a:lvl4pPr>
          <a:lvl5pPr marL="228600" indent="-57150" algn="ctr">
            <a:defRPr sz="600"/>
          </a:lvl5pPr>
          <a:lvl6pPr marL="285750" indent="-57150" algn="ctr">
            <a:defRPr sz="600"/>
          </a:lvl6pPr>
          <a:lvl7pPr marL="342900" indent="-57150" algn="ctr">
            <a:defRPr sz="600"/>
          </a:lvl7pPr>
          <a:lvl8pPr marL="400050" indent="-57150" algn="ctr">
            <a:defRPr sz="600"/>
          </a:lvl8pPr>
          <a:lvl9pPr marL="457200" indent="-57150" algn="ctr">
            <a:defRPr sz="600"/>
          </a:lvl9pPr>
        </a:lstStyle>
        <a:p>
          <a:pPr lvl="0">
            <a:lnSpc>
              <a:spcPct val="100000"/>
            </a:lnSpc>
            <a:spcBef>
              <a:spcPct val="0"/>
            </a:spcBef>
            <a:spcAft>
              <a:spcPct val="35000"/>
            </a:spcAft>
          </a:pPr>
          <a:endParaRPr lang="zh-CN" altLang="en-US">
            <a:solidFill>
              <a:schemeClr val="dk1"/>
            </a:solidFill>
          </a:endParaRPr>
        </a:p>
      </dsp:txBody>
      <dsp:txXfrm rot="2159999">
        <a:off x="2184965" y="475418"/>
        <a:ext cx="163175" cy="207817"/>
      </dsp:txXfrm>
    </dsp:sp>
    <dsp:sp modelId="{D7CF4A55-0AD6-EE4A-8B85-D8534838DA8D}">
      <dsp:nvSpPr>
        <dsp:cNvPr id="5" name="椭圆 4"/>
        <dsp:cNvSpPr/>
      </dsp:nvSpPr>
      <dsp:spPr bwMode="white">
        <a:xfrm>
          <a:off x="2332292" y="542898"/>
          <a:ext cx="615755" cy="615755"/>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影响路径</a:t>
          </a:r>
          <a:endParaRPr>
            <a:solidFill>
              <a:schemeClr val="dk1"/>
            </a:solidFill>
          </a:endParaRPr>
        </a:p>
      </dsp:txBody>
      <dsp:txXfrm>
        <a:off x="2332292" y="542898"/>
        <a:ext cx="615755" cy="615755"/>
      </dsp:txXfrm>
    </dsp:sp>
    <dsp:sp modelId="{ED52504A-F27C-2149-8717-859AF6078016}">
      <dsp:nvSpPr>
        <dsp:cNvPr id="6" name="右箭头 5"/>
        <dsp:cNvSpPr/>
      </dsp:nvSpPr>
      <dsp:spPr bwMode="white">
        <a:xfrm rot="6480000">
          <a:off x="2415873" y="1186080"/>
          <a:ext cx="163175" cy="207817"/>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10800000" lIns="0" tIns="0" rIns="0" bIns="0" anchor="ctr"/>
        <a:lstStyle>
          <a:lvl1pPr algn="ctr">
            <a:defRPr sz="800"/>
          </a:lvl1pPr>
          <a:lvl2pPr marL="57150" indent="-57150" algn="ctr">
            <a:defRPr sz="600"/>
          </a:lvl2pPr>
          <a:lvl3pPr marL="114300" indent="-57150" algn="ctr">
            <a:defRPr sz="600"/>
          </a:lvl3pPr>
          <a:lvl4pPr marL="171450" indent="-57150" algn="ctr">
            <a:defRPr sz="600"/>
          </a:lvl4pPr>
          <a:lvl5pPr marL="228600" indent="-57150" algn="ctr">
            <a:defRPr sz="600"/>
          </a:lvl5pPr>
          <a:lvl6pPr marL="285750" indent="-57150" algn="ctr">
            <a:defRPr sz="600"/>
          </a:lvl6pPr>
          <a:lvl7pPr marL="342900" indent="-57150" algn="ctr">
            <a:defRPr sz="600"/>
          </a:lvl7pPr>
          <a:lvl8pPr marL="400050" indent="-57150" algn="ctr">
            <a:defRPr sz="600"/>
          </a:lvl8pPr>
          <a:lvl9pPr marL="457200" indent="-57150" algn="ctr">
            <a:defRPr sz="600"/>
          </a:lvl9pPr>
        </a:lstStyle>
        <a:p>
          <a:pPr lvl="0">
            <a:lnSpc>
              <a:spcPct val="100000"/>
            </a:lnSpc>
            <a:spcBef>
              <a:spcPct val="0"/>
            </a:spcBef>
            <a:spcAft>
              <a:spcPct val="35000"/>
            </a:spcAft>
          </a:pPr>
          <a:endParaRPr lang="zh-CN" altLang="en-US">
            <a:solidFill>
              <a:schemeClr val="dk1"/>
            </a:solidFill>
          </a:endParaRPr>
        </a:p>
      </dsp:txBody>
      <dsp:txXfrm rot="6480000">
        <a:off x="2415873" y="1186080"/>
        <a:ext cx="163175" cy="207817"/>
      </dsp:txXfrm>
    </dsp:sp>
    <dsp:sp modelId="{2A864E3A-340A-2A4E-BA2C-50D884D20ECE}">
      <dsp:nvSpPr>
        <dsp:cNvPr id="7" name="椭圆 6"/>
        <dsp:cNvSpPr/>
      </dsp:nvSpPr>
      <dsp:spPr bwMode="white">
        <a:xfrm>
          <a:off x="2046874" y="1421325"/>
          <a:ext cx="615755" cy="615755"/>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可维护性维度</a:t>
          </a:r>
          <a:endParaRPr>
            <a:solidFill>
              <a:schemeClr val="dk1"/>
            </a:solidFill>
          </a:endParaRPr>
        </a:p>
      </dsp:txBody>
      <dsp:txXfrm>
        <a:off x="2046874" y="1421325"/>
        <a:ext cx="615755" cy="615755"/>
      </dsp:txXfrm>
    </dsp:sp>
    <dsp:sp modelId="{A3BE54E0-542F-B84A-BAAB-73F5FB257AB1}">
      <dsp:nvSpPr>
        <dsp:cNvPr id="8" name="右箭头 7"/>
        <dsp:cNvSpPr/>
      </dsp:nvSpPr>
      <dsp:spPr bwMode="white">
        <a:xfrm rot="10800000">
          <a:off x="1811347" y="1625294"/>
          <a:ext cx="163175" cy="207817"/>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10800000" lIns="0" tIns="0" rIns="0" bIns="0" anchor="ctr"/>
        <a:lstStyle>
          <a:lvl1pPr algn="ctr">
            <a:defRPr sz="800"/>
          </a:lvl1pPr>
          <a:lvl2pPr marL="57150" indent="-57150" algn="ctr">
            <a:defRPr sz="600"/>
          </a:lvl2pPr>
          <a:lvl3pPr marL="114300" indent="-57150" algn="ctr">
            <a:defRPr sz="600"/>
          </a:lvl3pPr>
          <a:lvl4pPr marL="171450" indent="-57150" algn="ctr">
            <a:defRPr sz="600"/>
          </a:lvl4pPr>
          <a:lvl5pPr marL="228600" indent="-57150" algn="ctr">
            <a:defRPr sz="600"/>
          </a:lvl5pPr>
          <a:lvl6pPr marL="285750" indent="-57150" algn="ctr">
            <a:defRPr sz="600"/>
          </a:lvl6pPr>
          <a:lvl7pPr marL="342900" indent="-57150" algn="ctr">
            <a:defRPr sz="600"/>
          </a:lvl7pPr>
          <a:lvl8pPr marL="400050" indent="-57150" algn="ctr">
            <a:defRPr sz="600"/>
          </a:lvl8pPr>
          <a:lvl9pPr marL="457200" indent="-57150" algn="ctr">
            <a:defRPr sz="600"/>
          </a:lvl9pPr>
        </a:lstStyle>
        <a:p>
          <a:pPr lvl="0">
            <a:lnSpc>
              <a:spcPct val="100000"/>
            </a:lnSpc>
            <a:spcBef>
              <a:spcPct val="0"/>
            </a:spcBef>
            <a:spcAft>
              <a:spcPct val="35000"/>
            </a:spcAft>
          </a:pPr>
          <a:endParaRPr lang="zh-CN" altLang="en-US">
            <a:solidFill>
              <a:schemeClr val="dk1"/>
            </a:solidFill>
          </a:endParaRPr>
        </a:p>
      </dsp:txBody>
      <dsp:txXfrm rot="10800000">
        <a:off x="1811347" y="1625294"/>
        <a:ext cx="163175" cy="207817"/>
      </dsp:txXfrm>
    </dsp:sp>
    <dsp:sp modelId="{236EFB26-8BA7-2C4F-8ED4-83D30CEF38DC}">
      <dsp:nvSpPr>
        <dsp:cNvPr id="9" name="椭圆 8"/>
        <dsp:cNvSpPr/>
      </dsp:nvSpPr>
      <dsp:spPr bwMode="white">
        <a:xfrm>
          <a:off x="1123241" y="1421325"/>
          <a:ext cx="615755" cy="615755"/>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反馈效应</a:t>
          </a:r>
          <a:endParaRPr>
            <a:solidFill>
              <a:schemeClr val="dk1"/>
            </a:solidFill>
          </a:endParaRPr>
        </a:p>
      </dsp:txBody>
      <dsp:txXfrm>
        <a:off x="1123241" y="1421325"/>
        <a:ext cx="615755" cy="615755"/>
      </dsp:txXfrm>
    </dsp:sp>
    <dsp:sp modelId="{D89A8C2C-5069-3C48-99B1-3D5A16356880}">
      <dsp:nvSpPr>
        <dsp:cNvPr id="10" name="右箭头 9"/>
        <dsp:cNvSpPr/>
      </dsp:nvSpPr>
      <dsp:spPr bwMode="white">
        <a:xfrm rot="15120000">
          <a:off x="1206822" y="1186080"/>
          <a:ext cx="163175" cy="207817"/>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10800000" lIns="0" tIns="0" rIns="0" bIns="0" anchor="ctr"/>
        <a:lstStyle>
          <a:lvl1pPr algn="ctr">
            <a:defRPr sz="800"/>
          </a:lvl1pPr>
          <a:lvl2pPr marL="57150" indent="-57150" algn="ctr">
            <a:defRPr sz="600"/>
          </a:lvl2pPr>
          <a:lvl3pPr marL="114300" indent="-57150" algn="ctr">
            <a:defRPr sz="600"/>
          </a:lvl3pPr>
          <a:lvl4pPr marL="171450" indent="-57150" algn="ctr">
            <a:defRPr sz="600"/>
          </a:lvl4pPr>
          <a:lvl5pPr marL="228600" indent="-57150" algn="ctr">
            <a:defRPr sz="600"/>
          </a:lvl5pPr>
          <a:lvl6pPr marL="285750" indent="-57150" algn="ctr">
            <a:defRPr sz="600"/>
          </a:lvl6pPr>
          <a:lvl7pPr marL="342900" indent="-57150" algn="ctr">
            <a:defRPr sz="600"/>
          </a:lvl7pPr>
          <a:lvl8pPr marL="400050" indent="-57150" algn="ctr">
            <a:defRPr sz="600"/>
          </a:lvl8pPr>
          <a:lvl9pPr marL="457200" indent="-57150" algn="ctr">
            <a:defRPr sz="600"/>
          </a:lvl9pPr>
        </a:lstStyle>
        <a:p>
          <a:pPr lvl="0">
            <a:lnSpc>
              <a:spcPct val="100000"/>
            </a:lnSpc>
            <a:spcBef>
              <a:spcPct val="0"/>
            </a:spcBef>
            <a:spcAft>
              <a:spcPct val="35000"/>
            </a:spcAft>
          </a:pPr>
          <a:endParaRPr lang="zh-CN" altLang="en-US">
            <a:solidFill>
              <a:schemeClr val="dk1"/>
            </a:solidFill>
          </a:endParaRPr>
        </a:p>
      </dsp:txBody>
      <dsp:txXfrm rot="15120000">
        <a:off x="1206822" y="1186080"/>
        <a:ext cx="163175" cy="207817"/>
      </dsp:txXfrm>
    </dsp:sp>
    <dsp:sp modelId="{F467AB60-61E9-1A4F-9B7B-B0638AC5A1E9}">
      <dsp:nvSpPr>
        <dsp:cNvPr id="11" name="椭圆 10"/>
        <dsp:cNvSpPr/>
      </dsp:nvSpPr>
      <dsp:spPr bwMode="white">
        <a:xfrm>
          <a:off x="837823" y="542898"/>
          <a:ext cx="615755" cy="615755"/>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架构演化能力</a:t>
          </a:r>
          <a:endParaRPr>
            <a:solidFill>
              <a:schemeClr val="dk1"/>
            </a:solidFill>
          </a:endParaRPr>
        </a:p>
      </dsp:txBody>
      <dsp:txXfrm>
        <a:off x="837823" y="542898"/>
        <a:ext cx="615755" cy="615755"/>
      </dsp:txXfrm>
    </dsp:sp>
    <dsp:sp modelId="{51EBD9F4-B69A-F441-A315-5001C056EA08}">
      <dsp:nvSpPr>
        <dsp:cNvPr id="12" name="右箭头 11"/>
        <dsp:cNvSpPr/>
      </dsp:nvSpPr>
      <dsp:spPr bwMode="white">
        <a:xfrm rot="-2159999">
          <a:off x="1437730" y="475418"/>
          <a:ext cx="163175" cy="207817"/>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800"/>
          </a:lvl1pPr>
          <a:lvl2pPr marL="57150" indent="-57150" algn="ctr">
            <a:defRPr sz="600"/>
          </a:lvl2pPr>
          <a:lvl3pPr marL="114300" indent="-57150" algn="ctr">
            <a:defRPr sz="600"/>
          </a:lvl3pPr>
          <a:lvl4pPr marL="171450" indent="-57150" algn="ctr">
            <a:defRPr sz="600"/>
          </a:lvl4pPr>
          <a:lvl5pPr marL="228600" indent="-57150" algn="ctr">
            <a:defRPr sz="600"/>
          </a:lvl5pPr>
          <a:lvl6pPr marL="285750" indent="-57150" algn="ctr">
            <a:defRPr sz="600"/>
          </a:lvl6pPr>
          <a:lvl7pPr marL="342900" indent="-57150" algn="ctr">
            <a:defRPr sz="600"/>
          </a:lvl7pPr>
          <a:lvl8pPr marL="400050" indent="-57150" algn="ctr">
            <a:defRPr sz="600"/>
          </a:lvl8pPr>
          <a:lvl9pPr marL="457200" indent="-57150" algn="ctr">
            <a:defRPr sz="600"/>
          </a:lvl9pPr>
        </a:lstStyle>
        <a:p>
          <a:pPr lvl="0">
            <a:lnSpc>
              <a:spcPct val="100000"/>
            </a:lnSpc>
            <a:spcBef>
              <a:spcPct val="0"/>
            </a:spcBef>
            <a:spcAft>
              <a:spcPct val="35000"/>
            </a:spcAft>
          </a:pPr>
          <a:endParaRPr lang="zh-CN" altLang="en-US">
            <a:solidFill>
              <a:schemeClr val="dk1"/>
            </a:solidFill>
          </a:endParaRPr>
        </a:p>
      </dsp:txBody>
      <dsp:txXfrm rot="-2159999">
        <a:off x="1437730" y="475418"/>
        <a:ext cx="163175" cy="207817"/>
      </dsp:txXfrm>
    </dsp:sp>
  </dsp:spTree>
</dsp:drawing>
</file>

<file path=word/diagrams/drawing7.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3785870" cy="1631950"/>
        <a:chOff x="0" y="0"/>
        <a:chExt cx="3785870" cy="1631950"/>
      </a:xfrm>
    </dsp:grpSpPr>
    <dsp:sp modelId="{02889C44-54CF-E74E-B7DB-2C584CB6B05C}">
      <dsp:nvSpPr>
        <dsp:cNvPr id="3" name="矩形 2"/>
        <dsp:cNvSpPr/>
      </dsp:nvSpPr>
      <dsp:spPr bwMode="white">
        <a:xfrm>
          <a:off x="2094650" y="35585"/>
          <a:ext cx="578674" cy="578674"/>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tx1"/>
              </a:solidFill>
              <a:ea typeface="宋体" panose="02010600030101010101" charset="-122"/>
            </a:rPr>
            <a:t>数据采集与整合</a:t>
          </a:r>
          <a:endParaRPr>
            <a:solidFill>
              <a:schemeClr val="tx1"/>
            </a:solidFill>
          </a:endParaRPr>
        </a:p>
      </dsp:txBody>
      <dsp:txXfrm>
        <a:off x="2094650" y="35585"/>
        <a:ext cx="578674" cy="578674"/>
      </dsp:txXfrm>
    </dsp:sp>
    <dsp:sp modelId="{366BAA9C-77F0-A94A-8F8E-26E4FED87547}">
      <dsp:nvSpPr>
        <dsp:cNvPr id="4" name="环形箭头 3"/>
        <dsp:cNvSpPr/>
      </dsp:nvSpPr>
      <dsp:spPr bwMode="white">
        <a:xfrm>
          <a:off x="1122092" y="45132"/>
          <a:ext cx="1541686" cy="1541686"/>
        </a:xfrm>
        <a:prstGeom prst="circularArrow">
          <a:avLst>
            <a:gd name="adj1" fmla="val 5000"/>
            <a:gd name="adj2" fmla="val 360000"/>
            <a:gd name="adj3" fmla="val 653153"/>
            <a:gd name="adj4" fmla="val 20586846"/>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122092" y="45132"/>
        <a:ext cx="1541686" cy="1541686"/>
      </dsp:txXfrm>
    </dsp:sp>
    <dsp:sp modelId="{5F025108-D99B-B540-9070-84021BBCABB2}">
      <dsp:nvSpPr>
        <dsp:cNvPr id="5" name="矩形 4"/>
        <dsp:cNvSpPr/>
      </dsp:nvSpPr>
      <dsp:spPr bwMode="white">
        <a:xfrm>
          <a:off x="2094650" y="1017690"/>
          <a:ext cx="578674" cy="578674"/>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tx1"/>
              </a:solidFill>
              <a:ea typeface="宋体" panose="02010600030101010101" charset="-122"/>
            </a:rPr>
            <a:t>智能分析与推理</a:t>
          </a:r>
          <a:endParaRPr>
            <a:solidFill>
              <a:schemeClr val="tx1"/>
            </a:solidFill>
          </a:endParaRPr>
        </a:p>
      </dsp:txBody>
      <dsp:txXfrm>
        <a:off x="2094650" y="1017690"/>
        <a:ext cx="578674" cy="578674"/>
      </dsp:txXfrm>
    </dsp:sp>
    <dsp:sp modelId="{A7EF4AE8-5F43-0640-AF8D-A265C551202B}">
      <dsp:nvSpPr>
        <dsp:cNvPr id="6" name="环形箭头 5"/>
        <dsp:cNvSpPr/>
      </dsp:nvSpPr>
      <dsp:spPr bwMode="white">
        <a:xfrm>
          <a:off x="1122092" y="45132"/>
          <a:ext cx="1541686" cy="1541686"/>
        </a:xfrm>
        <a:prstGeom prst="circularArrow">
          <a:avLst>
            <a:gd name="adj1" fmla="val 5000"/>
            <a:gd name="adj2" fmla="val 360000"/>
            <a:gd name="adj3" fmla="val 6053153"/>
            <a:gd name="adj4" fmla="val 4386846"/>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122092" y="45132"/>
        <a:ext cx="1541686" cy="1541686"/>
      </dsp:txXfrm>
    </dsp:sp>
    <dsp:sp modelId="{7BEC1B54-FCD0-8740-A5FC-776890993612}">
      <dsp:nvSpPr>
        <dsp:cNvPr id="7" name="矩形 6"/>
        <dsp:cNvSpPr/>
      </dsp:nvSpPr>
      <dsp:spPr bwMode="white">
        <a:xfrm>
          <a:off x="1112545" y="1017690"/>
          <a:ext cx="578674" cy="578674"/>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tx1"/>
              </a:solidFill>
              <a:ea typeface="宋体" panose="02010600030101010101" charset="-122"/>
            </a:rPr>
            <a:t>决策执行与验证</a:t>
          </a:r>
          <a:endParaRPr>
            <a:solidFill>
              <a:schemeClr val="tx1"/>
            </a:solidFill>
          </a:endParaRPr>
        </a:p>
      </dsp:txBody>
      <dsp:txXfrm>
        <a:off x="1112545" y="1017690"/>
        <a:ext cx="578674" cy="578674"/>
      </dsp:txXfrm>
    </dsp:sp>
    <dsp:sp modelId="{5265B22A-0C34-854C-B559-5E9E771A8A02}">
      <dsp:nvSpPr>
        <dsp:cNvPr id="8" name="环形箭头 7"/>
        <dsp:cNvSpPr/>
      </dsp:nvSpPr>
      <dsp:spPr bwMode="white">
        <a:xfrm>
          <a:off x="1122092" y="45132"/>
          <a:ext cx="1541686" cy="1541686"/>
        </a:xfrm>
        <a:prstGeom prst="circularArrow">
          <a:avLst>
            <a:gd name="adj1" fmla="val 5000"/>
            <a:gd name="adj2" fmla="val 360000"/>
            <a:gd name="adj3" fmla="val 11453153"/>
            <a:gd name="adj4" fmla="val 9786846"/>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122092" y="45132"/>
        <a:ext cx="1541686" cy="1541686"/>
      </dsp:txXfrm>
    </dsp:sp>
    <dsp:sp modelId="{7B4FB5E1-EB5A-884C-B9CC-ACAFE33D1D0E}">
      <dsp:nvSpPr>
        <dsp:cNvPr id="9" name="矩形 8"/>
        <dsp:cNvSpPr/>
      </dsp:nvSpPr>
      <dsp:spPr bwMode="white">
        <a:xfrm>
          <a:off x="1112545" y="35585"/>
          <a:ext cx="578674" cy="578674"/>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tx1"/>
              </a:solidFill>
              <a:ea typeface="宋体" panose="02010600030101010101" charset="-122"/>
            </a:rPr>
            <a:t>知识沉淀与反馈</a:t>
          </a:r>
          <a:endParaRPr>
            <a:solidFill>
              <a:schemeClr val="tx1"/>
            </a:solidFill>
          </a:endParaRPr>
        </a:p>
      </dsp:txBody>
      <dsp:txXfrm>
        <a:off x="1112545" y="35585"/>
        <a:ext cx="578674" cy="578674"/>
      </dsp:txXfrm>
    </dsp:sp>
    <dsp:sp modelId="{BEB748F9-9A87-7E4C-977E-4008211D0939}">
      <dsp:nvSpPr>
        <dsp:cNvPr id="10" name="环形箭头 9"/>
        <dsp:cNvSpPr/>
      </dsp:nvSpPr>
      <dsp:spPr bwMode="white">
        <a:xfrm>
          <a:off x="1122092" y="45132"/>
          <a:ext cx="1541686" cy="1541686"/>
        </a:xfrm>
        <a:prstGeom prst="circularArrow">
          <a:avLst>
            <a:gd name="adj1" fmla="val 5000"/>
            <a:gd name="adj2" fmla="val 360000"/>
            <a:gd name="adj3" fmla="val 16853153"/>
            <a:gd name="adj4" fmla="val 15186846"/>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122092" y="45132"/>
        <a:ext cx="1541686" cy="1541686"/>
      </dsp:txXfrm>
    </dsp:sp>
  </dsp:spTree>
</dsp:drawing>
</file>

<file path=word/diagrams/drawing8.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3429635" cy="1564640"/>
        <a:chOff x="0" y="0"/>
        <a:chExt cx="3429635" cy="1564640"/>
      </a:xfrm>
    </dsp:grpSpPr>
    <dsp:sp modelId="{098B08B7-958D-334A-9E48-FD4A55606635}">
      <dsp:nvSpPr>
        <dsp:cNvPr id="5" name="任意多边形 4"/>
        <dsp:cNvSpPr/>
      </dsp:nvSpPr>
      <dsp:spPr bwMode="white">
        <a:xfrm>
          <a:off x="626904" y="407458"/>
          <a:ext cx="986049" cy="171133"/>
        </a:xfrm>
        <a:custGeom>
          <a:avLst/>
          <a:gdLst/>
          <a:ahLst/>
          <a:cxnLst/>
          <a:pathLst>
            <a:path w="1553" h="270">
              <a:moveTo>
                <a:pt x="1553" y="0"/>
              </a:moveTo>
              <a:lnTo>
                <a:pt x="1553" y="135"/>
              </a:lnTo>
              <a:lnTo>
                <a:pt x="0" y="135"/>
              </a:lnTo>
              <a:lnTo>
                <a:pt x="0" y="270"/>
              </a:lnTo>
            </a:path>
          </a:pathLst>
        </a:custGeom>
      </dsp:spPr>
      <dsp:style>
        <a:lnRef idx="2">
          <a:schemeClr val="dk1">
            <a:shade val="60000"/>
          </a:schemeClr>
        </a:lnRef>
        <a:fillRef idx="0">
          <a:schemeClr val="dk1"/>
        </a:fillRef>
        <a:effectRef idx="0">
          <a:scrgbClr r="0" g="0" b="0"/>
        </a:effectRef>
        <a:fontRef idx="minor"/>
      </dsp:style>
      <dsp:txXfrm>
        <a:off x="626904" y="407458"/>
        <a:ext cx="986049" cy="171133"/>
      </dsp:txXfrm>
    </dsp:sp>
    <dsp:sp modelId="{4EEA70F3-BE73-3849-8153-95F90EF7698C}">
      <dsp:nvSpPr>
        <dsp:cNvPr id="8" name="任意多边形 7"/>
        <dsp:cNvSpPr/>
      </dsp:nvSpPr>
      <dsp:spPr bwMode="white">
        <a:xfrm>
          <a:off x="300937" y="986049"/>
          <a:ext cx="122237" cy="374862"/>
        </a:xfrm>
        <a:custGeom>
          <a:avLst/>
          <a:gdLst/>
          <a:ahLst/>
          <a:cxnLst/>
          <a:pathLst>
            <a:path w="192" h="590">
              <a:moveTo>
                <a:pt x="0" y="0"/>
              </a:moveTo>
              <a:lnTo>
                <a:pt x="0" y="590"/>
              </a:lnTo>
              <a:lnTo>
                <a:pt x="192" y="590"/>
              </a:lnTo>
            </a:path>
          </a:pathLst>
        </a:custGeom>
      </dsp:spPr>
      <dsp:style>
        <a:lnRef idx="2">
          <a:schemeClr val="dk1">
            <a:shade val="80000"/>
          </a:schemeClr>
        </a:lnRef>
        <a:fillRef idx="0">
          <a:schemeClr val="dk1"/>
        </a:fillRef>
        <a:effectRef idx="0">
          <a:scrgbClr r="0" g="0" b="0"/>
        </a:effectRef>
        <a:fontRef idx="minor"/>
      </dsp:style>
      <dsp:txXfrm>
        <a:off x="300937" y="986049"/>
        <a:ext cx="122237" cy="374862"/>
      </dsp:txXfrm>
    </dsp:sp>
    <dsp:sp modelId="{39DD1C91-C1EE-FA47-9973-29768248EA27}">
      <dsp:nvSpPr>
        <dsp:cNvPr id="11" name="任意多边形 10"/>
        <dsp:cNvSpPr/>
      </dsp:nvSpPr>
      <dsp:spPr bwMode="white">
        <a:xfrm>
          <a:off x="1612953" y="407458"/>
          <a:ext cx="0" cy="171133"/>
        </a:xfrm>
        <a:custGeom>
          <a:avLst/>
          <a:gdLst/>
          <a:ahLst/>
          <a:cxnLst/>
          <a:pathLst>
            <a:path h="270">
              <a:moveTo>
                <a:pt x="0" y="0"/>
              </a:moveTo>
              <a:lnTo>
                <a:pt x="0" y="270"/>
              </a:lnTo>
            </a:path>
          </a:pathLst>
        </a:custGeom>
      </dsp:spPr>
      <dsp:style>
        <a:lnRef idx="2">
          <a:schemeClr val="dk1">
            <a:shade val="60000"/>
          </a:schemeClr>
        </a:lnRef>
        <a:fillRef idx="0">
          <a:schemeClr val="dk1"/>
        </a:fillRef>
        <a:effectRef idx="0">
          <a:scrgbClr r="0" g="0" b="0"/>
        </a:effectRef>
        <a:fontRef idx="minor"/>
      </dsp:style>
      <dsp:txXfrm>
        <a:off x="1612953" y="407458"/>
        <a:ext cx="0" cy="171133"/>
      </dsp:txXfrm>
    </dsp:sp>
    <dsp:sp modelId="{0B9CB071-CD67-BC4A-85DD-E308851EFF02}">
      <dsp:nvSpPr>
        <dsp:cNvPr id="14" name="任意多边形 13"/>
        <dsp:cNvSpPr/>
      </dsp:nvSpPr>
      <dsp:spPr bwMode="white">
        <a:xfrm>
          <a:off x="1286986" y="986049"/>
          <a:ext cx="122237" cy="374862"/>
        </a:xfrm>
        <a:custGeom>
          <a:avLst/>
          <a:gdLst/>
          <a:ahLst/>
          <a:cxnLst/>
          <a:pathLst>
            <a:path w="192" h="590">
              <a:moveTo>
                <a:pt x="0" y="0"/>
              </a:moveTo>
              <a:lnTo>
                <a:pt x="0" y="590"/>
              </a:lnTo>
              <a:lnTo>
                <a:pt x="192" y="590"/>
              </a:lnTo>
            </a:path>
          </a:pathLst>
        </a:custGeom>
      </dsp:spPr>
      <dsp:style>
        <a:lnRef idx="2">
          <a:schemeClr val="dk1">
            <a:shade val="80000"/>
          </a:schemeClr>
        </a:lnRef>
        <a:fillRef idx="0">
          <a:schemeClr val="dk1"/>
        </a:fillRef>
        <a:effectRef idx="0">
          <a:scrgbClr r="0" g="0" b="0"/>
        </a:effectRef>
        <a:fontRef idx="minor"/>
      </dsp:style>
      <dsp:txXfrm>
        <a:off x="1286986" y="986049"/>
        <a:ext cx="122237" cy="374862"/>
      </dsp:txXfrm>
    </dsp:sp>
    <dsp:sp modelId="{C23F69D0-ED02-B147-AB41-FD81AB2E37F8}">
      <dsp:nvSpPr>
        <dsp:cNvPr id="17" name="任意多边形 16"/>
        <dsp:cNvSpPr/>
      </dsp:nvSpPr>
      <dsp:spPr bwMode="white">
        <a:xfrm>
          <a:off x="1612953" y="407458"/>
          <a:ext cx="986049" cy="171133"/>
        </a:xfrm>
        <a:custGeom>
          <a:avLst/>
          <a:gdLst/>
          <a:ahLst/>
          <a:cxnLst/>
          <a:pathLst>
            <a:path w="1553" h="270">
              <a:moveTo>
                <a:pt x="0" y="0"/>
              </a:moveTo>
              <a:lnTo>
                <a:pt x="0" y="135"/>
              </a:lnTo>
              <a:lnTo>
                <a:pt x="1553" y="135"/>
              </a:lnTo>
              <a:lnTo>
                <a:pt x="1553" y="270"/>
              </a:lnTo>
            </a:path>
          </a:pathLst>
        </a:custGeom>
      </dsp:spPr>
      <dsp:style>
        <a:lnRef idx="2">
          <a:schemeClr val="dk1">
            <a:shade val="60000"/>
          </a:schemeClr>
        </a:lnRef>
        <a:fillRef idx="0">
          <a:schemeClr val="dk1"/>
        </a:fillRef>
        <a:effectRef idx="0">
          <a:scrgbClr r="0" g="0" b="0"/>
        </a:effectRef>
        <a:fontRef idx="minor"/>
      </dsp:style>
      <dsp:txXfrm>
        <a:off x="1612953" y="407458"/>
        <a:ext cx="986049" cy="171133"/>
      </dsp:txXfrm>
    </dsp:sp>
    <dsp:sp modelId="{2E324C0E-082E-8C44-9027-34F1F42AA475}">
      <dsp:nvSpPr>
        <dsp:cNvPr id="20" name="任意多边形 19"/>
        <dsp:cNvSpPr/>
      </dsp:nvSpPr>
      <dsp:spPr bwMode="white">
        <a:xfrm>
          <a:off x="2273035" y="986049"/>
          <a:ext cx="122237" cy="374862"/>
        </a:xfrm>
        <a:custGeom>
          <a:avLst/>
          <a:gdLst/>
          <a:ahLst/>
          <a:cxnLst/>
          <a:pathLst>
            <a:path w="192" h="590">
              <a:moveTo>
                <a:pt x="0" y="0"/>
              </a:moveTo>
              <a:lnTo>
                <a:pt x="0" y="590"/>
              </a:lnTo>
              <a:lnTo>
                <a:pt x="192" y="590"/>
              </a:lnTo>
            </a:path>
          </a:pathLst>
        </a:custGeom>
      </dsp:spPr>
      <dsp:style>
        <a:lnRef idx="2">
          <a:schemeClr val="dk1">
            <a:shade val="80000"/>
          </a:schemeClr>
        </a:lnRef>
        <a:fillRef idx="0">
          <a:schemeClr val="dk1"/>
        </a:fillRef>
        <a:effectRef idx="0">
          <a:scrgbClr r="0" g="0" b="0"/>
        </a:effectRef>
        <a:fontRef idx="minor"/>
      </dsp:style>
      <dsp:txXfrm>
        <a:off x="2273035" y="986049"/>
        <a:ext cx="122237" cy="374862"/>
      </dsp:txXfrm>
    </dsp:sp>
    <dsp:sp modelId="{6C92AFC8-71D6-8042-8B4F-209DE40B08F6}">
      <dsp:nvSpPr>
        <dsp:cNvPr id="3" name="矩形 2"/>
        <dsp:cNvSpPr/>
      </dsp:nvSpPr>
      <dsp:spPr bwMode="white">
        <a:xfrm>
          <a:off x="569517" y="0"/>
          <a:ext cx="2086871" cy="407458"/>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智能运维目标</a:t>
          </a:r>
          <a:br>
            <a:rPr lang="en-US" altLang="zh-CN" sz="1050" baseline="0">
              <a:solidFill>
                <a:schemeClr val="dk1"/>
              </a:solidFill>
              <a:ea typeface="宋体" panose="02010600030101010101" charset="-122"/>
            </a:rPr>
          </a:br>
          <a:r>
            <a:rPr lang="zh-CN" altLang="en-US" sz="1050" baseline="0">
              <a:solidFill>
                <a:schemeClr val="dk1"/>
              </a:solidFill>
              <a:ea typeface="宋体" panose="02010600030101010101" charset="-122"/>
            </a:rPr>
            <a:t>稳定性、合规性、透明性</a:t>
          </a:r>
          <a:endParaRPr>
            <a:solidFill>
              <a:schemeClr val="dk1"/>
            </a:solidFill>
          </a:endParaRPr>
        </a:p>
      </dsp:txBody>
      <dsp:txXfrm>
        <a:off x="569517" y="0"/>
        <a:ext cx="2086871" cy="407458"/>
      </dsp:txXfrm>
    </dsp:sp>
    <dsp:sp modelId="{30DFBFC0-DB4A-4941-8737-38200F1AE4A1}">
      <dsp:nvSpPr>
        <dsp:cNvPr id="6" name="矩形 5"/>
        <dsp:cNvSpPr/>
      </dsp:nvSpPr>
      <dsp:spPr bwMode="white">
        <a:xfrm>
          <a:off x="219445" y="578591"/>
          <a:ext cx="814917" cy="407458"/>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数据溯源</a:t>
          </a:r>
          <a:endParaRPr>
            <a:solidFill>
              <a:schemeClr val="dk1"/>
            </a:solidFill>
          </a:endParaRPr>
        </a:p>
      </dsp:txBody>
      <dsp:txXfrm>
        <a:off x="219445" y="578591"/>
        <a:ext cx="814917" cy="407458"/>
      </dsp:txXfrm>
    </dsp:sp>
    <dsp:sp modelId="{8EB10753-CB1D-B941-8E42-E49D0BC8F824}">
      <dsp:nvSpPr>
        <dsp:cNvPr id="9" name="矩形 8"/>
        <dsp:cNvSpPr/>
      </dsp:nvSpPr>
      <dsp:spPr bwMode="white">
        <a:xfrm>
          <a:off x="423175" y="1157182"/>
          <a:ext cx="814917" cy="407458"/>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日志归档</a:t>
          </a:r>
          <a:endParaRPr>
            <a:solidFill>
              <a:schemeClr val="dk1"/>
            </a:solidFill>
          </a:endParaRPr>
        </a:p>
      </dsp:txBody>
      <dsp:txXfrm>
        <a:off x="423175" y="1157182"/>
        <a:ext cx="814917" cy="407458"/>
      </dsp:txXfrm>
    </dsp:sp>
    <dsp:sp modelId="{4356E274-F2F1-F048-8FCB-4F4B03806550}">
      <dsp:nvSpPr>
        <dsp:cNvPr id="12" name="矩形 11"/>
        <dsp:cNvSpPr/>
      </dsp:nvSpPr>
      <dsp:spPr bwMode="white">
        <a:xfrm>
          <a:off x="1205495" y="578591"/>
          <a:ext cx="814917" cy="407458"/>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模型解释</a:t>
          </a:r>
          <a:endParaRPr>
            <a:solidFill>
              <a:schemeClr val="dk1"/>
            </a:solidFill>
          </a:endParaRPr>
        </a:p>
      </dsp:txBody>
      <dsp:txXfrm>
        <a:off x="1205495" y="578591"/>
        <a:ext cx="814917" cy="407458"/>
      </dsp:txXfrm>
    </dsp:sp>
    <dsp:sp modelId="{9F8B5022-3212-EC44-8E6B-57AE24132C1A}">
      <dsp:nvSpPr>
        <dsp:cNvPr id="15" name="矩形 14"/>
        <dsp:cNvSpPr/>
      </dsp:nvSpPr>
      <dsp:spPr bwMode="white">
        <a:xfrm>
          <a:off x="1409224" y="1157182"/>
          <a:ext cx="814917" cy="407458"/>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算法说明</a:t>
          </a:r>
          <a:endParaRPr>
            <a:solidFill>
              <a:schemeClr val="dk1"/>
            </a:solidFill>
          </a:endParaRPr>
        </a:p>
      </dsp:txBody>
      <dsp:txXfrm>
        <a:off x="1409224" y="1157182"/>
        <a:ext cx="814917" cy="407458"/>
      </dsp:txXfrm>
    </dsp:sp>
    <dsp:sp modelId="{0500809B-A1D0-7F4A-9F0F-B0A91D9B1D2A}">
      <dsp:nvSpPr>
        <dsp:cNvPr id="18" name="矩形 17"/>
        <dsp:cNvSpPr/>
      </dsp:nvSpPr>
      <dsp:spPr bwMode="white">
        <a:xfrm>
          <a:off x="2191544" y="578591"/>
          <a:ext cx="814917" cy="407458"/>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操作审计</a:t>
          </a:r>
          <a:endParaRPr>
            <a:solidFill>
              <a:schemeClr val="dk1"/>
            </a:solidFill>
          </a:endParaRPr>
        </a:p>
      </dsp:txBody>
      <dsp:txXfrm>
        <a:off x="2191544" y="578591"/>
        <a:ext cx="814917" cy="407458"/>
      </dsp:txXfrm>
    </dsp:sp>
    <dsp:sp modelId="{3D8D9C3A-2B51-EF4D-890B-ED4C10C43CE0}">
      <dsp:nvSpPr>
        <dsp:cNvPr id="21" name="矩形 20"/>
        <dsp:cNvSpPr/>
      </dsp:nvSpPr>
      <dsp:spPr bwMode="white">
        <a:xfrm>
          <a:off x="2395273" y="1157182"/>
          <a:ext cx="814917" cy="407458"/>
        </a:xfrm>
        <a:prstGeom prst="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责任追踪</a:t>
          </a:r>
          <a:endParaRPr>
            <a:solidFill>
              <a:schemeClr val="dk1"/>
            </a:solidFill>
          </a:endParaRPr>
        </a:p>
      </dsp:txBody>
      <dsp:txXfrm>
        <a:off x="2395273" y="1157182"/>
        <a:ext cx="814917" cy="407458"/>
      </dsp:txXfrm>
    </dsp:sp>
    <dsp:sp modelId="{B2C1E3C3-8FCD-DD49-BC24-CAA61491EA0D}">
      <dsp:nvSpPr>
        <dsp:cNvPr id="4" name="矩形 3" hidden="1"/>
        <dsp:cNvSpPr/>
      </dsp:nvSpPr>
      <dsp:spPr>
        <a:xfrm>
          <a:off x="569517" y="0"/>
          <a:ext cx="417374" cy="407458"/>
        </a:xfrm>
        <a:prstGeom prst="rect">
          <a:avLst/>
        </a:prstGeom>
      </dsp:spPr>
      <dsp:txXfrm>
        <a:off x="569517" y="0"/>
        <a:ext cx="417374" cy="407458"/>
      </dsp:txXfrm>
    </dsp:sp>
    <dsp:sp modelId="{4EE001F8-4BAE-A347-AFF3-7D66CE5AC3DA}">
      <dsp:nvSpPr>
        <dsp:cNvPr id="7" name="矩形 6" hidden="1"/>
        <dsp:cNvSpPr/>
      </dsp:nvSpPr>
      <dsp:spPr>
        <a:xfrm>
          <a:off x="219445" y="578591"/>
          <a:ext cx="162983" cy="407458"/>
        </a:xfrm>
        <a:prstGeom prst="rect">
          <a:avLst/>
        </a:prstGeom>
      </dsp:spPr>
      <dsp:txXfrm>
        <a:off x="219445" y="578591"/>
        <a:ext cx="162983" cy="407458"/>
      </dsp:txXfrm>
    </dsp:sp>
    <dsp:sp modelId="{ED5AD8C8-0ED1-D941-B6CB-C9F7E70E79FB}">
      <dsp:nvSpPr>
        <dsp:cNvPr id="10" name="矩形 9" hidden="1"/>
        <dsp:cNvSpPr/>
      </dsp:nvSpPr>
      <dsp:spPr>
        <a:xfrm>
          <a:off x="423175" y="1157182"/>
          <a:ext cx="162983" cy="407458"/>
        </a:xfrm>
        <a:prstGeom prst="rect">
          <a:avLst/>
        </a:prstGeom>
      </dsp:spPr>
      <dsp:txXfrm>
        <a:off x="423175" y="1157182"/>
        <a:ext cx="162983" cy="407458"/>
      </dsp:txXfrm>
    </dsp:sp>
    <dsp:sp modelId="{63122063-937E-1F46-A945-BCFFA0C8B1DB}">
      <dsp:nvSpPr>
        <dsp:cNvPr id="13" name="矩形 12" hidden="1"/>
        <dsp:cNvSpPr/>
      </dsp:nvSpPr>
      <dsp:spPr>
        <a:xfrm>
          <a:off x="1205495" y="578591"/>
          <a:ext cx="162983" cy="407458"/>
        </a:xfrm>
        <a:prstGeom prst="rect">
          <a:avLst/>
        </a:prstGeom>
      </dsp:spPr>
      <dsp:txXfrm>
        <a:off x="1205495" y="578591"/>
        <a:ext cx="162983" cy="407458"/>
      </dsp:txXfrm>
    </dsp:sp>
    <dsp:sp modelId="{27231A8B-FF5E-C646-A723-D59724FB82F2}">
      <dsp:nvSpPr>
        <dsp:cNvPr id="16" name="矩形 15" hidden="1"/>
        <dsp:cNvSpPr/>
      </dsp:nvSpPr>
      <dsp:spPr>
        <a:xfrm>
          <a:off x="1409224" y="1157182"/>
          <a:ext cx="162983" cy="407458"/>
        </a:xfrm>
        <a:prstGeom prst="rect">
          <a:avLst/>
        </a:prstGeom>
      </dsp:spPr>
      <dsp:txXfrm>
        <a:off x="1409224" y="1157182"/>
        <a:ext cx="162983" cy="407458"/>
      </dsp:txXfrm>
    </dsp:sp>
    <dsp:sp modelId="{5DBEEED8-2140-AA46-BCF8-4E3EAD8325A2}">
      <dsp:nvSpPr>
        <dsp:cNvPr id="19" name="矩形 18" hidden="1"/>
        <dsp:cNvSpPr/>
      </dsp:nvSpPr>
      <dsp:spPr>
        <a:xfrm>
          <a:off x="2191544" y="578591"/>
          <a:ext cx="162983" cy="407458"/>
        </a:xfrm>
        <a:prstGeom prst="rect">
          <a:avLst/>
        </a:prstGeom>
      </dsp:spPr>
      <dsp:txXfrm>
        <a:off x="2191544" y="578591"/>
        <a:ext cx="162983" cy="407458"/>
      </dsp:txXfrm>
    </dsp:sp>
    <dsp:sp modelId="{22DBD252-C1A8-4241-90A3-4DF1281D2573}">
      <dsp:nvSpPr>
        <dsp:cNvPr id="22" name="矩形 21" hidden="1"/>
        <dsp:cNvSpPr/>
      </dsp:nvSpPr>
      <dsp:spPr>
        <a:xfrm>
          <a:off x="2395273" y="1157182"/>
          <a:ext cx="162983" cy="407458"/>
        </a:xfrm>
        <a:prstGeom prst="rect">
          <a:avLst/>
        </a:prstGeom>
      </dsp:spPr>
      <dsp:txXfrm>
        <a:off x="2395273" y="1157182"/>
        <a:ext cx="162983" cy="407458"/>
      </dsp:txXfrm>
    </dsp:sp>
  </dsp:spTree>
</dsp:drawing>
</file>

<file path=word/diagrams/drawing9.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3976370" cy="1871345"/>
        <a:chOff x="0" y="0"/>
        <a:chExt cx="3976370" cy="1871345"/>
      </a:xfrm>
    </dsp:grpSpPr>
    <dsp:sp modelId="{D3ECDD78-FA78-A848-B5F3-64FE8A3D78CF}">
      <dsp:nvSpPr>
        <dsp:cNvPr id="3" name="圆角矩形 2"/>
        <dsp:cNvSpPr/>
      </dsp:nvSpPr>
      <dsp:spPr bwMode="white">
        <a:xfrm>
          <a:off x="1653490" y="0"/>
          <a:ext cx="669391" cy="435104"/>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文化驱动</a:t>
          </a:r>
          <a:endParaRPr>
            <a:solidFill>
              <a:schemeClr val="dk1"/>
            </a:solidFill>
          </a:endParaRPr>
        </a:p>
      </dsp:txBody>
      <dsp:txXfrm>
        <a:off x="1653490" y="0"/>
        <a:ext cx="669391" cy="435104"/>
      </dsp:txXfrm>
    </dsp:sp>
    <dsp:sp modelId="{8C14F906-36A7-F24A-B5A1-049E6A551293}">
      <dsp:nvSpPr>
        <dsp:cNvPr id="4" name="弧形 3"/>
        <dsp:cNvSpPr/>
      </dsp:nvSpPr>
      <dsp:spPr bwMode="white">
        <a:xfrm>
          <a:off x="1270065" y="217552"/>
          <a:ext cx="1436241" cy="1436241"/>
        </a:xfrm>
        <a:prstGeom prst="arc">
          <a:avLst>
            <a:gd name="adj1" fmla="val 18401804"/>
            <a:gd name="adj2" fmla="val 20006891"/>
          </a:avLst>
        </a:prstGeom>
        <a:ln>
          <a:tailEnd type="arrow" w="lg" len="med"/>
        </a:ln>
      </dsp:spPr>
      <dsp:style>
        <a:lnRef idx="1">
          <a:schemeClr val="dk1"/>
        </a:lnRef>
        <a:fillRef idx="0">
          <a:schemeClr val="dk1"/>
        </a:fillRef>
        <a:effectRef idx="0">
          <a:scrgbClr r="0" g="0" b="0"/>
        </a:effectRef>
        <a:fontRef idx="minor"/>
      </dsp:style>
      <dsp:txXfrm>
        <a:off x="1270065" y="217552"/>
        <a:ext cx="1436241" cy="1436241"/>
      </dsp:txXfrm>
    </dsp:sp>
    <dsp:sp modelId="{8E76516C-2E18-1B4E-9CD6-E0E398004B08}">
      <dsp:nvSpPr>
        <dsp:cNvPr id="5" name="圆角矩形 4"/>
        <dsp:cNvSpPr/>
      </dsp:nvSpPr>
      <dsp:spPr bwMode="white">
        <a:xfrm>
          <a:off x="2371610" y="718120"/>
          <a:ext cx="669391" cy="435104"/>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流程优化</a:t>
          </a:r>
          <a:endParaRPr>
            <a:solidFill>
              <a:schemeClr val="dk1"/>
            </a:solidFill>
          </a:endParaRPr>
        </a:p>
      </dsp:txBody>
      <dsp:txXfrm>
        <a:off x="2371610" y="718120"/>
        <a:ext cx="669391" cy="435104"/>
      </dsp:txXfrm>
    </dsp:sp>
    <dsp:sp modelId="{9C63F93D-2245-FF41-9D83-13D53612C406}">
      <dsp:nvSpPr>
        <dsp:cNvPr id="6" name="弧形 5"/>
        <dsp:cNvSpPr/>
      </dsp:nvSpPr>
      <dsp:spPr bwMode="white">
        <a:xfrm>
          <a:off x="1270065" y="217552"/>
          <a:ext cx="1436241" cy="1436241"/>
        </a:xfrm>
        <a:prstGeom prst="arc">
          <a:avLst>
            <a:gd name="adj1" fmla="val 1593108"/>
            <a:gd name="adj2" fmla="val 3198195"/>
          </a:avLst>
        </a:prstGeom>
        <a:ln>
          <a:tailEnd type="arrow" w="lg" len="med"/>
        </a:ln>
      </dsp:spPr>
      <dsp:style>
        <a:lnRef idx="1">
          <a:schemeClr val="dk1"/>
        </a:lnRef>
        <a:fillRef idx="0">
          <a:schemeClr val="dk1"/>
        </a:fillRef>
        <a:effectRef idx="0">
          <a:scrgbClr r="0" g="0" b="0"/>
        </a:effectRef>
        <a:fontRef idx="minor"/>
      </dsp:style>
      <dsp:txXfrm>
        <a:off x="1270065" y="217552"/>
        <a:ext cx="1436241" cy="1436241"/>
      </dsp:txXfrm>
    </dsp:sp>
    <dsp:sp modelId="{863E173B-A3C7-8C40-9C81-6EA840865CE2}">
      <dsp:nvSpPr>
        <dsp:cNvPr id="7" name="圆角矩形 6"/>
        <dsp:cNvSpPr/>
      </dsp:nvSpPr>
      <dsp:spPr bwMode="white">
        <a:xfrm>
          <a:off x="1653490" y="1436241"/>
          <a:ext cx="669391" cy="435104"/>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技术赋能</a:t>
          </a:r>
          <a:endParaRPr>
            <a:solidFill>
              <a:schemeClr val="dk1"/>
            </a:solidFill>
          </a:endParaRPr>
        </a:p>
      </dsp:txBody>
      <dsp:txXfrm>
        <a:off x="1653490" y="1436241"/>
        <a:ext cx="669391" cy="435104"/>
      </dsp:txXfrm>
    </dsp:sp>
    <dsp:sp modelId="{133288DB-4BE7-0E4E-8348-0C8B77FBF5F6}">
      <dsp:nvSpPr>
        <dsp:cNvPr id="8" name="弧形 7"/>
        <dsp:cNvSpPr/>
      </dsp:nvSpPr>
      <dsp:spPr bwMode="white">
        <a:xfrm>
          <a:off x="1270065" y="217552"/>
          <a:ext cx="1436241" cy="1436241"/>
        </a:xfrm>
        <a:prstGeom prst="arc">
          <a:avLst>
            <a:gd name="adj1" fmla="val 7601804"/>
            <a:gd name="adj2" fmla="val 9206891"/>
          </a:avLst>
        </a:prstGeom>
        <a:ln>
          <a:tailEnd type="arrow" w="lg" len="med"/>
        </a:ln>
      </dsp:spPr>
      <dsp:style>
        <a:lnRef idx="1">
          <a:schemeClr val="dk1"/>
        </a:lnRef>
        <a:fillRef idx="0">
          <a:schemeClr val="dk1"/>
        </a:fillRef>
        <a:effectRef idx="0">
          <a:scrgbClr r="0" g="0" b="0"/>
        </a:effectRef>
        <a:fontRef idx="minor"/>
      </dsp:style>
      <dsp:txXfrm>
        <a:off x="1270065" y="217552"/>
        <a:ext cx="1436241" cy="1436241"/>
      </dsp:txXfrm>
    </dsp:sp>
    <dsp:sp modelId="{E87DC3AE-473A-D44E-8400-7AB4306ABBDF}">
      <dsp:nvSpPr>
        <dsp:cNvPr id="9" name="圆角矩形 8"/>
        <dsp:cNvSpPr/>
      </dsp:nvSpPr>
      <dsp:spPr bwMode="white">
        <a:xfrm>
          <a:off x="935369" y="718120"/>
          <a:ext cx="669391" cy="435104"/>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反馈改进</a:t>
          </a:r>
          <a:endParaRPr>
            <a:solidFill>
              <a:schemeClr val="dk1"/>
            </a:solidFill>
          </a:endParaRPr>
        </a:p>
      </dsp:txBody>
      <dsp:txXfrm>
        <a:off x="935369" y="718120"/>
        <a:ext cx="669391" cy="435104"/>
      </dsp:txXfrm>
    </dsp:sp>
    <dsp:sp modelId="{C46A07BD-5659-724C-AABC-5FF330BDDE29}">
      <dsp:nvSpPr>
        <dsp:cNvPr id="10" name="弧形 9"/>
        <dsp:cNvSpPr/>
      </dsp:nvSpPr>
      <dsp:spPr bwMode="white">
        <a:xfrm>
          <a:off x="1270065" y="217552"/>
          <a:ext cx="1436241" cy="1436241"/>
        </a:xfrm>
        <a:prstGeom prst="arc">
          <a:avLst>
            <a:gd name="adj1" fmla="val 12393108"/>
            <a:gd name="adj2" fmla="val 13998195"/>
          </a:avLst>
        </a:prstGeom>
        <a:ln>
          <a:tailEnd type="arrow" w="lg" len="med"/>
        </a:ln>
      </dsp:spPr>
      <dsp:style>
        <a:lnRef idx="1">
          <a:schemeClr val="dk1"/>
        </a:lnRef>
        <a:fillRef idx="0">
          <a:schemeClr val="dk1"/>
        </a:fillRef>
        <a:effectRef idx="0">
          <a:scrgbClr r="0" g="0" b="0"/>
        </a:effectRef>
        <a:fontRef idx="minor"/>
      </dsp:style>
      <dsp:txXfrm>
        <a:off x="1270065" y="217552"/>
        <a:ext cx="1436241" cy="1436241"/>
      </dsp:txXfrm>
    </dsp:sp>
  </dsp:spTree>
</dsp:drawing>
</file>

<file path=word/diagrams/drawing10.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2753995" cy="1773555"/>
        <a:chOff x="0" y="0"/>
        <a:chExt cx="2753995" cy="1773555"/>
      </a:xfrm>
    </dsp:grpSpPr>
    <dsp:sp modelId="{887F8176-8179-6140-AAB8-59870A0FCA94}">
      <dsp:nvSpPr>
        <dsp:cNvPr id="3" name="圆角矩形 2"/>
        <dsp:cNvSpPr/>
      </dsp:nvSpPr>
      <dsp:spPr bwMode="white">
        <a:xfrm>
          <a:off x="0" y="0"/>
          <a:ext cx="2753995" cy="268750"/>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组织目标</a:t>
          </a:r>
          <a:endParaRPr>
            <a:solidFill>
              <a:schemeClr val="dk1"/>
            </a:solidFill>
          </a:endParaRPr>
        </a:p>
      </dsp:txBody>
      <dsp:txXfrm>
        <a:off x="0" y="0"/>
        <a:ext cx="2753995" cy="268750"/>
      </dsp:txXfrm>
    </dsp:sp>
    <dsp:sp modelId="{66F460C4-2456-9C49-9D66-7AE2480FA124}">
      <dsp:nvSpPr>
        <dsp:cNvPr id="4" name="圆角矩形 3"/>
        <dsp:cNvSpPr/>
      </dsp:nvSpPr>
      <dsp:spPr bwMode="white">
        <a:xfrm>
          <a:off x="0" y="357972"/>
          <a:ext cx="869317" cy="300322"/>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技术能力</a:t>
          </a:r>
          <a:endParaRPr>
            <a:solidFill>
              <a:schemeClr val="dk1"/>
            </a:solidFill>
          </a:endParaRPr>
        </a:p>
      </dsp:txBody>
      <dsp:txXfrm>
        <a:off x="0" y="357972"/>
        <a:ext cx="869317" cy="300322"/>
      </dsp:txXfrm>
    </dsp:sp>
    <dsp:sp modelId="{019DC041-56F6-7440-ADF9-EC52BA9900FD}">
      <dsp:nvSpPr>
        <dsp:cNvPr id="5" name="圆角矩形 4"/>
        <dsp:cNvSpPr/>
      </dsp:nvSpPr>
      <dsp:spPr bwMode="white">
        <a:xfrm>
          <a:off x="982615" y="747516"/>
          <a:ext cx="869317" cy="1026039"/>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绩效结果</a:t>
          </a:r>
          <a:br>
            <a:rPr lang="en-US" altLang="zh-CN" sz="1050" baseline="0">
              <a:solidFill>
                <a:schemeClr val="dk1"/>
              </a:solidFill>
              <a:ea typeface="宋体" panose="02010600030101010101" charset="-122"/>
            </a:rPr>
          </a:br>
          <a:r>
            <a:rPr lang="zh-CN" altLang="en-US" sz="1050" baseline="0">
              <a:solidFill>
                <a:schemeClr val="dk1"/>
              </a:solidFill>
              <a:ea typeface="宋体" panose="02010600030101010101" charset="-122"/>
            </a:rPr>
            <a:t> </a:t>
          </a:r>
          <a:br>
            <a:rPr lang="en-US" altLang="zh-CN" sz="1050" baseline="0">
              <a:solidFill>
                <a:schemeClr val="dk1"/>
              </a:solidFill>
              <a:ea typeface="宋体" panose="02010600030101010101" charset="-122"/>
            </a:rPr>
          </a:br>
          <a:r>
            <a:rPr lang="zh-CN" altLang="en-US" sz="1050" baseline="0">
              <a:solidFill>
                <a:schemeClr val="dk1"/>
              </a:solidFill>
              <a:ea typeface="宋体" panose="02010600030101010101" charset="-122"/>
            </a:rPr>
            <a:t>交付质量</a:t>
          </a:r>
          <a:br>
            <a:rPr lang="en-US" altLang="zh-CN" sz="1050" baseline="0">
              <a:solidFill>
                <a:schemeClr val="dk1"/>
              </a:solidFill>
              <a:ea typeface="宋体" panose="02010600030101010101" charset="-122"/>
            </a:rPr>
          </a:br>
          <a:r>
            <a:rPr lang="zh-CN" altLang="en-US" sz="1050" baseline="0">
              <a:solidFill>
                <a:schemeClr val="dk1"/>
              </a:solidFill>
              <a:ea typeface="宋体" panose="02010600030101010101" charset="-122"/>
            </a:rPr>
            <a:t>协同效率</a:t>
          </a:r>
          <a:br>
            <a:rPr lang="en-US" altLang="zh-CN" sz="1050" baseline="0">
              <a:solidFill>
                <a:schemeClr val="dk1"/>
              </a:solidFill>
              <a:ea typeface="宋体" panose="02010600030101010101" charset="-122"/>
            </a:rPr>
          </a:br>
          <a:r>
            <a:rPr lang="zh-CN" altLang="en-US" sz="1050" baseline="0">
              <a:solidFill>
                <a:schemeClr val="dk1"/>
              </a:solidFill>
              <a:ea typeface="宋体" panose="02010600030101010101" charset="-122"/>
            </a:rPr>
            <a:t>创新产出</a:t>
          </a:r>
          <a:endParaRPr>
            <a:solidFill>
              <a:schemeClr val="dk1"/>
            </a:solidFill>
          </a:endParaRPr>
        </a:p>
      </dsp:txBody>
      <dsp:txXfrm>
        <a:off x="982615" y="747516"/>
        <a:ext cx="869317" cy="1026039"/>
      </dsp:txXfrm>
    </dsp:sp>
    <dsp:sp modelId="{7593C77B-65CA-7840-9443-CDD1A4B5643D}">
      <dsp:nvSpPr>
        <dsp:cNvPr id="6" name="圆角矩形 5"/>
        <dsp:cNvSpPr/>
      </dsp:nvSpPr>
      <dsp:spPr bwMode="white">
        <a:xfrm>
          <a:off x="942339" y="357972"/>
          <a:ext cx="869317" cy="300322"/>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沟通能力</a:t>
          </a:r>
          <a:endParaRPr>
            <a:solidFill>
              <a:schemeClr val="dk1"/>
            </a:solidFill>
          </a:endParaRPr>
        </a:p>
      </dsp:txBody>
      <dsp:txXfrm>
        <a:off x="942339" y="357972"/>
        <a:ext cx="869317" cy="300322"/>
      </dsp:txXfrm>
    </dsp:sp>
    <dsp:sp modelId="{6F348AE6-C57E-9444-9195-6ACC86D4A3A5}">
      <dsp:nvSpPr>
        <dsp:cNvPr id="7" name="圆角矩形 6"/>
        <dsp:cNvSpPr/>
      </dsp:nvSpPr>
      <dsp:spPr bwMode="white">
        <a:xfrm>
          <a:off x="1884678" y="357972"/>
          <a:ext cx="869317" cy="300322"/>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创新能力</a:t>
          </a:r>
          <a:endParaRPr>
            <a:solidFill>
              <a:schemeClr val="dk1"/>
            </a:solidFill>
          </a:endParaRPr>
        </a:p>
      </dsp:txBody>
      <dsp:txXfrm>
        <a:off x="1884678" y="357972"/>
        <a:ext cx="869317" cy="300322"/>
      </dsp:txXfrm>
    </dsp:sp>
  </dsp:spTree>
</dsp:drawing>
</file>

<file path=word/diagrams/drawing1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5486400" cy="3200400"/>
        <a:chOff x="0" y="0"/>
        <a:chExt cx="5486400" cy="3200400"/>
      </a:xfrm>
    </dsp:grpSpPr>
    <dsp:sp modelId="{0931F71C-0326-E447-8EF3-F4C451FCB03B}">
      <dsp:nvSpPr>
        <dsp:cNvPr id="3" name="圆角矩形 2"/>
        <dsp:cNvSpPr/>
      </dsp:nvSpPr>
      <dsp:spPr bwMode="white">
        <a:xfrm>
          <a:off x="3442693" y="0"/>
          <a:ext cx="749871" cy="23792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900" baseline="0">
              <a:solidFill>
                <a:schemeClr val="dk1"/>
              </a:solidFill>
              <a:latin typeface="宋体" panose="02010600030101010101" charset="-122"/>
              <a:ea typeface="宋体" panose="02010600030101010101" charset="-122"/>
              <a:cs typeface="Times New Roman" panose="02020603050405020304" charset="0"/>
            </a:rPr>
            <a:t>H</a:t>
          </a:r>
          <a:r>
            <a:rPr lang="zh-CN" sz="900" baseline="0">
              <a:solidFill>
                <a:schemeClr val="dk1"/>
              </a:solidFill>
              <a:latin typeface="宋体" panose="02010600030101010101" charset="-122"/>
              <a:ea typeface="宋体" panose="02010600030101010101" charset="-122"/>
              <a:cs typeface="Times New Roman" panose="02020603050405020304" charset="0"/>
            </a:rPr>
            <a:t>公司</a:t>
          </a:r>
          <a:endParaRPr>
            <a:solidFill>
              <a:schemeClr val="dk1"/>
            </a:solidFill>
          </a:endParaRPr>
        </a:p>
      </dsp:txBody>
      <dsp:txXfrm>
        <a:off x="3442693" y="0"/>
        <a:ext cx="749871" cy="237928"/>
      </dsp:txXfrm>
    </dsp:sp>
    <dsp:sp modelId="{6F969B3A-1BC9-0D4B-8C0A-18A6B22B8977}">
      <dsp:nvSpPr>
        <dsp:cNvPr id="4" name="任意多边形 3"/>
        <dsp:cNvSpPr/>
      </dsp:nvSpPr>
      <dsp:spPr bwMode="white">
        <a:xfrm>
          <a:off x="1781272" y="161601"/>
          <a:ext cx="2036356" cy="76328"/>
        </a:xfrm>
        <a:custGeom>
          <a:avLst/>
          <a:gdLst/>
          <a:ahLst/>
          <a:cxnLst/>
          <a:pathLst>
            <a:path w="3207" h="120">
              <a:moveTo>
                <a:pt x="3207" y="120"/>
              </a:moveTo>
              <a:lnTo>
                <a:pt x="0" y="0"/>
              </a:lnTo>
            </a:path>
          </a:pathLst>
        </a:custGeom>
      </dsp:spPr>
      <dsp:style>
        <a:lnRef idx="2">
          <a:schemeClr val="dk1">
            <a:shade val="60000"/>
          </a:schemeClr>
        </a:lnRef>
        <a:fillRef idx="0">
          <a:schemeClr val="dk1"/>
        </a:fillRef>
        <a:effectRef idx="0">
          <a:scrgbClr r="0" g="0" b="0"/>
        </a:effectRef>
        <a:fontRef idx="minor"/>
      </dsp:style>
      <dsp:txXfrm>
        <a:off x="1781272" y="161601"/>
        <a:ext cx="2036356" cy="76328"/>
      </dsp:txXfrm>
    </dsp:sp>
    <dsp:sp modelId="{268248E2-F401-3F4B-BE99-DE7970095BE4}">
      <dsp:nvSpPr>
        <dsp:cNvPr id="5" name="圆角矩形 4"/>
        <dsp:cNvSpPr/>
      </dsp:nvSpPr>
      <dsp:spPr bwMode="white">
        <a:xfrm>
          <a:off x="1176075" y="161601"/>
          <a:ext cx="1210395" cy="279323"/>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决策与治理层</a:t>
          </a:r>
          <a:endParaRPr>
            <a:solidFill>
              <a:schemeClr val="dk1"/>
            </a:solidFill>
          </a:endParaRPr>
        </a:p>
      </dsp:txBody>
      <dsp:txXfrm>
        <a:off x="1176075" y="161601"/>
        <a:ext cx="1210395" cy="279323"/>
      </dsp:txXfrm>
    </dsp:sp>
    <dsp:sp modelId="{F7AE4BD2-E978-254D-A0F9-0D59443E2AFE}">
      <dsp:nvSpPr>
        <dsp:cNvPr id="6" name="任意多边形 5"/>
        <dsp:cNvSpPr/>
      </dsp:nvSpPr>
      <dsp:spPr bwMode="white">
        <a:xfrm>
          <a:off x="880761" y="440923"/>
          <a:ext cx="900512" cy="370482"/>
        </a:xfrm>
        <a:custGeom>
          <a:avLst/>
          <a:gdLst/>
          <a:ahLst/>
          <a:cxnLst/>
          <a:pathLst>
            <a:path w="1418" h="583">
              <a:moveTo>
                <a:pt x="1418" y="0"/>
              </a:moveTo>
              <a:lnTo>
                <a:pt x="1418" y="292"/>
              </a:lnTo>
              <a:lnTo>
                <a:pt x="0" y="292"/>
              </a:lnTo>
              <a:lnTo>
                <a:pt x="0" y="583"/>
              </a:lnTo>
            </a:path>
          </a:pathLst>
        </a:custGeom>
      </dsp:spPr>
      <dsp:style>
        <a:lnRef idx="2">
          <a:schemeClr val="dk1">
            <a:shade val="80000"/>
          </a:schemeClr>
        </a:lnRef>
        <a:fillRef idx="0">
          <a:schemeClr val="dk1"/>
        </a:fillRef>
        <a:effectRef idx="0">
          <a:scrgbClr r="0" g="0" b="0"/>
        </a:effectRef>
        <a:fontRef idx="minor"/>
      </dsp:style>
      <dsp:txXfrm>
        <a:off x="880761" y="440923"/>
        <a:ext cx="900512" cy="370482"/>
      </dsp:txXfrm>
    </dsp:sp>
    <dsp:sp modelId="{A2D6D9E8-5137-0642-A29E-51E0450233B5}">
      <dsp:nvSpPr>
        <dsp:cNvPr id="7" name="圆角矩形 6"/>
        <dsp:cNvSpPr/>
      </dsp:nvSpPr>
      <dsp:spPr bwMode="white">
        <a:xfrm>
          <a:off x="804854" y="811405"/>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宋体" panose="02010600030101010101" charset="-122"/>
              <a:ea typeface="宋体" panose="02010600030101010101" charset="-122"/>
              <a:cs typeface="Times New Roman" panose="02020603050405020304" charset="0"/>
            </a:rPr>
            <a:t>董事会</a:t>
          </a:r>
          <a:endParaRPr>
            <a:solidFill>
              <a:schemeClr val="dk1"/>
            </a:solidFill>
          </a:endParaRPr>
        </a:p>
      </dsp:txBody>
      <dsp:txXfrm>
        <a:off x="804854" y="811405"/>
        <a:ext cx="151813" cy="1406304"/>
      </dsp:txXfrm>
    </dsp:sp>
    <dsp:sp modelId="{D7D54669-DA81-3142-8AD3-E9EF49D0478D}">
      <dsp:nvSpPr>
        <dsp:cNvPr id="8" name="任意多边形 7"/>
        <dsp:cNvSpPr/>
      </dsp:nvSpPr>
      <dsp:spPr bwMode="white">
        <a:xfrm>
          <a:off x="1078117" y="440923"/>
          <a:ext cx="703155" cy="370482"/>
        </a:xfrm>
        <a:custGeom>
          <a:avLst/>
          <a:gdLst/>
          <a:ahLst/>
          <a:cxnLst/>
          <a:pathLst>
            <a:path w="1107" h="583">
              <a:moveTo>
                <a:pt x="1107" y="0"/>
              </a:moveTo>
              <a:lnTo>
                <a:pt x="1107" y="292"/>
              </a:lnTo>
              <a:lnTo>
                <a:pt x="0" y="292"/>
              </a:lnTo>
              <a:lnTo>
                <a:pt x="0" y="583"/>
              </a:lnTo>
            </a:path>
          </a:pathLst>
        </a:custGeom>
      </dsp:spPr>
      <dsp:style>
        <a:lnRef idx="2">
          <a:schemeClr val="dk1">
            <a:shade val="80000"/>
          </a:schemeClr>
        </a:lnRef>
        <a:fillRef idx="0">
          <a:schemeClr val="dk1"/>
        </a:fillRef>
        <a:effectRef idx="0">
          <a:scrgbClr r="0" g="0" b="0"/>
        </a:effectRef>
        <a:fontRef idx="minor"/>
      </dsp:style>
      <dsp:txXfrm>
        <a:off x="1078117" y="440923"/>
        <a:ext cx="703155" cy="370482"/>
      </dsp:txXfrm>
    </dsp:sp>
    <dsp:sp modelId="{27BA346B-6F54-6C4A-94A6-CB251D61AD6F}">
      <dsp:nvSpPr>
        <dsp:cNvPr id="9" name="圆角矩形 8"/>
        <dsp:cNvSpPr/>
      </dsp:nvSpPr>
      <dsp:spPr bwMode="white">
        <a:xfrm>
          <a:off x="1002211" y="811405"/>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宋体" panose="02010600030101010101" charset="-122"/>
              <a:ea typeface="宋体" panose="02010600030101010101" charset="-122"/>
              <a:cs typeface="Times New Roman" panose="02020603050405020304" charset="0"/>
            </a:rPr>
            <a:t>首席技术官</a:t>
          </a:r>
          <a:endParaRPr>
            <a:solidFill>
              <a:schemeClr val="dk1"/>
            </a:solidFill>
          </a:endParaRPr>
        </a:p>
      </dsp:txBody>
      <dsp:txXfrm>
        <a:off x="1002211" y="811405"/>
        <a:ext cx="151813" cy="1406304"/>
      </dsp:txXfrm>
    </dsp:sp>
    <dsp:sp modelId="{3AD9B56E-C848-C847-8679-366D75AA07F5}">
      <dsp:nvSpPr>
        <dsp:cNvPr id="10" name="任意多边形 9"/>
        <dsp:cNvSpPr/>
      </dsp:nvSpPr>
      <dsp:spPr bwMode="white">
        <a:xfrm>
          <a:off x="1275474" y="440923"/>
          <a:ext cx="505798" cy="370482"/>
        </a:xfrm>
        <a:custGeom>
          <a:avLst/>
          <a:gdLst/>
          <a:ahLst/>
          <a:cxnLst/>
          <a:pathLst>
            <a:path w="797" h="583">
              <a:moveTo>
                <a:pt x="797" y="0"/>
              </a:moveTo>
              <a:lnTo>
                <a:pt x="797" y="292"/>
              </a:lnTo>
              <a:lnTo>
                <a:pt x="0" y="292"/>
              </a:lnTo>
              <a:lnTo>
                <a:pt x="0" y="583"/>
              </a:lnTo>
            </a:path>
          </a:pathLst>
        </a:custGeom>
      </dsp:spPr>
      <dsp:style>
        <a:lnRef idx="2">
          <a:schemeClr val="dk1">
            <a:shade val="80000"/>
          </a:schemeClr>
        </a:lnRef>
        <a:fillRef idx="0">
          <a:schemeClr val="dk1"/>
        </a:fillRef>
        <a:effectRef idx="0">
          <a:scrgbClr r="0" g="0" b="0"/>
        </a:effectRef>
        <a:fontRef idx="minor"/>
      </dsp:style>
      <dsp:txXfrm>
        <a:off x="1275474" y="440923"/>
        <a:ext cx="505798" cy="370482"/>
      </dsp:txXfrm>
    </dsp:sp>
    <dsp:sp modelId="{B8C0541C-7274-EC46-BBBB-3A514B31E8E0}">
      <dsp:nvSpPr>
        <dsp:cNvPr id="11" name="圆角矩形 10"/>
        <dsp:cNvSpPr/>
      </dsp:nvSpPr>
      <dsp:spPr bwMode="white">
        <a:xfrm>
          <a:off x="1199568" y="811405"/>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宋体" panose="02010600030101010101" charset="-122"/>
              <a:ea typeface="宋体" panose="02010600030101010101" charset="-122"/>
              <a:cs typeface="Times New Roman" panose="02020603050405020304" charset="0"/>
            </a:rPr>
            <a:t>首席信息官</a:t>
          </a:r>
          <a:endParaRPr>
            <a:solidFill>
              <a:schemeClr val="dk1"/>
            </a:solidFill>
          </a:endParaRPr>
        </a:p>
      </dsp:txBody>
      <dsp:txXfrm>
        <a:off x="1199568" y="811405"/>
        <a:ext cx="151813" cy="1406304"/>
      </dsp:txXfrm>
    </dsp:sp>
    <dsp:sp modelId="{9B9664AF-E59D-C54A-B77A-1AB2C1338614}">
      <dsp:nvSpPr>
        <dsp:cNvPr id="12" name="任意多边形 11"/>
        <dsp:cNvSpPr/>
      </dsp:nvSpPr>
      <dsp:spPr bwMode="white">
        <a:xfrm>
          <a:off x="1472831" y="440923"/>
          <a:ext cx="308441" cy="370482"/>
        </a:xfrm>
        <a:custGeom>
          <a:avLst/>
          <a:gdLst/>
          <a:ahLst/>
          <a:cxnLst/>
          <a:pathLst>
            <a:path w="486" h="583">
              <a:moveTo>
                <a:pt x="486" y="0"/>
              </a:moveTo>
              <a:lnTo>
                <a:pt x="486" y="292"/>
              </a:lnTo>
              <a:lnTo>
                <a:pt x="0" y="292"/>
              </a:lnTo>
              <a:lnTo>
                <a:pt x="0" y="583"/>
              </a:lnTo>
            </a:path>
          </a:pathLst>
        </a:custGeom>
      </dsp:spPr>
      <dsp:style>
        <a:lnRef idx="2">
          <a:schemeClr val="dk1">
            <a:shade val="80000"/>
          </a:schemeClr>
        </a:lnRef>
        <a:fillRef idx="0">
          <a:schemeClr val="dk1"/>
        </a:fillRef>
        <a:effectRef idx="0">
          <a:scrgbClr r="0" g="0" b="0"/>
        </a:effectRef>
        <a:fontRef idx="minor"/>
      </dsp:style>
      <dsp:txXfrm>
        <a:off x="1472831" y="440923"/>
        <a:ext cx="308441" cy="370482"/>
      </dsp:txXfrm>
    </dsp:sp>
    <dsp:sp modelId="{3E91A416-615D-D64A-934D-35CAAC0A4C3B}">
      <dsp:nvSpPr>
        <dsp:cNvPr id="13" name="圆角矩形 12"/>
        <dsp:cNvSpPr/>
      </dsp:nvSpPr>
      <dsp:spPr bwMode="white">
        <a:xfrm>
          <a:off x="1396924" y="811405"/>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宋体" panose="02010600030101010101" charset="-122"/>
              <a:ea typeface="宋体" panose="02010600030101010101" charset="-122"/>
              <a:cs typeface="Times New Roman" panose="02020603050405020304" charset="0"/>
            </a:rPr>
            <a:t>首席信息安全官</a:t>
          </a:r>
          <a:endParaRPr>
            <a:solidFill>
              <a:schemeClr val="dk1"/>
            </a:solidFill>
          </a:endParaRPr>
        </a:p>
      </dsp:txBody>
      <dsp:txXfrm>
        <a:off x="1396924" y="811405"/>
        <a:ext cx="151813" cy="1406304"/>
      </dsp:txXfrm>
    </dsp:sp>
    <dsp:sp modelId="{DF1EB19A-05F4-DB4D-BA2E-1E65F53868C9}">
      <dsp:nvSpPr>
        <dsp:cNvPr id="14" name="任意多边形 13"/>
        <dsp:cNvSpPr/>
      </dsp:nvSpPr>
      <dsp:spPr bwMode="white">
        <a:xfrm>
          <a:off x="1670188" y="440923"/>
          <a:ext cx="111085" cy="370482"/>
        </a:xfrm>
        <a:custGeom>
          <a:avLst/>
          <a:gdLst/>
          <a:ahLst/>
          <a:cxnLst/>
          <a:pathLst>
            <a:path w="175" h="583">
              <a:moveTo>
                <a:pt x="175" y="0"/>
              </a:moveTo>
              <a:lnTo>
                <a:pt x="175" y="292"/>
              </a:lnTo>
              <a:lnTo>
                <a:pt x="0" y="292"/>
              </a:lnTo>
              <a:lnTo>
                <a:pt x="0" y="583"/>
              </a:lnTo>
            </a:path>
          </a:pathLst>
        </a:custGeom>
      </dsp:spPr>
      <dsp:style>
        <a:lnRef idx="2">
          <a:schemeClr val="dk1">
            <a:shade val="80000"/>
          </a:schemeClr>
        </a:lnRef>
        <a:fillRef idx="0">
          <a:schemeClr val="dk1"/>
        </a:fillRef>
        <a:effectRef idx="0">
          <a:scrgbClr r="0" g="0" b="0"/>
        </a:effectRef>
        <a:fontRef idx="minor"/>
      </dsp:style>
      <dsp:txXfrm>
        <a:off x="1670188" y="440923"/>
        <a:ext cx="111085" cy="370482"/>
      </dsp:txXfrm>
    </dsp:sp>
    <dsp:sp modelId="{D83BA14D-15D3-4D47-AFA8-DA3C1A4C95D2}">
      <dsp:nvSpPr>
        <dsp:cNvPr id="15" name="圆角矩形 14"/>
        <dsp:cNvSpPr/>
      </dsp:nvSpPr>
      <dsp:spPr bwMode="white">
        <a:xfrm>
          <a:off x="1594281" y="811405"/>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宋体" panose="02010600030101010101" charset="-122"/>
              <a:ea typeface="宋体" panose="02010600030101010101" charset="-122"/>
              <a:cs typeface="Times New Roman" panose="02020603050405020304" charset="0"/>
            </a:rPr>
            <a:t>首席合规官</a:t>
          </a:r>
          <a:endParaRPr>
            <a:solidFill>
              <a:schemeClr val="dk1"/>
            </a:solidFill>
          </a:endParaRPr>
        </a:p>
      </dsp:txBody>
      <dsp:txXfrm>
        <a:off x="1594281" y="811405"/>
        <a:ext cx="151813" cy="1406304"/>
      </dsp:txXfrm>
    </dsp:sp>
    <dsp:sp modelId="{9B3D0A69-3CBF-5542-9BD9-760BF06E5A8F}">
      <dsp:nvSpPr>
        <dsp:cNvPr id="16" name="任意多边形 15"/>
        <dsp:cNvSpPr/>
      </dsp:nvSpPr>
      <dsp:spPr bwMode="white">
        <a:xfrm>
          <a:off x="1781272" y="440923"/>
          <a:ext cx="86272" cy="370482"/>
        </a:xfrm>
        <a:custGeom>
          <a:avLst/>
          <a:gdLst/>
          <a:ahLst/>
          <a:cxnLst/>
          <a:pathLst>
            <a:path w="136" h="583">
              <a:moveTo>
                <a:pt x="0" y="0"/>
              </a:moveTo>
              <a:lnTo>
                <a:pt x="0" y="292"/>
              </a:lnTo>
              <a:lnTo>
                <a:pt x="136" y="292"/>
              </a:lnTo>
              <a:lnTo>
                <a:pt x="136" y="583"/>
              </a:lnTo>
            </a:path>
          </a:pathLst>
        </a:custGeom>
      </dsp:spPr>
      <dsp:style>
        <a:lnRef idx="2">
          <a:schemeClr val="dk1">
            <a:shade val="80000"/>
          </a:schemeClr>
        </a:lnRef>
        <a:fillRef idx="0">
          <a:schemeClr val="dk1"/>
        </a:fillRef>
        <a:effectRef idx="0">
          <a:scrgbClr r="0" g="0" b="0"/>
        </a:effectRef>
        <a:fontRef idx="minor"/>
      </dsp:style>
      <dsp:txXfrm>
        <a:off x="1781272" y="440923"/>
        <a:ext cx="86272" cy="370482"/>
      </dsp:txXfrm>
    </dsp:sp>
    <dsp:sp modelId="{E7093353-3804-BB4E-9A88-EC41FD788C26}">
      <dsp:nvSpPr>
        <dsp:cNvPr id="17" name="圆角矩形 16"/>
        <dsp:cNvSpPr/>
      </dsp:nvSpPr>
      <dsp:spPr bwMode="white">
        <a:xfrm>
          <a:off x="1791638" y="811405"/>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企业架构委员会</a:t>
          </a:r>
          <a:endParaRPr>
            <a:solidFill>
              <a:schemeClr val="dk1"/>
            </a:solidFill>
          </a:endParaRPr>
        </a:p>
      </dsp:txBody>
      <dsp:txXfrm>
        <a:off x="1791638" y="811405"/>
        <a:ext cx="151813" cy="1406304"/>
      </dsp:txXfrm>
    </dsp:sp>
    <dsp:sp modelId="{8EA4914F-804C-EA43-B270-F141432E06FB}">
      <dsp:nvSpPr>
        <dsp:cNvPr id="18" name="任意多边形 17"/>
        <dsp:cNvSpPr/>
      </dsp:nvSpPr>
      <dsp:spPr bwMode="white">
        <a:xfrm>
          <a:off x="1781272" y="440923"/>
          <a:ext cx="283629" cy="370482"/>
        </a:xfrm>
        <a:custGeom>
          <a:avLst/>
          <a:gdLst/>
          <a:ahLst/>
          <a:cxnLst/>
          <a:pathLst>
            <a:path w="447" h="583">
              <a:moveTo>
                <a:pt x="0" y="0"/>
              </a:moveTo>
              <a:lnTo>
                <a:pt x="0" y="292"/>
              </a:lnTo>
              <a:lnTo>
                <a:pt x="447" y="292"/>
              </a:lnTo>
              <a:lnTo>
                <a:pt x="447" y="583"/>
              </a:lnTo>
            </a:path>
          </a:pathLst>
        </a:custGeom>
      </dsp:spPr>
      <dsp:style>
        <a:lnRef idx="2">
          <a:schemeClr val="dk1">
            <a:shade val="80000"/>
          </a:schemeClr>
        </a:lnRef>
        <a:fillRef idx="0">
          <a:schemeClr val="dk1"/>
        </a:fillRef>
        <a:effectRef idx="0">
          <a:scrgbClr r="0" g="0" b="0"/>
        </a:effectRef>
        <a:fontRef idx="minor"/>
      </dsp:style>
      <dsp:txXfrm>
        <a:off x="1781272" y="440923"/>
        <a:ext cx="283629" cy="370482"/>
      </dsp:txXfrm>
    </dsp:sp>
    <dsp:sp modelId="{E12A16DE-EEA5-6442-AD7B-10C9758BFCB6}">
      <dsp:nvSpPr>
        <dsp:cNvPr id="19" name="圆角矩形 18"/>
        <dsp:cNvSpPr/>
      </dsp:nvSpPr>
      <dsp:spPr bwMode="white">
        <a:xfrm>
          <a:off x="1988995" y="811405"/>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安全与合规委员会</a:t>
          </a:r>
          <a:endParaRPr>
            <a:solidFill>
              <a:schemeClr val="dk1"/>
            </a:solidFill>
          </a:endParaRPr>
        </a:p>
      </dsp:txBody>
      <dsp:txXfrm>
        <a:off x="1988995" y="811405"/>
        <a:ext cx="151813" cy="1406304"/>
      </dsp:txXfrm>
    </dsp:sp>
    <dsp:sp modelId="{7628B115-ABF9-C340-A160-D820FC6263CC}">
      <dsp:nvSpPr>
        <dsp:cNvPr id="20" name="任意多边形 19"/>
        <dsp:cNvSpPr/>
      </dsp:nvSpPr>
      <dsp:spPr bwMode="white">
        <a:xfrm>
          <a:off x="1781272" y="440923"/>
          <a:ext cx="480986" cy="370482"/>
        </a:xfrm>
        <a:custGeom>
          <a:avLst/>
          <a:gdLst/>
          <a:ahLst/>
          <a:cxnLst/>
          <a:pathLst>
            <a:path w="757" h="583">
              <a:moveTo>
                <a:pt x="0" y="0"/>
              </a:moveTo>
              <a:lnTo>
                <a:pt x="0" y="292"/>
              </a:lnTo>
              <a:lnTo>
                <a:pt x="757" y="292"/>
              </a:lnTo>
              <a:lnTo>
                <a:pt x="757" y="583"/>
              </a:lnTo>
            </a:path>
          </a:pathLst>
        </a:custGeom>
      </dsp:spPr>
      <dsp:style>
        <a:lnRef idx="2">
          <a:schemeClr val="dk1">
            <a:shade val="80000"/>
          </a:schemeClr>
        </a:lnRef>
        <a:fillRef idx="0">
          <a:schemeClr val="dk1"/>
        </a:fillRef>
        <a:effectRef idx="0">
          <a:scrgbClr r="0" g="0" b="0"/>
        </a:effectRef>
        <a:fontRef idx="minor"/>
      </dsp:style>
      <dsp:txXfrm>
        <a:off x="1781272" y="440923"/>
        <a:ext cx="480986" cy="370482"/>
      </dsp:txXfrm>
    </dsp:sp>
    <dsp:sp modelId="{6C43508D-5D93-B943-BF99-48961ABC227E}">
      <dsp:nvSpPr>
        <dsp:cNvPr id="21" name="圆角矩形 20"/>
        <dsp:cNvSpPr/>
      </dsp:nvSpPr>
      <dsp:spPr bwMode="white">
        <a:xfrm>
          <a:off x="2186351" y="811405"/>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数据治理委员会</a:t>
          </a:r>
          <a:endParaRPr>
            <a:solidFill>
              <a:schemeClr val="dk1"/>
            </a:solidFill>
          </a:endParaRPr>
        </a:p>
      </dsp:txBody>
      <dsp:txXfrm>
        <a:off x="2186351" y="811405"/>
        <a:ext cx="151813" cy="1406304"/>
      </dsp:txXfrm>
    </dsp:sp>
    <dsp:sp modelId="{18A33CC0-CE5A-7E45-9373-235CACE16FB7}">
      <dsp:nvSpPr>
        <dsp:cNvPr id="22" name="任意多边形 21"/>
        <dsp:cNvSpPr/>
      </dsp:nvSpPr>
      <dsp:spPr bwMode="white">
        <a:xfrm>
          <a:off x="3173246" y="173365"/>
          <a:ext cx="644382" cy="64563"/>
        </a:xfrm>
        <a:custGeom>
          <a:avLst/>
          <a:gdLst/>
          <a:ahLst/>
          <a:cxnLst/>
          <a:pathLst>
            <a:path w="1015" h="102">
              <a:moveTo>
                <a:pt x="1015" y="102"/>
              </a:moveTo>
              <a:lnTo>
                <a:pt x="0" y="0"/>
              </a:lnTo>
            </a:path>
          </a:pathLst>
        </a:custGeom>
      </dsp:spPr>
      <dsp:style>
        <a:lnRef idx="2">
          <a:schemeClr val="dk1">
            <a:shade val="60000"/>
          </a:schemeClr>
        </a:lnRef>
        <a:fillRef idx="0">
          <a:schemeClr val="dk1"/>
        </a:fillRef>
        <a:effectRef idx="0">
          <a:scrgbClr r="0" g="0" b="0"/>
        </a:effectRef>
        <a:fontRef idx="minor"/>
      </dsp:style>
      <dsp:txXfrm>
        <a:off x="3173246" y="173365"/>
        <a:ext cx="644382" cy="64563"/>
      </dsp:txXfrm>
    </dsp:sp>
    <dsp:sp modelId="{619ECF66-957E-2D42-AC47-E4A422CBAE60}">
      <dsp:nvSpPr>
        <dsp:cNvPr id="23" name="圆角矩形 22"/>
        <dsp:cNvSpPr/>
      </dsp:nvSpPr>
      <dsp:spPr bwMode="white">
        <a:xfrm>
          <a:off x="2568049" y="173365"/>
          <a:ext cx="1210395" cy="279323"/>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业务与平台条线</a:t>
          </a:r>
          <a:endParaRPr>
            <a:solidFill>
              <a:schemeClr val="dk1"/>
            </a:solidFill>
          </a:endParaRPr>
        </a:p>
      </dsp:txBody>
      <dsp:txXfrm>
        <a:off x="2568049" y="173365"/>
        <a:ext cx="1210395" cy="279323"/>
      </dsp:txXfrm>
    </dsp:sp>
    <dsp:sp modelId="{1DBE4EB1-6FDE-D24B-909B-848F1E5A072A}">
      <dsp:nvSpPr>
        <dsp:cNvPr id="24" name="任意多边形 23"/>
        <dsp:cNvSpPr/>
      </dsp:nvSpPr>
      <dsp:spPr bwMode="white">
        <a:xfrm>
          <a:off x="2852901" y="452688"/>
          <a:ext cx="320345" cy="376363"/>
        </a:xfrm>
        <a:custGeom>
          <a:avLst/>
          <a:gdLst/>
          <a:ahLst/>
          <a:cxnLst/>
          <a:pathLst>
            <a:path w="504" h="593">
              <a:moveTo>
                <a:pt x="504" y="0"/>
              </a:moveTo>
              <a:lnTo>
                <a:pt x="504" y="296"/>
              </a:lnTo>
              <a:lnTo>
                <a:pt x="0" y="296"/>
              </a:lnTo>
              <a:lnTo>
                <a:pt x="0" y="593"/>
              </a:lnTo>
            </a:path>
          </a:pathLst>
        </a:custGeom>
      </dsp:spPr>
      <dsp:style>
        <a:lnRef idx="2">
          <a:schemeClr val="dk1">
            <a:shade val="80000"/>
          </a:schemeClr>
        </a:lnRef>
        <a:fillRef idx="0">
          <a:schemeClr val="dk1"/>
        </a:fillRef>
        <a:effectRef idx="0">
          <a:scrgbClr r="0" g="0" b="0"/>
        </a:effectRef>
        <a:fontRef idx="minor"/>
      </dsp:style>
      <dsp:txXfrm>
        <a:off x="2852901" y="452688"/>
        <a:ext cx="320345" cy="376363"/>
      </dsp:txXfrm>
    </dsp:sp>
    <dsp:sp modelId="{523E779E-43EF-5546-A84C-50A7D20608D3}">
      <dsp:nvSpPr>
        <dsp:cNvPr id="25" name="圆角矩形 24"/>
        <dsp:cNvSpPr/>
      </dsp:nvSpPr>
      <dsp:spPr bwMode="white">
        <a:xfrm>
          <a:off x="2776995" y="829051"/>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跨境支付与清算</a:t>
          </a:r>
          <a:endParaRPr>
            <a:solidFill>
              <a:schemeClr val="dk1"/>
            </a:solidFill>
          </a:endParaRPr>
        </a:p>
      </dsp:txBody>
      <dsp:txXfrm>
        <a:off x="2776995" y="829051"/>
        <a:ext cx="151813" cy="1406304"/>
      </dsp:txXfrm>
    </dsp:sp>
    <dsp:sp modelId="{9031DFA3-B69B-9B44-8048-76DD3B71CDA9}">
      <dsp:nvSpPr>
        <dsp:cNvPr id="26" name="任意多边形 25"/>
        <dsp:cNvSpPr/>
      </dsp:nvSpPr>
      <dsp:spPr bwMode="white">
        <a:xfrm>
          <a:off x="3050258" y="452688"/>
          <a:ext cx="122988" cy="376363"/>
        </a:xfrm>
        <a:custGeom>
          <a:avLst/>
          <a:gdLst/>
          <a:ahLst/>
          <a:cxnLst/>
          <a:pathLst>
            <a:path w="194" h="593">
              <a:moveTo>
                <a:pt x="194" y="0"/>
              </a:moveTo>
              <a:lnTo>
                <a:pt x="194" y="296"/>
              </a:lnTo>
              <a:lnTo>
                <a:pt x="0" y="296"/>
              </a:lnTo>
              <a:lnTo>
                <a:pt x="0" y="593"/>
              </a:lnTo>
            </a:path>
          </a:pathLst>
        </a:custGeom>
      </dsp:spPr>
      <dsp:style>
        <a:lnRef idx="2">
          <a:schemeClr val="dk1">
            <a:shade val="80000"/>
          </a:schemeClr>
        </a:lnRef>
        <a:fillRef idx="0">
          <a:schemeClr val="dk1"/>
        </a:fillRef>
        <a:effectRef idx="0">
          <a:scrgbClr r="0" g="0" b="0"/>
        </a:effectRef>
        <a:fontRef idx="minor"/>
      </dsp:style>
      <dsp:txXfrm>
        <a:off x="3050258" y="452688"/>
        <a:ext cx="122988" cy="376363"/>
      </dsp:txXfrm>
    </dsp:sp>
    <dsp:sp modelId="{C69A131E-6B7A-134F-AD6B-790EB72DA2FA}">
      <dsp:nvSpPr>
        <dsp:cNvPr id="27" name="圆角矩形 26"/>
        <dsp:cNvSpPr/>
      </dsp:nvSpPr>
      <dsp:spPr bwMode="white">
        <a:xfrm>
          <a:off x="2974351" y="829051"/>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合规与风控科技</a:t>
          </a:r>
          <a:endParaRPr>
            <a:solidFill>
              <a:schemeClr val="dk1"/>
            </a:solidFill>
          </a:endParaRPr>
        </a:p>
      </dsp:txBody>
      <dsp:txXfrm>
        <a:off x="2974351" y="829051"/>
        <a:ext cx="151813" cy="1406304"/>
      </dsp:txXfrm>
    </dsp:sp>
    <dsp:sp modelId="{F5B033C2-0133-0D47-9CE6-5E3088105BC0}">
      <dsp:nvSpPr>
        <dsp:cNvPr id="28" name="任意多边形 27"/>
        <dsp:cNvSpPr/>
      </dsp:nvSpPr>
      <dsp:spPr bwMode="white">
        <a:xfrm>
          <a:off x="3173246" y="452688"/>
          <a:ext cx="74369" cy="376363"/>
        </a:xfrm>
        <a:custGeom>
          <a:avLst/>
          <a:gdLst/>
          <a:ahLst/>
          <a:cxnLst/>
          <a:pathLst>
            <a:path w="117" h="593">
              <a:moveTo>
                <a:pt x="0" y="0"/>
              </a:moveTo>
              <a:lnTo>
                <a:pt x="0" y="296"/>
              </a:lnTo>
              <a:lnTo>
                <a:pt x="117" y="296"/>
              </a:lnTo>
              <a:lnTo>
                <a:pt x="117" y="593"/>
              </a:lnTo>
            </a:path>
          </a:pathLst>
        </a:custGeom>
      </dsp:spPr>
      <dsp:style>
        <a:lnRef idx="2">
          <a:schemeClr val="dk1">
            <a:shade val="80000"/>
          </a:schemeClr>
        </a:lnRef>
        <a:fillRef idx="0">
          <a:schemeClr val="dk1"/>
        </a:fillRef>
        <a:effectRef idx="0">
          <a:scrgbClr r="0" g="0" b="0"/>
        </a:effectRef>
        <a:fontRef idx="minor"/>
      </dsp:style>
      <dsp:txXfrm>
        <a:off x="3173246" y="452688"/>
        <a:ext cx="74369" cy="376363"/>
      </dsp:txXfrm>
    </dsp:sp>
    <dsp:sp modelId="{5E06864D-70A0-694A-8145-884D7233E918}">
      <dsp:nvSpPr>
        <dsp:cNvPr id="29" name="圆角矩形 28"/>
        <dsp:cNvSpPr/>
      </dsp:nvSpPr>
      <dsp:spPr bwMode="white">
        <a:xfrm>
          <a:off x="3171708" y="829051"/>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数字银行与开放平台</a:t>
          </a:r>
          <a:endParaRPr>
            <a:solidFill>
              <a:schemeClr val="dk1"/>
            </a:solidFill>
          </a:endParaRPr>
        </a:p>
      </dsp:txBody>
      <dsp:txXfrm>
        <a:off x="3171708" y="829051"/>
        <a:ext cx="151813" cy="1406304"/>
      </dsp:txXfrm>
    </dsp:sp>
    <dsp:sp modelId="{A2F66785-4648-8B4A-8DDA-F30BBC495073}">
      <dsp:nvSpPr>
        <dsp:cNvPr id="30" name="任意多边形 29"/>
        <dsp:cNvSpPr/>
      </dsp:nvSpPr>
      <dsp:spPr bwMode="white">
        <a:xfrm>
          <a:off x="3173246" y="452688"/>
          <a:ext cx="271725" cy="376363"/>
        </a:xfrm>
        <a:custGeom>
          <a:avLst/>
          <a:gdLst/>
          <a:ahLst/>
          <a:cxnLst/>
          <a:pathLst>
            <a:path w="428" h="593">
              <a:moveTo>
                <a:pt x="0" y="0"/>
              </a:moveTo>
              <a:lnTo>
                <a:pt x="0" y="296"/>
              </a:lnTo>
              <a:lnTo>
                <a:pt x="428" y="296"/>
              </a:lnTo>
              <a:lnTo>
                <a:pt x="428" y="593"/>
              </a:lnTo>
            </a:path>
          </a:pathLst>
        </a:custGeom>
      </dsp:spPr>
      <dsp:style>
        <a:lnRef idx="2">
          <a:schemeClr val="dk1">
            <a:shade val="80000"/>
          </a:schemeClr>
        </a:lnRef>
        <a:fillRef idx="0">
          <a:schemeClr val="dk1"/>
        </a:fillRef>
        <a:effectRef idx="0">
          <a:scrgbClr r="0" g="0" b="0"/>
        </a:effectRef>
        <a:fontRef idx="minor"/>
      </dsp:style>
      <dsp:txXfrm>
        <a:off x="3173246" y="452688"/>
        <a:ext cx="271725" cy="376363"/>
      </dsp:txXfrm>
    </dsp:sp>
    <dsp:sp modelId="{6048BA9A-2CE0-5A40-B517-6D1BFA61BC2B}">
      <dsp:nvSpPr>
        <dsp:cNvPr id="31" name="圆角矩形 30"/>
        <dsp:cNvSpPr/>
      </dsp:nvSpPr>
      <dsp:spPr bwMode="white">
        <a:xfrm>
          <a:off x="3369065" y="829051"/>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宋体" panose="02010600030101010101" charset="-122"/>
              <a:ea typeface="宋体" panose="02010600030101010101" charset="-122"/>
              <a:cs typeface="Times New Roman" panose="02020603050405020304" charset="0"/>
            </a:rPr>
            <a:t>平台工程</a:t>
          </a:r>
          <a:endParaRPr>
            <a:solidFill>
              <a:schemeClr val="dk1"/>
            </a:solidFill>
          </a:endParaRPr>
        </a:p>
      </dsp:txBody>
      <dsp:txXfrm>
        <a:off x="3369065" y="829051"/>
        <a:ext cx="151813" cy="1406304"/>
      </dsp:txXfrm>
    </dsp:sp>
    <dsp:sp modelId="{69200F9D-AB58-0E45-93E6-17E8ABC07AE6}">
      <dsp:nvSpPr>
        <dsp:cNvPr id="32" name="任意多边形 31"/>
        <dsp:cNvSpPr/>
      </dsp:nvSpPr>
      <dsp:spPr bwMode="white">
        <a:xfrm>
          <a:off x="3173246" y="452688"/>
          <a:ext cx="469082" cy="376363"/>
        </a:xfrm>
        <a:custGeom>
          <a:avLst/>
          <a:gdLst/>
          <a:ahLst/>
          <a:cxnLst/>
          <a:pathLst>
            <a:path w="739" h="593">
              <a:moveTo>
                <a:pt x="0" y="0"/>
              </a:moveTo>
              <a:lnTo>
                <a:pt x="0" y="296"/>
              </a:lnTo>
              <a:lnTo>
                <a:pt x="739" y="296"/>
              </a:lnTo>
              <a:lnTo>
                <a:pt x="739" y="593"/>
              </a:lnTo>
            </a:path>
          </a:pathLst>
        </a:custGeom>
      </dsp:spPr>
      <dsp:style>
        <a:lnRef idx="2">
          <a:schemeClr val="dk1">
            <a:shade val="80000"/>
          </a:schemeClr>
        </a:lnRef>
        <a:fillRef idx="0">
          <a:schemeClr val="dk1"/>
        </a:fillRef>
        <a:effectRef idx="0">
          <a:scrgbClr r="0" g="0" b="0"/>
        </a:effectRef>
        <a:fontRef idx="minor"/>
      </dsp:style>
      <dsp:txXfrm>
        <a:off x="3173246" y="452688"/>
        <a:ext cx="469082" cy="376363"/>
      </dsp:txXfrm>
    </dsp:sp>
    <dsp:sp modelId="{56AB5978-19A7-E34A-B576-17B05DECE53B}">
      <dsp:nvSpPr>
        <dsp:cNvPr id="33" name="圆角矩形 32"/>
        <dsp:cNvSpPr/>
      </dsp:nvSpPr>
      <dsp:spPr bwMode="white">
        <a:xfrm>
          <a:off x="3566422" y="829051"/>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系统可靠性工程部</a:t>
          </a:r>
          <a:endParaRPr lang="zh-CN" sz="900" baseline="0">
            <a:solidFill>
              <a:schemeClr val="dk1"/>
            </a:solidFill>
            <a:latin typeface="宋体" panose="02010600030101010101" charset="-122"/>
            <a:ea typeface="宋体" panose="02010600030101010101" charset="-122"/>
            <a:cs typeface="Times New Roman" panose="02020603050405020304" charset="0"/>
          </a:endParaRPr>
        </a:p>
      </dsp:txBody>
      <dsp:txXfrm>
        <a:off x="3566422" y="829051"/>
        <a:ext cx="151813" cy="1406304"/>
      </dsp:txXfrm>
    </dsp:sp>
    <dsp:sp modelId="{7E6B09A6-8EE8-804C-B311-DBC6525CE141}">
      <dsp:nvSpPr>
        <dsp:cNvPr id="34" name="任意多边形 33"/>
        <dsp:cNvSpPr/>
      </dsp:nvSpPr>
      <dsp:spPr bwMode="white">
        <a:xfrm>
          <a:off x="3173246" y="452688"/>
          <a:ext cx="668166" cy="376363"/>
        </a:xfrm>
        <a:custGeom>
          <a:avLst/>
          <a:gdLst/>
          <a:ahLst/>
          <a:cxnLst/>
          <a:pathLst>
            <a:path w="1052" h="593">
              <a:moveTo>
                <a:pt x="0" y="0"/>
              </a:moveTo>
              <a:lnTo>
                <a:pt x="0" y="296"/>
              </a:lnTo>
              <a:lnTo>
                <a:pt x="1052" y="296"/>
              </a:lnTo>
              <a:lnTo>
                <a:pt x="1052" y="593"/>
              </a:lnTo>
            </a:path>
          </a:pathLst>
        </a:custGeom>
      </dsp:spPr>
      <dsp:style>
        <a:lnRef idx="2">
          <a:schemeClr val="dk1">
            <a:shade val="80000"/>
          </a:schemeClr>
        </a:lnRef>
        <a:fillRef idx="0">
          <a:schemeClr val="dk1"/>
        </a:fillRef>
        <a:effectRef idx="0">
          <a:scrgbClr r="0" g="0" b="0"/>
        </a:effectRef>
        <a:fontRef idx="minor"/>
      </dsp:style>
      <dsp:txXfrm>
        <a:off x="3173246" y="452688"/>
        <a:ext cx="668166" cy="376363"/>
      </dsp:txXfrm>
    </dsp:sp>
    <dsp:sp modelId="{57716252-84A6-D848-B51F-8D1370E0EB61}">
      <dsp:nvSpPr>
        <dsp:cNvPr id="35" name="圆角矩形 34"/>
        <dsp:cNvSpPr/>
      </dsp:nvSpPr>
      <dsp:spPr bwMode="white">
        <a:xfrm>
          <a:off x="3765506" y="829051"/>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宋体" panose="02010600030101010101" charset="-122"/>
              <a:ea typeface="宋体" panose="02010600030101010101" charset="-122"/>
              <a:cs typeface="Times New Roman" panose="02020603050405020304" charset="0"/>
            </a:rPr>
            <a:t>数据与</a:t>
          </a:r>
          <a:r>
            <a:rPr lang="en-US" sz="900" baseline="0">
              <a:solidFill>
                <a:schemeClr val="dk1"/>
              </a:solidFill>
              <a:latin typeface="宋体" panose="02010600030101010101" charset="-122"/>
              <a:ea typeface="宋体" panose="02010600030101010101" charset="-122"/>
              <a:cs typeface="Times New Roman" panose="02020603050405020304" charset="0"/>
            </a:rPr>
            <a:t>人工智能</a:t>
          </a:r>
          <a:r>
            <a:rPr lang="zh-CN" sz="900" baseline="0">
              <a:solidFill>
                <a:schemeClr val="dk1"/>
              </a:solidFill>
              <a:latin typeface="宋体" panose="02010600030101010101" charset="-122"/>
              <a:ea typeface="宋体" panose="02010600030101010101" charset="-122"/>
              <a:cs typeface="Times New Roman" panose="02020603050405020304" charset="0"/>
            </a:rPr>
            <a:t>平台</a:t>
          </a:r>
          <a:endParaRPr>
            <a:solidFill>
              <a:schemeClr val="dk1"/>
            </a:solidFill>
          </a:endParaRPr>
        </a:p>
      </dsp:txBody>
      <dsp:txXfrm>
        <a:off x="3765506" y="829051"/>
        <a:ext cx="151813" cy="1406304"/>
      </dsp:txXfrm>
    </dsp:sp>
    <dsp:sp modelId="{1AEE72E3-9D48-A345-8459-90090D44946B}">
      <dsp:nvSpPr>
        <dsp:cNvPr id="36" name="任意多边形 35"/>
        <dsp:cNvSpPr/>
      </dsp:nvSpPr>
      <dsp:spPr bwMode="white">
        <a:xfrm>
          <a:off x="3817628" y="174144"/>
          <a:ext cx="966035" cy="63784"/>
        </a:xfrm>
        <a:custGeom>
          <a:avLst/>
          <a:gdLst/>
          <a:ahLst/>
          <a:cxnLst/>
          <a:pathLst>
            <a:path w="1521" h="100">
              <a:moveTo>
                <a:pt x="0" y="100"/>
              </a:moveTo>
              <a:lnTo>
                <a:pt x="1521" y="0"/>
              </a:lnTo>
            </a:path>
          </a:pathLst>
        </a:custGeom>
      </dsp:spPr>
      <dsp:style>
        <a:lnRef idx="2">
          <a:schemeClr val="dk1">
            <a:shade val="60000"/>
          </a:schemeClr>
        </a:lnRef>
        <a:fillRef idx="0">
          <a:schemeClr val="dk1"/>
        </a:fillRef>
        <a:effectRef idx="0">
          <a:scrgbClr r="0" g="0" b="0"/>
        </a:effectRef>
        <a:fontRef idx="minor"/>
      </dsp:style>
      <dsp:txXfrm>
        <a:off x="3817628" y="174144"/>
        <a:ext cx="966035" cy="63784"/>
      </dsp:txXfrm>
    </dsp:sp>
    <dsp:sp modelId="{12B3F9F8-65F8-3249-B7BD-0A3A9D3BC051}">
      <dsp:nvSpPr>
        <dsp:cNvPr id="37" name="圆角矩形 36"/>
        <dsp:cNvSpPr/>
      </dsp:nvSpPr>
      <dsp:spPr bwMode="white">
        <a:xfrm>
          <a:off x="4178466" y="174144"/>
          <a:ext cx="1210395" cy="279323"/>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共享能力与区域交付</a:t>
          </a:r>
          <a:endParaRPr>
            <a:solidFill>
              <a:schemeClr val="dk1"/>
            </a:solidFill>
          </a:endParaRPr>
        </a:p>
      </dsp:txBody>
      <dsp:txXfrm>
        <a:off x="4178466" y="174144"/>
        <a:ext cx="1210395" cy="279323"/>
      </dsp:txXfrm>
    </dsp:sp>
    <dsp:sp modelId="{2A2A6A4A-0A14-9944-A2F9-E86C64725A2F}">
      <dsp:nvSpPr>
        <dsp:cNvPr id="38" name="任意多边形 37"/>
        <dsp:cNvSpPr/>
      </dsp:nvSpPr>
      <dsp:spPr bwMode="white">
        <a:xfrm>
          <a:off x="4783663" y="453467"/>
          <a:ext cx="197574" cy="393232"/>
        </a:xfrm>
        <a:custGeom>
          <a:avLst/>
          <a:gdLst/>
          <a:ahLst/>
          <a:cxnLst/>
          <a:pathLst>
            <a:path w="311" h="619">
              <a:moveTo>
                <a:pt x="0" y="0"/>
              </a:moveTo>
              <a:lnTo>
                <a:pt x="0" y="310"/>
              </a:lnTo>
              <a:lnTo>
                <a:pt x="311" y="310"/>
              </a:lnTo>
              <a:lnTo>
                <a:pt x="311" y="619"/>
              </a:lnTo>
            </a:path>
          </a:pathLst>
        </a:custGeom>
      </dsp:spPr>
      <dsp:style>
        <a:lnRef idx="2">
          <a:schemeClr val="dk1">
            <a:shade val="80000"/>
          </a:schemeClr>
        </a:lnRef>
        <a:fillRef idx="0">
          <a:schemeClr val="dk1"/>
        </a:fillRef>
        <a:effectRef idx="0">
          <a:scrgbClr r="0" g="0" b="0"/>
        </a:effectRef>
        <a:fontRef idx="minor"/>
      </dsp:style>
      <dsp:txXfrm>
        <a:off x="4783663" y="453467"/>
        <a:ext cx="197574" cy="393232"/>
      </dsp:txXfrm>
    </dsp:sp>
    <dsp:sp modelId="{64D3F463-CC11-F241-87F4-E9A907C52AF6}">
      <dsp:nvSpPr>
        <dsp:cNvPr id="39" name="圆角矩形 38"/>
        <dsp:cNvSpPr/>
      </dsp:nvSpPr>
      <dsp:spPr bwMode="white">
        <a:xfrm>
          <a:off x="4905331" y="846699"/>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共享服务中心</a:t>
          </a:r>
          <a:endParaRPr>
            <a:solidFill>
              <a:schemeClr val="dk1"/>
            </a:solidFill>
          </a:endParaRPr>
        </a:p>
      </dsp:txBody>
      <dsp:txXfrm>
        <a:off x="4905331" y="846699"/>
        <a:ext cx="151813" cy="1406304"/>
      </dsp:txXfrm>
    </dsp:sp>
    <dsp:sp modelId="{A7D1F4DC-EE8C-3942-AF15-2CCD4C0D299A}">
      <dsp:nvSpPr>
        <dsp:cNvPr id="40" name="任意多边形 39"/>
        <dsp:cNvSpPr/>
      </dsp:nvSpPr>
      <dsp:spPr bwMode="white">
        <a:xfrm>
          <a:off x="4783663" y="453467"/>
          <a:ext cx="432856" cy="393231"/>
        </a:xfrm>
        <a:custGeom>
          <a:avLst/>
          <a:gdLst/>
          <a:ahLst/>
          <a:cxnLst/>
          <a:pathLst>
            <a:path w="682" h="619">
              <a:moveTo>
                <a:pt x="0" y="0"/>
              </a:moveTo>
              <a:lnTo>
                <a:pt x="0" y="310"/>
              </a:lnTo>
              <a:lnTo>
                <a:pt x="682" y="310"/>
              </a:lnTo>
              <a:lnTo>
                <a:pt x="682" y="619"/>
              </a:lnTo>
            </a:path>
          </a:pathLst>
        </a:custGeom>
      </dsp:spPr>
      <dsp:style>
        <a:lnRef idx="2">
          <a:schemeClr val="dk1">
            <a:shade val="80000"/>
          </a:schemeClr>
        </a:lnRef>
        <a:fillRef idx="0">
          <a:schemeClr val="dk1"/>
        </a:fillRef>
        <a:effectRef idx="0">
          <a:scrgbClr r="0" g="0" b="0"/>
        </a:effectRef>
        <a:fontRef idx="minor"/>
      </dsp:style>
      <dsp:txXfrm>
        <a:off x="4783663" y="453467"/>
        <a:ext cx="432856" cy="393231"/>
      </dsp:txXfrm>
    </dsp:sp>
    <dsp:sp modelId="{C3723C3B-F163-7242-ADB9-FB655F3DB74B}">
      <dsp:nvSpPr>
        <dsp:cNvPr id="41" name="圆角矩形 40"/>
        <dsp:cNvSpPr/>
      </dsp:nvSpPr>
      <dsp:spPr bwMode="white">
        <a:xfrm>
          <a:off x="5140614" y="846698"/>
          <a:ext cx="151813" cy="1406304"/>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区域交付中心</a:t>
          </a:r>
          <a:endParaRPr>
            <a:solidFill>
              <a:schemeClr val="dk1"/>
            </a:solidFill>
          </a:endParaRPr>
        </a:p>
      </dsp:txBody>
      <dsp:txXfrm>
        <a:off x="5140614" y="846698"/>
        <a:ext cx="151813" cy="1406304"/>
      </dsp:txXfrm>
    </dsp:sp>
    <dsp:sp modelId="{3162BE3D-2225-EE4C-9AAA-5E05615FDFD9}">
      <dsp:nvSpPr>
        <dsp:cNvPr id="42" name="任意多边形 41"/>
        <dsp:cNvSpPr/>
      </dsp:nvSpPr>
      <dsp:spPr bwMode="white">
        <a:xfrm>
          <a:off x="905474" y="2253003"/>
          <a:ext cx="4311046" cy="363912"/>
        </a:xfrm>
        <a:custGeom>
          <a:avLst/>
          <a:gdLst/>
          <a:ahLst/>
          <a:cxnLst/>
          <a:pathLst>
            <a:path w="6789" h="573">
              <a:moveTo>
                <a:pt x="6789" y="0"/>
              </a:moveTo>
              <a:lnTo>
                <a:pt x="6789" y="287"/>
              </a:lnTo>
              <a:lnTo>
                <a:pt x="0" y="287"/>
              </a:lnTo>
              <a:lnTo>
                <a:pt x="0" y="573"/>
              </a:lnTo>
            </a:path>
          </a:pathLst>
        </a:custGeom>
      </dsp:spPr>
      <dsp:style>
        <a:lnRef idx="2">
          <a:schemeClr val="dk1">
            <a:shade val="80000"/>
          </a:schemeClr>
        </a:lnRef>
        <a:fillRef idx="0">
          <a:schemeClr val="dk1"/>
        </a:fillRef>
        <a:effectRef idx="0">
          <a:scrgbClr r="0" g="0" b="0"/>
        </a:effectRef>
        <a:fontRef idx="minor"/>
      </dsp:style>
      <dsp:txXfrm>
        <a:off x="905474" y="2253003"/>
        <a:ext cx="4311046" cy="363912"/>
      </dsp:txXfrm>
    </dsp:sp>
    <dsp:sp modelId="{AEBA6A89-2382-144A-8B5B-DFCB4F31D20A}">
      <dsp:nvSpPr>
        <dsp:cNvPr id="43" name="圆角矩形 42"/>
        <dsp:cNvSpPr/>
      </dsp:nvSpPr>
      <dsp:spPr bwMode="white">
        <a:xfrm>
          <a:off x="301709" y="2616915"/>
          <a:ext cx="1207530" cy="310459"/>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亚太交付中心</a:t>
          </a:r>
          <a:endParaRPr>
            <a:solidFill>
              <a:schemeClr val="dk1"/>
            </a:solidFill>
          </a:endParaRPr>
        </a:p>
      </dsp:txBody>
      <dsp:txXfrm>
        <a:off x="301709" y="2616915"/>
        <a:ext cx="1207530" cy="310459"/>
      </dsp:txXfrm>
    </dsp:sp>
    <dsp:sp modelId="{4B7BC268-27C1-B543-9B68-F6E3AF401338}">
      <dsp:nvSpPr>
        <dsp:cNvPr id="44" name="任意多边形 43"/>
        <dsp:cNvSpPr/>
      </dsp:nvSpPr>
      <dsp:spPr bwMode="white">
        <a:xfrm>
          <a:off x="2440896" y="2253003"/>
          <a:ext cx="2775624" cy="363912"/>
        </a:xfrm>
        <a:custGeom>
          <a:avLst/>
          <a:gdLst/>
          <a:ahLst/>
          <a:cxnLst/>
          <a:pathLst>
            <a:path w="4371" h="573">
              <a:moveTo>
                <a:pt x="4371" y="0"/>
              </a:moveTo>
              <a:lnTo>
                <a:pt x="4371" y="287"/>
              </a:lnTo>
              <a:lnTo>
                <a:pt x="0" y="287"/>
              </a:lnTo>
              <a:lnTo>
                <a:pt x="0" y="573"/>
              </a:lnTo>
            </a:path>
          </a:pathLst>
        </a:custGeom>
      </dsp:spPr>
      <dsp:style>
        <a:lnRef idx="2">
          <a:schemeClr val="dk1">
            <a:shade val="80000"/>
          </a:schemeClr>
        </a:lnRef>
        <a:fillRef idx="0">
          <a:schemeClr val="dk1"/>
        </a:fillRef>
        <a:effectRef idx="0">
          <a:scrgbClr r="0" g="0" b="0"/>
        </a:effectRef>
        <a:fontRef idx="minor"/>
      </dsp:style>
      <dsp:txXfrm>
        <a:off x="2440896" y="2253003"/>
        <a:ext cx="2775624" cy="363912"/>
      </dsp:txXfrm>
    </dsp:sp>
    <dsp:sp modelId="{82344F43-C150-9A46-AE4A-2B96A199120E}">
      <dsp:nvSpPr>
        <dsp:cNvPr id="45" name="圆角矩形 44"/>
        <dsp:cNvSpPr/>
      </dsp:nvSpPr>
      <dsp:spPr bwMode="white">
        <a:xfrm>
          <a:off x="1837131" y="2616915"/>
          <a:ext cx="1207530" cy="310459"/>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欧洲交付中心</a:t>
          </a:r>
          <a:endParaRPr>
            <a:solidFill>
              <a:schemeClr val="dk1"/>
            </a:solidFill>
          </a:endParaRPr>
        </a:p>
      </dsp:txBody>
      <dsp:txXfrm>
        <a:off x="1837131" y="2616915"/>
        <a:ext cx="1207530" cy="310459"/>
      </dsp:txXfrm>
    </dsp:sp>
    <dsp:sp modelId="{1C3FD270-AC9C-4549-A82A-3D708F4CC85F}">
      <dsp:nvSpPr>
        <dsp:cNvPr id="46" name="任意多边形 45"/>
        <dsp:cNvSpPr/>
      </dsp:nvSpPr>
      <dsp:spPr bwMode="white">
        <a:xfrm>
          <a:off x="4042329" y="2253003"/>
          <a:ext cx="1174191" cy="363912"/>
        </a:xfrm>
        <a:custGeom>
          <a:avLst/>
          <a:gdLst/>
          <a:ahLst/>
          <a:cxnLst/>
          <a:pathLst>
            <a:path w="1849" h="573">
              <a:moveTo>
                <a:pt x="1849" y="0"/>
              </a:moveTo>
              <a:lnTo>
                <a:pt x="1849" y="287"/>
              </a:lnTo>
              <a:lnTo>
                <a:pt x="0" y="287"/>
              </a:lnTo>
              <a:lnTo>
                <a:pt x="0" y="573"/>
              </a:lnTo>
            </a:path>
          </a:pathLst>
        </a:custGeom>
      </dsp:spPr>
      <dsp:style>
        <a:lnRef idx="2">
          <a:schemeClr val="dk1">
            <a:shade val="80000"/>
          </a:schemeClr>
        </a:lnRef>
        <a:fillRef idx="0">
          <a:schemeClr val="dk1"/>
        </a:fillRef>
        <a:effectRef idx="0">
          <a:scrgbClr r="0" g="0" b="0"/>
        </a:effectRef>
        <a:fontRef idx="minor"/>
      </dsp:style>
      <dsp:txXfrm>
        <a:off x="4042329" y="2253003"/>
        <a:ext cx="1174191" cy="363912"/>
      </dsp:txXfrm>
    </dsp:sp>
    <dsp:sp modelId="{8E6468D1-07B1-C345-A6C9-F50054BDDD7C}">
      <dsp:nvSpPr>
        <dsp:cNvPr id="47" name="圆角矩形 46"/>
        <dsp:cNvSpPr/>
      </dsp:nvSpPr>
      <dsp:spPr bwMode="white">
        <a:xfrm>
          <a:off x="3311773" y="2616915"/>
          <a:ext cx="1461112" cy="310459"/>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8000" tIns="34290" rIns="18000" bIns="34290" anchor="ctr" anchorCtr="0"/>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宋体" panose="02010600030101010101" charset="-122"/>
              <a:ea typeface="宋体" panose="02010600030101010101" charset="-122"/>
              <a:cs typeface="Times New Roman" panose="02020603050405020304" charset="0"/>
            </a:rPr>
            <a:t>美洲交付中心</a:t>
          </a:r>
          <a:endParaRPr>
            <a:solidFill>
              <a:schemeClr val="dk1"/>
            </a:solidFill>
          </a:endParaRPr>
        </a:p>
      </dsp:txBody>
      <dsp:txXfrm>
        <a:off x="3311773" y="2616915"/>
        <a:ext cx="1461112" cy="310459"/>
      </dsp:txXfrm>
    </dsp:sp>
  </dsp:spTree>
</dsp:drawing>
</file>

<file path=word/diagrams/drawing12.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5486400" cy="4441825"/>
        <a:chOff x="0" y="0"/>
        <a:chExt cx="5486400" cy="4441825"/>
      </a:xfrm>
    </dsp:grpSpPr>
    <dsp:sp modelId="{9EAF772D-F3DC-464D-A1D7-E172FCDB688D}">
      <dsp:nvSpPr>
        <dsp:cNvPr id="3" name="圆角矩形 2"/>
        <dsp:cNvSpPr/>
      </dsp:nvSpPr>
      <dsp:spPr bwMode="white">
        <a:xfrm>
          <a:off x="2597739" y="0"/>
          <a:ext cx="285750" cy="1022283"/>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Times New Roman" panose="02020603050405020304" charset="0"/>
              <a:cs typeface="Times New Roman" panose="02020603050405020304" charset="0"/>
            </a:rPr>
            <a:t>研发与工程体系</a:t>
          </a:r>
          <a:endParaRPr>
            <a:solidFill>
              <a:schemeClr val="dk1"/>
            </a:solidFill>
          </a:endParaRPr>
        </a:p>
      </dsp:txBody>
      <dsp:txXfrm>
        <a:off x="2597739" y="0"/>
        <a:ext cx="285750" cy="1022283"/>
      </dsp:txXfrm>
    </dsp:sp>
    <dsp:sp modelId="{30BA7831-AB3A-9846-B6EF-A9D663066D92}">
      <dsp:nvSpPr>
        <dsp:cNvPr id="4" name="任意多边形 3"/>
        <dsp:cNvSpPr/>
      </dsp:nvSpPr>
      <dsp:spPr bwMode="white">
        <a:xfrm>
          <a:off x="319880" y="1012785"/>
          <a:ext cx="2420734" cy="9498"/>
        </a:xfrm>
        <a:custGeom>
          <a:avLst/>
          <a:gdLst/>
          <a:ahLst/>
          <a:cxnLst/>
          <a:pathLst>
            <a:path w="3812" h="15">
              <a:moveTo>
                <a:pt x="3812" y="15"/>
              </a:moveTo>
              <a:lnTo>
                <a:pt x="0" y="0"/>
              </a:lnTo>
            </a:path>
          </a:pathLst>
        </a:custGeom>
      </dsp:spPr>
      <dsp:style>
        <a:lnRef idx="2">
          <a:schemeClr val="dk1">
            <a:shade val="60000"/>
          </a:schemeClr>
        </a:lnRef>
        <a:fillRef idx="0">
          <a:schemeClr val="dk1"/>
        </a:fillRef>
        <a:effectRef idx="0">
          <a:scrgbClr r="0" g="0" b="0"/>
        </a:effectRef>
        <a:fontRef idx="minor"/>
      </dsp:style>
      <dsp:txXfrm>
        <a:off x="319880" y="1012785"/>
        <a:ext cx="2420734" cy="9498"/>
      </dsp:txXfrm>
    </dsp:sp>
    <dsp:sp modelId="{5AD2E9F3-8FC1-3C43-9115-55AC7F77779F}">
      <dsp:nvSpPr>
        <dsp:cNvPr id="5" name="圆角矩形 4"/>
        <dsp:cNvSpPr/>
      </dsp:nvSpPr>
      <dsp:spPr bwMode="white">
        <a:xfrm>
          <a:off x="177005" y="1012785"/>
          <a:ext cx="285750" cy="1176380"/>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Times New Roman" panose="02020603050405020304" charset="0"/>
              <a:cs typeface="Times New Roman" panose="02020603050405020304" charset="0"/>
            </a:rPr>
            <a:t>产品与需求</a:t>
          </a:r>
          <a:endParaRPr>
            <a:solidFill>
              <a:schemeClr val="dk1"/>
            </a:solidFill>
          </a:endParaRPr>
        </a:p>
      </dsp:txBody>
      <dsp:txXfrm>
        <a:off x="177005" y="1012785"/>
        <a:ext cx="285750" cy="1176380"/>
      </dsp:txXfrm>
    </dsp:sp>
    <dsp:sp modelId="{13060E41-9E9F-0D44-A727-1AAEDA290B39}">
      <dsp:nvSpPr>
        <dsp:cNvPr id="6" name="任意多边形 5"/>
        <dsp:cNvSpPr/>
      </dsp:nvSpPr>
      <dsp:spPr bwMode="white">
        <a:xfrm>
          <a:off x="142875" y="2189165"/>
          <a:ext cx="177005" cy="229432"/>
        </a:xfrm>
        <a:custGeom>
          <a:avLst/>
          <a:gdLst/>
          <a:ahLst/>
          <a:cxnLst/>
          <a:pathLst>
            <a:path w="279" h="361">
              <a:moveTo>
                <a:pt x="279" y="0"/>
              </a:moveTo>
              <a:lnTo>
                <a:pt x="279" y="181"/>
              </a:lnTo>
              <a:lnTo>
                <a:pt x="0" y="181"/>
              </a:lnTo>
              <a:lnTo>
                <a:pt x="0" y="361"/>
              </a:lnTo>
            </a:path>
          </a:pathLst>
        </a:custGeom>
      </dsp:spPr>
      <dsp:style>
        <a:lnRef idx="2">
          <a:schemeClr val="dk1">
            <a:shade val="80000"/>
          </a:schemeClr>
        </a:lnRef>
        <a:fillRef idx="0">
          <a:schemeClr val="dk1"/>
        </a:fillRef>
        <a:effectRef idx="0">
          <a:scrgbClr r="0" g="0" b="0"/>
        </a:effectRef>
        <a:fontRef idx="minor"/>
      </dsp:style>
      <dsp:txXfrm>
        <a:off x="142875" y="2189165"/>
        <a:ext cx="177005" cy="229432"/>
      </dsp:txXfrm>
    </dsp:sp>
    <dsp:sp modelId="{0DF34358-24E5-804B-B785-872ED6530512}">
      <dsp:nvSpPr>
        <dsp:cNvPr id="7" name="圆角矩形 6"/>
        <dsp:cNvSpPr/>
      </dsp:nvSpPr>
      <dsp:spPr bwMode="white">
        <a:xfrm>
          <a:off x="0"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业务分析</a:t>
          </a:r>
          <a:endParaRPr>
            <a:solidFill>
              <a:schemeClr val="dk1"/>
            </a:solidFill>
          </a:endParaRPr>
        </a:p>
      </dsp:txBody>
      <dsp:txXfrm>
        <a:off x="0" y="2418596"/>
        <a:ext cx="285750" cy="1795548"/>
      </dsp:txXfrm>
    </dsp:sp>
    <dsp:sp modelId="{940F9F5A-9DB6-5148-AD50-19277E149565}">
      <dsp:nvSpPr>
        <dsp:cNvPr id="8" name="任意多边形 7"/>
        <dsp:cNvSpPr/>
      </dsp:nvSpPr>
      <dsp:spPr bwMode="white">
        <a:xfrm>
          <a:off x="319880" y="2189165"/>
          <a:ext cx="193398" cy="229432"/>
        </a:xfrm>
        <a:custGeom>
          <a:avLst/>
          <a:gdLst/>
          <a:ahLst/>
          <a:cxnLst/>
          <a:pathLst>
            <a:path w="305" h="361">
              <a:moveTo>
                <a:pt x="0" y="0"/>
              </a:moveTo>
              <a:lnTo>
                <a:pt x="0" y="181"/>
              </a:lnTo>
              <a:lnTo>
                <a:pt x="305" y="181"/>
              </a:lnTo>
              <a:lnTo>
                <a:pt x="305" y="361"/>
              </a:lnTo>
            </a:path>
          </a:pathLst>
        </a:custGeom>
      </dsp:spPr>
      <dsp:style>
        <a:lnRef idx="2">
          <a:schemeClr val="dk1">
            <a:shade val="80000"/>
          </a:schemeClr>
        </a:lnRef>
        <a:fillRef idx="0">
          <a:schemeClr val="dk1"/>
        </a:fillRef>
        <a:effectRef idx="0">
          <a:scrgbClr r="0" g="0" b="0"/>
        </a:effectRef>
        <a:fontRef idx="minor"/>
      </dsp:style>
      <dsp:txXfrm>
        <a:off x="319880" y="2189165"/>
        <a:ext cx="193398" cy="229432"/>
      </dsp:txXfrm>
    </dsp:sp>
    <dsp:sp modelId="{EDAFC90B-F8D8-EB41-B218-7F4BB787A192}">
      <dsp:nvSpPr>
        <dsp:cNvPr id="9" name="圆角矩形 8"/>
        <dsp:cNvSpPr/>
      </dsp:nvSpPr>
      <dsp:spPr bwMode="white">
        <a:xfrm>
          <a:off x="370403"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产品管理</a:t>
          </a:r>
          <a:endParaRPr>
            <a:solidFill>
              <a:schemeClr val="dk1"/>
            </a:solidFill>
          </a:endParaRPr>
        </a:p>
      </dsp:txBody>
      <dsp:txXfrm>
        <a:off x="370403" y="2418596"/>
        <a:ext cx="285750" cy="1795548"/>
      </dsp:txXfrm>
    </dsp:sp>
    <dsp:sp modelId="{8C58936B-C95A-E842-A1D2-02ADFB3BFB5C}">
      <dsp:nvSpPr>
        <dsp:cNvPr id="10" name="任意多边形 9"/>
        <dsp:cNvSpPr/>
      </dsp:nvSpPr>
      <dsp:spPr bwMode="white">
        <a:xfrm>
          <a:off x="1248567" y="1012785"/>
          <a:ext cx="1492046" cy="9498"/>
        </a:xfrm>
        <a:custGeom>
          <a:avLst/>
          <a:gdLst/>
          <a:ahLst/>
          <a:cxnLst/>
          <a:pathLst>
            <a:path w="2350" h="15">
              <a:moveTo>
                <a:pt x="2350" y="15"/>
              </a:moveTo>
              <a:lnTo>
                <a:pt x="0" y="0"/>
              </a:lnTo>
            </a:path>
          </a:pathLst>
        </a:custGeom>
      </dsp:spPr>
      <dsp:style>
        <a:lnRef idx="2">
          <a:schemeClr val="dk1">
            <a:shade val="60000"/>
          </a:schemeClr>
        </a:lnRef>
        <a:fillRef idx="0">
          <a:schemeClr val="dk1"/>
        </a:fillRef>
        <a:effectRef idx="0">
          <a:scrgbClr r="0" g="0" b="0"/>
        </a:effectRef>
        <a:fontRef idx="minor"/>
      </dsp:style>
      <dsp:txXfrm>
        <a:off x="1248567" y="1012785"/>
        <a:ext cx="1492046" cy="9498"/>
      </dsp:txXfrm>
    </dsp:sp>
    <dsp:sp modelId="{647DB002-06D7-CC41-83F4-7776EF998C71}">
      <dsp:nvSpPr>
        <dsp:cNvPr id="11" name="圆角矩形 10"/>
        <dsp:cNvSpPr/>
      </dsp:nvSpPr>
      <dsp:spPr bwMode="white">
        <a:xfrm>
          <a:off x="1105692" y="1012785"/>
          <a:ext cx="285750" cy="1176380"/>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Times New Roman" panose="02020603050405020304" charset="0"/>
              <a:cs typeface="Times New Roman" panose="02020603050405020304" charset="0"/>
            </a:rPr>
            <a:t>架构与开发</a:t>
          </a:r>
          <a:endParaRPr>
            <a:solidFill>
              <a:schemeClr val="dk1"/>
            </a:solidFill>
          </a:endParaRPr>
        </a:p>
      </dsp:txBody>
      <dsp:txXfrm>
        <a:off x="1105692" y="1012785"/>
        <a:ext cx="285750" cy="1176380"/>
      </dsp:txXfrm>
    </dsp:sp>
    <dsp:sp modelId="{A56868C5-273D-AF4D-BB66-E4C5E851F14C}">
      <dsp:nvSpPr>
        <dsp:cNvPr id="12" name="任意多边形 11"/>
        <dsp:cNvSpPr/>
      </dsp:nvSpPr>
      <dsp:spPr bwMode="white">
        <a:xfrm>
          <a:off x="884753" y="2189165"/>
          <a:ext cx="363814" cy="229432"/>
        </a:xfrm>
        <a:custGeom>
          <a:avLst/>
          <a:gdLst/>
          <a:ahLst/>
          <a:cxnLst/>
          <a:pathLst>
            <a:path w="573" h="361">
              <a:moveTo>
                <a:pt x="573" y="0"/>
              </a:moveTo>
              <a:lnTo>
                <a:pt x="573" y="181"/>
              </a:lnTo>
              <a:lnTo>
                <a:pt x="0" y="181"/>
              </a:lnTo>
              <a:lnTo>
                <a:pt x="0" y="361"/>
              </a:lnTo>
            </a:path>
          </a:pathLst>
        </a:custGeom>
      </dsp:spPr>
      <dsp:style>
        <a:lnRef idx="2">
          <a:schemeClr val="dk1">
            <a:shade val="80000"/>
          </a:schemeClr>
        </a:lnRef>
        <a:fillRef idx="0">
          <a:schemeClr val="dk1"/>
        </a:fillRef>
        <a:effectRef idx="0">
          <a:scrgbClr r="0" g="0" b="0"/>
        </a:effectRef>
        <a:fontRef idx="minor"/>
      </dsp:style>
      <dsp:txXfrm>
        <a:off x="884753" y="2189165"/>
        <a:ext cx="363814" cy="229432"/>
      </dsp:txXfrm>
    </dsp:sp>
    <dsp:sp modelId="{C66E29FE-68D5-464C-90BB-F84395E36FE1}">
      <dsp:nvSpPr>
        <dsp:cNvPr id="13" name="圆角矩形 12"/>
        <dsp:cNvSpPr/>
      </dsp:nvSpPr>
      <dsp:spPr bwMode="white">
        <a:xfrm>
          <a:off x="741878"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企业解决方案架构</a:t>
          </a:r>
          <a:endParaRPr>
            <a:solidFill>
              <a:schemeClr val="dk1"/>
            </a:solidFill>
          </a:endParaRPr>
        </a:p>
      </dsp:txBody>
      <dsp:txXfrm>
        <a:off x="741878" y="2418596"/>
        <a:ext cx="285750" cy="1795548"/>
      </dsp:txXfrm>
    </dsp:sp>
    <dsp:sp modelId="{29CCF0C9-577C-3A48-BE62-24AB1650EF10}">
      <dsp:nvSpPr>
        <dsp:cNvPr id="14" name="任意多边形 13"/>
        <dsp:cNvSpPr/>
      </dsp:nvSpPr>
      <dsp:spPr bwMode="white">
        <a:xfrm>
          <a:off x="1248567" y="2189165"/>
          <a:ext cx="7661" cy="229432"/>
        </a:xfrm>
        <a:custGeom>
          <a:avLst/>
          <a:gdLst/>
          <a:ahLst/>
          <a:cxnLst/>
          <a:pathLst>
            <a:path w="12" h="361">
              <a:moveTo>
                <a:pt x="0" y="0"/>
              </a:moveTo>
              <a:lnTo>
                <a:pt x="0" y="181"/>
              </a:lnTo>
              <a:lnTo>
                <a:pt x="12" y="181"/>
              </a:lnTo>
              <a:lnTo>
                <a:pt x="12" y="361"/>
              </a:lnTo>
            </a:path>
          </a:pathLst>
        </a:custGeom>
      </dsp:spPr>
      <dsp:style>
        <a:lnRef idx="2">
          <a:schemeClr val="dk1">
            <a:shade val="80000"/>
          </a:schemeClr>
        </a:lnRef>
        <a:fillRef idx="0">
          <a:schemeClr val="dk1"/>
        </a:fillRef>
        <a:effectRef idx="0">
          <a:scrgbClr r="0" g="0" b="0"/>
        </a:effectRef>
        <a:fontRef idx="minor"/>
      </dsp:style>
      <dsp:txXfrm>
        <a:off x="1248567" y="2189165"/>
        <a:ext cx="7661" cy="229432"/>
      </dsp:txXfrm>
    </dsp:sp>
    <dsp:sp modelId="{0DDD3ABF-2ABC-E840-A738-51B2888DFFDB}">
      <dsp:nvSpPr>
        <dsp:cNvPr id="15" name="圆角矩形 14"/>
        <dsp:cNvSpPr/>
      </dsp:nvSpPr>
      <dsp:spPr bwMode="white">
        <a:xfrm>
          <a:off x="1113353"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研发团队</a:t>
          </a:r>
          <a:endParaRPr>
            <a:solidFill>
              <a:schemeClr val="dk1"/>
            </a:solidFill>
          </a:endParaRPr>
        </a:p>
      </dsp:txBody>
      <dsp:txXfrm>
        <a:off x="1113353" y="2418596"/>
        <a:ext cx="285750" cy="1795548"/>
      </dsp:txXfrm>
    </dsp:sp>
    <dsp:sp modelId="{ED95B0C8-672E-7341-96F5-76982156EF2D}">
      <dsp:nvSpPr>
        <dsp:cNvPr id="16" name="任意多边形 15"/>
        <dsp:cNvSpPr/>
      </dsp:nvSpPr>
      <dsp:spPr bwMode="white">
        <a:xfrm>
          <a:off x="1248567" y="2189165"/>
          <a:ext cx="379136" cy="229432"/>
        </a:xfrm>
        <a:custGeom>
          <a:avLst/>
          <a:gdLst/>
          <a:ahLst/>
          <a:cxnLst/>
          <a:pathLst>
            <a:path w="597" h="361">
              <a:moveTo>
                <a:pt x="0" y="0"/>
              </a:moveTo>
              <a:lnTo>
                <a:pt x="0" y="181"/>
              </a:lnTo>
              <a:lnTo>
                <a:pt x="597" y="181"/>
              </a:lnTo>
              <a:lnTo>
                <a:pt x="597" y="361"/>
              </a:lnTo>
            </a:path>
          </a:pathLst>
        </a:custGeom>
      </dsp:spPr>
      <dsp:style>
        <a:lnRef idx="2">
          <a:schemeClr val="dk1">
            <a:shade val="80000"/>
          </a:schemeClr>
        </a:lnRef>
        <a:fillRef idx="0">
          <a:schemeClr val="dk1"/>
        </a:fillRef>
        <a:effectRef idx="0">
          <a:scrgbClr r="0" g="0" b="0"/>
        </a:effectRef>
        <a:fontRef idx="minor"/>
      </dsp:style>
      <dsp:txXfrm>
        <a:off x="1248567" y="2189165"/>
        <a:ext cx="379136" cy="229432"/>
      </dsp:txXfrm>
    </dsp:sp>
    <dsp:sp modelId="{9B1923B8-7340-CE49-B272-13C1281D4B3D}">
      <dsp:nvSpPr>
        <dsp:cNvPr id="17" name="圆角矩形 16"/>
        <dsp:cNvSpPr/>
      </dsp:nvSpPr>
      <dsp:spPr bwMode="white">
        <a:xfrm>
          <a:off x="1484828"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配置与制品管理</a:t>
          </a:r>
          <a:endParaRPr>
            <a:solidFill>
              <a:schemeClr val="dk1"/>
            </a:solidFill>
          </a:endParaRPr>
        </a:p>
      </dsp:txBody>
      <dsp:txXfrm>
        <a:off x="1484828" y="2418596"/>
        <a:ext cx="285750" cy="1795548"/>
      </dsp:txXfrm>
    </dsp:sp>
    <dsp:sp modelId="{7F460153-6A44-2644-97D5-EF06A5377E55}">
      <dsp:nvSpPr>
        <dsp:cNvPr id="18" name="任意多边形 17"/>
        <dsp:cNvSpPr/>
      </dsp:nvSpPr>
      <dsp:spPr bwMode="white">
        <a:xfrm>
          <a:off x="1620042" y="1012785"/>
          <a:ext cx="1120571" cy="9498"/>
        </a:xfrm>
        <a:custGeom>
          <a:avLst/>
          <a:gdLst/>
          <a:ahLst/>
          <a:cxnLst/>
          <a:pathLst>
            <a:path w="1765" h="15">
              <a:moveTo>
                <a:pt x="1765" y="15"/>
              </a:moveTo>
              <a:lnTo>
                <a:pt x="0" y="0"/>
              </a:lnTo>
            </a:path>
          </a:pathLst>
        </a:custGeom>
      </dsp:spPr>
      <dsp:style>
        <a:lnRef idx="2">
          <a:schemeClr val="dk1">
            <a:shade val="60000"/>
          </a:schemeClr>
        </a:lnRef>
        <a:fillRef idx="0">
          <a:schemeClr val="dk1"/>
        </a:fillRef>
        <a:effectRef idx="0">
          <a:scrgbClr r="0" g="0" b="0"/>
        </a:effectRef>
        <a:fontRef idx="minor"/>
      </dsp:style>
      <dsp:txXfrm>
        <a:off x="1620042" y="1012785"/>
        <a:ext cx="1120571" cy="9498"/>
      </dsp:txXfrm>
    </dsp:sp>
    <dsp:sp modelId="{3B838A14-C80A-BA4C-9835-7497074AEDF8}">
      <dsp:nvSpPr>
        <dsp:cNvPr id="19" name="圆角矩形 18"/>
        <dsp:cNvSpPr/>
      </dsp:nvSpPr>
      <dsp:spPr bwMode="white">
        <a:xfrm>
          <a:off x="1477167" y="1012785"/>
          <a:ext cx="285750" cy="1176380"/>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Times New Roman" panose="02020603050405020304" charset="0"/>
              <a:cs typeface="Times New Roman" panose="02020603050405020304" charset="0"/>
            </a:rPr>
            <a:t>质量与测试</a:t>
          </a:r>
          <a:endParaRPr>
            <a:solidFill>
              <a:schemeClr val="dk1"/>
            </a:solidFill>
          </a:endParaRPr>
        </a:p>
      </dsp:txBody>
      <dsp:txXfrm>
        <a:off x="1477167" y="1012785"/>
        <a:ext cx="285750" cy="1176380"/>
      </dsp:txXfrm>
    </dsp:sp>
    <dsp:sp modelId="{EE9655E2-8079-7542-9F93-D7EC0A1D41B5}">
      <dsp:nvSpPr>
        <dsp:cNvPr id="20" name="任意多边形 19"/>
        <dsp:cNvSpPr/>
      </dsp:nvSpPr>
      <dsp:spPr bwMode="white">
        <a:xfrm>
          <a:off x="2177255" y="1012785"/>
          <a:ext cx="563359" cy="9498"/>
        </a:xfrm>
        <a:custGeom>
          <a:avLst/>
          <a:gdLst/>
          <a:ahLst/>
          <a:cxnLst/>
          <a:pathLst>
            <a:path w="887" h="15">
              <a:moveTo>
                <a:pt x="887" y="15"/>
              </a:moveTo>
              <a:lnTo>
                <a:pt x="0" y="0"/>
              </a:lnTo>
            </a:path>
          </a:pathLst>
        </a:custGeom>
      </dsp:spPr>
      <dsp:style>
        <a:lnRef idx="2">
          <a:schemeClr val="dk1">
            <a:shade val="60000"/>
          </a:schemeClr>
        </a:lnRef>
        <a:fillRef idx="0">
          <a:schemeClr val="dk1"/>
        </a:fillRef>
        <a:effectRef idx="0">
          <a:scrgbClr r="0" g="0" b="0"/>
        </a:effectRef>
        <a:fontRef idx="minor"/>
      </dsp:style>
      <dsp:txXfrm>
        <a:off x="2177255" y="1012785"/>
        <a:ext cx="563359" cy="9498"/>
      </dsp:txXfrm>
    </dsp:sp>
    <dsp:sp modelId="{805DADC0-37A0-4E48-A6A4-C04BCD772116}">
      <dsp:nvSpPr>
        <dsp:cNvPr id="21" name="圆角矩形 20"/>
        <dsp:cNvSpPr/>
      </dsp:nvSpPr>
      <dsp:spPr bwMode="white">
        <a:xfrm>
          <a:off x="2034380" y="1012785"/>
          <a:ext cx="285750" cy="1176380"/>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测试工</a:t>
          </a:r>
          <a:r>
            <a:rPr lang="zh-CN" altLang="en-US" sz="900" baseline="0">
              <a:solidFill>
                <a:schemeClr val="dk1"/>
              </a:solidFill>
              <a:latin typeface="Times New Roman" panose="02020603050405020304" charset="0"/>
              <a:cs typeface="Times New Roman" panose="02020603050405020304" charset="0"/>
            </a:rPr>
            <a:t>程</a:t>
          </a:r>
          <a:endParaRPr lang="zh-CN" sz="900" baseline="0">
            <a:solidFill>
              <a:schemeClr val="dk1"/>
            </a:solidFill>
            <a:latin typeface="Times New Roman" panose="02020603050405020304" charset="0"/>
            <a:cs typeface="Times New Roman" panose="02020603050405020304" charset="0"/>
          </a:endParaRPr>
        </a:p>
      </dsp:txBody>
      <dsp:txXfrm>
        <a:off x="2034380" y="1012785"/>
        <a:ext cx="285750" cy="1176380"/>
      </dsp:txXfrm>
    </dsp:sp>
    <dsp:sp modelId="{2C4643E7-74C6-6248-BBC6-411B2866BD39}">
      <dsp:nvSpPr>
        <dsp:cNvPr id="22" name="任意多边形 21"/>
        <dsp:cNvSpPr/>
      </dsp:nvSpPr>
      <dsp:spPr bwMode="white">
        <a:xfrm>
          <a:off x="1999178" y="2189165"/>
          <a:ext cx="178077" cy="229432"/>
        </a:xfrm>
        <a:custGeom>
          <a:avLst/>
          <a:gdLst/>
          <a:ahLst/>
          <a:cxnLst/>
          <a:pathLst>
            <a:path w="280" h="361">
              <a:moveTo>
                <a:pt x="280" y="0"/>
              </a:moveTo>
              <a:lnTo>
                <a:pt x="280" y="181"/>
              </a:lnTo>
              <a:lnTo>
                <a:pt x="0" y="181"/>
              </a:lnTo>
              <a:lnTo>
                <a:pt x="0" y="361"/>
              </a:lnTo>
            </a:path>
          </a:pathLst>
        </a:custGeom>
      </dsp:spPr>
      <dsp:style>
        <a:lnRef idx="2">
          <a:schemeClr val="dk1">
            <a:shade val="80000"/>
          </a:schemeClr>
        </a:lnRef>
        <a:fillRef idx="0">
          <a:schemeClr val="dk1"/>
        </a:fillRef>
        <a:effectRef idx="0">
          <a:scrgbClr r="0" g="0" b="0"/>
        </a:effectRef>
        <a:fontRef idx="minor"/>
      </dsp:style>
      <dsp:txXfrm>
        <a:off x="1999178" y="2189165"/>
        <a:ext cx="178077" cy="229432"/>
      </dsp:txXfrm>
    </dsp:sp>
    <dsp:sp modelId="{97E2F281-9FBD-2C4C-AA23-8236F281D623}">
      <dsp:nvSpPr>
        <dsp:cNvPr id="23" name="圆角矩形 22"/>
        <dsp:cNvSpPr/>
      </dsp:nvSpPr>
      <dsp:spPr bwMode="white">
        <a:xfrm>
          <a:off x="1856303"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质量保证</a:t>
          </a:r>
          <a:endParaRPr>
            <a:solidFill>
              <a:schemeClr val="dk1"/>
            </a:solidFill>
          </a:endParaRPr>
        </a:p>
      </dsp:txBody>
      <dsp:txXfrm>
        <a:off x="1856303" y="2418596"/>
        <a:ext cx="285750" cy="1795548"/>
      </dsp:txXfrm>
    </dsp:sp>
    <dsp:sp modelId="{9EB71737-C617-8544-88D4-C9C0B787A16D}">
      <dsp:nvSpPr>
        <dsp:cNvPr id="24" name="任意多边形 23"/>
        <dsp:cNvSpPr/>
      </dsp:nvSpPr>
      <dsp:spPr bwMode="white">
        <a:xfrm>
          <a:off x="2177255" y="2189165"/>
          <a:ext cx="193398" cy="229432"/>
        </a:xfrm>
        <a:custGeom>
          <a:avLst/>
          <a:gdLst/>
          <a:ahLst/>
          <a:cxnLst/>
          <a:pathLst>
            <a:path w="305" h="361">
              <a:moveTo>
                <a:pt x="0" y="0"/>
              </a:moveTo>
              <a:lnTo>
                <a:pt x="0" y="181"/>
              </a:lnTo>
              <a:lnTo>
                <a:pt x="305" y="181"/>
              </a:lnTo>
              <a:lnTo>
                <a:pt x="305" y="361"/>
              </a:lnTo>
            </a:path>
          </a:pathLst>
        </a:custGeom>
      </dsp:spPr>
      <dsp:style>
        <a:lnRef idx="2">
          <a:schemeClr val="dk1">
            <a:shade val="80000"/>
          </a:schemeClr>
        </a:lnRef>
        <a:fillRef idx="0">
          <a:schemeClr val="dk1"/>
        </a:fillRef>
        <a:effectRef idx="0">
          <a:scrgbClr r="0" g="0" b="0"/>
        </a:effectRef>
        <a:fontRef idx="minor"/>
      </dsp:style>
      <dsp:txXfrm>
        <a:off x="2177255" y="2189165"/>
        <a:ext cx="193398" cy="229432"/>
      </dsp:txXfrm>
    </dsp:sp>
    <dsp:sp modelId="{800A9B4C-4C23-7A4F-81B9-8D015430043F}">
      <dsp:nvSpPr>
        <dsp:cNvPr id="25" name="圆角矩形 24"/>
        <dsp:cNvSpPr/>
      </dsp:nvSpPr>
      <dsp:spPr bwMode="white">
        <a:xfrm>
          <a:off x="2227778"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Times New Roman" panose="02020603050405020304" charset="0"/>
              <a:cs typeface="Times New Roman" panose="02020603050405020304" charset="0"/>
            </a:rPr>
            <a:t>测试环境与数据管理</a:t>
          </a:r>
          <a:endParaRPr>
            <a:solidFill>
              <a:schemeClr val="dk1"/>
            </a:solidFill>
          </a:endParaRPr>
        </a:p>
      </dsp:txBody>
      <dsp:txXfrm>
        <a:off x="2227778" y="2418596"/>
        <a:ext cx="285750" cy="1795548"/>
      </dsp:txXfrm>
    </dsp:sp>
    <dsp:sp modelId="{85D18E36-727A-1549-A766-DA04533BB4E9}">
      <dsp:nvSpPr>
        <dsp:cNvPr id="26" name="任意多边形 25"/>
        <dsp:cNvSpPr/>
      </dsp:nvSpPr>
      <dsp:spPr bwMode="white">
        <a:xfrm>
          <a:off x="2740614" y="1012785"/>
          <a:ext cx="365329" cy="9498"/>
        </a:xfrm>
        <a:custGeom>
          <a:avLst/>
          <a:gdLst/>
          <a:ahLst/>
          <a:cxnLst/>
          <a:pathLst>
            <a:path w="575" h="15">
              <a:moveTo>
                <a:pt x="0" y="15"/>
              </a:moveTo>
              <a:lnTo>
                <a:pt x="575" y="0"/>
              </a:lnTo>
            </a:path>
          </a:pathLst>
        </a:custGeom>
      </dsp:spPr>
      <dsp:style>
        <a:lnRef idx="2">
          <a:schemeClr val="dk1">
            <a:shade val="60000"/>
          </a:schemeClr>
        </a:lnRef>
        <a:fillRef idx="0">
          <a:schemeClr val="dk1"/>
        </a:fillRef>
        <a:effectRef idx="0">
          <a:scrgbClr r="0" g="0" b="0"/>
        </a:effectRef>
        <a:fontRef idx="minor"/>
      </dsp:style>
      <dsp:txXfrm>
        <a:off x="2740614" y="1012785"/>
        <a:ext cx="365329" cy="9498"/>
      </dsp:txXfrm>
    </dsp:sp>
    <dsp:sp modelId="{8F92844C-020A-454A-89D6-143AE713C772}">
      <dsp:nvSpPr>
        <dsp:cNvPr id="27" name="圆角矩形 26"/>
        <dsp:cNvSpPr/>
      </dsp:nvSpPr>
      <dsp:spPr bwMode="white">
        <a:xfrm>
          <a:off x="2963067" y="1012785"/>
          <a:ext cx="285750" cy="1176380"/>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Times New Roman" panose="02020603050405020304" charset="0"/>
              <a:cs typeface="Times New Roman" panose="02020603050405020304" charset="0"/>
            </a:rPr>
            <a:t>交付与运维</a:t>
          </a:r>
          <a:endParaRPr>
            <a:solidFill>
              <a:schemeClr val="dk1"/>
            </a:solidFill>
          </a:endParaRPr>
        </a:p>
      </dsp:txBody>
      <dsp:txXfrm>
        <a:off x="2963067" y="1012785"/>
        <a:ext cx="285750" cy="1176380"/>
      </dsp:txXfrm>
    </dsp:sp>
    <dsp:sp modelId="{293389C5-B0D5-8B41-8174-FF92FF81CA42}">
      <dsp:nvSpPr>
        <dsp:cNvPr id="28" name="任意多边形 27"/>
        <dsp:cNvSpPr/>
      </dsp:nvSpPr>
      <dsp:spPr bwMode="white">
        <a:xfrm>
          <a:off x="2742128" y="2189165"/>
          <a:ext cx="363814" cy="229432"/>
        </a:xfrm>
        <a:custGeom>
          <a:avLst/>
          <a:gdLst/>
          <a:ahLst/>
          <a:cxnLst/>
          <a:pathLst>
            <a:path w="573" h="361">
              <a:moveTo>
                <a:pt x="573" y="0"/>
              </a:moveTo>
              <a:lnTo>
                <a:pt x="573" y="181"/>
              </a:lnTo>
              <a:lnTo>
                <a:pt x="0" y="181"/>
              </a:lnTo>
              <a:lnTo>
                <a:pt x="0" y="361"/>
              </a:lnTo>
            </a:path>
          </a:pathLst>
        </a:custGeom>
      </dsp:spPr>
      <dsp:style>
        <a:lnRef idx="2">
          <a:schemeClr val="dk1">
            <a:shade val="80000"/>
          </a:schemeClr>
        </a:lnRef>
        <a:fillRef idx="0">
          <a:schemeClr val="dk1"/>
        </a:fillRef>
        <a:effectRef idx="0">
          <a:scrgbClr r="0" g="0" b="0"/>
        </a:effectRef>
        <a:fontRef idx="minor"/>
      </dsp:style>
      <dsp:txXfrm>
        <a:off x="2742128" y="2189165"/>
        <a:ext cx="363814" cy="229432"/>
      </dsp:txXfrm>
    </dsp:sp>
    <dsp:sp modelId="{04570D3B-8A0F-264A-A802-6C641009C8BD}">
      <dsp:nvSpPr>
        <dsp:cNvPr id="29" name="圆角矩形 28"/>
        <dsp:cNvSpPr/>
      </dsp:nvSpPr>
      <dsp:spPr bwMode="white">
        <a:xfrm>
          <a:off x="2599253"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持续集成与持续交付</a:t>
          </a:r>
          <a:endParaRPr>
            <a:solidFill>
              <a:schemeClr val="dk1"/>
            </a:solidFill>
          </a:endParaRPr>
        </a:p>
      </dsp:txBody>
      <dsp:txXfrm>
        <a:off x="2599253" y="2418596"/>
        <a:ext cx="285750" cy="1795548"/>
      </dsp:txXfrm>
    </dsp:sp>
    <dsp:sp modelId="{5AAC3918-1CC1-4140-937B-20E443EEE52D}">
      <dsp:nvSpPr>
        <dsp:cNvPr id="30" name="任意多边形 29"/>
        <dsp:cNvSpPr/>
      </dsp:nvSpPr>
      <dsp:spPr bwMode="white">
        <a:xfrm>
          <a:off x="3105942" y="2189165"/>
          <a:ext cx="7661" cy="229432"/>
        </a:xfrm>
        <a:custGeom>
          <a:avLst/>
          <a:gdLst/>
          <a:ahLst/>
          <a:cxnLst/>
          <a:pathLst>
            <a:path w="12" h="361">
              <a:moveTo>
                <a:pt x="0" y="0"/>
              </a:moveTo>
              <a:lnTo>
                <a:pt x="0" y="181"/>
              </a:lnTo>
              <a:lnTo>
                <a:pt x="12" y="181"/>
              </a:lnTo>
              <a:lnTo>
                <a:pt x="12" y="361"/>
              </a:lnTo>
            </a:path>
          </a:pathLst>
        </a:custGeom>
      </dsp:spPr>
      <dsp:style>
        <a:lnRef idx="2">
          <a:schemeClr val="dk1">
            <a:shade val="80000"/>
          </a:schemeClr>
        </a:lnRef>
        <a:fillRef idx="0">
          <a:schemeClr val="dk1"/>
        </a:fillRef>
        <a:effectRef idx="0">
          <a:scrgbClr r="0" g="0" b="0"/>
        </a:effectRef>
        <a:fontRef idx="minor"/>
      </dsp:style>
      <dsp:txXfrm>
        <a:off x="3105942" y="2189165"/>
        <a:ext cx="7661" cy="229432"/>
      </dsp:txXfrm>
    </dsp:sp>
    <dsp:sp modelId="{9179A4B0-CB7A-CF48-AF48-9D8BF4B09D61}">
      <dsp:nvSpPr>
        <dsp:cNvPr id="31" name="圆角矩形 30"/>
        <dsp:cNvSpPr/>
      </dsp:nvSpPr>
      <dsp:spPr bwMode="white">
        <a:xfrm>
          <a:off x="2970728"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平台工程</a:t>
          </a:r>
          <a:endParaRPr>
            <a:solidFill>
              <a:schemeClr val="dk1"/>
            </a:solidFill>
          </a:endParaRPr>
        </a:p>
      </dsp:txBody>
      <dsp:txXfrm>
        <a:off x="2970728" y="2418596"/>
        <a:ext cx="285750" cy="1795548"/>
      </dsp:txXfrm>
    </dsp:sp>
    <dsp:sp modelId="{EE428120-8B6C-AC4E-9F01-0370B4F8E07B}">
      <dsp:nvSpPr>
        <dsp:cNvPr id="32" name="任意多边形 31"/>
        <dsp:cNvSpPr/>
      </dsp:nvSpPr>
      <dsp:spPr bwMode="white">
        <a:xfrm>
          <a:off x="3105942" y="2189165"/>
          <a:ext cx="379136" cy="229432"/>
        </a:xfrm>
        <a:custGeom>
          <a:avLst/>
          <a:gdLst/>
          <a:ahLst/>
          <a:cxnLst/>
          <a:pathLst>
            <a:path w="597" h="361">
              <a:moveTo>
                <a:pt x="0" y="0"/>
              </a:moveTo>
              <a:lnTo>
                <a:pt x="0" y="181"/>
              </a:lnTo>
              <a:lnTo>
                <a:pt x="597" y="181"/>
              </a:lnTo>
              <a:lnTo>
                <a:pt x="597" y="361"/>
              </a:lnTo>
            </a:path>
          </a:pathLst>
        </a:custGeom>
      </dsp:spPr>
      <dsp:style>
        <a:lnRef idx="2">
          <a:schemeClr val="dk1">
            <a:shade val="80000"/>
          </a:schemeClr>
        </a:lnRef>
        <a:fillRef idx="0">
          <a:schemeClr val="dk1"/>
        </a:fillRef>
        <a:effectRef idx="0">
          <a:scrgbClr r="0" g="0" b="0"/>
        </a:effectRef>
        <a:fontRef idx="minor"/>
      </dsp:style>
      <dsp:txXfrm>
        <a:off x="3105942" y="2189165"/>
        <a:ext cx="379136" cy="229432"/>
      </dsp:txXfrm>
    </dsp:sp>
    <dsp:sp modelId="{E58681E5-BC75-ED41-AA55-27C3ACC4DF5E}">
      <dsp:nvSpPr>
        <dsp:cNvPr id="33" name="圆角矩形 32"/>
        <dsp:cNvSpPr/>
      </dsp:nvSpPr>
      <dsp:spPr bwMode="white">
        <a:xfrm>
          <a:off x="3342203"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Times New Roman" panose="02020603050405020304" charset="0"/>
              <a:cs typeface="Times New Roman" panose="02020603050405020304" charset="0"/>
            </a:rPr>
            <a:t>系统可靠性工程</a:t>
          </a:r>
          <a:endParaRPr lang="zh-CN" sz="900" baseline="0">
            <a:solidFill>
              <a:schemeClr val="dk1"/>
            </a:solidFill>
            <a:latin typeface="Times New Roman" panose="02020603050405020304" charset="0"/>
            <a:cs typeface="Times New Roman" panose="02020603050405020304" charset="0"/>
          </a:endParaRPr>
        </a:p>
      </dsp:txBody>
      <dsp:txXfrm>
        <a:off x="3342203" y="2418596"/>
        <a:ext cx="285750" cy="1795548"/>
      </dsp:txXfrm>
    </dsp:sp>
    <dsp:sp modelId="{6EF1EBB2-BC13-0547-A805-267651A17861}">
      <dsp:nvSpPr>
        <dsp:cNvPr id="34" name="任意多边形 33"/>
        <dsp:cNvSpPr/>
      </dsp:nvSpPr>
      <dsp:spPr bwMode="white">
        <a:xfrm>
          <a:off x="2740614" y="1012785"/>
          <a:ext cx="1479754" cy="9498"/>
        </a:xfrm>
        <a:custGeom>
          <a:avLst/>
          <a:gdLst/>
          <a:ahLst/>
          <a:cxnLst/>
          <a:pathLst>
            <a:path w="2330" h="15">
              <a:moveTo>
                <a:pt x="0" y="15"/>
              </a:moveTo>
              <a:lnTo>
                <a:pt x="2330" y="0"/>
              </a:lnTo>
            </a:path>
          </a:pathLst>
        </a:custGeom>
      </dsp:spPr>
      <dsp:style>
        <a:lnRef idx="2">
          <a:schemeClr val="dk1">
            <a:shade val="60000"/>
          </a:schemeClr>
        </a:lnRef>
        <a:fillRef idx="0">
          <a:schemeClr val="dk1"/>
        </a:fillRef>
        <a:effectRef idx="0">
          <a:scrgbClr r="0" g="0" b="0"/>
        </a:effectRef>
        <a:fontRef idx="minor"/>
      </dsp:style>
      <dsp:txXfrm>
        <a:off x="2740614" y="1012785"/>
        <a:ext cx="1479754" cy="9498"/>
      </dsp:txXfrm>
    </dsp:sp>
    <dsp:sp modelId="{76F0C51F-F7EE-B24F-BEB8-C8B4060C1E79}">
      <dsp:nvSpPr>
        <dsp:cNvPr id="35" name="圆角矩形 34"/>
        <dsp:cNvSpPr/>
      </dsp:nvSpPr>
      <dsp:spPr bwMode="white">
        <a:xfrm>
          <a:off x="4077492" y="1012785"/>
          <a:ext cx="285750" cy="1176380"/>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Times New Roman" panose="02020603050405020304" charset="0"/>
              <a:cs typeface="Times New Roman" panose="02020603050405020304" charset="0"/>
            </a:rPr>
            <a:t>安全与合规</a:t>
          </a:r>
          <a:endParaRPr>
            <a:solidFill>
              <a:schemeClr val="dk1"/>
            </a:solidFill>
          </a:endParaRPr>
        </a:p>
      </dsp:txBody>
      <dsp:txXfrm>
        <a:off x="4077492" y="1012785"/>
        <a:ext cx="285750" cy="1176380"/>
      </dsp:txXfrm>
    </dsp:sp>
    <dsp:sp modelId="{A91FBFC8-B827-9E4F-8940-D7AA5EB8B0BC}">
      <dsp:nvSpPr>
        <dsp:cNvPr id="36" name="任意多边形 35"/>
        <dsp:cNvSpPr/>
      </dsp:nvSpPr>
      <dsp:spPr bwMode="white">
        <a:xfrm>
          <a:off x="3856553" y="2189165"/>
          <a:ext cx="363814" cy="229432"/>
        </a:xfrm>
        <a:custGeom>
          <a:avLst/>
          <a:gdLst/>
          <a:ahLst/>
          <a:cxnLst/>
          <a:pathLst>
            <a:path w="573" h="361">
              <a:moveTo>
                <a:pt x="573" y="0"/>
              </a:moveTo>
              <a:lnTo>
                <a:pt x="573" y="181"/>
              </a:lnTo>
              <a:lnTo>
                <a:pt x="0" y="181"/>
              </a:lnTo>
              <a:lnTo>
                <a:pt x="0" y="361"/>
              </a:lnTo>
            </a:path>
          </a:pathLst>
        </a:custGeom>
      </dsp:spPr>
      <dsp:style>
        <a:lnRef idx="2">
          <a:schemeClr val="dk1">
            <a:shade val="80000"/>
          </a:schemeClr>
        </a:lnRef>
        <a:fillRef idx="0">
          <a:schemeClr val="dk1"/>
        </a:fillRef>
        <a:effectRef idx="0">
          <a:scrgbClr r="0" g="0" b="0"/>
        </a:effectRef>
        <a:fontRef idx="minor"/>
      </dsp:style>
      <dsp:txXfrm>
        <a:off x="3856553" y="2189165"/>
        <a:ext cx="363814" cy="229432"/>
      </dsp:txXfrm>
    </dsp:sp>
    <dsp:sp modelId="{2CEC9C1A-562D-D742-9110-C8D37CAC3E39}">
      <dsp:nvSpPr>
        <dsp:cNvPr id="37" name="圆角矩形 36"/>
        <dsp:cNvSpPr/>
      </dsp:nvSpPr>
      <dsp:spPr bwMode="white">
        <a:xfrm>
          <a:off x="3713678"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安全工程</a:t>
          </a:r>
          <a:endParaRPr>
            <a:solidFill>
              <a:schemeClr val="dk1"/>
            </a:solidFill>
          </a:endParaRPr>
        </a:p>
      </dsp:txBody>
      <dsp:txXfrm>
        <a:off x="3713678" y="2418596"/>
        <a:ext cx="285750" cy="1795548"/>
      </dsp:txXfrm>
    </dsp:sp>
    <dsp:sp modelId="{09460387-168A-6D49-B9C4-1569A5F2DEB9}">
      <dsp:nvSpPr>
        <dsp:cNvPr id="38" name="任意多边形 37"/>
        <dsp:cNvSpPr/>
      </dsp:nvSpPr>
      <dsp:spPr bwMode="white">
        <a:xfrm>
          <a:off x="4220367" y="2189165"/>
          <a:ext cx="7661" cy="229432"/>
        </a:xfrm>
        <a:custGeom>
          <a:avLst/>
          <a:gdLst/>
          <a:ahLst/>
          <a:cxnLst/>
          <a:pathLst>
            <a:path w="12" h="361">
              <a:moveTo>
                <a:pt x="0" y="0"/>
              </a:moveTo>
              <a:lnTo>
                <a:pt x="0" y="181"/>
              </a:lnTo>
              <a:lnTo>
                <a:pt x="12" y="181"/>
              </a:lnTo>
              <a:lnTo>
                <a:pt x="12" y="361"/>
              </a:lnTo>
            </a:path>
          </a:pathLst>
        </a:custGeom>
      </dsp:spPr>
      <dsp:style>
        <a:lnRef idx="2">
          <a:schemeClr val="dk1">
            <a:shade val="80000"/>
          </a:schemeClr>
        </a:lnRef>
        <a:fillRef idx="0">
          <a:schemeClr val="dk1"/>
        </a:fillRef>
        <a:effectRef idx="0">
          <a:scrgbClr r="0" g="0" b="0"/>
        </a:effectRef>
        <a:fontRef idx="minor"/>
      </dsp:style>
      <dsp:txXfrm>
        <a:off x="4220367" y="2189165"/>
        <a:ext cx="7661" cy="229432"/>
      </dsp:txXfrm>
    </dsp:sp>
    <dsp:sp modelId="{BAFDA814-6639-5746-BD08-1D86F0AAD4AD}">
      <dsp:nvSpPr>
        <dsp:cNvPr id="39" name="圆角矩形 38"/>
        <dsp:cNvSpPr/>
      </dsp:nvSpPr>
      <dsp:spPr bwMode="white">
        <a:xfrm>
          <a:off x="4085153"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合规工程</a:t>
          </a:r>
          <a:endParaRPr>
            <a:solidFill>
              <a:schemeClr val="dk1"/>
            </a:solidFill>
          </a:endParaRPr>
        </a:p>
      </dsp:txBody>
      <dsp:txXfrm>
        <a:off x="4085153" y="2418596"/>
        <a:ext cx="285750" cy="1795548"/>
      </dsp:txXfrm>
    </dsp:sp>
    <dsp:sp modelId="{E6761C22-EC94-8543-B956-E4509348C221}">
      <dsp:nvSpPr>
        <dsp:cNvPr id="40" name="任意多边形 39"/>
        <dsp:cNvSpPr/>
      </dsp:nvSpPr>
      <dsp:spPr bwMode="white">
        <a:xfrm>
          <a:off x="4220367" y="2189165"/>
          <a:ext cx="379136" cy="229432"/>
        </a:xfrm>
        <a:custGeom>
          <a:avLst/>
          <a:gdLst/>
          <a:ahLst/>
          <a:cxnLst/>
          <a:pathLst>
            <a:path w="597" h="361">
              <a:moveTo>
                <a:pt x="0" y="0"/>
              </a:moveTo>
              <a:lnTo>
                <a:pt x="0" y="181"/>
              </a:lnTo>
              <a:lnTo>
                <a:pt x="597" y="181"/>
              </a:lnTo>
              <a:lnTo>
                <a:pt x="597" y="361"/>
              </a:lnTo>
            </a:path>
          </a:pathLst>
        </a:custGeom>
      </dsp:spPr>
      <dsp:style>
        <a:lnRef idx="2">
          <a:schemeClr val="dk1">
            <a:shade val="80000"/>
          </a:schemeClr>
        </a:lnRef>
        <a:fillRef idx="0">
          <a:schemeClr val="dk1"/>
        </a:fillRef>
        <a:effectRef idx="0">
          <a:scrgbClr r="0" g="0" b="0"/>
        </a:effectRef>
        <a:fontRef idx="minor"/>
      </dsp:style>
      <dsp:txXfrm>
        <a:off x="4220367" y="2189165"/>
        <a:ext cx="379136" cy="229432"/>
      </dsp:txXfrm>
    </dsp:sp>
    <dsp:sp modelId="{80A56B76-93B8-0C44-BAF0-92FACCB39AEB}">
      <dsp:nvSpPr>
        <dsp:cNvPr id="41" name="圆角矩形 40"/>
        <dsp:cNvSpPr/>
      </dsp:nvSpPr>
      <dsp:spPr bwMode="white">
        <a:xfrm>
          <a:off x="4456628"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Times New Roman" panose="02020603050405020304" charset="0"/>
              <a:cs typeface="Times New Roman" panose="02020603050405020304" charset="0"/>
            </a:rPr>
            <a:t>安全合规顾问</a:t>
          </a:r>
          <a:endParaRPr lang="zh-CN" sz="900" baseline="0">
            <a:solidFill>
              <a:schemeClr val="dk1"/>
            </a:solidFill>
            <a:latin typeface="Times New Roman" panose="02020603050405020304" charset="0"/>
            <a:cs typeface="Times New Roman" panose="02020603050405020304" charset="0"/>
          </a:endParaRPr>
        </a:p>
      </dsp:txBody>
      <dsp:txXfrm>
        <a:off x="4456628" y="2418596"/>
        <a:ext cx="285750" cy="1795548"/>
      </dsp:txXfrm>
    </dsp:sp>
    <dsp:sp modelId="{C62E9FB9-2D6B-874C-A598-46A9579703BC}">
      <dsp:nvSpPr>
        <dsp:cNvPr id="42" name="任意多边形 41"/>
        <dsp:cNvSpPr/>
      </dsp:nvSpPr>
      <dsp:spPr bwMode="white">
        <a:xfrm>
          <a:off x="2740614" y="1012785"/>
          <a:ext cx="2408441" cy="9498"/>
        </a:xfrm>
        <a:custGeom>
          <a:avLst/>
          <a:gdLst/>
          <a:ahLst/>
          <a:cxnLst/>
          <a:pathLst>
            <a:path w="3793" h="15">
              <a:moveTo>
                <a:pt x="0" y="15"/>
              </a:moveTo>
              <a:lnTo>
                <a:pt x="3793" y="0"/>
              </a:lnTo>
            </a:path>
          </a:pathLst>
        </a:custGeom>
      </dsp:spPr>
      <dsp:style>
        <a:lnRef idx="2">
          <a:schemeClr val="dk1">
            <a:shade val="60000"/>
          </a:schemeClr>
        </a:lnRef>
        <a:fillRef idx="0">
          <a:schemeClr val="dk1"/>
        </a:fillRef>
        <a:effectRef idx="0">
          <a:scrgbClr r="0" g="0" b="0"/>
        </a:effectRef>
        <a:fontRef idx="minor"/>
      </dsp:style>
      <dsp:txXfrm>
        <a:off x="2740614" y="1012785"/>
        <a:ext cx="2408441" cy="9498"/>
      </dsp:txXfrm>
    </dsp:sp>
    <dsp:sp modelId="{619070E0-EB3B-3448-A738-71E18C6797E5}">
      <dsp:nvSpPr>
        <dsp:cNvPr id="43" name="圆角矩形 42"/>
        <dsp:cNvSpPr/>
      </dsp:nvSpPr>
      <dsp:spPr bwMode="white">
        <a:xfrm>
          <a:off x="5006180" y="1012785"/>
          <a:ext cx="285750" cy="1176380"/>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900" baseline="0">
              <a:solidFill>
                <a:schemeClr val="dk1"/>
              </a:solidFill>
              <a:latin typeface="Times New Roman" panose="02020603050405020304" charset="0"/>
              <a:cs typeface="Times New Roman" panose="02020603050405020304" charset="0"/>
            </a:rPr>
            <a:t>数据与模型治理</a:t>
          </a:r>
          <a:endParaRPr>
            <a:solidFill>
              <a:schemeClr val="dk1"/>
            </a:solidFill>
          </a:endParaRPr>
        </a:p>
      </dsp:txBody>
      <dsp:txXfrm>
        <a:off x="5006180" y="1012785"/>
        <a:ext cx="285750" cy="1176380"/>
      </dsp:txXfrm>
    </dsp:sp>
    <dsp:sp modelId="{FA56159C-BAC1-B648-9E48-C02D1A543CA5}">
      <dsp:nvSpPr>
        <dsp:cNvPr id="44" name="任意多边形 43"/>
        <dsp:cNvSpPr/>
      </dsp:nvSpPr>
      <dsp:spPr bwMode="white">
        <a:xfrm>
          <a:off x="4970978" y="2189165"/>
          <a:ext cx="178077" cy="229432"/>
        </a:xfrm>
        <a:custGeom>
          <a:avLst/>
          <a:gdLst/>
          <a:ahLst/>
          <a:cxnLst/>
          <a:pathLst>
            <a:path w="280" h="361">
              <a:moveTo>
                <a:pt x="280" y="0"/>
              </a:moveTo>
              <a:lnTo>
                <a:pt x="280" y="181"/>
              </a:lnTo>
              <a:lnTo>
                <a:pt x="0" y="181"/>
              </a:lnTo>
              <a:lnTo>
                <a:pt x="0" y="361"/>
              </a:lnTo>
            </a:path>
          </a:pathLst>
        </a:custGeom>
      </dsp:spPr>
      <dsp:style>
        <a:lnRef idx="2">
          <a:schemeClr val="dk1">
            <a:shade val="80000"/>
          </a:schemeClr>
        </a:lnRef>
        <a:fillRef idx="0">
          <a:schemeClr val="dk1"/>
        </a:fillRef>
        <a:effectRef idx="0">
          <a:scrgbClr r="0" g="0" b="0"/>
        </a:effectRef>
        <a:fontRef idx="minor"/>
      </dsp:style>
      <dsp:txXfrm>
        <a:off x="4970978" y="2189165"/>
        <a:ext cx="178077" cy="229432"/>
      </dsp:txXfrm>
    </dsp:sp>
    <dsp:sp modelId="{5D84AA51-470F-0E43-8089-3C451BB679D2}">
      <dsp:nvSpPr>
        <dsp:cNvPr id="45" name="圆角矩形 44"/>
        <dsp:cNvSpPr/>
      </dsp:nvSpPr>
      <dsp:spPr bwMode="white">
        <a:xfrm>
          <a:off x="4828103"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数据治</a:t>
          </a:r>
          <a:r>
            <a:rPr lang="zh-CN" altLang="en-US" sz="900" baseline="0">
              <a:solidFill>
                <a:schemeClr val="dk1"/>
              </a:solidFill>
              <a:latin typeface="Times New Roman" panose="02020603050405020304" charset="0"/>
              <a:cs typeface="Times New Roman" panose="02020603050405020304" charset="0"/>
            </a:rPr>
            <a:t>理</a:t>
          </a:r>
          <a:endParaRPr lang="zh-CN" sz="900" baseline="0">
            <a:solidFill>
              <a:schemeClr val="dk1"/>
            </a:solidFill>
            <a:latin typeface="Times New Roman" panose="02020603050405020304" charset="0"/>
            <a:cs typeface="Times New Roman" panose="02020603050405020304" charset="0"/>
          </a:endParaRPr>
        </a:p>
      </dsp:txBody>
      <dsp:txXfrm>
        <a:off x="4828103" y="2418596"/>
        <a:ext cx="285750" cy="1795548"/>
      </dsp:txXfrm>
    </dsp:sp>
    <dsp:sp modelId="{F64A0366-5D31-EE4D-84BF-E6326816B281}">
      <dsp:nvSpPr>
        <dsp:cNvPr id="46" name="任意多边形 45"/>
        <dsp:cNvSpPr/>
      </dsp:nvSpPr>
      <dsp:spPr bwMode="white">
        <a:xfrm>
          <a:off x="5149055" y="2189165"/>
          <a:ext cx="192956" cy="229432"/>
        </a:xfrm>
        <a:custGeom>
          <a:avLst/>
          <a:gdLst/>
          <a:ahLst/>
          <a:cxnLst/>
          <a:pathLst>
            <a:path w="304" h="361">
              <a:moveTo>
                <a:pt x="0" y="0"/>
              </a:moveTo>
              <a:lnTo>
                <a:pt x="0" y="181"/>
              </a:lnTo>
              <a:lnTo>
                <a:pt x="304" y="181"/>
              </a:lnTo>
              <a:lnTo>
                <a:pt x="304" y="361"/>
              </a:lnTo>
            </a:path>
          </a:pathLst>
        </a:custGeom>
      </dsp:spPr>
      <dsp:style>
        <a:lnRef idx="2">
          <a:schemeClr val="dk1">
            <a:shade val="80000"/>
          </a:schemeClr>
        </a:lnRef>
        <a:fillRef idx="0">
          <a:schemeClr val="dk1"/>
        </a:fillRef>
        <a:effectRef idx="0">
          <a:scrgbClr r="0" g="0" b="0"/>
        </a:effectRef>
        <a:fontRef idx="minor"/>
      </dsp:style>
      <dsp:txXfrm>
        <a:off x="5149055" y="2189165"/>
        <a:ext cx="192956" cy="229432"/>
      </dsp:txXfrm>
    </dsp:sp>
    <dsp:sp modelId="{8D28AA90-D263-A94C-8559-C6DD6671B8AF}">
      <dsp:nvSpPr>
        <dsp:cNvPr id="47" name="圆角矩形 46"/>
        <dsp:cNvSpPr/>
      </dsp:nvSpPr>
      <dsp:spPr bwMode="white">
        <a:xfrm>
          <a:off x="5199136" y="2418596"/>
          <a:ext cx="285750" cy="179554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4290" tIns="34290" rIns="34290" bIns="3429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sz="900" baseline="0">
              <a:solidFill>
                <a:schemeClr val="dk1"/>
              </a:solidFill>
              <a:latin typeface="Times New Roman" panose="02020603050405020304" charset="0"/>
              <a:cs typeface="Times New Roman" panose="02020603050405020304" charset="0"/>
            </a:rPr>
            <a:t>模型平台</a:t>
          </a:r>
          <a:endParaRPr>
            <a:solidFill>
              <a:schemeClr val="dk1"/>
            </a:solidFill>
          </a:endParaRPr>
        </a:p>
      </dsp:txBody>
      <dsp:txXfrm>
        <a:off x="5199136" y="2418596"/>
        <a:ext cx="285750" cy="179554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5486400" cy="791210"/>
        <a:chOff x="0" y="0"/>
        <a:chExt cx="5486400" cy="791210"/>
      </a:xfrm>
    </dsp:grpSpPr>
    <dsp:sp modelId="{EF1BA279-79AE-7042-82E9-63B538396C56}">
      <dsp:nvSpPr>
        <dsp:cNvPr id="3" name="右箭头 2"/>
        <dsp:cNvSpPr/>
      </dsp:nvSpPr>
      <dsp:spPr bwMode="white">
        <a:xfrm>
          <a:off x="1183850" y="0"/>
          <a:ext cx="905144" cy="791210"/>
        </a:xfrm>
        <a:prstGeom prst="rightArrow">
          <a:avLst>
            <a:gd name="adj1" fmla="val 70000"/>
            <a:gd name="adj2" fmla="val 50000"/>
          </a:avLst>
        </a:prstGeom>
      </dsp:spPr>
      <dsp:style>
        <a:lnRef idx="1">
          <a:schemeClr val="dk1">
            <a:alpha val="90000"/>
          </a:schemeClr>
        </a:lnRef>
        <a:fillRef idx="1">
          <a:schemeClr val="lt1">
            <a:alpha val="90000"/>
            <a:tint val="40000"/>
          </a:schemeClr>
        </a:fillRef>
        <a:effectRef idx="0">
          <a:scrgbClr r="0" g="0" b="0"/>
        </a:effectRef>
        <a:fontRef idx="minor"/>
      </dsp:style>
      <dsp:txBody>
        <a:bodyPr lIns="27940" tIns="6985" rIns="13970" bIns="6985" anchor="ctr"/>
        <a:lstStyle>
          <a:lvl1pPr algn="ctr">
            <a:defRPr sz="1100"/>
          </a:lvl1pPr>
          <a:lvl2pPr marL="57150" indent="-57150" algn="ctr">
            <a:defRPr sz="1100"/>
          </a:lvl2pPr>
          <a:lvl3pPr marL="114300" indent="-57150" algn="ctr">
            <a:defRPr sz="1100"/>
          </a:lvl3pPr>
          <a:lvl4pPr marL="171450" indent="-57150" algn="ctr">
            <a:defRPr sz="1100"/>
          </a:lvl4pPr>
          <a:lvl5pPr marL="228600" indent="-57150" algn="ctr">
            <a:defRPr sz="1100"/>
          </a:lvl5pPr>
          <a:lvl6pPr marL="285750" indent="-57150" algn="ctr">
            <a:defRPr sz="1100"/>
          </a:lvl6pPr>
          <a:lvl7pPr marL="342900" indent="-57150" algn="ctr">
            <a:defRPr sz="1100"/>
          </a:lvl7pPr>
          <a:lvl8pPr marL="400050" indent="-57150" algn="ctr">
            <a:defRPr sz="1100"/>
          </a:lvl8pPr>
          <a:lvl9pPr marL="457200" indent="-57150" algn="ctr">
            <a:defRPr sz="1100"/>
          </a:lvl9pPr>
        </a:lstStyle>
        <a:p>
          <a:pPr lvl="0">
            <a:lnSpc>
              <a:spcPct val="100000"/>
            </a:lnSpc>
            <a:spcBef>
              <a:spcPct val="0"/>
            </a:spcBef>
            <a:spcAft>
              <a:spcPct val="35000"/>
            </a:spcAft>
          </a:pPr>
          <a:r>
            <a:rPr lang="zh-CN" altLang="en-US">
              <a:solidFill>
                <a:schemeClr val="dk1"/>
              </a:solidFill>
              <a:latin typeface="Times New Roman" panose="02020603050405020304" charset="0"/>
              <a:cs typeface="Times New Roman" panose="02020603050405020304" charset="0"/>
            </a:rPr>
            <a:t>质量门禁</a:t>
          </a:r>
          <a:endParaRPr>
            <a:solidFill>
              <a:schemeClr val="dk1"/>
            </a:solidFill>
          </a:endParaRPr>
        </a:p>
      </dsp:txBody>
      <dsp:txXfrm>
        <a:off x="1183850" y="0"/>
        <a:ext cx="905144" cy="791210"/>
      </dsp:txXfrm>
    </dsp:sp>
    <dsp:sp modelId="{10FEB97A-9E7E-3E47-8250-0AB9FF871356}">
      <dsp:nvSpPr>
        <dsp:cNvPr id="4" name="椭圆 3"/>
        <dsp:cNvSpPr/>
      </dsp:nvSpPr>
      <dsp:spPr bwMode="white">
        <a:xfrm>
          <a:off x="957564" y="169319"/>
          <a:ext cx="452572" cy="452572"/>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6350" tIns="6350" rIns="6350" bIns="6350" anchor="ctr"/>
        <a:lstStyle>
          <a:lvl1pPr algn="ctr">
            <a:defRPr sz="1000"/>
          </a:lvl1pPr>
          <a:lvl2pPr marL="57150" indent="-57150" algn="ctr">
            <a:defRPr sz="700"/>
          </a:lvl2pPr>
          <a:lvl3pPr marL="114300" indent="-57150" algn="ctr">
            <a:defRPr sz="700"/>
          </a:lvl3pPr>
          <a:lvl4pPr marL="171450" indent="-57150" algn="ctr">
            <a:defRPr sz="700"/>
          </a:lvl4pPr>
          <a:lvl5pPr marL="228600" indent="-57150" algn="ctr">
            <a:defRPr sz="700"/>
          </a:lvl5pPr>
          <a:lvl6pPr marL="285750" indent="-57150" algn="ctr">
            <a:defRPr sz="700"/>
          </a:lvl6pPr>
          <a:lvl7pPr marL="342900" indent="-57150" algn="ctr">
            <a:defRPr sz="700"/>
          </a:lvl7pPr>
          <a:lvl8pPr marL="400050" indent="-57150" algn="ctr">
            <a:defRPr sz="700"/>
          </a:lvl8pPr>
          <a:lvl9pPr marL="457200" indent="-57150" algn="ctr">
            <a:defRPr sz="700"/>
          </a:lvl9pPr>
        </a:lstStyle>
        <a:p>
          <a:pPr lvl="0">
            <a:lnSpc>
              <a:spcPct val="100000"/>
            </a:lnSpc>
            <a:spcBef>
              <a:spcPct val="0"/>
            </a:spcBef>
            <a:spcAft>
              <a:spcPct val="35000"/>
            </a:spcAft>
          </a:pPr>
          <a:r>
            <a:rPr lang="zh-CN" altLang="en-US">
              <a:solidFill>
                <a:schemeClr val="dk1"/>
              </a:solidFill>
              <a:latin typeface="Times New Roman" panose="02020603050405020304" charset="0"/>
              <a:cs typeface="Times New Roman" panose="02020603050405020304" charset="0"/>
            </a:rPr>
            <a:t>治理层</a:t>
          </a:r>
          <a:endParaRPr>
            <a:solidFill>
              <a:schemeClr val="dk1"/>
            </a:solidFill>
          </a:endParaRPr>
        </a:p>
      </dsp:txBody>
      <dsp:txXfrm>
        <a:off x="957564" y="169319"/>
        <a:ext cx="452572" cy="452572"/>
      </dsp:txXfrm>
    </dsp:sp>
    <dsp:sp modelId="{565D8CEF-7C87-D247-812C-49A12CC6C6D4}">
      <dsp:nvSpPr>
        <dsp:cNvPr id="5" name="右箭头 4"/>
        <dsp:cNvSpPr/>
      </dsp:nvSpPr>
      <dsp:spPr bwMode="white">
        <a:xfrm>
          <a:off x="2403771" y="0"/>
          <a:ext cx="905144" cy="791210"/>
        </a:xfrm>
        <a:prstGeom prst="rightArrow">
          <a:avLst>
            <a:gd name="adj1" fmla="val 70000"/>
            <a:gd name="adj2" fmla="val 50000"/>
          </a:avLst>
        </a:prstGeom>
      </dsp:spPr>
      <dsp:style>
        <a:lnRef idx="1">
          <a:schemeClr val="dk1">
            <a:alpha val="90000"/>
          </a:schemeClr>
        </a:lnRef>
        <a:fillRef idx="1">
          <a:schemeClr val="lt1">
            <a:alpha val="90000"/>
            <a:tint val="40000"/>
          </a:schemeClr>
        </a:fillRef>
        <a:effectRef idx="0">
          <a:scrgbClr r="0" g="0" b="0"/>
        </a:effectRef>
        <a:fontRef idx="minor"/>
      </dsp:style>
      <dsp:txBody>
        <a:bodyPr lIns="27940" tIns="6985" rIns="13970" bIns="6985" anchor="ctr"/>
        <a:lstStyle>
          <a:lvl1pPr algn="ctr">
            <a:defRPr sz="1100"/>
          </a:lvl1pPr>
          <a:lvl2pPr marL="57150" indent="-57150" algn="ctr">
            <a:defRPr sz="1100"/>
          </a:lvl2pPr>
          <a:lvl3pPr marL="114300" indent="-57150" algn="ctr">
            <a:defRPr sz="1100"/>
          </a:lvl3pPr>
          <a:lvl4pPr marL="171450" indent="-57150" algn="ctr">
            <a:defRPr sz="1100"/>
          </a:lvl4pPr>
          <a:lvl5pPr marL="228600" indent="-57150" algn="ctr">
            <a:defRPr sz="1100"/>
          </a:lvl5pPr>
          <a:lvl6pPr marL="285750" indent="-57150" algn="ctr">
            <a:defRPr sz="1100"/>
          </a:lvl6pPr>
          <a:lvl7pPr marL="342900" indent="-57150" algn="ctr">
            <a:defRPr sz="1100"/>
          </a:lvl7pPr>
          <a:lvl8pPr marL="400050" indent="-57150" algn="ctr">
            <a:defRPr sz="1100"/>
          </a:lvl8pPr>
          <a:lvl9pPr marL="457200" indent="-57150" algn="ctr">
            <a:defRPr sz="1100"/>
          </a:lvl9pPr>
        </a:lstStyle>
        <a:p>
          <a:pPr lvl="0">
            <a:lnSpc>
              <a:spcPct val="100000"/>
            </a:lnSpc>
            <a:spcBef>
              <a:spcPct val="0"/>
            </a:spcBef>
            <a:spcAft>
              <a:spcPct val="35000"/>
            </a:spcAft>
          </a:pPr>
          <a:r>
            <a:rPr lang="en-US" altLang="zh-CN">
              <a:solidFill>
                <a:schemeClr val="dk1"/>
              </a:solidFill>
              <a:latin typeface="Times New Roman" panose="02020603050405020304" charset="0"/>
              <a:cs typeface="Times New Roman" panose="02020603050405020304" charset="0"/>
            </a:rPr>
            <a:t>Scrum</a:t>
          </a:r>
          <a:r>
            <a:rPr lang="zh-CN" altLang="en-US">
              <a:solidFill>
                <a:schemeClr val="dk1"/>
              </a:solidFill>
              <a:latin typeface="Times New Roman" panose="02020603050405020304" charset="0"/>
              <a:cs typeface="Times New Roman" panose="02020603050405020304" charset="0"/>
            </a:rPr>
            <a:t>迭代</a:t>
          </a:r>
          <a:endParaRPr>
            <a:solidFill>
              <a:schemeClr val="dk1"/>
            </a:solidFill>
          </a:endParaRPr>
        </a:p>
      </dsp:txBody>
      <dsp:txXfrm>
        <a:off x="2403771" y="0"/>
        <a:ext cx="905144" cy="791210"/>
      </dsp:txXfrm>
    </dsp:sp>
    <dsp:sp modelId="{BF03ACD9-B548-5040-9A8F-278FF0CE98E9}">
      <dsp:nvSpPr>
        <dsp:cNvPr id="6" name="椭圆 5"/>
        <dsp:cNvSpPr/>
      </dsp:nvSpPr>
      <dsp:spPr bwMode="white">
        <a:xfrm>
          <a:off x="2177485" y="169319"/>
          <a:ext cx="452572" cy="452572"/>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6350" tIns="6350" rIns="6350" bIns="6350" anchor="ctr"/>
        <a:lstStyle>
          <a:lvl1pPr algn="ctr">
            <a:defRPr sz="1000"/>
          </a:lvl1pPr>
          <a:lvl2pPr marL="57150" indent="-57150" algn="ctr">
            <a:defRPr sz="700"/>
          </a:lvl2pPr>
          <a:lvl3pPr marL="114300" indent="-57150" algn="ctr">
            <a:defRPr sz="700"/>
          </a:lvl3pPr>
          <a:lvl4pPr marL="171450" indent="-57150" algn="ctr">
            <a:defRPr sz="700"/>
          </a:lvl4pPr>
          <a:lvl5pPr marL="228600" indent="-57150" algn="ctr">
            <a:defRPr sz="700"/>
          </a:lvl5pPr>
          <a:lvl6pPr marL="285750" indent="-57150" algn="ctr">
            <a:defRPr sz="700"/>
          </a:lvl6pPr>
          <a:lvl7pPr marL="342900" indent="-57150" algn="ctr">
            <a:defRPr sz="700"/>
          </a:lvl7pPr>
          <a:lvl8pPr marL="400050" indent="-57150" algn="ctr">
            <a:defRPr sz="700"/>
          </a:lvl8pPr>
          <a:lvl9pPr marL="457200" indent="-57150" algn="ctr">
            <a:defRPr sz="700"/>
          </a:lvl9pPr>
        </a:lstStyle>
        <a:p>
          <a:pPr lvl="0">
            <a:lnSpc>
              <a:spcPct val="100000"/>
            </a:lnSpc>
            <a:spcBef>
              <a:spcPct val="0"/>
            </a:spcBef>
            <a:spcAft>
              <a:spcPct val="35000"/>
            </a:spcAft>
          </a:pPr>
          <a:r>
            <a:rPr lang="zh-CN" altLang="en-US">
              <a:solidFill>
                <a:schemeClr val="dk1"/>
              </a:solidFill>
              <a:latin typeface="Times New Roman" panose="02020603050405020304" charset="0"/>
              <a:cs typeface="Times New Roman" panose="02020603050405020304" charset="0"/>
            </a:rPr>
            <a:t>团队层</a:t>
          </a:r>
          <a:endParaRPr>
            <a:solidFill>
              <a:schemeClr val="dk1"/>
            </a:solidFill>
          </a:endParaRPr>
        </a:p>
      </dsp:txBody>
      <dsp:txXfrm>
        <a:off x="2177485" y="169319"/>
        <a:ext cx="452572" cy="452572"/>
      </dsp:txXfrm>
    </dsp:sp>
    <dsp:sp modelId="{EBEAC727-79BF-3E4B-A4D2-A23272293F67}">
      <dsp:nvSpPr>
        <dsp:cNvPr id="7" name="右箭头 6"/>
        <dsp:cNvSpPr/>
      </dsp:nvSpPr>
      <dsp:spPr bwMode="white">
        <a:xfrm>
          <a:off x="3623692" y="0"/>
          <a:ext cx="905144" cy="791210"/>
        </a:xfrm>
        <a:prstGeom prst="rightArrow">
          <a:avLst>
            <a:gd name="adj1" fmla="val 70000"/>
            <a:gd name="adj2" fmla="val 50000"/>
          </a:avLst>
        </a:prstGeom>
      </dsp:spPr>
      <dsp:style>
        <a:lnRef idx="1">
          <a:schemeClr val="dk1">
            <a:alpha val="90000"/>
          </a:schemeClr>
        </a:lnRef>
        <a:fillRef idx="1">
          <a:schemeClr val="lt1">
            <a:alpha val="90000"/>
            <a:tint val="40000"/>
          </a:schemeClr>
        </a:fillRef>
        <a:effectRef idx="0">
          <a:scrgbClr r="0" g="0" b="0"/>
        </a:effectRef>
        <a:fontRef idx="minor"/>
      </dsp:style>
      <dsp:txBody>
        <a:bodyPr lIns="27940" tIns="6985" rIns="13970" bIns="6985" anchor="ctr"/>
        <a:lstStyle>
          <a:lvl1pPr algn="ctr">
            <a:defRPr sz="1100"/>
          </a:lvl1pPr>
          <a:lvl2pPr marL="57150" indent="-57150" algn="ctr">
            <a:defRPr sz="1100"/>
          </a:lvl2pPr>
          <a:lvl3pPr marL="114300" indent="-57150" algn="ctr">
            <a:defRPr sz="1100"/>
          </a:lvl3pPr>
          <a:lvl4pPr marL="171450" indent="-57150" algn="ctr">
            <a:defRPr sz="1100"/>
          </a:lvl4pPr>
          <a:lvl5pPr marL="228600" indent="-57150" algn="ctr">
            <a:defRPr sz="1100"/>
          </a:lvl5pPr>
          <a:lvl6pPr marL="285750" indent="-57150" algn="ctr">
            <a:defRPr sz="1100"/>
          </a:lvl6pPr>
          <a:lvl7pPr marL="342900" indent="-57150" algn="ctr">
            <a:defRPr sz="1100"/>
          </a:lvl7pPr>
          <a:lvl8pPr marL="400050" indent="-57150" algn="ctr">
            <a:defRPr sz="1100"/>
          </a:lvl8pPr>
          <a:lvl9pPr marL="457200" indent="-57150" algn="ctr">
            <a:defRPr sz="1100"/>
          </a:lvl9pPr>
        </a:lstStyle>
        <a:p>
          <a:pPr lvl="0">
            <a:lnSpc>
              <a:spcPct val="100000"/>
            </a:lnSpc>
            <a:spcBef>
              <a:spcPct val="0"/>
            </a:spcBef>
            <a:spcAft>
              <a:spcPct val="35000"/>
            </a:spcAft>
          </a:pPr>
          <a:r>
            <a:rPr lang="en-US" altLang="zh-CN">
              <a:solidFill>
                <a:schemeClr val="dk1"/>
              </a:solidFill>
              <a:latin typeface="Times New Roman" panose="02020603050405020304" charset="0"/>
              <a:cs typeface="Times New Roman" panose="02020603050405020304" charset="0"/>
            </a:rPr>
            <a:t>CI/CD</a:t>
          </a:r>
          <a:endParaRPr lang="zh-CN" altLang="en-US">
            <a:solidFill>
              <a:schemeClr val="dk1"/>
            </a:solidFill>
            <a:latin typeface="Times New Roman" panose="02020603050405020304" charset="0"/>
            <a:cs typeface="Times New Roman" panose="02020603050405020304" charset="0"/>
          </a:endParaRPr>
        </a:p>
      </dsp:txBody>
      <dsp:txXfrm>
        <a:off x="3623692" y="0"/>
        <a:ext cx="905144" cy="791210"/>
      </dsp:txXfrm>
    </dsp:sp>
    <dsp:sp modelId="{BC94EC83-8B98-6C4A-98A6-06173C08A55C}">
      <dsp:nvSpPr>
        <dsp:cNvPr id="8" name="椭圆 7"/>
        <dsp:cNvSpPr/>
      </dsp:nvSpPr>
      <dsp:spPr bwMode="white">
        <a:xfrm>
          <a:off x="3397405" y="169319"/>
          <a:ext cx="452572" cy="452572"/>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6350" tIns="6350" rIns="6350" bIns="6350" anchor="ctr"/>
        <a:lstStyle>
          <a:lvl1pPr algn="ctr">
            <a:defRPr sz="1000"/>
          </a:lvl1pPr>
          <a:lvl2pPr marL="57150" indent="-57150" algn="ctr">
            <a:defRPr sz="700"/>
          </a:lvl2pPr>
          <a:lvl3pPr marL="114300" indent="-57150" algn="ctr">
            <a:defRPr sz="700"/>
          </a:lvl3pPr>
          <a:lvl4pPr marL="171450" indent="-57150" algn="ctr">
            <a:defRPr sz="700"/>
          </a:lvl4pPr>
          <a:lvl5pPr marL="228600" indent="-57150" algn="ctr">
            <a:defRPr sz="700"/>
          </a:lvl5pPr>
          <a:lvl6pPr marL="285750" indent="-57150" algn="ctr">
            <a:defRPr sz="700"/>
          </a:lvl6pPr>
          <a:lvl7pPr marL="342900" indent="-57150" algn="ctr">
            <a:defRPr sz="700"/>
          </a:lvl7pPr>
          <a:lvl8pPr marL="400050" indent="-57150" algn="ctr">
            <a:defRPr sz="700"/>
          </a:lvl8pPr>
          <a:lvl9pPr marL="457200" indent="-57150" algn="ctr">
            <a:defRPr sz="700"/>
          </a:lvl9pPr>
        </a:lstStyle>
        <a:p>
          <a:pPr lvl="0">
            <a:lnSpc>
              <a:spcPct val="100000"/>
            </a:lnSpc>
            <a:spcBef>
              <a:spcPct val="0"/>
            </a:spcBef>
            <a:spcAft>
              <a:spcPct val="35000"/>
            </a:spcAft>
          </a:pPr>
          <a:r>
            <a:rPr lang="zh-CN" altLang="en-US">
              <a:solidFill>
                <a:schemeClr val="dk1"/>
              </a:solidFill>
              <a:latin typeface="Times New Roman" panose="02020603050405020304" charset="0"/>
              <a:cs typeface="Times New Roman" panose="02020603050405020304" charset="0"/>
            </a:rPr>
            <a:t>流水线层</a:t>
          </a:r>
          <a:endParaRPr>
            <a:solidFill>
              <a:schemeClr val="dk1"/>
            </a:solidFill>
          </a:endParaRPr>
        </a:p>
      </dsp:txBody>
      <dsp:txXfrm>
        <a:off x="3397405" y="169319"/>
        <a:ext cx="452572" cy="452572"/>
      </dsp:txXfrm>
    </dsp:sp>
  </dsp:spTree>
</dsp:drawing>
</file>

<file path=word/diagrams/drawing14.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5486400" cy="1668780"/>
        <a:chOff x="0" y="0"/>
        <a:chExt cx="5486400" cy="1668780"/>
      </a:xfrm>
    </dsp:grpSpPr>
    <dsp:sp modelId="{1884B372-685C-D147-8FAD-74C55F217658}">
      <dsp:nvSpPr>
        <dsp:cNvPr id="3" name="矩形 2"/>
        <dsp:cNvSpPr/>
      </dsp:nvSpPr>
      <dsp:spPr bwMode="white">
        <a:xfrm>
          <a:off x="2953468" y="2976"/>
          <a:ext cx="342028" cy="342028"/>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5240" tIns="15240" rIns="15240" bIns="15240" anchor="ctr"/>
        <a:lstStyle>
          <a:lvl1pPr algn="ctr">
            <a:defRPr sz="1200"/>
          </a:lvl1pPr>
          <a:lvl2pPr marL="57150" indent="-57150" algn="ctr">
            <a:defRPr sz="900"/>
          </a:lvl2pPr>
          <a:lvl3pPr marL="114300" indent="-57150" algn="ctr">
            <a:defRPr sz="900"/>
          </a:lvl3pPr>
          <a:lvl4pPr marL="171450" indent="-57150" algn="ctr">
            <a:defRPr sz="900"/>
          </a:lvl4pPr>
          <a:lvl5pPr marL="228600" indent="-57150" algn="ctr">
            <a:defRPr sz="900"/>
          </a:lvl5pPr>
          <a:lvl6pPr marL="285750" indent="-57150" algn="ctr">
            <a:defRPr sz="900"/>
          </a:lvl6pPr>
          <a:lvl7pPr marL="342900" indent="-57150" algn="ctr">
            <a:defRPr sz="900"/>
          </a:lvl7pPr>
          <a:lvl8pPr marL="400050" indent="-57150" algn="ctr">
            <a:defRPr sz="900"/>
          </a:lvl8pPr>
          <a:lvl9pPr marL="457200" indent="-57150" algn="ctr">
            <a:defRPr sz="900"/>
          </a:lvl9pPr>
        </a:lstStyle>
        <a:p>
          <a:pPr lvl="0">
            <a:lnSpc>
              <a:spcPct val="100000"/>
            </a:lnSpc>
            <a:spcBef>
              <a:spcPct val="0"/>
            </a:spcBef>
            <a:spcAft>
              <a:spcPct val="35000"/>
            </a:spcAft>
          </a:pPr>
          <a:r>
            <a:rPr lang="zh-CN" altLang="en-US">
              <a:solidFill>
                <a:schemeClr val="tx1"/>
              </a:solidFill>
            </a:rPr>
            <a:t>需求</a:t>
          </a:r>
          <a:endParaRPr>
            <a:solidFill>
              <a:schemeClr val="tx1"/>
            </a:solidFill>
          </a:endParaRPr>
        </a:p>
      </dsp:txBody>
      <dsp:txXfrm>
        <a:off x="2953468" y="2976"/>
        <a:ext cx="342028" cy="342028"/>
      </dsp:txXfrm>
    </dsp:sp>
    <dsp:sp modelId="{B11D54EE-EB63-1448-B1FC-D777DFEDC263}">
      <dsp:nvSpPr>
        <dsp:cNvPr id="4" name="环形箭头 3"/>
        <dsp:cNvSpPr/>
      </dsp:nvSpPr>
      <dsp:spPr bwMode="white">
        <a:xfrm>
          <a:off x="1896754" y="-12056"/>
          <a:ext cx="1692892" cy="1692892"/>
        </a:xfrm>
        <a:prstGeom prst="circularArrow">
          <a:avLst>
            <a:gd name="adj1" fmla="val 5000"/>
            <a:gd name="adj2" fmla="val 360000"/>
            <a:gd name="adj3" fmla="val 20462430"/>
            <a:gd name="adj4" fmla="val 18984450"/>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896754" y="-12056"/>
        <a:ext cx="1692892" cy="1692892"/>
      </dsp:txXfrm>
    </dsp:sp>
    <dsp:sp modelId="{480887D2-D2BF-CC4E-AF25-4F707B986601}">
      <dsp:nvSpPr>
        <dsp:cNvPr id="5" name="矩形 4"/>
        <dsp:cNvSpPr/>
      </dsp:nvSpPr>
      <dsp:spPr bwMode="white">
        <a:xfrm>
          <a:off x="3334750" y="663376"/>
          <a:ext cx="342028" cy="342028"/>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5240" tIns="15240" rIns="15240" bIns="15240" anchor="ctr"/>
        <a:lstStyle>
          <a:lvl1pPr algn="ctr">
            <a:defRPr sz="1200"/>
          </a:lvl1pPr>
          <a:lvl2pPr marL="57150" indent="-57150" algn="ctr">
            <a:defRPr sz="900"/>
          </a:lvl2pPr>
          <a:lvl3pPr marL="114300" indent="-57150" algn="ctr">
            <a:defRPr sz="900"/>
          </a:lvl3pPr>
          <a:lvl4pPr marL="171450" indent="-57150" algn="ctr">
            <a:defRPr sz="900"/>
          </a:lvl4pPr>
          <a:lvl5pPr marL="228600" indent="-57150" algn="ctr">
            <a:defRPr sz="900"/>
          </a:lvl5pPr>
          <a:lvl6pPr marL="285750" indent="-57150" algn="ctr">
            <a:defRPr sz="900"/>
          </a:lvl6pPr>
          <a:lvl7pPr marL="342900" indent="-57150" algn="ctr">
            <a:defRPr sz="900"/>
          </a:lvl7pPr>
          <a:lvl8pPr marL="400050" indent="-57150" algn="ctr">
            <a:defRPr sz="900"/>
          </a:lvl8pPr>
          <a:lvl9pPr marL="457200" indent="-57150" algn="ctr">
            <a:defRPr sz="900"/>
          </a:lvl9pPr>
        </a:lstStyle>
        <a:p>
          <a:pPr lvl="0">
            <a:lnSpc>
              <a:spcPct val="100000"/>
            </a:lnSpc>
            <a:spcBef>
              <a:spcPct val="0"/>
            </a:spcBef>
            <a:spcAft>
              <a:spcPct val="35000"/>
            </a:spcAft>
          </a:pPr>
          <a:r>
            <a:rPr lang="zh-CN" altLang="en-US">
              <a:solidFill>
                <a:schemeClr val="tx1"/>
              </a:solidFill>
            </a:rPr>
            <a:t>架构</a:t>
          </a:r>
          <a:endParaRPr>
            <a:solidFill>
              <a:schemeClr val="tx1"/>
            </a:solidFill>
          </a:endParaRPr>
        </a:p>
      </dsp:txBody>
      <dsp:txXfrm>
        <a:off x="3334750" y="663376"/>
        <a:ext cx="342028" cy="342028"/>
      </dsp:txXfrm>
    </dsp:sp>
    <dsp:sp modelId="{81374E83-02A7-5D4F-B7F3-039FD9552049}">
      <dsp:nvSpPr>
        <dsp:cNvPr id="6" name="环形箭头 5"/>
        <dsp:cNvSpPr/>
      </dsp:nvSpPr>
      <dsp:spPr bwMode="white">
        <a:xfrm>
          <a:off x="1896754" y="-12056"/>
          <a:ext cx="1692892" cy="1692892"/>
        </a:xfrm>
        <a:prstGeom prst="circularArrow">
          <a:avLst>
            <a:gd name="adj1" fmla="val 5000"/>
            <a:gd name="adj2" fmla="val 360000"/>
            <a:gd name="adj3" fmla="val 2255549"/>
            <a:gd name="adj4" fmla="val 777569"/>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896754" y="-12056"/>
        <a:ext cx="1692892" cy="1692892"/>
      </dsp:txXfrm>
    </dsp:sp>
    <dsp:sp modelId="{087DB400-6CBB-5C4F-8887-103D45A44C26}">
      <dsp:nvSpPr>
        <dsp:cNvPr id="7" name="矩形 6"/>
        <dsp:cNvSpPr/>
      </dsp:nvSpPr>
      <dsp:spPr bwMode="white">
        <a:xfrm>
          <a:off x="2953468" y="1323776"/>
          <a:ext cx="342028" cy="342028"/>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5240" tIns="15240" rIns="15240" bIns="15240" anchor="ctr"/>
        <a:lstStyle>
          <a:lvl1pPr algn="ctr">
            <a:defRPr sz="1200"/>
          </a:lvl1pPr>
          <a:lvl2pPr marL="57150" indent="-57150" algn="ctr">
            <a:defRPr sz="900"/>
          </a:lvl2pPr>
          <a:lvl3pPr marL="114300" indent="-57150" algn="ctr">
            <a:defRPr sz="900"/>
          </a:lvl3pPr>
          <a:lvl4pPr marL="171450" indent="-57150" algn="ctr">
            <a:defRPr sz="900"/>
          </a:lvl4pPr>
          <a:lvl5pPr marL="228600" indent="-57150" algn="ctr">
            <a:defRPr sz="900"/>
          </a:lvl5pPr>
          <a:lvl6pPr marL="285750" indent="-57150" algn="ctr">
            <a:defRPr sz="900"/>
          </a:lvl6pPr>
          <a:lvl7pPr marL="342900" indent="-57150" algn="ctr">
            <a:defRPr sz="900"/>
          </a:lvl7pPr>
          <a:lvl8pPr marL="400050" indent="-57150" algn="ctr">
            <a:defRPr sz="900"/>
          </a:lvl8pPr>
          <a:lvl9pPr marL="457200" indent="-57150" algn="ctr">
            <a:defRPr sz="900"/>
          </a:lvl9pPr>
        </a:lstStyle>
        <a:p>
          <a:pPr lvl="0">
            <a:lnSpc>
              <a:spcPct val="100000"/>
            </a:lnSpc>
            <a:spcBef>
              <a:spcPct val="0"/>
            </a:spcBef>
            <a:spcAft>
              <a:spcPct val="35000"/>
            </a:spcAft>
          </a:pPr>
          <a:r>
            <a:rPr lang="zh-CN" altLang="en-US">
              <a:solidFill>
                <a:schemeClr val="tx1"/>
              </a:solidFill>
            </a:rPr>
            <a:t>开发</a:t>
          </a:r>
          <a:endParaRPr>
            <a:solidFill>
              <a:schemeClr val="tx1"/>
            </a:solidFill>
          </a:endParaRPr>
        </a:p>
      </dsp:txBody>
      <dsp:txXfrm>
        <a:off x="2953468" y="1323776"/>
        <a:ext cx="342028" cy="342028"/>
      </dsp:txXfrm>
    </dsp:sp>
    <dsp:sp modelId="{84950F3E-033A-254A-997A-6632D6DA43AB}">
      <dsp:nvSpPr>
        <dsp:cNvPr id="8" name="环形箭头 7"/>
        <dsp:cNvSpPr/>
      </dsp:nvSpPr>
      <dsp:spPr bwMode="white">
        <a:xfrm>
          <a:off x="1896754" y="-12056"/>
          <a:ext cx="1692892" cy="1692892"/>
        </a:xfrm>
        <a:prstGeom prst="circularArrow">
          <a:avLst>
            <a:gd name="adj1" fmla="val 5000"/>
            <a:gd name="adj2" fmla="val 360000"/>
            <a:gd name="adj3" fmla="val 6000359"/>
            <a:gd name="adj4" fmla="val 4439640"/>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896754" y="-12056"/>
        <a:ext cx="1692892" cy="1692892"/>
      </dsp:txXfrm>
    </dsp:sp>
    <dsp:sp modelId="{5C8B1E12-75EF-9C40-8C80-1364A419A481}">
      <dsp:nvSpPr>
        <dsp:cNvPr id="9" name="矩形 8"/>
        <dsp:cNvSpPr/>
      </dsp:nvSpPr>
      <dsp:spPr bwMode="white">
        <a:xfrm>
          <a:off x="2190904" y="1323776"/>
          <a:ext cx="342028" cy="342028"/>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5240" tIns="15240" rIns="15240" bIns="15240" anchor="ctr"/>
        <a:lstStyle>
          <a:lvl1pPr algn="ctr">
            <a:defRPr sz="1200"/>
          </a:lvl1pPr>
          <a:lvl2pPr marL="57150" indent="-57150" algn="ctr">
            <a:defRPr sz="900"/>
          </a:lvl2pPr>
          <a:lvl3pPr marL="114300" indent="-57150" algn="ctr">
            <a:defRPr sz="900"/>
          </a:lvl3pPr>
          <a:lvl4pPr marL="171450" indent="-57150" algn="ctr">
            <a:defRPr sz="900"/>
          </a:lvl4pPr>
          <a:lvl5pPr marL="228600" indent="-57150" algn="ctr">
            <a:defRPr sz="900"/>
          </a:lvl5pPr>
          <a:lvl6pPr marL="285750" indent="-57150" algn="ctr">
            <a:defRPr sz="900"/>
          </a:lvl6pPr>
          <a:lvl7pPr marL="342900" indent="-57150" algn="ctr">
            <a:defRPr sz="900"/>
          </a:lvl7pPr>
          <a:lvl8pPr marL="400050" indent="-57150" algn="ctr">
            <a:defRPr sz="900"/>
          </a:lvl8pPr>
          <a:lvl9pPr marL="457200" indent="-57150" algn="ctr">
            <a:defRPr sz="900"/>
          </a:lvl9pPr>
        </a:lstStyle>
        <a:p>
          <a:pPr lvl="0">
            <a:lnSpc>
              <a:spcPct val="100000"/>
            </a:lnSpc>
            <a:spcBef>
              <a:spcPct val="0"/>
            </a:spcBef>
            <a:spcAft>
              <a:spcPct val="35000"/>
            </a:spcAft>
          </a:pPr>
          <a:r>
            <a:rPr lang="zh-CN" altLang="en-US">
              <a:solidFill>
                <a:schemeClr val="tx1"/>
              </a:solidFill>
            </a:rPr>
            <a:t>测试</a:t>
          </a:r>
          <a:endParaRPr>
            <a:solidFill>
              <a:schemeClr val="tx1"/>
            </a:solidFill>
          </a:endParaRPr>
        </a:p>
      </dsp:txBody>
      <dsp:txXfrm>
        <a:off x="2190904" y="1323776"/>
        <a:ext cx="342028" cy="342028"/>
      </dsp:txXfrm>
    </dsp:sp>
    <dsp:sp modelId="{0E3BBC05-EF4C-444F-A66F-5AB86C44F3F6}">
      <dsp:nvSpPr>
        <dsp:cNvPr id="10" name="环形箭头 9"/>
        <dsp:cNvSpPr/>
      </dsp:nvSpPr>
      <dsp:spPr bwMode="white">
        <a:xfrm>
          <a:off x="1896754" y="-12056"/>
          <a:ext cx="1692892" cy="1692892"/>
        </a:xfrm>
        <a:prstGeom prst="circularArrow">
          <a:avLst>
            <a:gd name="adj1" fmla="val 5000"/>
            <a:gd name="adj2" fmla="val 360000"/>
            <a:gd name="adj3" fmla="val 9662430"/>
            <a:gd name="adj4" fmla="val 8184450"/>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896754" y="-12056"/>
        <a:ext cx="1692892" cy="1692892"/>
      </dsp:txXfrm>
    </dsp:sp>
    <dsp:sp modelId="{69AE22D0-1182-D44D-934F-ED61CF38543A}">
      <dsp:nvSpPr>
        <dsp:cNvPr id="11" name="矩形 10"/>
        <dsp:cNvSpPr/>
      </dsp:nvSpPr>
      <dsp:spPr bwMode="white">
        <a:xfrm>
          <a:off x="1809622" y="663376"/>
          <a:ext cx="342028" cy="342028"/>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5240" tIns="15240" rIns="15240" bIns="15240" anchor="ctr"/>
        <a:lstStyle>
          <a:lvl1pPr algn="ctr">
            <a:defRPr sz="1200"/>
          </a:lvl1pPr>
          <a:lvl2pPr marL="57150" indent="-57150" algn="ctr">
            <a:defRPr sz="900"/>
          </a:lvl2pPr>
          <a:lvl3pPr marL="114300" indent="-57150" algn="ctr">
            <a:defRPr sz="900"/>
          </a:lvl3pPr>
          <a:lvl4pPr marL="171450" indent="-57150" algn="ctr">
            <a:defRPr sz="900"/>
          </a:lvl4pPr>
          <a:lvl5pPr marL="228600" indent="-57150" algn="ctr">
            <a:defRPr sz="900"/>
          </a:lvl5pPr>
          <a:lvl6pPr marL="285750" indent="-57150" algn="ctr">
            <a:defRPr sz="900"/>
          </a:lvl6pPr>
          <a:lvl7pPr marL="342900" indent="-57150" algn="ctr">
            <a:defRPr sz="900"/>
          </a:lvl7pPr>
          <a:lvl8pPr marL="400050" indent="-57150" algn="ctr">
            <a:defRPr sz="900"/>
          </a:lvl8pPr>
          <a:lvl9pPr marL="457200" indent="-57150" algn="ctr">
            <a:defRPr sz="900"/>
          </a:lvl9pPr>
        </a:lstStyle>
        <a:p>
          <a:pPr lvl="0">
            <a:lnSpc>
              <a:spcPct val="100000"/>
            </a:lnSpc>
            <a:spcBef>
              <a:spcPct val="0"/>
            </a:spcBef>
            <a:spcAft>
              <a:spcPct val="35000"/>
            </a:spcAft>
          </a:pPr>
          <a:r>
            <a:rPr lang="zh-CN" altLang="en-US">
              <a:solidFill>
                <a:schemeClr val="tx1"/>
              </a:solidFill>
            </a:rPr>
            <a:t>部署</a:t>
          </a:r>
          <a:endParaRPr>
            <a:solidFill>
              <a:schemeClr val="tx1"/>
            </a:solidFill>
          </a:endParaRPr>
        </a:p>
      </dsp:txBody>
      <dsp:txXfrm>
        <a:off x="1809622" y="663376"/>
        <a:ext cx="342028" cy="342028"/>
      </dsp:txXfrm>
    </dsp:sp>
    <dsp:sp modelId="{376F161A-ED05-AE4C-85CD-CEC82190AF1F}">
      <dsp:nvSpPr>
        <dsp:cNvPr id="12" name="环形箭头 11"/>
        <dsp:cNvSpPr/>
      </dsp:nvSpPr>
      <dsp:spPr bwMode="white">
        <a:xfrm>
          <a:off x="1896754" y="-12056"/>
          <a:ext cx="1692892" cy="1692892"/>
        </a:xfrm>
        <a:prstGeom prst="circularArrow">
          <a:avLst>
            <a:gd name="adj1" fmla="val 5000"/>
            <a:gd name="adj2" fmla="val 360000"/>
            <a:gd name="adj3" fmla="val 13055549"/>
            <a:gd name="adj4" fmla="val 11577569"/>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896754" y="-12056"/>
        <a:ext cx="1692892" cy="1692892"/>
      </dsp:txXfrm>
    </dsp:sp>
    <dsp:sp modelId="{7F159C7D-9971-4E4D-AAAD-48C4FB8C7486}">
      <dsp:nvSpPr>
        <dsp:cNvPr id="13" name="矩形 12"/>
        <dsp:cNvSpPr/>
      </dsp:nvSpPr>
      <dsp:spPr bwMode="white">
        <a:xfrm>
          <a:off x="2190904" y="2976"/>
          <a:ext cx="342028" cy="342028"/>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5240" tIns="15240" rIns="15240" bIns="15240" anchor="ctr"/>
        <a:lstStyle>
          <a:lvl1pPr algn="ctr">
            <a:defRPr sz="1200"/>
          </a:lvl1pPr>
          <a:lvl2pPr marL="57150" indent="-57150" algn="ctr">
            <a:defRPr sz="900"/>
          </a:lvl2pPr>
          <a:lvl3pPr marL="114300" indent="-57150" algn="ctr">
            <a:defRPr sz="900"/>
          </a:lvl3pPr>
          <a:lvl4pPr marL="171450" indent="-57150" algn="ctr">
            <a:defRPr sz="900"/>
          </a:lvl4pPr>
          <a:lvl5pPr marL="228600" indent="-57150" algn="ctr">
            <a:defRPr sz="900"/>
          </a:lvl5pPr>
          <a:lvl6pPr marL="285750" indent="-57150" algn="ctr">
            <a:defRPr sz="900"/>
          </a:lvl6pPr>
          <a:lvl7pPr marL="342900" indent="-57150" algn="ctr">
            <a:defRPr sz="900"/>
          </a:lvl7pPr>
          <a:lvl8pPr marL="400050" indent="-57150" algn="ctr">
            <a:defRPr sz="900"/>
          </a:lvl8pPr>
          <a:lvl9pPr marL="457200" indent="-57150" algn="ctr">
            <a:defRPr sz="900"/>
          </a:lvl9pPr>
        </a:lstStyle>
        <a:p>
          <a:pPr lvl="0">
            <a:lnSpc>
              <a:spcPct val="100000"/>
            </a:lnSpc>
            <a:spcBef>
              <a:spcPct val="0"/>
            </a:spcBef>
            <a:spcAft>
              <a:spcPct val="35000"/>
            </a:spcAft>
          </a:pPr>
          <a:r>
            <a:rPr lang="zh-CN" altLang="en-US">
              <a:solidFill>
                <a:schemeClr val="tx1"/>
              </a:solidFill>
            </a:rPr>
            <a:t>运维</a:t>
          </a:r>
          <a:endParaRPr>
            <a:solidFill>
              <a:schemeClr val="tx1"/>
            </a:solidFill>
          </a:endParaRPr>
        </a:p>
      </dsp:txBody>
      <dsp:txXfrm>
        <a:off x="2190904" y="2976"/>
        <a:ext cx="342028" cy="342028"/>
      </dsp:txXfrm>
    </dsp:sp>
    <dsp:sp modelId="{F511ADD2-EA46-1B4E-88BC-F50FC7181281}">
      <dsp:nvSpPr>
        <dsp:cNvPr id="14" name="环形箭头 13"/>
        <dsp:cNvSpPr/>
      </dsp:nvSpPr>
      <dsp:spPr bwMode="white">
        <a:xfrm>
          <a:off x="1896754" y="-12056"/>
          <a:ext cx="1692892" cy="1692892"/>
        </a:xfrm>
        <a:prstGeom prst="circularArrow">
          <a:avLst>
            <a:gd name="adj1" fmla="val 5000"/>
            <a:gd name="adj2" fmla="val 360000"/>
            <a:gd name="adj3" fmla="val 16800359"/>
            <a:gd name="adj4" fmla="val 15239640"/>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896754" y="-12056"/>
        <a:ext cx="1692892" cy="1692892"/>
      </dsp:txXfrm>
    </dsp:sp>
  </dsp:spTree>
</dsp:drawing>
</file>

<file path=word/diagrams/drawing15.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5866765" cy="2331720"/>
        <a:chOff x="0" y="0"/>
        <a:chExt cx="5866765" cy="2331720"/>
      </a:xfrm>
    </dsp:grpSpPr>
    <dsp:sp modelId="{2C3106CD-8E2A-484E-9B35-5EC3D765E6AA}">
      <dsp:nvSpPr>
        <dsp:cNvPr id="5" name="空心弧 4"/>
        <dsp:cNvSpPr/>
      </dsp:nvSpPr>
      <dsp:spPr bwMode="white">
        <a:xfrm>
          <a:off x="1914308" y="236953"/>
          <a:ext cx="2038150" cy="2038150"/>
        </a:xfrm>
        <a:prstGeom prst="blockArc">
          <a:avLst>
            <a:gd name="adj1" fmla="val 16199999"/>
            <a:gd name="adj2" fmla="val 20520000"/>
            <a:gd name="adj3" fmla="val 3962"/>
          </a:avLst>
        </a:prstGeom>
      </dsp:spPr>
      <dsp:style>
        <a:lnRef idx="0">
          <a:schemeClr val="dk1">
            <a:tint val="60000"/>
          </a:schemeClr>
        </a:lnRef>
        <a:fillRef idx="2">
          <a:schemeClr val="dk1">
            <a:tint val="60000"/>
          </a:schemeClr>
        </a:fillRef>
        <a:effectRef idx="1">
          <a:scrgbClr r="0" g="0" b="0"/>
        </a:effectRef>
        <a:fontRef idx="minor">
          <a:schemeClr val="dk1"/>
        </a:fontRef>
      </dsp:style>
      <dsp:txXfrm>
        <a:off x="1914308" y="236953"/>
        <a:ext cx="2038150" cy="2038150"/>
      </dsp:txXfrm>
    </dsp:sp>
    <dsp:sp modelId="{6ED9C2B5-6019-1E42-B69E-C712E099732B}">
      <dsp:nvSpPr>
        <dsp:cNvPr id="7" name="空心弧 6"/>
        <dsp:cNvSpPr/>
      </dsp:nvSpPr>
      <dsp:spPr bwMode="white">
        <a:xfrm>
          <a:off x="1914308" y="236953"/>
          <a:ext cx="2038150" cy="2038150"/>
        </a:xfrm>
        <a:prstGeom prst="blockArc">
          <a:avLst>
            <a:gd name="adj1" fmla="val 20520000"/>
            <a:gd name="adj2" fmla="val 3240000"/>
            <a:gd name="adj3" fmla="val 3962"/>
          </a:avLst>
        </a:prstGeom>
      </dsp:spPr>
      <dsp:style>
        <a:lnRef idx="0">
          <a:schemeClr val="dk1">
            <a:tint val="60000"/>
          </a:schemeClr>
        </a:lnRef>
        <a:fillRef idx="2">
          <a:schemeClr val="dk1">
            <a:tint val="60000"/>
          </a:schemeClr>
        </a:fillRef>
        <a:effectRef idx="1">
          <a:scrgbClr r="0" g="0" b="0"/>
        </a:effectRef>
        <a:fontRef idx="minor">
          <a:schemeClr val="dk1"/>
        </a:fontRef>
      </dsp:style>
      <dsp:txXfrm>
        <a:off x="1914308" y="236953"/>
        <a:ext cx="2038150" cy="2038150"/>
      </dsp:txXfrm>
    </dsp:sp>
    <dsp:sp modelId="{6B2C3B3C-0373-3242-BC81-3764E12726DA}">
      <dsp:nvSpPr>
        <dsp:cNvPr id="9" name="空心弧 8"/>
        <dsp:cNvSpPr/>
      </dsp:nvSpPr>
      <dsp:spPr bwMode="white">
        <a:xfrm>
          <a:off x="1914308" y="236953"/>
          <a:ext cx="2038150" cy="2038150"/>
        </a:xfrm>
        <a:prstGeom prst="blockArc">
          <a:avLst>
            <a:gd name="adj1" fmla="val 3240000"/>
            <a:gd name="adj2" fmla="val 7560000"/>
            <a:gd name="adj3" fmla="val 3962"/>
          </a:avLst>
        </a:prstGeom>
      </dsp:spPr>
      <dsp:style>
        <a:lnRef idx="0">
          <a:schemeClr val="dk1">
            <a:tint val="60000"/>
          </a:schemeClr>
        </a:lnRef>
        <a:fillRef idx="2">
          <a:schemeClr val="dk1">
            <a:tint val="60000"/>
          </a:schemeClr>
        </a:fillRef>
        <a:effectRef idx="1">
          <a:scrgbClr r="0" g="0" b="0"/>
        </a:effectRef>
        <a:fontRef idx="minor">
          <a:schemeClr val="dk1"/>
        </a:fontRef>
      </dsp:style>
      <dsp:txXfrm>
        <a:off x="1914308" y="236953"/>
        <a:ext cx="2038150" cy="2038150"/>
      </dsp:txXfrm>
    </dsp:sp>
    <dsp:sp modelId="{CA75C26E-7853-B148-B1F1-A97BAE105CA9}">
      <dsp:nvSpPr>
        <dsp:cNvPr id="11" name="空心弧 10"/>
        <dsp:cNvSpPr/>
      </dsp:nvSpPr>
      <dsp:spPr bwMode="white">
        <a:xfrm>
          <a:off x="1914308" y="236953"/>
          <a:ext cx="2038150" cy="2038150"/>
        </a:xfrm>
        <a:prstGeom prst="blockArc">
          <a:avLst>
            <a:gd name="adj1" fmla="val 7560000"/>
            <a:gd name="adj2" fmla="val 11880000"/>
            <a:gd name="adj3" fmla="val 3962"/>
          </a:avLst>
        </a:prstGeom>
      </dsp:spPr>
      <dsp:style>
        <a:lnRef idx="0">
          <a:schemeClr val="dk1">
            <a:tint val="60000"/>
          </a:schemeClr>
        </a:lnRef>
        <a:fillRef idx="2">
          <a:schemeClr val="dk1">
            <a:tint val="60000"/>
          </a:schemeClr>
        </a:fillRef>
        <a:effectRef idx="1">
          <a:scrgbClr r="0" g="0" b="0"/>
        </a:effectRef>
        <a:fontRef idx="minor">
          <a:schemeClr val="dk1"/>
        </a:fontRef>
      </dsp:style>
      <dsp:txXfrm>
        <a:off x="1914308" y="236953"/>
        <a:ext cx="2038150" cy="2038150"/>
      </dsp:txXfrm>
    </dsp:sp>
    <dsp:sp modelId="{D5F1B9EB-1409-C544-915F-30912E55835D}">
      <dsp:nvSpPr>
        <dsp:cNvPr id="13" name="空心弧 12"/>
        <dsp:cNvSpPr/>
      </dsp:nvSpPr>
      <dsp:spPr bwMode="white">
        <a:xfrm>
          <a:off x="1914308" y="236953"/>
          <a:ext cx="2038150" cy="2038150"/>
        </a:xfrm>
        <a:prstGeom prst="blockArc">
          <a:avLst>
            <a:gd name="adj1" fmla="val 11880000"/>
            <a:gd name="adj2" fmla="val 16199999"/>
            <a:gd name="adj3" fmla="val 3962"/>
          </a:avLst>
        </a:prstGeom>
      </dsp:spPr>
      <dsp:style>
        <a:lnRef idx="0">
          <a:schemeClr val="dk1">
            <a:tint val="60000"/>
          </a:schemeClr>
        </a:lnRef>
        <a:fillRef idx="2">
          <a:schemeClr val="dk1">
            <a:tint val="60000"/>
          </a:schemeClr>
        </a:fillRef>
        <a:effectRef idx="1">
          <a:scrgbClr r="0" g="0" b="0"/>
        </a:effectRef>
        <a:fontRef idx="minor">
          <a:schemeClr val="dk1"/>
        </a:fontRef>
      </dsp:style>
      <dsp:txXfrm>
        <a:off x="1914308" y="236953"/>
        <a:ext cx="2038150" cy="2038150"/>
      </dsp:txXfrm>
    </dsp:sp>
    <dsp:sp modelId="{0E4AD12D-701A-034A-A36F-65C086946FC6}">
      <dsp:nvSpPr>
        <dsp:cNvPr id="3" name="椭圆 2"/>
        <dsp:cNvSpPr/>
      </dsp:nvSpPr>
      <dsp:spPr bwMode="white">
        <a:xfrm>
          <a:off x="2487983" y="810628"/>
          <a:ext cx="890800" cy="890800"/>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rPr>
            <a:t>综合能力评估体系</a:t>
          </a:r>
          <a:endParaRPr>
            <a:solidFill>
              <a:schemeClr val="dk1"/>
            </a:solidFill>
          </a:endParaRPr>
        </a:p>
      </dsp:txBody>
      <dsp:txXfrm>
        <a:off x="2487983" y="810628"/>
        <a:ext cx="890800" cy="890800"/>
      </dsp:txXfrm>
    </dsp:sp>
    <dsp:sp modelId="{07FC0E57-53BA-2A4C-9CBD-A04ADE21D7AC}">
      <dsp:nvSpPr>
        <dsp:cNvPr id="4" name="椭圆 3"/>
        <dsp:cNvSpPr/>
      </dsp:nvSpPr>
      <dsp:spPr bwMode="white">
        <a:xfrm>
          <a:off x="2621603" y="0"/>
          <a:ext cx="623560" cy="623560"/>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100"/>
          </a:lvl1pPr>
          <a:lvl2pPr marL="285750" indent="-285750" algn="ctr">
            <a:defRPr sz="4700"/>
          </a:lvl2pPr>
          <a:lvl3pPr marL="571500" indent="-285750" algn="ctr">
            <a:defRPr sz="4700"/>
          </a:lvl3pPr>
          <a:lvl4pPr marL="857250" indent="-285750" algn="ctr">
            <a:defRPr sz="4700"/>
          </a:lvl4pPr>
          <a:lvl5pPr marL="1143000" indent="-285750" algn="ctr">
            <a:defRPr sz="4700"/>
          </a:lvl5pPr>
          <a:lvl6pPr marL="1428750" indent="-285750" algn="ctr">
            <a:defRPr sz="4700"/>
          </a:lvl6pPr>
          <a:lvl7pPr marL="1714500" indent="-285750" algn="ctr">
            <a:defRPr sz="4700"/>
          </a:lvl7pPr>
          <a:lvl8pPr marL="2000250" indent="-285750" algn="ctr">
            <a:defRPr sz="4700"/>
          </a:lvl8pPr>
          <a:lvl9pPr marL="2286000" indent="-285750" algn="ctr">
            <a:defRPr sz="4700"/>
          </a:lvl9pPr>
        </a:lstStyle>
        <a:p>
          <a:pPr lvl="0">
            <a:lnSpc>
              <a:spcPct val="100000"/>
            </a:lnSpc>
            <a:spcBef>
              <a:spcPct val="0"/>
            </a:spcBef>
            <a:spcAft>
              <a:spcPct val="35000"/>
            </a:spcAft>
          </a:pPr>
          <a:r>
            <a:rPr lang="zh-CN" altLang="en-US" sz="1050" baseline="0">
              <a:solidFill>
                <a:schemeClr val="dk1"/>
              </a:solidFill>
            </a:rPr>
            <a:t>需求管理</a:t>
          </a:r>
          <a:endParaRPr>
            <a:solidFill>
              <a:schemeClr val="dk1"/>
            </a:solidFill>
          </a:endParaRPr>
        </a:p>
      </dsp:txBody>
      <dsp:txXfrm>
        <a:off x="2621603" y="0"/>
        <a:ext cx="623560" cy="623560"/>
      </dsp:txXfrm>
    </dsp:sp>
    <dsp:sp modelId="{99FB29EC-D958-0F40-96DE-1A52AA10C3BA}">
      <dsp:nvSpPr>
        <dsp:cNvPr id="6" name="椭圆 5"/>
        <dsp:cNvSpPr/>
      </dsp:nvSpPr>
      <dsp:spPr bwMode="white">
        <a:xfrm>
          <a:off x="3519636" y="652459"/>
          <a:ext cx="623560" cy="623560"/>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100"/>
          </a:lvl1pPr>
          <a:lvl2pPr marL="285750" indent="-285750" algn="ctr">
            <a:defRPr sz="4700"/>
          </a:lvl2pPr>
          <a:lvl3pPr marL="571500" indent="-285750" algn="ctr">
            <a:defRPr sz="4700"/>
          </a:lvl3pPr>
          <a:lvl4pPr marL="857250" indent="-285750" algn="ctr">
            <a:defRPr sz="4700"/>
          </a:lvl4pPr>
          <a:lvl5pPr marL="1143000" indent="-285750" algn="ctr">
            <a:defRPr sz="4700"/>
          </a:lvl5pPr>
          <a:lvl6pPr marL="1428750" indent="-285750" algn="ctr">
            <a:defRPr sz="4700"/>
          </a:lvl6pPr>
          <a:lvl7pPr marL="1714500" indent="-285750" algn="ctr">
            <a:defRPr sz="4700"/>
          </a:lvl7pPr>
          <a:lvl8pPr marL="2000250" indent="-285750" algn="ctr">
            <a:defRPr sz="4700"/>
          </a:lvl8pPr>
          <a:lvl9pPr marL="2286000" indent="-285750" algn="ctr">
            <a:defRPr sz="4700"/>
          </a:lvl9pPr>
        </a:lstStyle>
        <a:p>
          <a:pPr lvl="0">
            <a:lnSpc>
              <a:spcPct val="100000"/>
            </a:lnSpc>
            <a:spcBef>
              <a:spcPct val="0"/>
            </a:spcBef>
            <a:spcAft>
              <a:spcPct val="35000"/>
            </a:spcAft>
          </a:pPr>
          <a:r>
            <a:rPr lang="zh-CN" altLang="en-US" sz="1050" baseline="0">
              <a:solidFill>
                <a:schemeClr val="dk1"/>
              </a:solidFill>
            </a:rPr>
            <a:t>安全控制</a:t>
          </a:r>
          <a:endParaRPr>
            <a:solidFill>
              <a:schemeClr val="dk1"/>
            </a:solidFill>
          </a:endParaRPr>
        </a:p>
      </dsp:txBody>
      <dsp:txXfrm>
        <a:off x="3519636" y="652459"/>
        <a:ext cx="623560" cy="623560"/>
      </dsp:txXfrm>
    </dsp:sp>
    <dsp:sp modelId="{3E3F725E-7DF6-D049-A09D-25BDEFDED87A}">
      <dsp:nvSpPr>
        <dsp:cNvPr id="8" name="椭圆 7"/>
        <dsp:cNvSpPr/>
      </dsp:nvSpPr>
      <dsp:spPr bwMode="white">
        <a:xfrm>
          <a:off x="3176617" y="1708160"/>
          <a:ext cx="623560" cy="623560"/>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100"/>
          </a:lvl1pPr>
          <a:lvl2pPr marL="285750" indent="-285750" algn="ctr">
            <a:defRPr sz="4700"/>
          </a:lvl2pPr>
          <a:lvl3pPr marL="571500" indent="-285750" algn="ctr">
            <a:defRPr sz="4700"/>
          </a:lvl3pPr>
          <a:lvl4pPr marL="857250" indent="-285750" algn="ctr">
            <a:defRPr sz="4700"/>
          </a:lvl4pPr>
          <a:lvl5pPr marL="1143000" indent="-285750" algn="ctr">
            <a:defRPr sz="4700"/>
          </a:lvl5pPr>
          <a:lvl6pPr marL="1428750" indent="-285750" algn="ctr">
            <a:defRPr sz="4700"/>
          </a:lvl6pPr>
          <a:lvl7pPr marL="1714500" indent="-285750" algn="ctr">
            <a:defRPr sz="4700"/>
          </a:lvl7pPr>
          <a:lvl8pPr marL="2000250" indent="-285750" algn="ctr">
            <a:defRPr sz="4700"/>
          </a:lvl8pPr>
          <a:lvl9pPr marL="2286000" indent="-285750" algn="ctr">
            <a:defRPr sz="4700"/>
          </a:lvl9pPr>
        </a:lstStyle>
        <a:p>
          <a:pPr lvl="0">
            <a:lnSpc>
              <a:spcPct val="100000"/>
            </a:lnSpc>
            <a:spcBef>
              <a:spcPct val="0"/>
            </a:spcBef>
            <a:spcAft>
              <a:spcPct val="35000"/>
            </a:spcAft>
          </a:pPr>
          <a:r>
            <a:rPr lang="zh-CN" altLang="en-US" sz="1050" baseline="0">
              <a:solidFill>
                <a:schemeClr val="dk1"/>
              </a:solidFill>
            </a:rPr>
            <a:t>技术债务治理</a:t>
          </a:r>
          <a:endParaRPr>
            <a:solidFill>
              <a:schemeClr val="dk1"/>
            </a:solidFill>
          </a:endParaRPr>
        </a:p>
      </dsp:txBody>
      <dsp:txXfrm>
        <a:off x="3176617" y="1708160"/>
        <a:ext cx="623560" cy="623560"/>
      </dsp:txXfrm>
    </dsp:sp>
    <dsp:sp modelId="{1B360292-48B1-C24E-ADDC-63B0895517FD}">
      <dsp:nvSpPr>
        <dsp:cNvPr id="10" name="椭圆 9"/>
        <dsp:cNvSpPr/>
      </dsp:nvSpPr>
      <dsp:spPr bwMode="white">
        <a:xfrm>
          <a:off x="2066588" y="1708160"/>
          <a:ext cx="623560" cy="623560"/>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100"/>
          </a:lvl1pPr>
          <a:lvl2pPr marL="285750" indent="-285750" algn="ctr">
            <a:defRPr sz="4700"/>
          </a:lvl2pPr>
          <a:lvl3pPr marL="571500" indent="-285750" algn="ctr">
            <a:defRPr sz="4700"/>
          </a:lvl3pPr>
          <a:lvl4pPr marL="857250" indent="-285750" algn="ctr">
            <a:defRPr sz="4700"/>
          </a:lvl4pPr>
          <a:lvl5pPr marL="1143000" indent="-285750" algn="ctr">
            <a:defRPr sz="4700"/>
          </a:lvl5pPr>
          <a:lvl6pPr marL="1428750" indent="-285750" algn="ctr">
            <a:defRPr sz="4700"/>
          </a:lvl6pPr>
          <a:lvl7pPr marL="1714500" indent="-285750" algn="ctr">
            <a:defRPr sz="4700"/>
          </a:lvl7pPr>
          <a:lvl8pPr marL="2000250" indent="-285750" algn="ctr">
            <a:defRPr sz="4700"/>
          </a:lvl8pPr>
          <a:lvl9pPr marL="2286000" indent="-285750" algn="ctr">
            <a:defRPr sz="4700"/>
          </a:lvl9pPr>
        </a:lstStyle>
        <a:p>
          <a:pPr lvl="0">
            <a:lnSpc>
              <a:spcPct val="100000"/>
            </a:lnSpc>
            <a:spcBef>
              <a:spcPct val="0"/>
            </a:spcBef>
            <a:spcAft>
              <a:spcPct val="35000"/>
            </a:spcAft>
          </a:pPr>
          <a:r>
            <a:rPr lang="zh-CN" altLang="en-US" sz="1050" baseline="0">
              <a:solidFill>
                <a:schemeClr val="dk1"/>
              </a:solidFill>
            </a:rPr>
            <a:t>运维智能化</a:t>
          </a:r>
          <a:endParaRPr>
            <a:solidFill>
              <a:schemeClr val="dk1"/>
            </a:solidFill>
          </a:endParaRPr>
        </a:p>
      </dsp:txBody>
      <dsp:txXfrm>
        <a:off x="2066588" y="1708160"/>
        <a:ext cx="623560" cy="623560"/>
      </dsp:txXfrm>
    </dsp:sp>
    <dsp:sp modelId="{BB2023A6-5470-AD44-AD08-B5424A08C244}">
      <dsp:nvSpPr>
        <dsp:cNvPr id="12" name="椭圆 11"/>
        <dsp:cNvSpPr/>
      </dsp:nvSpPr>
      <dsp:spPr bwMode="white">
        <a:xfrm>
          <a:off x="1723570" y="652459"/>
          <a:ext cx="623560" cy="623560"/>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100"/>
          </a:lvl1pPr>
          <a:lvl2pPr marL="285750" indent="-285750" algn="ctr">
            <a:defRPr sz="4700"/>
          </a:lvl2pPr>
          <a:lvl3pPr marL="571500" indent="-285750" algn="ctr">
            <a:defRPr sz="4700"/>
          </a:lvl3pPr>
          <a:lvl4pPr marL="857250" indent="-285750" algn="ctr">
            <a:defRPr sz="4700"/>
          </a:lvl4pPr>
          <a:lvl5pPr marL="1143000" indent="-285750" algn="ctr">
            <a:defRPr sz="4700"/>
          </a:lvl5pPr>
          <a:lvl6pPr marL="1428750" indent="-285750" algn="ctr">
            <a:defRPr sz="4700"/>
          </a:lvl6pPr>
          <a:lvl7pPr marL="1714500" indent="-285750" algn="ctr">
            <a:defRPr sz="4700"/>
          </a:lvl7pPr>
          <a:lvl8pPr marL="2000250" indent="-285750" algn="ctr">
            <a:defRPr sz="4700"/>
          </a:lvl8pPr>
          <a:lvl9pPr marL="2286000" indent="-285750" algn="ctr">
            <a:defRPr sz="4700"/>
          </a:lvl9pPr>
        </a:lstStyle>
        <a:p>
          <a:pPr lvl="0">
            <a:lnSpc>
              <a:spcPct val="100000"/>
            </a:lnSpc>
            <a:spcBef>
              <a:spcPct val="0"/>
            </a:spcBef>
            <a:spcAft>
              <a:spcPct val="35000"/>
            </a:spcAft>
          </a:pPr>
          <a:r>
            <a:rPr lang="zh-CN" altLang="en-US" sz="1050" baseline="0">
              <a:solidFill>
                <a:schemeClr val="dk1"/>
              </a:solidFill>
            </a:rPr>
            <a:t>跨职能协作</a:t>
          </a:r>
          <a:endParaRPr>
            <a:solidFill>
              <a:schemeClr val="dk1"/>
            </a:solidFill>
          </a:endParaRPr>
        </a:p>
      </dsp:txBody>
      <dsp:txXfrm>
        <a:off x="1723570" y="652459"/>
        <a:ext cx="623560" cy="623560"/>
      </dsp:txXfrm>
    </dsp:sp>
  </dsp:spTree>
</dsp:drawing>
</file>

<file path=word/diagrams/drawing16.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4853940" cy="815975"/>
        <a:chOff x="0" y="0"/>
        <a:chExt cx="4853940" cy="815975"/>
      </a:xfrm>
    </dsp:grpSpPr>
    <dsp:sp modelId="{260ED52D-CF11-CB4B-8D8F-7622592E53F3}">
      <dsp:nvSpPr>
        <dsp:cNvPr id="3" name="圆角矩形 2"/>
        <dsp:cNvSpPr/>
      </dsp:nvSpPr>
      <dsp:spPr bwMode="white">
        <a:xfrm>
          <a:off x="0" y="187354"/>
          <a:ext cx="735445" cy="441267"/>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需求优先级失衡</a:t>
          </a:r>
          <a:endParaRPr>
            <a:solidFill>
              <a:schemeClr val="dk1"/>
            </a:solidFill>
          </a:endParaRPr>
        </a:p>
      </dsp:txBody>
      <dsp:txXfrm>
        <a:off x="0" y="187354"/>
        <a:ext cx="735445" cy="441267"/>
      </dsp:txXfrm>
    </dsp:sp>
    <dsp:sp modelId="{6826D4F9-659B-8043-9B54-C65DE38F5B5F}">
      <dsp:nvSpPr>
        <dsp:cNvPr id="4" name="右箭头 3"/>
        <dsp:cNvSpPr/>
      </dsp:nvSpPr>
      <dsp:spPr bwMode="white">
        <a:xfrm>
          <a:off x="804577" y="316792"/>
          <a:ext cx="155914" cy="182390"/>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lang="zh-CN" altLang="en-US">
            <a:solidFill>
              <a:schemeClr val="dk1"/>
            </a:solidFill>
          </a:endParaRPr>
        </a:p>
      </dsp:txBody>
      <dsp:txXfrm>
        <a:off x="804577" y="316792"/>
        <a:ext cx="155914" cy="182390"/>
      </dsp:txXfrm>
    </dsp:sp>
    <dsp:sp modelId="{64A4AF38-4622-2948-9293-CABA19F192B8}">
      <dsp:nvSpPr>
        <dsp:cNvPr id="5" name="圆角矩形 4"/>
        <dsp:cNvSpPr/>
      </dsp:nvSpPr>
      <dsp:spPr bwMode="white">
        <a:xfrm>
          <a:off x="1029624" y="187354"/>
          <a:ext cx="735445" cy="441267"/>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审批等待增加</a:t>
          </a:r>
          <a:endParaRPr>
            <a:solidFill>
              <a:schemeClr val="dk1"/>
            </a:solidFill>
          </a:endParaRPr>
        </a:p>
      </dsp:txBody>
      <dsp:txXfrm>
        <a:off x="1029624" y="187354"/>
        <a:ext cx="735445" cy="441267"/>
      </dsp:txXfrm>
    </dsp:sp>
    <dsp:sp modelId="{122C010D-39AC-AF48-8C05-ACE45263909C}">
      <dsp:nvSpPr>
        <dsp:cNvPr id="6" name="右箭头 5"/>
        <dsp:cNvSpPr/>
      </dsp:nvSpPr>
      <dsp:spPr bwMode="white">
        <a:xfrm>
          <a:off x="1834201" y="316792"/>
          <a:ext cx="155914" cy="182390"/>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lang="zh-CN" altLang="en-US">
            <a:solidFill>
              <a:schemeClr val="dk1"/>
            </a:solidFill>
          </a:endParaRPr>
        </a:p>
      </dsp:txBody>
      <dsp:txXfrm>
        <a:off x="1834201" y="316792"/>
        <a:ext cx="155914" cy="182390"/>
      </dsp:txXfrm>
    </dsp:sp>
    <dsp:sp modelId="{F8CA2E0F-164C-BF45-A9B7-CD15E2A4428F}">
      <dsp:nvSpPr>
        <dsp:cNvPr id="7" name="圆角矩形 6"/>
        <dsp:cNvSpPr/>
      </dsp:nvSpPr>
      <dsp:spPr bwMode="white">
        <a:xfrm>
          <a:off x="2059247" y="187354"/>
          <a:ext cx="735445" cy="441267"/>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追踪一致性下降</a:t>
          </a:r>
          <a:endParaRPr>
            <a:solidFill>
              <a:schemeClr val="dk1"/>
            </a:solidFill>
          </a:endParaRPr>
        </a:p>
      </dsp:txBody>
      <dsp:txXfrm>
        <a:off x="2059247" y="187354"/>
        <a:ext cx="735445" cy="441267"/>
      </dsp:txXfrm>
    </dsp:sp>
    <dsp:sp modelId="{C8131222-29A7-5044-AFE6-46D62162B5C2}">
      <dsp:nvSpPr>
        <dsp:cNvPr id="8" name="右箭头 7"/>
        <dsp:cNvSpPr/>
      </dsp:nvSpPr>
      <dsp:spPr bwMode="white">
        <a:xfrm>
          <a:off x="2863825" y="316792"/>
          <a:ext cx="155914" cy="182390"/>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lang="zh-CN" altLang="en-US">
            <a:solidFill>
              <a:schemeClr val="dk1"/>
            </a:solidFill>
          </a:endParaRPr>
        </a:p>
      </dsp:txBody>
      <dsp:txXfrm>
        <a:off x="2863825" y="316792"/>
        <a:ext cx="155914" cy="182390"/>
      </dsp:txXfrm>
    </dsp:sp>
    <dsp:sp modelId="{4C6F471E-B2BC-8C4E-AFF8-EA3C7861D4C5}">
      <dsp:nvSpPr>
        <dsp:cNvPr id="9" name="圆角矩形 8"/>
        <dsp:cNvSpPr/>
      </dsp:nvSpPr>
      <dsp:spPr bwMode="white">
        <a:xfrm>
          <a:off x="3088871" y="187354"/>
          <a:ext cx="735445" cy="441267"/>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返工率上升</a:t>
          </a:r>
          <a:endParaRPr>
            <a:solidFill>
              <a:schemeClr val="dk1"/>
            </a:solidFill>
          </a:endParaRPr>
        </a:p>
      </dsp:txBody>
      <dsp:txXfrm>
        <a:off x="3088871" y="187354"/>
        <a:ext cx="735445" cy="441267"/>
      </dsp:txXfrm>
    </dsp:sp>
    <dsp:sp modelId="{CDF20AC1-FBF9-6A4E-8714-3A6E8D082D7D}">
      <dsp:nvSpPr>
        <dsp:cNvPr id="10" name="右箭头 9"/>
        <dsp:cNvSpPr/>
      </dsp:nvSpPr>
      <dsp:spPr bwMode="white">
        <a:xfrm>
          <a:off x="3893448" y="316792"/>
          <a:ext cx="155914" cy="182390"/>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lang="zh-CN" altLang="en-US">
            <a:solidFill>
              <a:schemeClr val="dk1"/>
            </a:solidFill>
          </a:endParaRPr>
        </a:p>
      </dsp:txBody>
      <dsp:txXfrm>
        <a:off x="3893448" y="316792"/>
        <a:ext cx="155914" cy="182390"/>
      </dsp:txXfrm>
    </dsp:sp>
    <dsp:sp modelId="{6547CF9F-175D-B24F-B520-CE62B8DA7248}">
      <dsp:nvSpPr>
        <dsp:cNvPr id="11" name="圆角矩形 10"/>
        <dsp:cNvSpPr/>
      </dsp:nvSpPr>
      <dsp:spPr bwMode="white">
        <a:xfrm>
          <a:off x="4118495" y="187354"/>
          <a:ext cx="735445" cy="441267"/>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交付周期延长</a:t>
          </a:r>
          <a:endParaRPr>
            <a:solidFill>
              <a:schemeClr val="dk1"/>
            </a:solidFill>
          </a:endParaRPr>
        </a:p>
      </dsp:txBody>
      <dsp:txXfrm>
        <a:off x="4118495" y="187354"/>
        <a:ext cx="735445" cy="441267"/>
      </dsp:txXfrm>
    </dsp:sp>
  </dsp:spTree>
</dsp:drawing>
</file>

<file path=word/diagrams/drawing17.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5461635" cy="2110740"/>
        <a:chOff x="0" y="0"/>
        <a:chExt cx="5461635" cy="2110740"/>
      </a:xfrm>
    </dsp:grpSpPr>
    <dsp:sp modelId="{4F9152ED-DC0E-214B-8E68-C943E701E9E0}">
      <dsp:nvSpPr>
        <dsp:cNvPr id="4" name="环形箭头 3"/>
        <dsp:cNvSpPr/>
      </dsp:nvSpPr>
      <dsp:spPr bwMode="white">
        <a:xfrm>
          <a:off x="1691259" y="4456"/>
          <a:ext cx="2079117" cy="2079117"/>
        </a:xfrm>
        <a:prstGeom prst="circularArrow">
          <a:avLst>
            <a:gd name="adj1" fmla="val 5000"/>
            <a:gd name="adj2" fmla="val 360000"/>
            <a:gd name="adj3" fmla="val 13797140"/>
            <a:gd name="adj4" fmla="val 17314286"/>
            <a:gd name="adj5" fmla="val 5500"/>
          </a:avLst>
        </a:prstGeom>
      </dsp:spPr>
      <dsp:style>
        <a:lnRef idx="0">
          <a:schemeClr val="dk1"/>
        </a:lnRef>
        <a:fillRef idx="1">
          <a:schemeClr val="dk1">
            <a:tint val="40000"/>
          </a:schemeClr>
        </a:fillRef>
        <a:effectRef idx="1">
          <a:scrgbClr r="0" g="0" b="0"/>
        </a:effectRef>
        <a:fontRef idx="minor"/>
      </dsp:style>
      <dsp:txXfrm>
        <a:off x="1691259" y="4456"/>
        <a:ext cx="2079117" cy="2079117"/>
      </dsp:txXfrm>
    </dsp:sp>
    <dsp:sp modelId="{F1FF49F3-AB49-4C45-9FD4-2284B8672503}">
      <dsp:nvSpPr>
        <dsp:cNvPr id="3" name="圆角矩形 2"/>
        <dsp:cNvSpPr/>
      </dsp:nvSpPr>
      <dsp:spPr bwMode="white">
        <a:xfrm>
          <a:off x="2249131" y="0"/>
          <a:ext cx="963373" cy="481687"/>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漏洞检测滞后</a:t>
          </a:r>
          <a:endParaRPr>
            <a:solidFill>
              <a:schemeClr val="dk1"/>
            </a:solidFill>
          </a:endParaRPr>
        </a:p>
      </dsp:txBody>
      <dsp:txXfrm>
        <a:off x="2249131" y="0"/>
        <a:ext cx="963373" cy="481687"/>
      </dsp:txXfrm>
    </dsp:sp>
    <dsp:sp modelId="{DF4D2883-9E22-2B44-A68F-971CB3E924D9}">
      <dsp:nvSpPr>
        <dsp:cNvPr id="5" name="圆角矩形 4"/>
        <dsp:cNvSpPr/>
      </dsp:nvSpPr>
      <dsp:spPr bwMode="white">
        <a:xfrm>
          <a:off x="3105575" y="622243"/>
          <a:ext cx="963373" cy="481687"/>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修复周期延长</a:t>
          </a:r>
          <a:endParaRPr>
            <a:solidFill>
              <a:schemeClr val="dk1"/>
            </a:solidFill>
          </a:endParaRPr>
        </a:p>
      </dsp:txBody>
      <dsp:txXfrm>
        <a:off x="3105575" y="622243"/>
        <a:ext cx="963373" cy="481687"/>
      </dsp:txXfrm>
    </dsp:sp>
    <dsp:sp modelId="{D3AA8AEB-D11E-2145-A9BB-65AF3C2F8024}">
      <dsp:nvSpPr>
        <dsp:cNvPr id="6" name="圆角矩形 5"/>
        <dsp:cNvSpPr/>
      </dsp:nvSpPr>
      <dsp:spPr bwMode="white">
        <a:xfrm>
          <a:off x="2778443" y="1629053"/>
          <a:ext cx="963373" cy="481687"/>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合规验证超期</a:t>
          </a:r>
          <a:endParaRPr>
            <a:solidFill>
              <a:schemeClr val="dk1"/>
            </a:solidFill>
          </a:endParaRPr>
        </a:p>
      </dsp:txBody>
      <dsp:txXfrm>
        <a:off x="2778443" y="1629053"/>
        <a:ext cx="963373" cy="481687"/>
      </dsp:txXfrm>
    </dsp:sp>
    <dsp:sp modelId="{60DBA75E-ACB8-2C4D-994D-D2AA647FE1D6}">
      <dsp:nvSpPr>
        <dsp:cNvPr id="7" name="圆角矩形 6"/>
        <dsp:cNvSpPr/>
      </dsp:nvSpPr>
      <dsp:spPr bwMode="white">
        <a:xfrm>
          <a:off x="1719819" y="1629053"/>
          <a:ext cx="963373" cy="481687"/>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审计缺陷积压</a:t>
          </a:r>
          <a:endParaRPr>
            <a:solidFill>
              <a:schemeClr val="dk1"/>
            </a:solidFill>
          </a:endParaRPr>
        </a:p>
      </dsp:txBody>
      <dsp:txXfrm>
        <a:off x="1719819" y="1629053"/>
        <a:ext cx="963373" cy="481687"/>
      </dsp:txXfrm>
    </dsp:sp>
    <dsp:sp modelId="{7B8468F0-465F-974F-9113-D7631FD23D39}">
      <dsp:nvSpPr>
        <dsp:cNvPr id="8" name="圆角矩形 7"/>
        <dsp:cNvSpPr/>
      </dsp:nvSpPr>
      <dsp:spPr bwMode="white">
        <a:xfrm>
          <a:off x="1392687" y="622243"/>
          <a:ext cx="963373" cy="481687"/>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风险成本上升</a:t>
          </a:r>
          <a:endParaRPr>
            <a:solidFill>
              <a:schemeClr val="dk1"/>
            </a:solidFill>
          </a:endParaRPr>
        </a:p>
      </dsp:txBody>
      <dsp:txXfrm>
        <a:off x="1392687" y="622243"/>
        <a:ext cx="963373" cy="481687"/>
      </dsp:txXfrm>
    </dsp:sp>
  </dsp:spTree>
</dsp:drawing>
</file>

<file path=word/diagrams/drawing18.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5590540" cy="2669540"/>
        <a:chOff x="0" y="0"/>
        <a:chExt cx="5590540" cy="2669540"/>
      </a:xfrm>
    </dsp:grpSpPr>
    <dsp:sp modelId="{09497373-3C35-4F4A-A85E-EFD333AB4040}">
      <dsp:nvSpPr>
        <dsp:cNvPr id="3" name="椭圆 2"/>
        <dsp:cNvSpPr/>
      </dsp:nvSpPr>
      <dsp:spPr bwMode="white">
        <a:xfrm>
          <a:off x="2391804" y="0"/>
          <a:ext cx="806931" cy="806931"/>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技术债务积累</a:t>
          </a:r>
          <a:endParaRPr>
            <a:solidFill>
              <a:schemeClr val="dk1"/>
            </a:solidFill>
          </a:endParaRPr>
        </a:p>
      </dsp:txBody>
      <dsp:txXfrm>
        <a:off x="2391804" y="0"/>
        <a:ext cx="806931" cy="806931"/>
      </dsp:txXfrm>
    </dsp:sp>
    <dsp:sp modelId="{691624C9-B585-E249-B9ED-EFD7986CC85E}">
      <dsp:nvSpPr>
        <dsp:cNvPr id="4" name="右箭头 3"/>
        <dsp:cNvSpPr/>
      </dsp:nvSpPr>
      <dsp:spPr bwMode="white">
        <a:xfrm rot="2159999">
          <a:off x="3177967" y="623023"/>
          <a:ext cx="213837" cy="272339"/>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1000"/>
          </a:lvl1pPr>
          <a:lvl2pPr marL="57150" indent="-57150" algn="ctr">
            <a:defRPr sz="800"/>
          </a:lvl2pPr>
          <a:lvl3pPr marL="114300" indent="-57150" algn="ctr">
            <a:defRPr sz="800"/>
          </a:lvl3pPr>
          <a:lvl4pPr marL="171450" indent="-57150" algn="ctr">
            <a:defRPr sz="800"/>
          </a:lvl4pPr>
          <a:lvl5pPr marL="228600" indent="-57150" algn="ctr">
            <a:defRPr sz="800"/>
          </a:lvl5pPr>
          <a:lvl6pPr marL="285750" indent="-57150" algn="ctr">
            <a:defRPr sz="800"/>
          </a:lvl6pPr>
          <a:lvl7pPr marL="342900" indent="-57150" algn="ctr">
            <a:defRPr sz="800"/>
          </a:lvl7pPr>
          <a:lvl8pPr marL="400050" indent="-57150" algn="ctr">
            <a:defRPr sz="800"/>
          </a:lvl8pPr>
          <a:lvl9pPr marL="457200" indent="-57150" algn="ctr">
            <a:defRPr sz="800"/>
          </a:lvl9pPr>
        </a:lstStyle>
        <a:p>
          <a:pPr lvl="0">
            <a:lnSpc>
              <a:spcPct val="100000"/>
            </a:lnSpc>
            <a:spcBef>
              <a:spcPct val="0"/>
            </a:spcBef>
            <a:spcAft>
              <a:spcPct val="35000"/>
            </a:spcAft>
          </a:pPr>
          <a:endParaRPr lang="zh-CN" altLang="en-US">
            <a:solidFill>
              <a:schemeClr val="dk1"/>
            </a:solidFill>
          </a:endParaRPr>
        </a:p>
      </dsp:txBody>
      <dsp:txXfrm rot="2159999">
        <a:off x="3177967" y="623023"/>
        <a:ext cx="213837" cy="272339"/>
      </dsp:txXfrm>
    </dsp:sp>
    <dsp:sp modelId="{B224BE9F-BC6B-6643-9BDA-FE12C4E8C2F9}">
      <dsp:nvSpPr>
        <dsp:cNvPr id="5" name="椭圆 4"/>
        <dsp:cNvSpPr/>
      </dsp:nvSpPr>
      <dsp:spPr bwMode="white">
        <a:xfrm>
          <a:off x="3371036" y="711453"/>
          <a:ext cx="806931" cy="806931"/>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系统复杂度上升</a:t>
          </a:r>
          <a:endParaRPr>
            <a:solidFill>
              <a:schemeClr val="dk1"/>
            </a:solidFill>
          </a:endParaRPr>
        </a:p>
      </dsp:txBody>
      <dsp:txXfrm>
        <a:off x="3371036" y="711453"/>
        <a:ext cx="806931" cy="806931"/>
      </dsp:txXfrm>
    </dsp:sp>
    <dsp:sp modelId="{1BE51234-69E9-4649-AE3E-9E0487331000}">
      <dsp:nvSpPr>
        <dsp:cNvPr id="6" name="右箭头 5"/>
        <dsp:cNvSpPr/>
      </dsp:nvSpPr>
      <dsp:spPr bwMode="white">
        <a:xfrm rot="6480000">
          <a:off x="3480567" y="1554327"/>
          <a:ext cx="213837" cy="272339"/>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10800000" lIns="0" tIns="0" rIns="0" bIns="0" anchor="ctr"/>
        <a:lstStyle>
          <a:lvl1pPr algn="ctr">
            <a:defRPr sz="1000"/>
          </a:lvl1pPr>
          <a:lvl2pPr marL="57150" indent="-57150" algn="ctr">
            <a:defRPr sz="800"/>
          </a:lvl2pPr>
          <a:lvl3pPr marL="114300" indent="-57150" algn="ctr">
            <a:defRPr sz="800"/>
          </a:lvl3pPr>
          <a:lvl4pPr marL="171450" indent="-57150" algn="ctr">
            <a:defRPr sz="800"/>
          </a:lvl4pPr>
          <a:lvl5pPr marL="228600" indent="-57150" algn="ctr">
            <a:defRPr sz="800"/>
          </a:lvl5pPr>
          <a:lvl6pPr marL="285750" indent="-57150" algn="ctr">
            <a:defRPr sz="800"/>
          </a:lvl6pPr>
          <a:lvl7pPr marL="342900" indent="-57150" algn="ctr">
            <a:defRPr sz="800"/>
          </a:lvl7pPr>
          <a:lvl8pPr marL="400050" indent="-57150" algn="ctr">
            <a:defRPr sz="800"/>
          </a:lvl8pPr>
          <a:lvl9pPr marL="457200" indent="-57150" algn="ctr">
            <a:defRPr sz="800"/>
          </a:lvl9pPr>
        </a:lstStyle>
        <a:p>
          <a:pPr lvl="0">
            <a:lnSpc>
              <a:spcPct val="100000"/>
            </a:lnSpc>
            <a:spcBef>
              <a:spcPct val="0"/>
            </a:spcBef>
            <a:spcAft>
              <a:spcPct val="35000"/>
            </a:spcAft>
          </a:pPr>
          <a:endParaRPr lang="zh-CN" altLang="en-US">
            <a:solidFill>
              <a:schemeClr val="dk1"/>
            </a:solidFill>
          </a:endParaRPr>
        </a:p>
      </dsp:txBody>
      <dsp:txXfrm rot="6480000">
        <a:off x="3480567" y="1554327"/>
        <a:ext cx="213837" cy="272339"/>
      </dsp:txXfrm>
    </dsp:sp>
    <dsp:sp modelId="{2B97B921-5585-2345-97B1-4CEC626E5690}">
      <dsp:nvSpPr>
        <dsp:cNvPr id="7" name="椭圆 6"/>
        <dsp:cNvSpPr/>
      </dsp:nvSpPr>
      <dsp:spPr bwMode="white">
        <a:xfrm>
          <a:off x="2997003" y="1862609"/>
          <a:ext cx="806931" cy="806931"/>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自动化脚本稳定性下降</a:t>
          </a:r>
          <a:endParaRPr>
            <a:solidFill>
              <a:schemeClr val="dk1"/>
            </a:solidFill>
          </a:endParaRPr>
        </a:p>
      </dsp:txBody>
      <dsp:txXfrm>
        <a:off x="2997003" y="1862609"/>
        <a:ext cx="806931" cy="806931"/>
      </dsp:txXfrm>
    </dsp:sp>
    <dsp:sp modelId="{AA30A15C-1644-4B44-B4BD-D89F90CEE3D6}">
      <dsp:nvSpPr>
        <dsp:cNvPr id="8" name="右箭头 7"/>
        <dsp:cNvSpPr/>
      </dsp:nvSpPr>
      <dsp:spPr bwMode="white">
        <a:xfrm rot="10800000">
          <a:off x="2688352" y="2129905"/>
          <a:ext cx="213837" cy="272339"/>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10800000" lIns="0" tIns="0" rIns="0" bIns="0" anchor="ctr"/>
        <a:lstStyle>
          <a:lvl1pPr algn="ctr">
            <a:defRPr sz="1000"/>
          </a:lvl1pPr>
          <a:lvl2pPr marL="57150" indent="-57150" algn="ctr">
            <a:defRPr sz="800"/>
          </a:lvl2pPr>
          <a:lvl3pPr marL="114300" indent="-57150" algn="ctr">
            <a:defRPr sz="800"/>
          </a:lvl3pPr>
          <a:lvl4pPr marL="171450" indent="-57150" algn="ctr">
            <a:defRPr sz="800"/>
          </a:lvl4pPr>
          <a:lvl5pPr marL="228600" indent="-57150" algn="ctr">
            <a:defRPr sz="800"/>
          </a:lvl5pPr>
          <a:lvl6pPr marL="285750" indent="-57150" algn="ctr">
            <a:defRPr sz="800"/>
          </a:lvl6pPr>
          <a:lvl7pPr marL="342900" indent="-57150" algn="ctr">
            <a:defRPr sz="800"/>
          </a:lvl7pPr>
          <a:lvl8pPr marL="400050" indent="-57150" algn="ctr">
            <a:defRPr sz="800"/>
          </a:lvl8pPr>
          <a:lvl9pPr marL="457200" indent="-57150" algn="ctr">
            <a:defRPr sz="800"/>
          </a:lvl9pPr>
        </a:lstStyle>
        <a:p>
          <a:pPr lvl="0">
            <a:lnSpc>
              <a:spcPct val="100000"/>
            </a:lnSpc>
            <a:spcBef>
              <a:spcPct val="0"/>
            </a:spcBef>
            <a:spcAft>
              <a:spcPct val="35000"/>
            </a:spcAft>
          </a:pPr>
          <a:endParaRPr lang="zh-CN" altLang="en-US">
            <a:solidFill>
              <a:schemeClr val="dk1"/>
            </a:solidFill>
          </a:endParaRPr>
        </a:p>
      </dsp:txBody>
      <dsp:txXfrm rot="10800000">
        <a:off x="2688352" y="2129905"/>
        <a:ext cx="213837" cy="272339"/>
      </dsp:txXfrm>
    </dsp:sp>
    <dsp:sp modelId="{7421665C-3B88-E84B-B121-588830DEEA0D}">
      <dsp:nvSpPr>
        <dsp:cNvPr id="9" name="椭圆 8"/>
        <dsp:cNvSpPr/>
      </dsp:nvSpPr>
      <dsp:spPr bwMode="white">
        <a:xfrm>
          <a:off x="1786606" y="1862609"/>
          <a:ext cx="806931" cy="806931"/>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人工干预与临时修补增多</a:t>
          </a:r>
          <a:endParaRPr>
            <a:solidFill>
              <a:schemeClr val="dk1"/>
            </a:solidFill>
          </a:endParaRPr>
        </a:p>
      </dsp:txBody>
      <dsp:txXfrm>
        <a:off x="1786606" y="1862609"/>
        <a:ext cx="806931" cy="806931"/>
      </dsp:txXfrm>
    </dsp:sp>
    <dsp:sp modelId="{F95E42B2-4F2B-244C-84BB-B1DB7454A29E}">
      <dsp:nvSpPr>
        <dsp:cNvPr id="10" name="右箭头 9"/>
        <dsp:cNvSpPr/>
      </dsp:nvSpPr>
      <dsp:spPr bwMode="white">
        <a:xfrm rot="15120000">
          <a:off x="1896137" y="1554327"/>
          <a:ext cx="213837" cy="272339"/>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10800000" lIns="0" tIns="0" rIns="0" bIns="0" anchor="ctr"/>
        <a:lstStyle>
          <a:lvl1pPr algn="ctr">
            <a:defRPr sz="1000"/>
          </a:lvl1pPr>
          <a:lvl2pPr marL="57150" indent="-57150" algn="ctr">
            <a:defRPr sz="800"/>
          </a:lvl2pPr>
          <a:lvl3pPr marL="114300" indent="-57150" algn="ctr">
            <a:defRPr sz="800"/>
          </a:lvl3pPr>
          <a:lvl4pPr marL="171450" indent="-57150" algn="ctr">
            <a:defRPr sz="800"/>
          </a:lvl4pPr>
          <a:lvl5pPr marL="228600" indent="-57150" algn="ctr">
            <a:defRPr sz="800"/>
          </a:lvl5pPr>
          <a:lvl6pPr marL="285750" indent="-57150" algn="ctr">
            <a:defRPr sz="800"/>
          </a:lvl6pPr>
          <a:lvl7pPr marL="342900" indent="-57150" algn="ctr">
            <a:defRPr sz="800"/>
          </a:lvl7pPr>
          <a:lvl8pPr marL="400050" indent="-57150" algn="ctr">
            <a:defRPr sz="800"/>
          </a:lvl8pPr>
          <a:lvl9pPr marL="457200" indent="-57150" algn="ctr">
            <a:defRPr sz="800"/>
          </a:lvl9pPr>
        </a:lstStyle>
        <a:p>
          <a:pPr lvl="0">
            <a:lnSpc>
              <a:spcPct val="100000"/>
            </a:lnSpc>
            <a:spcBef>
              <a:spcPct val="0"/>
            </a:spcBef>
            <a:spcAft>
              <a:spcPct val="35000"/>
            </a:spcAft>
          </a:pPr>
          <a:endParaRPr lang="zh-CN" altLang="en-US">
            <a:solidFill>
              <a:schemeClr val="dk1"/>
            </a:solidFill>
          </a:endParaRPr>
        </a:p>
      </dsp:txBody>
      <dsp:txXfrm rot="15120000">
        <a:off x="1896137" y="1554327"/>
        <a:ext cx="213837" cy="272339"/>
      </dsp:txXfrm>
    </dsp:sp>
    <dsp:sp modelId="{46640A7A-0CC5-CC45-BE19-E882A92AA475}">
      <dsp:nvSpPr>
        <dsp:cNvPr id="11" name="椭圆 10"/>
        <dsp:cNvSpPr/>
      </dsp:nvSpPr>
      <dsp:spPr bwMode="white">
        <a:xfrm>
          <a:off x="1412573" y="711453"/>
          <a:ext cx="806931" cy="806931"/>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生成新的非标准化配置与债务</a:t>
          </a:r>
          <a:endParaRPr>
            <a:solidFill>
              <a:schemeClr val="dk1"/>
            </a:solidFill>
          </a:endParaRPr>
        </a:p>
      </dsp:txBody>
      <dsp:txXfrm>
        <a:off x="1412573" y="711453"/>
        <a:ext cx="806931" cy="806931"/>
      </dsp:txXfrm>
    </dsp:sp>
    <dsp:sp modelId="{5D926B25-A89C-C74B-951D-C19533E52A4C}">
      <dsp:nvSpPr>
        <dsp:cNvPr id="12" name="右箭头 11"/>
        <dsp:cNvSpPr/>
      </dsp:nvSpPr>
      <dsp:spPr bwMode="white">
        <a:xfrm rot="-2159999">
          <a:off x="2198736" y="623023"/>
          <a:ext cx="213837" cy="272339"/>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1000"/>
          </a:lvl1pPr>
          <a:lvl2pPr marL="57150" indent="-57150" algn="ctr">
            <a:defRPr sz="800"/>
          </a:lvl2pPr>
          <a:lvl3pPr marL="114300" indent="-57150" algn="ctr">
            <a:defRPr sz="800"/>
          </a:lvl3pPr>
          <a:lvl4pPr marL="171450" indent="-57150" algn="ctr">
            <a:defRPr sz="800"/>
          </a:lvl4pPr>
          <a:lvl5pPr marL="228600" indent="-57150" algn="ctr">
            <a:defRPr sz="800"/>
          </a:lvl5pPr>
          <a:lvl6pPr marL="285750" indent="-57150" algn="ctr">
            <a:defRPr sz="800"/>
          </a:lvl6pPr>
          <a:lvl7pPr marL="342900" indent="-57150" algn="ctr">
            <a:defRPr sz="800"/>
          </a:lvl7pPr>
          <a:lvl8pPr marL="400050" indent="-57150" algn="ctr">
            <a:defRPr sz="800"/>
          </a:lvl8pPr>
          <a:lvl9pPr marL="457200" indent="-57150" algn="ctr">
            <a:defRPr sz="800"/>
          </a:lvl9pPr>
        </a:lstStyle>
        <a:p>
          <a:pPr lvl="0">
            <a:lnSpc>
              <a:spcPct val="100000"/>
            </a:lnSpc>
            <a:spcBef>
              <a:spcPct val="0"/>
            </a:spcBef>
            <a:spcAft>
              <a:spcPct val="35000"/>
            </a:spcAft>
          </a:pPr>
          <a:endParaRPr lang="zh-CN" altLang="en-US">
            <a:solidFill>
              <a:schemeClr val="dk1"/>
            </a:solidFill>
          </a:endParaRPr>
        </a:p>
      </dsp:txBody>
      <dsp:txXfrm rot="-2159999">
        <a:off x="2198736" y="623023"/>
        <a:ext cx="213837" cy="272339"/>
      </dsp:txXfrm>
    </dsp:sp>
  </dsp:spTree>
</dsp:drawing>
</file>

<file path=word/diagrams/drawing19.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4897120" cy="1589405"/>
        <a:chOff x="0" y="0"/>
        <a:chExt cx="4897120" cy="1589405"/>
      </a:xfrm>
    </dsp:grpSpPr>
    <dsp:sp modelId="{30FEA6B3-2953-1C42-977A-4EB7A9764FF1}">
      <dsp:nvSpPr>
        <dsp:cNvPr id="3" name="L 形 2"/>
        <dsp:cNvSpPr/>
      </dsp:nvSpPr>
      <dsp:spPr bwMode="white">
        <a:xfrm rot="5400000">
          <a:off x="524270" y="904873"/>
          <a:ext cx="377365" cy="627927"/>
        </a:xfrm>
        <a:prstGeom prst="corner">
          <a:avLst>
            <a:gd name="adj1" fmla="val 16120"/>
            <a:gd name="adj2" fmla="val 16110"/>
          </a:avLst>
        </a:prstGeom>
      </dsp:spPr>
      <dsp:style>
        <a:lnRef idx="1">
          <a:schemeClr val="dk1">
            <a:shade val="80000"/>
          </a:schemeClr>
        </a:lnRef>
        <a:fillRef idx="2">
          <a:schemeClr val="lt1"/>
        </a:fillRef>
        <a:effectRef idx="1">
          <a:scrgbClr r="0" g="0" b="0"/>
        </a:effectRef>
        <a:fontRef idx="minor">
          <a:schemeClr val="dk1"/>
        </a:fontRef>
      </dsp:style>
      <dsp:txXfrm rot="5400000">
        <a:off x="524270" y="904873"/>
        <a:ext cx="377365" cy="627927"/>
      </dsp:txXfrm>
    </dsp:sp>
    <dsp:sp modelId="{DD9AB21F-86C4-3349-8AE2-7FAC904BC4D6}">
      <dsp:nvSpPr>
        <dsp:cNvPr id="4" name="矩形 3"/>
        <dsp:cNvSpPr/>
      </dsp:nvSpPr>
      <dsp:spPr bwMode="white">
        <a:xfrm>
          <a:off x="461279" y="1092488"/>
          <a:ext cx="566896" cy="496917"/>
        </a:xfrm>
        <a:prstGeom prst="rect">
          <a:avLst/>
        </a:prstGeom>
      </dsp:spPr>
      <dsp:style>
        <a:lnRef idx="0">
          <a:schemeClr val="dk1">
            <a:alpha val="0"/>
          </a:schemeClr>
        </a:lnRef>
        <a:fillRef idx="0">
          <a:schemeClr val="lt1">
            <a:alpha val="0"/>
          </a:schemeClr>
        </a:fillRef>
        <a:effectRef idx="0">
          <a:scrgbClr r="0" g="0" b="0"/>
        </a:effectRef>
        <a:fontRef idx="minor"/>
      </dsp:style>
      <dsp:txBody>
        <a:bodyPr lIns="38100" tIns="38100" rIns="38100" bIns="38100" anchor="t"/>
        <a:lstStyle>
          <a:lvl1pPr algn="l">
            <a:defRPr sz="6500"/>
          </a:lvl1pPr>
          <a:lvl2pPr marL="285750" indent="-285750" algn="l">
            <a:defRPr sz="5000"/>
          </a:lvl2pPr>
          <a:lvl3pPr marL="571500" indent="-285750" algn="l">
            <a:defRPr sz="5000"/>
          </a:lvl3pPr>
          <a:lvl4pPr marL="857250" indent="-285750" algn="l">
            <a:defRPr sz="5000"/>
          </a:lvl4pPr>
          <a:lvl5pPr marL="1143000" indent="-285750" algn="l">
            <a:defRPr sz="5000"/>
          </a:lvl5pPr>
          <a:lvl6pPr marL="1428750" indent="-285750" algn="l">
            <a:defRPr sz="5000"/>
          </a:lvl6pPr>
          <a:lvl7pPr marL="1714500" indent="-285750" algn="l">
            <a:defRPr sz="5000"/>
          </a:lvl7pPr>
          <a:lvl8pPr marL="2000250" indent="-285750" algn="l">
            <a:defRPr sz="5000"/>
          </a:lvl8pPr>
          <a:lvl9pPr marL="2286000" indent="-285750" algn="l">
            <a:defRPr sz="5000"/>
          </a:lvl9pPr>
        </a:lstStyle>
        <a:p>
          <a:pPr lvl="0">
            <a:lnSpc>
              <a:spcPct val="100000"/>
            </a:lnSpc>
            <a:spcBef>
              <a:spcPct val="0"/>
            </a:spcBef>
            <a:spcAft>
              <a:spcPct val="35000"/>
            </a:spcAft>
          </a:pPr>
          <a:r>
            <a:rPr lang="zh-CN" altLang="en-US" sz="1050" baseline="0">
              <a:solidFill>
                <a:schemeClr val="tx1"/>
              </a:solidFill>
              <a:ea typeface="宋体" panose="02010600030101010101" charset="-122"/>
            </a:rPr>
            <a:t>监控自动化</a:t>
          </a:r>
          <a:endParaRPr>
            <a:solidFill>
              <a:schemeClr val="tx1"/>
            </a:solidFill>
          </a:endParaRPr>
        </a:p>
      </dsp:txBody>
      <dsp:txXfrm>
        <a:off x="461279" y="1092488"/>
        <a:ext cx="566896" cy="496917"/>
      </dsp:txXfrm>
    </dsp:sp>
    <dsp:sp modelId="{49E3E1DD-CBBA-F34F-849D-B6EA070C2492}">
      <dsp:nvSpPr>
        <dsp:cNvPr id="5" name="等腰三角形 4"/>
        <dsp:cNvSpPr/>
      </dsp:nvSpPr>
      <dsp:spPr bwMode="white">
        <a:xfrm>
          <a:off x="921213" y="858644"/>
          <a:ext cx="106961" cy="106961"/>
        </a:xfrm>
        <a:prstGeom prst="triangle">
          <a:avLst>
            <a:gd name="adj" fmla="val 100000"/>
          </a:avLst>
        </a:prstGeom>
      </dsp:spPr>
      <dsp:style>
        <a:lnRef idx="1">
          <a:schemeClr val="dk1">
            <a:shade val="80000"/>
          </a:schemeClr>
        </a:lnRef>
        <a:fillRef idx="2">
          <a:schemeClr val="lt1"/>
        </a:fillRef>
        <a:effectRef idx="1">
          <a:scrgbClr r="0" g="0" b="0"/>
        </a:effectRef>
        <a:fontRef idx="minor">
          <a:schemeClr val="dk1"/>
        </a:fontRef>
      </dsp:style>
      <dsp:txXfrm>
        <a:off x="921213" y="858644"/>
        <a:ext cx="106961" cy="106961"/>
      </dsp:txXfrm>
    </dsp:sp>
    <dsp:sp modelId="{A6AF5F12-90F7-7343-92A0-1606318AE725}">
      <dsp:nvSpPr>
        <dsp:cNvPr id="6" name="L 形 5"/>
        <dsp:cNvSpPr/>
      </dsp:nvSpPr>
      <dsp:spPr bwMode="white">
        <a:xfrm rot="5400000">
          <a:off x="1218262" y="733144"/>
          <a:ext cx="377365" cy="627927"/>
        </a:xfrm>
        <a:prstGeom prst="corner">
          <a:avLst>
            <a:gd name="adj1" fmla="val 16120"/>
            <a:gd name="adj2" fmla="val 16110"/>
          </a:avLst>
        </a:prstGeom>
      </dsp:spPr>
      <dsp:style>
        <a:lnRef idx="1">
          <a:schemeClr val="dk1">
            <a:shade val="80000"/>
          </a:schemeClr>
        </a:lnRef>
        <a:fillRef idx="2">
          <a:schemeClr val="lt1"/>
        </a:fillRef>
        <a:effectRef idx="1">
          <a:scrgbClr r="0" g="0" b="0"/>
        </a:effectRef>
        <a:fontRef idx="minor">
          <a:schemeClr val="dk1"/>
        </a:fontRef>
      </dsp:style>
      <dsp:txXfrm rot="5400000">
        <a:off x="1218262" y="733144"/>
        <a:ext cx="377365" cy="627927"/>
      </dsp:txXfrm>
    </dsp:sp>
    <dsp:sp modelId="{E171FF5C-C0BF-474A-8093-474D2E26B0A2}">
      <dsp:nvSpPr>
        <dsp:cNvPr id="7" name="矩形 6"/>
        <dsp:cNvSpPr/>
      </dsp:nvSpPr>
      <dsp:spPr bwMode="white">
        <a:xfrm>
          <a:off x="1155270" y="920759"/>
          <a:ext cx="566896" cy="496917"/>
        </a:xfrm>
        <a:prstGeom prst="rect">
          <a:avLst/>
        </a:prstGeom>
      </dsp:spPr>
      <dsp:style>
        <a:lnRef idx="0">
          <a:schemeClr val="dk1">
            <a:alpha val="0"/>
          </a:schemeClr>
        </a:lnRef>
        <a:fillRef idx="0">
          <a:schemeClr val="lt1">
            <a:alpha val="0"/>
          </a:schemeClr>
        </a:fillRef>
        <a:effectRef idx="0">
          <a:scrgbClr r="0" g="0" b="0"/>
        </a:effectRef>
        <a:fontRef idx="minor"/>
      </dsp:style>
      <dsp:txBody>
        <a:bodyPr lIns="38100" tIns="38100" rIns="38100" bIns="38100" anchor="t"/>
        <a:lstStyle>
          <a:lvl1pPr algn="l">
            <a:defRPr sz="6500"/>
          </a:lvl1pPr>
          <a:lvl2pPr marL="285750" indent="-285750" algn="l">
            <a:defRPr sz="5000"/>
          </a:lvl2pPr>
          <a:lvl3pPr marL="571500" indent="-285750" algn="l">
            <a:defRPr sz="5000"/>
          </a:lvl3pPr>
          <a:lvl4pPr marL="857250" indent="-285750" algn="l">
            <a:defRPr sz="5000"/>
          </a:lvl4pPr>
          <a:lvl5pPr marL="1143000" indent="-285750" algn="l">
            <a:defRPr sz="5000"/>
          </a:lvl5pPr>
          <a:lvl6pPr marL="1428750" indent="-285750" algn="l">
            <a:defRPr sz="5000"/>
          </a:lvl6pPr>
          <a:lvl7pPr marL="1714500" indent="-285750" algn="l">
            <a:defRPr sz="5000"/>
          </a:lvl7pPr>
          <a:lvl8pPr marL="2000250" indent="-285750" algn="l">
            <a:defRPr sz="5000"/>
          </a:lvl8pPr>
          <a:lvl9pPr marL="2286000" indent="-285750" algn="l">
            <a:defRPr sz="5000"/>
          </a:lvl9pPr>
        </a:lstStyle>
        <a:p>
          <a:pPr lvl="0">
            <a:lnSpc>
              <a:spcPct val="100000"/>
            </a:lnSpc>
            <a:spcBef>
              <a:spcPct val="0"/>
            </a:spcBef>
            <a:spcAft>
              <a:spcPct val="35000"/>
            </a:spcAft>
          </a:pPr>
          <a:r>
            <a:rPr lang="zh-CN" altLang="en-US" sz="1050" baseline="0">
              <a:solidFill>
                <a:schemeClr val="tx1"/>
              </a:solidFill>
              <a:ea typeface="宋体" panose="02010600030101010101" charset="-122"/>
            </a:rPr>
            <a:t>异常检测</a:t>
          </a:r>
          <a:endParaRPr>
            <a:solidFill>
              <a:schemeClr val="tx1"/>
            </a:solidFill>
          </a:endParaRPr>
        </a:p>
      </dsp:txBody>
      <dsp:txXfrm>
        <a:off x="1155270" y="920759"/>
        <a:ext cx="566896" cy="496917"/>
      </dsp:txXfrm>
    </dsp:sp>
    <dsp:sp modelId="{B2C9CF5F-E294-6E42-9B5D-953154E2DF58}">
      <dsp:nvSpPr>
        <dsp:cNvPr id="8" name="等腰三角形 7"/>
        <dsp:cNvSpPr/>
      </dsp:nvSpPr>
      <dsp:spPr bwMode="white">
        <a:xfrm>
          <a:off x="1615204" y="686915"/>
          <a:ext cx="106961" cy="106961"/>
        </a:xfrm>
        <a:prstGeom prst="triangle">
          <a:avLst>
            <a:gd name="adj" fmla="val 100000"/>
          </a:avLst>
        </a:prstGeom>
      </dsp:spPr>
      <dsp:style>
        <a:lnRef idx="1">
          <a:schemeClr val="dk1">
            <a:shade val="80000"/>
          </a:schemeClr>
        </a:lnRef>
        <a:fillRef idx="2">
          <a:schemeClr val="lt1"/>
        </a:fillRef>
        <a:effectRef idx="1">
          <a:scrgbClr r="0" g="0" b="0"/>
        </a:effectRef>
        <a:fontRef idx="minor">
          <a:schemeClr val="dk1"/>
        </a:fontRef>
      </dsp:style>
      <dsp:txXfrm>
        <a:off x="1615204" y="686915"/>
        <a:ext cx="106961" cy="106961"/>
      </dsp:txXfrm>
    </dsp:sp>
    <dsp:sp modelId="{408FEAB1-5D7C-EA44-8F4E-8DBB82F5F023}">
      <dsp:nvSpPr>
        <dsp:cNvPr id="9" name="L 形 8"/>
        <dsp:cNvSpPr/>
      </dsp:nvSpPr>
      <dsp:spPr bwMode="white">
        <a:xfrm rot="5400000">
          <a:off x="1912253" y="561415"/>
          <a:ext cx="377365" cy="627927"/>
        </a:xfrm>
        <a:prstGeom prst="corner">
          <a:avLst>
            <a:gd name="adj1" fmla="val 16120"/>
            <a:gd name="adj2" fmla="val 16110"/>
          </a:avLst>
        </a:prstGeom>
      </dsp:spPr>
      <dsp:style>
        <a:lnRef idx="1">
          <a:schemeClr val="dk1">
            <a:shade val="80000"/>
          </a:schemeClr>
        </a:lnRef>
        <a:fillRef idx="2">
          <a:schemeClr val="lt1"/>
        </a:fillRef>
        <a:effectRef idx="1">
          <a:scrgbClr r="0" g="0" b="0"/>
        </a:effectRef>
        <a:fontRef idx="minor">
          <a:schemeClr val="dk1"/>
        </a:fontRef>
      </dsp:style>
      <dsp:txXfrm rot="5400000">
        <a:off x="1912253" y="561415"/>
        <a:ext cx="377365" cy="627927"/>
      </dsp:txXfrm>
    </dsp:sp>
    <dsp:sp modelId="{0635BBCE-E0BE-2A49-A4A4-FD684242D882}">
      <dsp:nvSpPr>
        <dsp:cNvPr id="10" name="矩形 9"/>
        <dsp:cNvSpPr/>
      </dsp:nvSpPr>
      <dsp:spPr bwMode="white">
        <a:xfrm>
          <a:off x="1849261" y="749030"/>
          <a:ext cx="566896" cy="496917"/>
        </a:xfrm>
        <a:prstGeom prst="rect">
          <a:avLst/>
        </a:prstGeom>
      </dsp:spPr>
      <dsp:style>
        <a:lnRef idx="0">
          <a:schemeClr val="dk1">
            <a:alpha val="0"/>
          </a:schemeClr>
        </a:lnRef>
        <a:fillRef idx="0">
          <a:schemeClr val="lt1">
            <a:alpha val="0"/>
          </a:schemeClr>
        </a:fillRef>
        <a:effectRef idx="0">
          <a:scrgbClr r="0" g="0" b="0"/>
        </a:effectRef>
        <a:fontRef idx="minor"/>
      </dsp:style>
      <dsp:txBody>
        <a:bodyPr lIns="38100" tIns="38100" rIns="38100" bIns="38100" anchor="t"/>
        <a:lstStyle>
          <a:lvl1pPr algn="l">
            <a:defRPr sz="6500"/>
          </a:lvl1pPr>
          <a:lvl2pPr marL="285750" indent="-285750" algn="l">
            <a:defRPr sz="5000"/>
          </a:lvl2pPr>
          <a:lvl3pPr marL="571500" indent="-285750" algn="l">
            <a:defRPr sz="5000"/>
          </a:lvl3pPr>
          <a:lvl4pPr marL="857250" indent="-285750" algn="l">
            <a:defRPr sz="5000"/>
          </a:lvl4pPr>
          <a:lvl5pPr marL="1143000" indent="-285750" algn="l">
            <a:defRPr sz="5000"/>
          </a:lvl5pPr>
          <a:lvl6pPr marL="1428750" indent="-285750" algn="l">
            <a:defRPr sz="5000"/>
          </a:lvl6pPr>
          <a:lvl7pPr marL="1714500" indent="-285750" algn="l">
            <a:defRPr sz="5000"/>
          </a:lvl7pPr>
          <a:lvl8pPr marL="2000250" indent="-285750" algn="l">
            <a:defRPr sz="5000"/>
          </a:lvl8pPr>
          <a:lvl9pPr marL="2286000" indent="-285750" algn="l">
            <a:defRPr sz="5000"/>
          </a:lvl9pPr>
        </a:lstStyle>
        <a:p>
          <a:pPr lvl="0">
            <a:lnSpc>
              <a:spcPct val="100000"/>
            </a:lnSpc>
            <a:spcBef>
              <a:spcPct val="0"/>
            </a:spcBef>
            <a:spcAft>
              <a:spcPct val="35000"/>
            </a:spcAft>
          </a:pPr>
          <a:r>
            <a:rPr lang="zh-CN" altLang="en-US" sz="1050" baseline="0">
              <a:solidFill>
                <a:schemeClr val="tx1"/>
              </a:solidFill>
              <a:ea typeface="宋体" panose="02010600030101010101" charset="-122"/>
            </a:rPr>
            <a:t>预测分析</a:t>
          </a:r>
          <a:endParaRPr>
            <a:solidFill>
              <a:schemeClr val="tx1"/>
            </a:solidFill>
          </a:endParaRPr>
        </a:p>
      </dsp:txBody>
      <dsp:txXfrm>
        <a:off x="1849261" y="749030"/>
        <a:ext cx="566896" cy="496917"/>
      </dsp:txXfrm>
    </dsp:sp>
    <dsp:sp modelId="{2BBD2B66-4B84-BC41-AAA9-CF8FF9082A96}">
      <dsp:nvSpPr>
        <dsp:cNvPr id="11" name="等腰三角形 10"/>
        <dsp:cNvSpPr/>
      </dsp:nvSpPr>
      <dsp:spPr bwMode="white">
        <a:xfrm>
          <a:off x="2309195" y="515186"/>
          <a:ext cx="106961" cy="106961"/>
        </a:xfrm>
        <a:prstGeom prst="triangle">
          <a:avLst>
            <a:gd name="adj" fmla="val 100000"/>
          </a:avLst>
        </a:prstGeom>
      </dsp:spPr>
      <dsp:style>
        <a:lnRef idx="1">
          <a:schemeClr val="dk1">
            <a:shade val="80000"/>
          </a:schemeClr>
        </a:lnRef>
        <a:fillRef idx="2">
          <a:schemeClr val="lt1"/>
        </a:fillRef>
        <a:effectRef idx="1">
          <a:scrgbClr r="0" g="0" b="0"/>
        </a:effectRef>
        <a:fontRef idx="minor">
          <a:schemeClr val="dk1"/>
        </a:fontRef>
      </dsp:style>
      <dsp:txXfrm>
        <a:off x="2309195" y="515186"/>
        <a:ext cx="106961" cy="106961"/>
      </dsp:txXfrm>
    </dsp:sp>
    <dsp:sp modelId="{58B231AD-FAA2-FE4F-9F51-F3DC451F6A82}">
      <dsp:nvSpPr>
        <dsp:cNvPr id="12" name="L 形 11"/>
        <dsp:cNvSpPr/>
      </dsp:nvSpPr>
      <dsp:spPr bwMode="white">
        <a:xfrm rot="5400000">
          <a:off x="2606244" y="389686"/>
          <a:ext cx="377365" cy="627927"/>
        </a:xfrm>
        <a:prstGeom prst="corner">
          <a:avLst>
            <a:gd name="adj1" fmla="val 16120"/>
            <a:gd name="adj2" fmla="val 16110"/>
          </a:avLst>
        </a:prstGeom>
      </dsp:spPr>
      <dsp:style>
        <a:lnRef idx="1">
          <a:schemeClr val="dk1">
            <a:shade val="80000"/>
          </a:schemeClr>
        </a:lnRef>
        <a:fillRef idx="2">
          <a:schemeClr val="lt1"/>
        </a:fillRef>
        <a:effectRef idx="1">
          <a:scrgbClr r="0" g="0" b="0"/>
        </a:effectRef>
        <a:fontRef idx="minor">
          <a:schemeClr val="dk1"/>
        </a:fontRef>
      </dsp:style>
      <dsp:txXfrm rot="5400000">
        <a:off x="2606244" y="389686"/>
        <a:ext cx="377365" cy="627927"/>
      </dsp:txXfrm>
    </dsp:sp>
    <dsp:sp modelId="{CE45CAA6-4AEC-BF48-AFB1-ACBC1B375436}">
      <dsp:nvSpPr>
        <dsp:cNvPr id="13" name="矩形 12"/>
        <dsp:cNvSpPr/>
      </dsp:nvSpPr>
      <dsp:spPr bwMode="white">
        <a:xfrm>
          <a:off x="2543252" y="577301"/>
          <a:ext cx="566896" cy="496917"/>
        </a:xfrm>
        <a:prstGeom prst="rect">
          <a:avLst/>
        </a:prstGeom>
      </dsp:spPr>
      <dsp:style>
        <a:lnRef idx="0">
          <a:schemeClr val="dk1">
            <a:alpha val="0"/>
          </a:schemeClr>
        </a:lnRef>
        <a:fillRef idx="0">
          <a:schemeClr val="lt1">
            <a:alpha val="0"/>
          </a:schemeClr>
        </a:fillRef>
        <a:effectRef idx="0">
          <a:scrgbClr r="0" g="0" b="0"/>
        </a:effectRef>
        <a:fontRef idx="minor"/>
      </dsp:style>
      <dsp:txBody>
        <a:bodyPr lIns="38100" tIns="38100" rIns="38100" bIns="38100" anchor="t"/>
        <a:lstStyle>
          <a:lvl1pPr algn="l">
            <a:defRPr sz="6500"/>
          </a:lvl1pPr>
          <a:lvl2pPr marL="285750" indent="-285750" algn="l">
            <a:defRPr sz="5000"/>
          </a:lvl2pPr>
          <a:lvl3pPr marL="571500" indent="-285750" algn="l">
            <a:defRPr sz="5000"/>
          </a:lvl3pPr>
          <a:lvl4pPr marL="857250" indent="-285750" algn="l">
            <a:defRPr sz="5000"/>
          </a:lvl4pPr>
          <a:lvl5pPr marL="1143000" indent="-285750" algn="l">
            <a:defRPr sz="5000"/>
          </a:lvl5pPr>
          <a:lvl6pPr marL="1428750" indent="-285750" algn="l">
            <a:defRPr sz="5000"/>
          </a:lvl6pPr>
          <a:lvl7pPr marL="1714500" indent="-285750" algn="l">
            <a:defRPr sz="5000"/>
          </a:lvl7pPr>
          <a:lvl8pPr marL="2000250" indent="-285750" algn="l">
            <a:defRPr sz="5000"/>
          </a:lvl8pPr>
          <a:lvl9pPr marL="2286000" indent="-285750" algn="l">
            <a:defRPr sz="5000"/>
          </a:lvl9pPr>
        </a:lstStyle>
        <a:p>
          <a:pPr lvl="0">
            <a:lnSpc>
              <a:spcPct val="100000"/>
            </a:lnSpc>
            <a:spcBef>
              <a:spcPct val="0"/>
            </a:spcBef>
            <a:spcAft>
              <a:spcPct val="35000"/>
            </a:spcAft>
          </a:pPr>
          <a:r>
            <a:rPr lang="zh-CN" altLang="en-US" sz="1050" baseline="0">
              <a:solidFill>
                <a:schemeClr val="tx1"/>
              </a:solidFill>
              <a:ea typeface="宋体" panose="02010600030101010101" charset="-122"/>
            </a:rPr>
            <a:t>智能调度</a:t>
          </a:r>
          <a:endParaRPr>
            <a:solidFill>
              <a:schemeClr val="tx1"/>
            </a:solidFill>
          </a:endParaRPr>
        </a:p>
      </dsp:txBody>
      <dsp:txXfrm>
        <a:off x="2543252" y="577301"/>
        <a:ext cx="566896" cy="496917"/>
      </dsp:txXfrm>
    </dsp:sp>
    <dsp:sp modelId="{6683A97B-F8BE-C947-8437-70FD3DEEE688}">
      <dsp:nvSpPr>
        <dsp:cNvPr id="14" name="等腰三角形 13"/>
        <dsp:cNvSpPr/>
      </dsp:nvSpPr>
      <dsp:spPr bwMode="white">
        <a:xfrm>
          <a:off x="3003187" y="343458"/>
          <a:ext cx="106961" cy="106961"/>
        </a:xfrm>
        <a:prstGeom prst="triangle">
          <a:avLst>
            <a:gd name="adj" fmla="val 100000"/>
          </a:avLst>
        </a:prstGeom>
      </dsp:spPr>
      <dsp:style>
        <a:lnRef idx="1">
          <a:schemeClr val="dk1">
            <a:shade val="80000"/>
          </a:schemeClr>
        </a:lnRef>
        <a:fillRef idx="2">
          <a:schemeClr val="lt1"/>
        </a:fillRef>
        <a:effectRef idx="1">
          <a:scrgbClr r="0" g="0" b="0"/>
        </a:effectRef>
        <a:fontRef idx="minor">
          <a:schemeClr val="dk1"/>
        </a:fontRef>
      </dsp:style>
      <dsp:txXfrm>
        <a:off x="3003187" y="343458"/>
        <a:ext cx="106961" cy="106961"/>
      </dsp:txXfrm>
    </dsp:sp>
    <dsp:sp modelId="{E5800C81-144A-FE4A-8A96-BCFD48A5AF0D}">
      <dsp:nvSpPr>
        <dsp:cNvPr id="15" name="L 形 14"/>
        <dsp:cNvSpPr/>
      </dsp:nvSpPr>
      <dsp:spPr bwMode="white">
        <a:xfrm rot="5400000">
          <a:off x="3300235" y="217957"/>
          <a:ext cx="377365" cy="627927"/>
        </a:xfrm>
        <a:prstGeom prst="corner">
          <a:avLst>
            <a:gd name="adj1" fmla="val 16120"/>
            <a:gd name="adj2" fmla="val 16110"/>
          </a:avLst>
        </a:prstGeom>
      </dsp:spPr>
      <dsp:style>
        <a:lnRef idx="1">
          <a:schemeClr val="dk1">
            <a:shade val="80000"/>
          </a:schemeClr>
        </a:lnRef>
        <a:fillRef idx="2">
          <a:schemeClr val="lt1"/>
        </a:fillRef>
        <a:effectRef idx="1">
          <a:scrgbClr r="0" g="0" b="0"/>
        </a:effectRef>
        <a:fontRef idx="minor">
          <a:schemeClr val="dk1"/>
        </a:fontRef>
      </dsp:style>
      <dsp:txXfrm rot="5400000">
        <a:off x="3300235" y="217957"/>
        <a:ext cx="377365" cy="627927"/>
      </dsp:txXfrm>
    </dsp:sp>
    <dsp:sp modelId="{541EFEB6-2094-0842-BAA1-8BEB2DF8EF19}">
      <dsp:nvSpPr>
        <dsp:cNvPr id="16" name="矩形 15"/>
        <dsp:cNvSpPr/>
      </dsp:nvSpPr>
      <dsp:spPr bwMode="white">
        <a:xfrm>
          <a:off x="3237244" y="405572"/>
          <a:ext cx="566896" cy="496917"/>
        </a:xfrm>
        <a:prstGeom prst="rect">
          <a:avLst/>
        </a:prstGeom>
      </dsp:spPr>
      <dsp:style>
        <a:lnRef idx="0">
          <a:schemeClr val="dk1">
            <a:alpha val="0"/>
          </a:schemeClr>
        </a:lnRef>
        <a:fillRef idx="0">
          <a:schemeClr val="lt1">
            <a:alpha val="0"/>
          </a:schemeClr>
        </a:fillRef>
        <a:effectRef idx="0">
          <a:scrgbClr r="0" g="0" b="0"/>
        </a:effectRef>
        <a:fontRef idx="minor"/>
      </dsp:style>
      <dsp:txBody>
        <a:bodyPr lIns="38100" tIns="38100" rIns="38100" bIns="38100" anchor="t"/>
        <a:lstStyle>
          <a:lvl1pPr algn="l">
            <a:defRPr sz="6500"/>
          </a:lvl1pPr>
          <a:lvl2pPr marL="285750" indent="-285750" algn="l">
            <a:defRPr sz="5000"/>
          </a:lvl2pPr>
          <a:lvl3pPr marL="571500" indent="-285750" algn="l">
            <a:defRPr sz="5000"/>
          </a:lvl3pPr>
          <a:lvl4pPr marL="857250" indent="-285750" algn="l">
            <a:defRPr sz="5000"/>
          </a:lvl4pPr>
          <a:lvl5pPr marL="1143000" indent="-285750" algn="l">
            <a:defRPr sz="5000"/>
          </a:lvl5pPr>
          <a:lvl6pPr marL="1428750" indent="-285750" algn="l">
            <a:defRPr sz="5000"/>
          </a:lvl6pPr>
          <a:lvl7pPr marL="1714500" indent="-285750" algn="l">
            <a:defRPr sz="5000"/>
          </a:lvl7pPr>
          <a:lvl8pPr marL="2000250" indent="-285750" algn="l">
            <a:defRPr sz="5000"/>
          </a:lvl8pPr>
          <a:lvl9pPr marL="2286000" indent="-285750" algn="l">
            <a:defRPr sz="5000"/>
          </a:lvl9pPr>
        </a:lstStyle>
        <a:p>
          <a:pPr lvl="0">
            <a:lnSpc>
              <a:spcPct val="100000"/>
            </a:lnSpc>
            <a:spcBef>
              <a:spcPct val="0"/>
            </a:spcBef>
            <a:spcAft>
              <a:spcPct val="35000"/>
            </a:spcAft>
          </a:pPr>
          <a:r>
            <a:rPr lang="zh-CN" altLang="en-US" sz="1050" baseline="0">
              <a:solidFill>
                <a:schemeClr val="tx1"/>
              </a:solidFill>
              <a:ea typeface="宋体" panose="02010600030101010101" charset="-122"/>
            </a:rPr>
            <a:t>知识沉淀</a:t>
          </a:r>
          <a:endParaRPr>
            <a:solidFill>
              <a:schemeClr val="tx1"/>
            </a:solidFill>
          </a:endParaRPr>
        </a:p>
      </dsp:txBody>
      <dsp:txXfrm>
        <a:off x="3237244" y="405572"/>
        <a:ext cx="566896" cy="496917"/>
      </dsp:txXfrm>
    </dsp:sp>
    <dsp:sp modelId="{E17C8DF6-3B9C-654A-9DCE-D18C8EF48F3E}">
      <dsp:nvSpPr>
        <dsp:cNvPr id="17" name="等腰三角形 16"/>
        <dsp:cNvSpPr/>
      </dsp:nvSpPr>
      <dsp:spPr bwMode="white">
        <a:xfrm>
          <a:off x="3697178" y="171729"/>
          <a:ext cx="106961" cy="106961"/>
        </a:xfrm>
        <a:prstGeom prst="triangle">
          <a:avLst>
            <a:gd name="adj" fmla="val 100000"/>
          </a:avLst>
        </a:prstGeom>
      </dsp:spPr>
      <dsp:style>
        <a:lnRef idx="1">
          <a:schemeClr val="dk1">
            <a:shade val="80000"/>
          </a:schemeClr>
        </a:lnRef>
        <a:fillRef idx="2">
          <a:schemeClr val="lt1"/>
        </a:fillRef>
        <a:effectRef idx="1">
          <a:scrgbClr r="0" g="0" b="0"/>
        </a:effectRef>
        <a:fontRef idx="minor">
          <a:schemeClr val="dk1"/>
        </a:fontRef>
      </dsp:style>
      <dsp:txXfrm>
        <a:off x="3697178" y="171729"/>
        <a:ext cx="106961" cy="106961"/>
      </dsp:txXfrm>
    </dsp:sp>
    <dsp:sp modelId="{788A3F13-0DE7-0E40-B678-2501174D784A}">
      <dsp:nvSpPr>
        <dsp:cNvPr id="18" name="L 形 17"/>
        <dsp:cNvSpPr/>
      </dsp:nvSpPr>
      <dsp:spPr bwMode="white">
        <a:xfrm rot="5400000">
          <a:off x="3994226" y="46229"/>
          <a:ext cx="377365" cy="627927"/>
        </a:xfrm>
        <a:prstGeom prst="corner">
          <a:avLst>
            <a:gd name="adj1" fmla="val 16120"/>
            <a:gd name="adj2" fmla="val 16110"/>
          </a:avLst>
        </a:prstGeom>
      </dsp:spPr>
      <dsp:style>
        <a:lnRef idx="1">
          <a:schemeClr val="dk1">
            <a:shade val="80000"/>
          </a:schemeClr>
        </a:lnRef>
        <a:fillRef idx="2">
          <a:schemeClr val="lt1"/>
        </a:fillRef>
        <a:effectRef idx="1">
          <a:scrgbClr r="0" g="0" b="0"/>
        </a:effectRef>
        <a:fontRef idx="minor">
          <a:schemeClr val="dk1"/>
        </a:fontRef>
      </dsp:style>
      <dsp:txXfrm rot="5400000">
        <a:off x="3994226" y="46229"/>
        <a:ext cx="377365" cy="627927"/>
      </dsp:txXfrm>
    </dsp:sp>
    <dsp:sp modelId="{BBF0A21B-C510-3B4F-9825-BFF6412AE8F4}">
      <dsp:nvSpPr>
        <dsp:cNvPr id="19" name="矩形 18"/>
        <dsp:cNvSpPr/>
      </dsp:nvSpPr>
      <dsp:spPr bwMode="white">
        <a:xfrm>
          <a:off x="3931235" y="233843"/>
          <a:ext cx="566896" cy="496917"/>
        </a:xfrm>
        <a:prstGeom prst="rect">
          <a:avLst/>
        </a:prstGeom>
      </dsp:spPr>
      <dsp:style>
        <a:lnRef idx="0">
          <a:schemeClr val="dk1">
            <a:alpha val="0"/>
          </a:schemeClr>
        </a:lnRef>
        <a:fillRef idx="0">
          <a:schemeClr val="lt1">
            <a:alpha val="0"/>
          </a:schemeClr>
        </a:fillRef>
        <a:effectRef idx="0">
          <a:scrgbClr r="0" g="0" b="0"/>
        </a:effectRef>
        <a:fontRef idx="minor"/>
      </dsp:style>
      <dsp:txBody>
        <a:bodyPr lIns="38100" tIns="38100" rIns="38100" bIns="38100" anchor="t"/>
        <a:lstStyle>
          <a:lvl1pPr algn="l">
            <a:defRPr sz="6500"/>
          </a:lvl1pPr>
          <a:lvl2pPr marL="285750" indent="-285750" algn="l">
            <a:defRPr sz="5000"/>
          </a:lvl2pPr>
          <a:lvl3pPr marL="571500" indent="-285750" algn="l">
            <a:defRPr sz="5000"/>
          </a:lvl3pPr>
          <a:lvl4pPr marL="857250" indent="-285750" algn="l">
            <a:defRPr sz="5000"/>
          </a:lvl4pPr>
          <a:lvl5pPr marL="1143000" indent="-285750" algn="l">
            <a:defRPr sz="5000"/>
          </a:lvl5pPr>
          <a:lvl6pPr marL="1428750" indent="-285750" algn="l">
            <a:defRPr sz="5000"/>
          </a:lvl6pPr>
          <a:lvl7pPr marL="1714500" indent="-285750" algn="l">
            <a:defRPr sz="5000"/>
          </a:lvl7pPr>
          <a:lvl8pPr marL="2000250" indent="-285750" algn="l">
            <a:defRPr sz="5000"/>
          </a:lvl8pPr>
          <a:lvl9pPr marL="2286000" indent="-285750" algn="l">
            <a:defRPr sz="5000"/>
          </a:lvl9pPr>
        </a:lstStyle>
        <a:p>
          <a:pPr lvl="0">
            <a:lnSpc>
              <a:spcPct val="100000"/>
            </a:lnSpc>
            <a:spcBef>
              <a:spcPct val="0"/>
            </a:spcBef>
            <a:spcAft>
              <a:spcPct val="35000"/>
            </a:spcAft>
          </a:pPr>
          <a:r>
            <a:rPr lang="zh-CN" altLang="en-US" sz="1050" baseline="0">
              <a:solidFill>
                <a:schemeClr val="tx1"/>
              </a:solidFill>
              <a:ea typeface="宋体" panose="02010600030101010101" charset="-122"/>
            </a:rPr>
            <a:t>系统稳定性提升</a:t>
          </a:r>
          <a:endParaRPr>
            <a:solidFill>
              <a:schemeClr val="tx1"/>
            </a:solidFill>
          </a:endParaRPr>
        </a:p>
      </dsp:txBody>
      <dsp:txXfrm>
        <a:off x="3931235" y="233843"/>
        <a:ext cx="566896" cy="496917"/>
      </dsp:txXfrm>
    </dsp:sp>
  </dsp:spTree>
</dsp:drawing>
</file>

<file path=word/diagrams/drawing20.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5694680" cy="2122805"/>
        <a:chOff x="0" y="0"/>
        <a:chExt cx="5694680" cy="2122805"/>
      </a:xfrm>
    </dsp:grpSpPr>
    <dsp:sp modelId="{4FB120BC-E66C-B447-A4E9-645EAD0C5115}">
      <dsp:nvSpPr>
        <dsp:cNvPr id="3" name="圆角矩形 2"/>
        <dsp:cNvSpPr/>
      </dsp:nvSpPr>
      <dsp:spPr bwMode="white">
        <a:xfrm>
          <a:off x="2333308" y="0"/>
          <a:ext cx="1028065" cy="30325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沟通壁垒上升</a:t>
          </a:r>
          <a:endParaRPr>
            <a:solidFill>
              <a:schemeClr val="dk1"/>
            </a:solidFill>
          </a:endParaRPr>
        </a:p>
      </dsp:txBody>
      <dsp:txXfrm>
        <a:off x="2333308" y="0"/>
        <a:ext cx="1028065" cy="303258"/>
      </dsp:txXfrm>
    </dsp:sp>
    <dsp:sp modelId="{F7C6A4EA-BCFC-1946-8161-D7CFCC17FDE5}">
      <dsp:nvSpPr>
        <dsp:cNvPr id="4" name="右箭头 3"/>
        <dsp:cNvSpPr/>
      </dsp:nvSpPr>
      <dsp:spPr bwMode="white">
        <a:xfrm rot="5399999">
          <a:off x="2790479" y="310839"/>
          <a:ext cx="113722" cy="136466"/>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5400000" lIns="0" tIns="0" rIns="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dk1"/>
            </a:solidFill>
          </a:endParaRPr>
        </a:p>
      </dsp:txBody>
      <dsp:txXfrm rot="5399999">
        <a:off x="2790479" y="310839"/>
        <a:ext cx="113722" cy="136466"/>
      </dsp:txXfrm>
    </dsp:sp>
    <dsp:sp modelId="{2F8BC96E-1806-E241-AA6D-60BB31CDEC67}">
      <dsp:nvSpPr>
        <dsp:cNvPr id="5" name="圆角矩形 4"/>
        <dsp:cNvSpPr/>
      </dsp:nvSpPr>
      <dsp:spPr bwMode="white">
        <a:xfrm>
          <a:off x="2333308" y="454887"/>
          <a:ext cx="1028065" cy="30325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信息失真与延迟</a:t>
          </a:r>
          <a:endParaRPr>
            <a:solidFill>
              <a:schemeClr val="dk1"/>
            </a:solidFill>
          </a:endParaRPr>
        </a:p>
      </dsp:txBody>
      <dsp:txXfrm>
        <a:off x="2333308" y="454887"/>
        <a:ext cx="1028065" cy="303258"/>
      </dsp:txXfrm>
    </dsp:sp>
    <dsp:sp modelId="{B2939A50-7D41-334A-9146-2929937CEA87}">
      <dsp:nvSpPr>
        <dsp:cNvPr id="6" name="右箭头 5"/>
        <dsp:cNvSpPr/>
      </dsp:nvSpPr>
      <dsp:spPr bwMode="white">
        <a:xfrm rot="5399999">
          <a:off x="2790479" y="765726"/>
          <a:ext cx="113722" cy="136466"/>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5400000" lIns="0" tIns="0" rIns="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dk1"/>
            </a:solidFill>
          </a:endParaRPr>
        </a:p>
      </dsp:txBody>
      <dsp:txXfrm rot="5399999">
        <a:off x="2790479" y="765726"/>
        <a:ext cx="113722" cy="136466"/>
      </dsp:txXfrm>
    </dsp:sp>
    <dsp:sp modelId="{D7FAD5FC-2FE3-A949-B8F0-A96F979C3BEF}">
      <dsp:nvSpPr>
        <dsp:cNvPr id="7" name="圆角矩形 6"/>
        <dsp:cNvSpPr/>
      </dsp:nvSpPr>
      <dsp:spPr bwMode="white">
        <a:xfrm>
          <a:off x="2333308" y="909774"/>
          <a:ext cx="1028065" cy="30325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决策响应减缓</a:t>
          </a:r>
          <a:endParaRPr>
            <a:solidFill>
              <a:schemeClr val="dk1"/>
            </a:solidFill>
          </a:endParaRPr>
        </a:p>
      </dsp:txBody>
      <dsp:txXfrm>
        <a:off x="2333308" y="909774"/>
        <a:ext cx="1028065" cy="303258"/>
      </dsp:txXfrm>
    </dsp:sp>
    <dsp:sp modelId="{36AFCBD4-3196-8543-852F-68BC54071792}">
      <dsp:nvSpPr>
        <dsp:cNvPr id="8" name="右箭头 7"/>
        <dsp:cNvSpPr/>
      </dsp:nvSpPr>
      <dsp:spPr bwMode="white">
        <a:xfrm rot="5399999">
          <a:off x="2790479" y="1220613"/>
          <a:ext cx="113722" cy="136466"/>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5400000" lIns="0" tIns="0" rIns="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dk1"/>
            </a:solidFill>
          </a:endParaRPr>
        </a:p>
      </dsp:txBody>
      <dsp:txXfrm rot="5399999">
        <a:off x="2790479" y="1220613"/>
        <a:ext cx="113722" cy="136466"/>
      </dsp:txXfrm>
    </dsp:sp>
    <dsp:sp modelId="{697EDEDE-FC6A-CB4E-B2EC-55C727C5E0C7}">
      <dsp:nvSpPr>
        <dsp:cNvPr id="9" name="圆角矩形 8"/>
        <dsp:cNvSpPr/>
      </dsp:nvSpPr>
      <dsp:spPr bwMode="white">
        <a:xfrm>
          <a:off x="2333308" y="1364660"/>
          <a:ext cx="1028065" cy="30325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项目进度受阻</a:t>
          </a:r>
          <a:endParaRPr>
            <a:solidFill>
              <a:schemeClr val="dk1"/>
            </a:solidFill>
          </a:endParaRPr>
        </a:p>
      </dsp:txBody>
      <dsp:txXfrm>
        <a:off x="2333308" y="1364660"/>
        <a:ext cx="1028065" cy="303258"/>
      </dsp:txXfrm>
    </dsp:sp>
    <dsp:sp modelId="{F943EB75-B6B9-4341-924D-4E9CC213FB0B}">
      <dsp:nvSpPr>
        <dsp:cNvPr id="10" name="右箭头 9"/>
        <dsp:cNvSpPr/>
      </dsp:nvSpPr>
      <dsp:spPr bwMode="white">
        <a:xfrm rot="5399999">
          <a:off x="2790479" y="1675500"/>
          <a:ext cx="113722" cy="136466"/>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5400000" lIns="0" tIns="0" rIns="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dk1"/>
            </a:solidFill>
          </a:endParaRPr>
        </a:p>
      </dsp:txBody>
      <dsp:txXfrm rot="5399999">
        <a:off x="2790479" y="1675500"/>
        <a:ext cx="113722" cy="136466"/>
      </dsp:txXfrm>
    </dsp:sp>
    <dsp:sp modelId="{DAE48BFD-7F9C-544E-9E62-C924D48BA1A1}">
      <dsp:nvSpPr>
        <dsp:cNvPr id="11" name="圆角矩形 10"/>
        <dsp:cNvSpPr/>
      </dsp:nvSpPr>
      <dsp:spPr bwMode="white">
        <a:xfrm>
          <a:off x="2333308" y="1819547"/>
          <a:ext cx="1028065" cy="303258"/>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流程弹性下降</a:t>
          </a:r>
          <a:endParaRPr>
            <a:solidFill>
              <a:schemeClr val="dk1"/>
            </a:solidFill>
          </a:endParaRPr>
        </a:p>
      </dsp:txBody>
      <dsp:txXfrm>
        <a:off x="2333308" y="1819547"/>
        <a:ext cx="1028065" cy="303258"/>
      </dsp:txXfrm>
    </dsp:sp>
  </dsp:spTree>
</dsp:drawing>
</file>

<file path=word/diagrams/drawing2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5621020" cy="1147445"/>
        <a:chOff x="0" y="0"/>
        <a:chExt cx="5621020" cy="1147445"/>
      </a:xfrm>
    </dsp:grpSpPr>
    <dsp:sp modelId="{BA70E22B-2721-3B4C-80CC-C4CCB43CE902}">
      <dsp:nvSpPr>
        <dsp:cNvPr id="3" name="圆角矩形 2"/>
        <dsp:cNvSpPr/>
      </dsp:nvSpPr>
      <dsp:spPr bwMode="white">
        <a:xfrm>
          <a:off x="0" y="318222"/>
          <a:ext cx="851670" cy="511002"/>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latin typeface="+mj-lt"/>
              <a:ea typeface="宋体" panose="02010600030101010101" charset="-122"/>
            </a:rPr>
            <a:t>标准化需求提交</a:t>
          </a:r>
          <a:endParaRPr>
            <a:solidFill>
              <a:schemeClr val="dk1"/>
            </a:solidFill>
          </a:endParaRPr>
        </a:p>
      </dsp:txBody>
      <dsp:txXfrm>
        <a:off x="0" y="318222"/>
        <a:ext cx="851670" cy="511002"/>
      </dsp:txXfrm>
    </dsp:sp>
    <dsp:sp modelId="{0177E3FA-584D-A442-8C1F-231F31FE0EE4}">
      <dsp:nvSpPr>
        <dsp:cNvPr id="4" name="右箭头 3"/>
        <dsp:cNvSpPr/>
      </dsp:nvSpPr>
      <dsp:spPr bwMode="white">
        <a:xfrm>
          <a:off x="931727" y="468115"/>
          <a:ext cx="180554" cy="211214"/>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800"/>
          </a:lvl1pPr>
          <a:lvl2pPr marL="57150" indent="-57150" algn="ctr">
            <a:defRPr sz="600"/>
          </a:lvl2pPr>
          <a:lvl3pPr marL="114300" indent="-57150" algn="ctr">
            <a:defRPr sz="600"/>
          </a:lvl3pPr>
          <a:lvl4pPr marL="171450" indent="-57150" algn="ctr">
            <a:defRPr sz="600"/>
          </a:lvl4pPr>
          <a:lvl5pPr marL="228600" indent="-57150" algn="ctr">
            <a:defRPr sz="600"/>
          </a:lvl5pPr>
          <a:lvl6pPr marL="285750" indent="-57150" algn="ctr">
            <a:defRPr sz="600"/>
          </a:lvl6pPr>
          <a:lvl7pPr marL="342900" indent="-57150" algn="ctr">
            <a:defRPr sz="600"/>
          </a:lvl7pPr>
          <a:lvl8pPr marL="400050" indent="-57150" algn="ctr">
            <a:defRPr sz="600"/>
          </a:lvl8pPr>
          <a:lvl9pPr marL="457200" indent="-57150" algn="ctr">
            <a:defRPr sz="600"/>
          </a:lvl9pPr>
        </a:lstStyle>
        <a:p>
          <a:pPr lvl="0">
            <a:lnSpc>
              <a:spcPct val="100000"/>
            </a:lnSpc>
            <a:spcBef>
              <a:spcPct val="0"/>
            </a:spcBef>
            <a:spcAft>
              <a:spcPct val="35000"/>
            </a:spcAft>
          </a:pPr>
          <a:endParaRPr lang="zh-CN" altLang="en-US">
            <a:solidFill>
              <a:schemeClr val="dk1"/>
            </a:solidFill>
          </a:endParaRPr>
        </a:p>
      </dsp:txBody>
      <dsp:txXfrm>
        <a:off x="931727" y="468115"/>
        <a:ext cx="180554" cy="211214"/>
      </dsp:txXfrm>
    </dsp:sp>
    <dsp:sp modelId="{066203E4-A570-DF41-BE2B-F861B1E33F80}">
      <dsp:nvSpPr>
        <dsp:cNvPr id="5" name="圆角矩形 4"/>
        <dsp:cNvSpPr/>
      </dsp:nvSpPr>
      <dsp:spPr bwMode="white">
        <a:xfrm>
          <a:off x="1192338" y="318222"/>
          <a:ext cx="851670" cy="511002"/>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latin typeface="+mj-lt"/>
              <a:ea typeface="宋体" panose="02010600030101010101" charset="-122"/>
            </a:rPr>
            <a:t>跨职能需求评审</a:t>
          </a:r>
          <a:endParaRPr>
            <a:solidFill>
              <a:schemeClr val="dk1"/>
            </a:solidFill>
          </a:endParaRPr>
        </a:p>
      </dsp:txBody>
      <dsp:txXfrm>
        <a:off x="1192338" y="318222"/>
        <a:ext cx="851670" cy="511002"/>
      </dsp:txXfrm>
    </dsp:sp>
    <dsp:sp modelId="{F0C78DBF-AF02-894E-923E-65A3624AC950}">
      <dsp:nvSpPr>
        <dsp:cNvPr id="6" name="右箭头 5"/>
        <dsp:cNvSpPr/>
      </dsp:nvSpPr>
      <dsp:spPr bwMode="white">
        <a:xfrm>
          <a:off x="2124064" y="468115"/>
          <a:ext cx="180554" cy="211214"/>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800"/>
          </a:lvl1pPr>
          <a:lvl2pPr marL="57150" indent="-57150" algn="ctr">
            <a:defRPr sz="600"/>
          </a:lvl2pPr>
          <a:lvl3pPr marL="114300" indent="-57150" algn="ctr">
            <a:defRPr sz="600"/>
          </a:lvl3pPr>
          <a:lvl4pPr marL="171450" indent="-57150" algn="ctr">
            <a:defRPr sz="600"/>
          </a:lvl4pPr>
          <a:lvl5pPr marL="228600" indent="-57150" algn="ctr">
            <a:defRPr sz="600"/>
          </a:lvl5pPr>
          <a:lvl6pPr marL="285750" indent="-57150" algn="ctr">
            <a:defRPr sz="600"/>
          </a:lvl6pPr>
          <a:lvl7pPr marL="342900" indent="-57150" algn="ctr">
            <a:defRPr sz="600"/>
          </a:lvl7pPr>
          <a:lvl8pPr marL="400050" indent="-57150" algn="ctr">
            <a:defRPr sz="600"/>
          </a:lvl8pPr>
          <a:lvl9pPr marL="457200" indent="-57150" algn="ctr">
            <a:defRPr sz="600"/>
          </a:lvl9pPr>
        </a:lstStyle>
        <a:p>
          <a:pPr lvl="0">
            <a:lnSpc>
              <a:spcPct val="100000"/>
            </a:lnSpc>
            <a:spcBef>
              <a:spcPct val="0"/>
            </a:spcBef>
            <a:spcAft>
              <a:spcPct val="35000"/>
            </a:spcAft>
          </a:pPr>
          <a:endParaRPr lang="zh-CN" altLang="en-US">
            <a:solidFill>
              <a:schemeClr val="dk1"/>
            </a:solidFill>
          </a:endParaRPr>
        </a:p>
      </dsp:txBody>
      <dsp:txXfrm>
        <a:off x="2124064" y="468115"/>
        <a:ext cx="180554" cy="211214"/>
      </dsp:txXfrm>
    </dsp:sp>
    <dsp:sp modelId="{01330EE3-50BC-454A-B073-5F66E2CCF7D4}">
      <dsp:nvSpPr>
        <dsp:cNvPr id="7" name="圆角矩形 6"/>
        <dsp:cNvSpPr/>
      </dsp:nvSpPr>
      <dsp:spPr bwMode="white">
        <a:xfrm>
          <a:off x="2384675" y="318222"/>
          <a:ext cx="851670" cy="511002"/>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latin typeface="+mj-lt"/>
              <a:ea typeface="宋体" panose="02010600030101010101" charset="-122"/>
            </a:rPr>
            <a:t>需求基线冻结</a:t>
          </a:r>
          <a:endParaRPr>
            <a:solidFill>
              <a:schemeClr val="dk1"/>
            </a:solidFill>
          </a:endParaRPr>
        </a:p>
      </dsp:txBody>
      <dsp:txXfrm>
        <a:off x="2384675" y="318222"/>
        <a:ext cx="851670" cy="511002"/>
      </dsp:txXfrm>
    </dsp:sp>
    <dsp:sp modelId="{3B6ED7E7-8846-6641-90EC-6BFB8D3DFEDC}">
      <dsp:nvSpPr>
        <dsp:cNvPr id="8" name="右箭头 7"/>
        <dsp:cNvSpPr/>
      </dsp:nvSpPr>
      <dsp:spPr bwMode="white">
        <a:xfrm>
          <a:off x="3316402" y="468115"/>
          <a:ext cx="180554" cy="211214"/>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800"/>
          </a:lvl1pPr>
          <a:lvl2pPr marL="57150" indent="-57150" algn="ctr">
            <a:defRPr sz="600"/>
          </a:lvl2pPr>
          <a:lvl3pPr marL="114300" indent="-57150" algn="ctr">
            <a:defRPr sz="600"/>
          </a:lvl3pPr>
          <a:lvl4pPr marL="171450" indent="-57150" algn="ctr">
            <a:defRPr sz="600"/>
          </a:lvl4pPr>
          <a:lvl5pPr marL="228600" indent="-57150" algn="ctr">
            <a:defRPr sz="600"/>
          </a:lvl5pPr>
          <a:lvl6pPr marL="285750" indent="-57150" algn="ctr">
            <a:defRPr sz="600"/>
          </a:lvl6pPr>
          <a:lvl7pPr marL="342900" indent="-57150" algn="ctr">
            <a:defRPr sz="600"/>
          </a:lvl7pPr>
          <a:lvl8pPr marL="400050" indent="-57150" algn="ctr">
            <a:defRPr sz="600"/>
          </a:lvl8pPr>
          <a:lvl9pPr marL="457200" indent="-57150" algn="ctr">
            <a:defRPr sz="600"/>
          </a:lvl9pPr>
        </a:lstStyle>
        <a:p>
          <a:pPr lvl="0">
            <a:lnSpc>
              <a:spcPct val="100000"/>
            </a:lnSpc>
            <a:spcBef>
              <a:spcPct val="0"/>
            </a:spcBef>
            <a:spcAft>
              <a:spcPct val="35000"/>
            </a:spcAft>
          </a:pPr>
          <a:endParaRPr lang="zh-CN" altLang="en-US">
            <a:solidFill>
              <a:schemeClr val="dk1"/>
            </a:solidFill>
          </a:endParaRPr>
        </a:p>
      </dsp:txBody>
      <dsp:txXfrm>
        <a:off x="3316402" y="468115"/>
        <a:ext cx="180554" cy="211214"/>
      </dsp:txXfrm>
    </dsp:sp>
    <dsp:sp modelId="{C35E9888-38F6-234E-A7F3-025D2566B413}">
      <dsp:nvSpPr>
        <dsp:cNvPr id="9" name="圆角矩形 8"/>
        <dsp:cNvSpPr/>
      </dsp:nvSpPr>
      <dsp:spPr bwMode="white">
        <a:xfrm>
          <a:off x="3577013" y="318222"/>
          <a:ext cx="851670" cy="511002"/>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latin typeface="+mj-lt"/>
              <a:ea typeface="宋体" panose="02010600030101010101" charset="-122"/>
            </a:rPr>
            <a:t>变更控制审批</a:t>
          </a:r>
          <a:endParaRPr>
            <a:solidFill>
              <a:schemeClr val="dk1"/>
            </a:solidFill>
          </a:endParaRPr>
        </a:p>
      </dsp:txBody>
      <dsp:txXfrm>
        <a:off x="3577013" y="318222"/>
        <a:ext cx="851670" cy="511002"/>
      </dsp:txXfrm>
    </dsp:sp>
    <dsp:sp modelId="{F0CB62F3-25DD-F043-A11C-216E032C85CE}">
      <dsp:nvSpPr>
        <dsp:cNvPr id="10" name="右箭头 9"/>
        <dsp:cNvSpPr/>
      </dsp:nvSpPr>
      <dsp:spPr bwMode="white">
        <a:xfrm>
          <a:off x="4508739" y="468115"/>
          <a:ext cx="180554" cy="211214"/>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800"/>
          </a:lvl1pPr>
          <a:lvl2pPr marL="57150" indent="-57150" algn="ctr">
            <a:defRPr sz="600"/>
          </a:lvl2pPr>
          <a:lvl3pPr marL="114300" indent="-57150" algn="ctr">
            <a:defRPr sz="600"/>
          </a:lvl3pPr>
          <a:lvl4pPr marL="171450" indent="-57150" algn="ctr">
            <a:defRPr sz="600"/>
          </a:lvl4pPr>
          <a:lvl5pPr marL="228600" indent="-57150" algn="ctr">
            <a:defRPr sz="600"/>
          </a:lvl5pPr>
          <a:lvl6pPr marL="285750" indent="-57150" algn="ctr">
            <a:defRPr sz="600"/>
          </a:lvl6pPr>
          <a:lvl7pPr marL="342900" indent="-57150" algn="ctr">
            <a:defRPr sz="600"/>
          </a:lvl7pPr>
          <a:lvl8pPr marL="400050" indent="-57150" algn="ctr">
            <a:defRPr sz="600"/>
          </a:lvl8pPr>
          <a:lvl9pPr marL="457200" indent="-57150" algn="ctr">
            <a:defRPr sz="600"/>
          </a:lvl9pPr>
        </a:lstStyle>
        <a:p>
          <a:pPr lvl="0">
            <a:lnSpc>
              <a:spcPct val="100000"/>
            </a:lnSpc>
            <a:spcBef>
              <a:spcPct val="0"/>
            </a:spcBef>
            <a:spcAft>
              <a:spcPct val="35000"/>
            </a:spcAft>
          </a:pPr>
          <a:endParaRPr lang="zh-CN" altLang="en-US">
            <a:solidFill>
              <a:schemeClr val="dk1"/>
            </a:solidFill>
          </a:endParaRPr>
        </a:p>
      </dsp:txBody>
      <dsp:txXfrm>
        <a:off x="4508739" y="468115"/>
        <a:ext cx="180554" cy="211214"/>
      </dsp:txXfrm>
    </dsp:sp>
    <dsp:sp modelId="{60FF00F1-9521-D348-AFB7-B4F0A83D34EE}">
      <dsp:nvSpPr>
        <dsp:cNvPr id="11" name="圆角矩形 10"/>
        <dsp:cNvSpPr/>
      </dsp:nvSpPr>
      <dsp:spPr bwMode="white">
        <a:xfrm>
          <a:off x="4769350" y="318222"/>
          <a:ext cx="851670" cy="511002"/>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latin typeface="+mj-lt"/>
              <a:ea typeface="宋体" panose="02010600030101010101" charset="-122"/>
            </a:rPr>
            <a:t>需求</a:t>
          </a:r>
          <a:r>
            <a:rPr lang="en-US" altLang="zh-CN" sz="1050" baseline="0">
              <a:solidFill>
                <a:schemeClr val="dk1"/>
              </a:solidFill>
              <a:latin typeface="+mj-lt"/>
              <a:ea typeface="宋体" panose="02010600030101010101" charset="-122"/>
            </a:rPr>
            <a:t>-</a:t>
          </a:r>
          <a:r>
            <a:rPr lang="zh-CN" altLang="en-US" sz="1050" baseline="0">
              <a:solidFill>
                <a:schemeClr val="dk1"/>
              </a:solidFill>
              <a:latin typeface="+mj-lt"/>
              <a:ea typeface="宋体" panose="02010600030101010101" charset="-122"/>
            </a:rPr>
            <a:t>实现</a:t>
          </a:r>
          <a:r>
            <a:rPr lang="en-US" altLang="zh-CN" sz="1050" baseline="0">
              <a:solidFill>
                <a:schemeClr val="dk1"/>
              </a:solidFill>
              <a:latin typeface="+mj-lt"/>
              <a:ea typeface="宋体" panose="02010600030101010101" charset="-122"/>
            </a:rPr>
            <a:t>-</a:t>
          </a:r>
          <a:r>
            <a:rPr lang="zh-CN" altLang="en-US" sz="1050" baseline="0">
              <a:solidFill>
                <a:schemeClr val="dk1"/>
              </a:solidFill>
              <a:latin typeface="+mj-lt"/>
              <a:ea typeface="宋体" panose="02010600030101010101" charset="-122"/>
            </a:rPr>
            <a:t>测试</a:t>
          </a:r>
          <a:r>
            <a:rPr lang="en-US" altLang="zh-CN" sz="1050" baseline="0">
              <a:solidFill>
                <a:schemeClr val="dk1"/>
              </a:solidFill>
              <a:latin typeface="+mj-lt"/>
              <a:ea typeface="宋体" panose="02010600030101010101" charset="-122"/>
            </a:rPr>
            <a:t>-</a:t>
          </a:r>
          <a:r>
            <a:rPr lang="zh-CN" altLang="en-US" sz="1050" baseline="0">
              <a:solidFill>
                <a:schemeClr val="dk1"/>
              </a:solidFill>
              <a:latin typeface="+mj-lt"/>
              <a:ea typeface="宋体" panose="02010600030101010101" charset="-122"/>
            </a:rPr>
            <a:t>版本</a:t>
          </a:r>
          <a:r>
            <a:rPr lang="en-US" altLang="zh-CN" sz="1050" baseline="0">
              <a:solidFill>
                <a:schemeClr val="dk1"/>
              </a:solidFill>
              <a:latin typeface="+mj-lt"/>
              <a:ea typeface="宋体" panose="02010600030101010101" charset="-122"/>
            </a:rPr>
            <a:t>-</a:t>
          </a:r>
          <a:r>
            <a:rPr lang="zh-CN" altLang="en-US" sz="1050" baseline="0">
              <a:solidFill>
                <a:schemeClr val="dk1"/>
              </a:solidFill>
              <a:latin typeface="+mj-lt"/>
              <a:ea typeface="宋体" panose="02010600030101010101" charset="-122"/>
            </a:rPr>
            <a:t>追溯</a:t>
          </a:r>
          <a:endParaRPr>
            <a:solidFill>
              <a:schemeClr val="dk1"/>
            </a:solidFill>
          </a:endParaRPr>
        </a:p>
      </dsp:txBody>
      <dsp:txXfrm>
        <a:off x="4769350" y="318222"/>
        <a:ext cx="851670" cy="51100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5713095" cy="619760"/>
        <a:chOff x="0" y="0"/>
        <a:chExt cx="5713095" cy="619760"/>
      </a:xfrm>
    </dsp:grpSpPr>
    <dsp:sp modelId="{281CB078-EAC8-5844-B37A-BAF335AF0001}">
      <dsp:nvSpPr>
        <dsp:cNvPr id="3" name="燕尾形 2"/>
        <dsp:cNvSpPr/>
      </dsp:nvSpPr>
      <dsp:spPr bwMode="white">
        <a:xfrm>
          <a:off x="0" y="102131"/>
          <a:ext cx="1038745" cy="415498"/>
        </a:xfrm>
        <a:prstGeom prst="chevron">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40005" tIns="13335" rIns="13335" bIns="1333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提交代码</a:t>
          </a:r>
          <a:endParaRPr>
            <a:solidFill>
              <a:schemeClr val="dk1"/>
            </a:solidFill>
          </a:endParaRPr>
        </a:p>
      </dsp:txBody>
      <dsp:txXfrm>
        <a:off x="0" y="102131"/>
        <a:ext cx="1038745" cy="415498"/>
      </dsp:txXfrm>
    </dsp:sp>
    <dsp:sp modelId="{5793AADF-4ECA-B840-BE1A-4EEB04230E67}">
      <dsp:nvSpPr>
        <dsp:cNvPr id="4" name="燕尾形 3"/>
        <dsp:cNvSpPr/>
      </dsp:nvSpPr>
      <dsp:spPr bwMode="white">
        <a:xfrm>
          <a:off x="934870" y="102131"/>
          <a:ext cx="1038745" cy="415498"/>
        </a:xfrm>
        <a:prstGeom prst="chevron">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40005" tIns="13335" rIns="13335" bIns="1333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自动构建</a:t>
          </a:r>
          <a:endParaRPr>
            <a:solidFill>
              <a:schemeClr val="dk1"/>
            </a:solidFill>
          </a:endParaRPr>
        </a:p>
      </dsp:txBody>
      <dsp:txXfrm>
        <a:off x="934870" y="102131"/>
        <a:ext cx="1038745" cy="415498"/>
      </dsp:txXfrm>
    </dsp:sp>
    <dsp:sp modelId="{DAA558FF-32CD-7543-AB23-E826C5770FBD}">
      <dsp:nvSpPr>
        <dsp:cNvPr id="5" name="燕尾形 4"/>
        <dsp:cNvSpPr/>
      </dsp:nvSpPr>
      <dsp:spPr bwMode="white">
        <a:xfrm>
          <a:off x="1869740" y="102131"/>
          <a:ext cx="1038745" cy="415498"/>
        </a:xfrm>
        <a:prstGeom prst="chevron">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40005" tIns="13335" rIns="13335" bIns="1333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自动测试</a:t>
          </a:r>
          <a:endParaRPr>
            <a:solidFill>
              <a:schemeClr val="dk1"/>
            </a:solidFill>
          </a:endParaRPr>
        </a:p>
      </dsp:txBody>
      <dsp:txXfrm>
        <a:off x="1869740" y="102131"/>
        <a:ext cx="1038745" cy="415498"/>
      </dsp:txXfrm>
    </dsp:sp>
    <dsp:sp modelId="{27F76F7F-A13B-484E-90D7-F37E5835DB39}">
      <dsp:nvSpPr>
        <dsp:cNvPr id="6" name="燕尾形 5"/>
        <dsp:cNvSpPr/>
      </dsp:nvSpPr>
      <dsp:spPr bwMode="white">
        <a:xfrm>
          <a:off x="2804610" y="102131"/>
          <a:ext cx="1038745" cy="415498"/>
        </a:xfrm>
        <a:prstGeom prst="chevron">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40005" tIns="13335" rIns="13335" bIns="1333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灰度发布</a:t>
          </a:r>
          <a:endParaRPr>
            <a:solidFill>
              <a:schemeClr val="dk1"/>
            </a:solidFill>
          </a:endParaRPr>
        </a:p>
      </dsp:txBody>
      <dsp:txXfrm>
        <a:off x="2804610" y="102131"/>
        <a:ext cx="1038745" cy="415498"/>
      </dsp:txXfrm>
    </dsp:sp>
    <dsp:sp modelId="{011D77C9-FEB0-4B4C-A1C8-AB942ADAFCDD}">
      <dsp:nvSpPr>
        <dsp:cNvPr id="7" name="燕尾形 6"/>
        <dsp:cNvSpPr/>
      </dsp:nvSpPr>
      <dsp:spPr bwMode="white">
        <a:xfrm>
          <a:off x="3739480" y="102131"/>
          <a:ext cx="1038745" cy="415498"/>
        </a:xfrm>
        <a:prstGeom prst="chevron">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40005" tIns="13335" rIns="13335" bIns="1333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运行监控</a:t>
          </a:r>
          <a:endParaRPr>
            <a:solidFill>
              <a:schemeClr val="dk1"/>
            </a:solidFill>
          </a:endParaRPr>
        </a:p>
      </dsp:txBody>
      <dsp:txXfrm>
        <a:off x="3739480" y="102131"/>
        <a:ext cx="1038745" cy="415498"/>
      </dsp:txXfrm>
    </dsp:sp>
    <dsp:sp modelId="{9AF4C7E0-B359-9749-8246-05B4CCF86C8F}">
      <dsp:nvSpPr>
        <dsp:cNvPr id="8" name="燕尾形 7"/>
        <dsp:cNvSpPr/>
      </dsp:nvSpPr>
      <dsp:spPr bwMode="white">
        <a:xfrm>
          <a:off x="4674350" y="102131"/>
          <a:ext cx="1038745" cy="415498"/>
        </a:xfrm>
        <a:prstGeom prst="chevron">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40005" tIns="13335" rIns="13335" bIns="1333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回滚恢复</a:t>
          </a:r>
          <a:endParaRPr>
            <a:solidFill>
              <a:schemeClr val="dk1"/>
            </a:solidFill>
          </a:endParaRPr>
        </a:p>
      </dsp:txBody>
      <dsp:txXfrm>
        <a:off x="4674350" y="102131"/>
        <a:ext cx="1038745" cy="415498"/>
      </dsp:txXfrm>
    </dsp:sp>
  </dsp:spTree>
</dsp:drawing>
</file>

<file path=word/diagrams/drawing23.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4768215" cy="2282825"/>
        <a:chOff x="0" y="0"/>
        <a:chExt cx="4768215" cy="2282825"/>
      </a:xfrm>
    </dsp:grpSpPr>
    <dsp:sp modelId="{AB042932-26CE-8445-96AA-7725EEB8582A}">
      <dsp:nvSpPr>
        <dsp:cNvPr id="4" name="环形箭头 3"/>
        <dsp:cNvSpPr/>
      </dsp:nvSpPr>
      <dsp:spPr bwMode="white">
        <a:xfrm>
          <a:off x="1256472" y="5471"/>
          <a:ext cx="2255272" cy="2255272"/>
        </a:xfrm>
        <a:prstGeom prst="circularArrow">
          <a:avLst>
            <a:gd name="adj1" fmla="val 5000"/>
            <a:gd name="adj2" fmla="val 360000"/>
            <a:gd name="adj3" fmla="val 13826364"/>
            <a:gd name="adj4" fmla="val 17298346"/>
            <a:gd name="adj5" fmla="val 5500"/>
          </a:avLst>
        </a:prstGeom>
      </dsp:spPr>
      <dsp:style>
        <a:lnRef idx="0">
          <a:schemeClr val="dk1"/>
        </a:lnRef>
        <a:fillRef idx="1">
          <a:schemeClr val="dk1">
            <a:tint val="40000"/>
          </a:schemeClr>
        </a:fillRef>
        <a:effectRef idx="1">
          <a:scrgbClr r="0" g="0" b="0"/>
        </a:effectRef>
        <a:fontRef idx="minor"/>
      </dsp:style>
      <dsp:txXfrm>
        <a:off x="1256472" y="5471"/>
        <a:ext cx="2255272" cy="2255272"/>
      </dsp:txXfrm>
    </dsp:sp>
    <dsp:sp modelId="{6664AE8A-ADBB-CA4C-ADDC-7FF4B9488277}">
      <dsp:nvSpPr>
        <dsp:cNvPr id="3" name="圆角矩形 2"/>
        <dsp:cNvSpPr/>
      </dsp:nvSpPr>
      <dsp:spPr bwMode="white">
        <a:xfrm>
          <a:off x="1868358" y="0"/>
          <a:ext cx="1031498" cy="515749"/>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过程数据采集</a:t>
          </a:r>
          <a:endParaRPr>
            <a:solidFill>
              <a:schemeClr val="dk1"/>
            </a:solidFill>
          </a:endParaRPr>
        </a:p>
      </dsp:txBody>
      <dsp:txXfrm>
        <a:off x="1868358" y="0"/>
        <a:ext cx="1031498" cy="515749"/>
      </dsp:txXfrm>
    </dsp:sp>
    <dsp:sp modelId="{73166EA1-860E-414D-9BBA-AA216A78A9EE}">
      <dsp:nvSpPr>
        <dsp:cNvPr id="5" name="圆角矩形 4"/>
        <dsp:cNvSpPr/>
      </dsp:nvSpPr>
      <dsp:spPr bwMode="white">
        <a:xfrm>
          <a:off x="2797365" y="674963"/>
          <a:ext cx="1031498" cy="515749"/>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指标分析与可视化</a:t>
          </a:r>
          <a:endParaRPr>
            <a:solidFill>
              <a:schemeClr val="dk1"/>
            </a:solidFill>
          </a:endParaRPr>
        </a:p>
      </dsp:txBody>
      <dsp:txXfrm>
        <a:off x="2797365" y="674963"/>
        <a:ext cx="1031498" cy="515749"/>
      </dsp:txXfrm>
    </dsp:sp>
    <dsp:sp modelId="{044D1A20-F99C-0945-B744-5C28AE23FB79}">
      <dsp:nvSpPr>
        <dsp:cNvPr id="6" name="圆角矩形 5"/>
        <dsp:cNvSpPr/>
      </dsp:nvSpPr>
      <dsp:spPr bwMode="white">
        <a:xfrm>
          <a:off x="2442516" y="1767076"/>
          <a:ext cx="1031498" cy="515749"/>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绩效评估与瓶颈识别</a:t>
          </a:r>
          <a:endParaRPr>
            <a:solidFill>
              <a:schemeClr val="dk1"/>
            </a:solidFill>
          </a:endParaRPr>
        </a:p>
      </dsp:txBody>
      <dsp:txXfrm>
        <a:off x="2442516" y="1767076"/>
        <a:ext cx="1031498" cy="515749"/>
      </dsp:txXfrm>
    </dsp:sp>
    <dsp:sp modelId="{A08E81F6-CB4A-C74F-90D0-D1ACEA749B13}">
      <dsp:nvSpPr>
        <dsp:cNvPr id="7" name="圆角矩形 6"/>
        <dsp:cNvSpPr/>
      </dsp:nvSpPr>
      <dsp:spPr bwMode="white">
        <a:xfrm>
          <a:off x="1294201" y="1767076"/>
          <a:ext cx="1031498" cy="515749"/>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改进措施与责任落实</a:t>
          </a:r>
          <a:endParaRPr>
            <a:solidFill>
              <a:schemeClr val="dk1"/>
            </a:solidFill>
          </a:endParaRPr>
        </a:p>
      </dsp:txBody>
      <dsp:txXfrm>
        <a:off x="1294201" y="1767076"/>
        <a:ext cx="1031498" cy="515749"/>
      </dsp:txXfrm>
    </dsp:sp>
    <dsp:sp modelId="{CE19E259-6D28-E344-BC7F-9CE29FFC2358}">
      <dsp:nvSpPr>
        <dsp:cNvPr id="8" name="圆角矩形 7"/>
        <dsp:cNvSpPr/>
      </dsp:nvSpPr>
      <dsp:spPr bwMode="white">
        <a:xfrm>
          <a:off x="939352" y="674963"/>
          <a:ext cx="1031498" cy="515749"/>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效果验证与标准更新</a:t>
          </a:r>
          <a:endParaRPr>
            <a:solidFill>
              <a:schemeClr val="dk1"/>
            </a:solidFill>
          </a:endParaRPr>
        </a:p>
      </dsp:txBody>
      <dsp:txXfrm>
        <a:off x="939352" y="674963"/>
        <a:ext cx="1031498" cy="5157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3847465" cy="2374265"/>
        <a:chOff x="0" y="0"/>
        <a:chExt cx="3847465" cy="2374265"/>
      </a:xfrm>
    </dsp:grpSpPr>
    <dsp:sp modelId="{92B56EC2-5AC9-C140-9A75-911E38891186}">
      <dsp:nvSpPr>
        <dsp:cNvPr id="4" name="右箭头 3"/>
        <dsp:cNvSpPr/>
      </dsp:nvSpPr>
      <dsp:spPr bwMode="white">
        <a:xfrm>
          <a:off x="1538986" y="0"/>
          <a:ext cx="2308479" cy="1130602"/>
        </a:xfrm>
        <a:prstGeom prst="rightArrow">
          <a:avLst>
            <a:gd name="adj1" fmla="val 75000"/>
            <a:gd name="adj2" fmla="val 50000"/>
          </a:avLst>
        </a:prstGeom>
      </dsp:spPr>
      <dsp:style>
        <a:lnRef idx="1">
          <a:schemeClr val="dk1">
            <a:alpha val="90000"/>
          </a:schemeClr>
        </a:lnRef>
        <a:fillRef idx="1">
          <a:schemeClr val="lt1">
            <a:alpha val="90000"/>
            <a:tint val="40000"/>
          </a:schemeClr>
        </a:fillRef>
        <a:effectRef idx="0">
          <a:scrgbClr r="0" g="0" b="0"/>
        </a:effectRef>
        <a:fontRef idx="minor"/>
      </dsp:style>
      <dsp:txBody>
        <a:bodyPr lIns="6350" tIns="6350" rIns="6350" bIns="6350" anchor="t"/>
        <a:lstStyle>
          <a:lvl1pPr algn="l">
            <a:defRPr sz="6500"/>
          </a:lvl1pPr>
          <a:lvl2pPr marL="285750" indent="-285750" algn="l">
            <a:defRPr sz="6500"/>
          </a:lvl2pPr>
          <a:lvl3pPr marL="571500" indent="-285750" algn="l">
            <a:defRPr sz="6500"/>
          </a:lvl3pPr>
          <a:lvl4pPr marL="857250" indent="-285750" algn="l">
            <a:defRPr sz="6500"/>
          </a:lvl4pPr>
          <a:lvl5pPr marL="1143000" indent="-285750" algn="l">
            <a:defRPr sz="6500"/>
          </a:lvl5pPr>
          <a:lvl6pPr marL="1428750" indent="-285750" algn="l">
            <a:defRPr sz="6500"/>
          </a:lvl6pPr>
          <a:lvl7pPr marL="1714500" indent="-285750" algn="l">
            <a:defRPr sz="6500"/>
          </a:lvl7pPr>
          <a:lvl8pPr marL="2000250" indent="-285750" algn="l">
            <a:defRPr sz="6500"/>
          </a:lvl8pPr>
          <a:lvl9pPr marL="2286000" indent="-285750" algn="l">
            <a:defRPr sz="6500"/>
          </a:lvl9pPr>
        </a:lstStyle>
        <a:p>
          <a:pPr marL="57150" lvl="1" indent="-57150">
            <a:lnSpc>
              <a:spcPct val="100000"/>
            </a:lnSpc>
            <a:spcBef>
              <a:spcPct val="0"/>
            </a:spcBef>
            <a:spcAft>
              <a:spcPct val="15000"/>
            </a:spcAft>
            <a:buChar char="•"/>
          </a:pPr>
          <a:r>
            <a:rPr lang="zh-CN" altLang="en-US" sz="1050" baseline="0">
              <a:solidFill>
                <a:schemeClr val="dk1"/>
              </a:solidFill>
              <a:ea typeface="宋体" panose="02010600030101010101" charset="-122"/>
            </a:rPr>
            <a:t>效率提升</a:t>
          </a:r>
          <a:endParaRPr lang="zh-CN" altLang="en-US" sz="1050" baseline="0">
            <a:solidFill>
              <a:schemeClr val="dk1"/>
            </a:solidFill>
            <a:ea typeface="宋体" panose="02010600030101010101" charset="-122"/>
          </a:endParaRPr>
        </a:p>
        <a:p>
          <a:pPr marL="57150" lvl="1" indent="-57150">
            <a:lnSpc>
              <a:spcPct val="100000"/>
            </a:lnSpc>
            <a:spcBef>
              <a:spcPct val="0"/>
            </a:spcBef>
            <a:spcAft>
              <a:spcPct val="15000"/>
            </a:spcAft>
            <a:buChar char="•"/>
          </a:pPr>
          <a:r>
            <a:rPr lang="zh-CN" altLang="en-US" sz="1050" baseline="0">
              <a:solidFill>
                <a:schemeClr val="dk1"/>
              </a:solidFill>
              <a:ea typeface="宋体" panose="02010600030101010101" charset="-122"/>
            </a:rPr>
            <a:t>质量稳定</a:t>
          </a:r>
          <a:endParaRPr lang="zh-CN" altLang="en-US" sz="1050" baseline="0">
            <a:solidFill>
              <a:schemeClr val="dk1"/>
            </a:solidFill>
            <a:ea typeface="宋体" panose="02010600030101010101" charset="-122"/>
          </a:endParaRPr>
        </a:p>
        <a:p>
          <a:pPr marL="57150" lvl="1" indent="-57150">
            <a:lnSpc>
              <a:spcPct val="100000"/>
            </a:lnSpc>
            <a:spcBef>
              <a:spcPct val="0"/>
            </a:spcBef>
            <a:spcAft>
              <a:spcPct val="15000"/>
            </a:spcAft>
            <a:buChar char="•"/>
          </a:pPr>
          <a:r>
            <a:rPr lang="zh-CN" altLang="en-US" sz="1050" baseline="0">
              <a:solidFill>
                <a:schemeClr val="dk1"/>
              </a:solidFill>
              <a:ea typeface="宋体" panose="02010600030101010101" charset="-122"/>
            </a:rPr>
            <a:t>透明合规</a:t>
          </a:r>
          <a:endParaRPr lang="zh-CN" altLang="en-US" sz="1050" baseline="0">
            <a:solidFill>
              <a:schemeClr val="dk1"/>
            </a:solidFill>
            <a:ea typeface="宋体" panose="02010600030101010101" charset="-122"/>
          </a:endParaRPr>
        </a:p>
        <a:p>
          <a:pPr marL="57150" lvl="1" indent="-57150">
            <a:lnSpc>
              <a:spcPct val="100000"/>
            </a:lnSpc>
            <a:spcBef>
              <a:spcPct val="0"/>
            </a:spcBef>
            <a:spcAft>
              <a:spcPct val="15000"/>
            </a:spcAft>
            <a:buChar char="•"/>
          </a:pPr>
          <a:r>
            <a:rPr lang="zh-CN" altLang="en-US" sz="1050" baseline="0">
              <a:solidFill>
                <a:schemeClr val="dk1"/>
              </a:solidFill>
              <a:ea typeface="宋体" panose="02010600030101010101" charset="-122"/>
            </a:rPr>
            <a:t>协同增强</a:t>
          </a:r>
          <a:endParaRPr>
            <a:solidFill>
              <a:schemeClr val="dk1"/>
            </a:solidFill>
          </a:endParaRPr>
        </a:p>
      </dsp:txBody>
      <dsp:txXfrm>
        <a:off x="1538986" y="0"/>
        <a:ext cx="2308479" cy="1130602"/>
      </dsp:txXfrm>
    </dsp:sp>
    <dsp:sp modelId="{D7DD144B-7B4E-4F44-8F39-1F75699836EB}">
      <dsp:nvSpPr>
        <dsp:cNvPr id="3" name="圆角矩形 2"/>
        <dsp:cNvSpPr/>
      </dsp:nvSpPr>
      <dsp:spPr bwMode="white">
        <a:xfrm>
          <a:off x="0" y="0"/>
          <a:ext cx="1538986" cy="1130602"/>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19050" rIns="38100" bIns="190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战略目标</a:t>
          </a:r>
          <a:endParaRPr>
            <a:solidFill>
              <a:schemeClr val="dk1"/>
            </a:solidFill>
          </a:endParaRPr>
        </a:p>
      </dsp:txBody>
      <dsp:txXfrm>
        <a:off x="0" y="0"/>
        <a:ext cx="1538986" cy="1130602"/>
      </dsp:txXfrm>
    </dsp:sp>
    <dsp:sp modelId="{9F119C61-6AAF-594C-8AEC-53B1FCF9B69F}">
      <dsp:nvSpPr>
        <dsp:cNvPr id="6" name="右箭头 5"/>
        <dsp:cNvSpPr/>
      </dsp:nvSpPr>
      <dsp:spPr bwMode="white">
        <a:xfrm>
          <a:off x="1538986" y="1243663"/>
          <a:ext cx="2308479" cy="1130602"/>
        </a:xfrm>
        <a:prstGeom prst="rightArrow">
          <a:avLst>
            <a:gd name="adj1" fmla="val 75000"/>
            <a:gd name="adj2" fmla="val 50000"/>
          </a:avLst>
        </a:prstGeom>
      </dsp:spPr>
      <dsp:style>
        <a:lnRef idx="1">
          <a:schemeClr val="dk1">
            <a:alpha val="90000"/>
          </a:schemeClr>
        </a:lnRef>
        <a:fillRef idx="1">
          <a:schemeClr val="lt1">
            <a:alpha val="90000"/>
            <a:tint val="40000"/>
          </a:schemeClr>
        </a:fillRef>
        <a:effectRef idx="0">
          <a:scrgbClr r="0" g="0" b="0"/>
        </a:effectRef>
        <a:fontRef idx="minor"/>
      </dsp:style>
      <dsp:txBody>
        <a:bodyPr lIns="6350" tIns="6350" rIns="6350" bIns="6350" anchor="t"/>
        <a:lstStyle>
          <a:lvl1pPr algn="l">
            <a:defRPr sz="6500"/>
          </a:lvl1pPr>
          <a:lvl2pPr marL="285750" indent="-285750" algn="l">
            <a:defRPr sz="6500"/>
          </a:lvl2pPr>
          <a:lvl3pPr marL="571500" indent="-285750" algn="l">
            <a:defRPr sz="6500"/>
          </a:lvl3pPr>
          <a:lvl4pPr marL="857250" indent="-285750" algn="l">
            <a:defRPr sz="6500"/>
          </a:lvl4pPr>
          <a:lvl5pPr marL="1143000" indent="-285750" algn="l">
            <a:defRPr sz="6500"/>
          </a:lvl5pPr>
          <a:lvl6pPr marL="1428750" indent="-285750" algn="l">
            <a:defRPr sz="6500"/>
          </a:lvl6pPr>
          <a:lvl7pPr marL="1714500" indent="-285750" algn="l">
            <a:defRPr sz="6500"/>
          </a:lvl7pPr>
          <a:lvl8pPr marL="2000250" indent="-285750" algn="l">
            <a:defRPr sz="6500"/>
          </a:lvl8pPr>
          <a:lvl9pPr marL="2286000" indent="-285750" algn="l">
            <a:defRPr sz="6500"/>
          </a:lvl9pPr>
        </a:lstStyle>
        <a:p>
          <a:pPr marL="57150" lvl="1" indent="-57150">
            <a:lnSpc>
              <a:spcPct val="100000"/>
            </a:lnSpc>
            <a:spcBef>
              <a:spcPct val="0"/>
            </a:spcBef>
            <a:spcAft>
              <a:spcPct val="15000"/>
            </a:spcAft>
            <a:buChar char="•"/>
          </a:pPr>
          <a:r>
            <a:rPr lang="zh-CN" altLang="en-US" sz="1050" baseline="0">
              <a:solidFill>
                <a:schemeClr val="dk1"/>
              </a:solidFill>
              <a:ea typeface="宋体" panose="02010600030101010101" charset="-122"/>
            </a:rPr>
            <a:t>分段推进</a:t>
          </a:r>
          <a:endParaRPr lang="zh-CN" altLang="en-US" sz="1050" baseline="0">
            <a:solidFill>
              <a:schemeClr val="dk1"/>
            </a:solidFill>
            <a:ea typeface="宋体" panose="02010600030101010101" charset="-122"/>
          </a:endParaRPr>
        </a:p>
        <a:p>
          <a:pPr marL="57150" lvl="1" indent="-57150">
            <a:lnSpc>
              <a:spcPct val="100000"/>
            </a:lnSpc>
            <a:spcBef>
              <a:spcPct val="0"/>
            </a:spcBef>
            <a:spcAft>
              <a:spcPct val="15000"/>
            </a:spcAft>
            <a:buChar char="•"/>
          </a:pPr>
          <a:r>
            <a:rPr lang="zh-CN" altLang="en-US" sz="1050" baseline="0">
              <a:solidFill>
                <a:schemeClr val="dk1"/>
              </a:solidFill>
              <a:ea typeface="宋体" panose="02010600030101010101" charset="-122"/>
            </a:rPr>
            <a:t>数据驱动</a:t>
          </a:r>
          <a:endParaRPr lang="zh-CN" altLang="en-US" sz="1050" baseline="0">
            <a:solidFill>
              <a:schemeClr val="dk1"/>
            </a:solidFill>
            <a:ea typeface="宋体" panose="02010600030101010101" charset="-122"/>
          </a:endParaRPr>
        </a:p>
        <a:p>
          <a:pPr marL="57150" lvl="1" indent="-57150">
            <a:lnSpc>
              <a:spcPct val="100000"/>
            </a:lnSpc>
            <a:spcBef>
              <a:spcPct val="0"/>
            </a:spcBef>
            <a:spcAft>
              <a:spcPct val="15000"/>
            </a:spcAft>
            <a:buChar char="•"/>
          </a:pPr>
          <a:r>
            <a:rPr lang="zh-CN" altLang="en-US" sz="1050" baseline="0">
              <a:solidFill>
                <a:schemeClr val="dk1"/>
              </a:solidFill>
              <a:ea typeface="宋体" panose="02010600030101010101" charset="-122"/>
            </a:rPr>
            <a:t>风险可控</a:t>
          </a:r>
          <a:endParaRPr lang="zh-CN" altLang="en-US" sz="1050" baseline="0">
            <a:solidFill>
              <a:schemeClr val="dk1"/>
            </a:solidFill>
            <a:ea typeface="宋体" panose="02010600030101010101" charset="-122"/>
          </a:endParaRPr>
        </a:p>
        <a:p>
          <a:pPr marL="57150" lvl="1" indent="-57150">
            <a:lnSpc>
              <a:spcPct val="100000"/>
            </a:lnSpc>
            <a:spcBef>
              <a:spcPct val="0"/>
            </a:spcBef>
            <a:spcAft>
              <a:spcPct val="15000"/>
            </a:spcAft>
            <a:buChar char="•"/>
          </a:pPr>
          <a:r>
            <a:rPr lang="zh-CN" altLang="en-US" sz="1050" baseline="0">
              <a:solidFill>
                <a:schemeClr val="dk1"/>
              </a:solidFill>
              <a:ea typeface="宋体" panose="02010600030101010101" charset="-122"/>
            </a:rPr>
            <a:t>持续优化</a:t>
          </a:r>
          <a:endParaRPr>
            <a:solidFill>
              <a:schemeClr val="dk1"/>
            </a:solidFill>
          </a:endParaRPr>
        </a:p>
      </dsp:txBody>
      <dsp:txXfrm>
        <a:off x="1538986" y="1243663"/>
        <a:ext cx="2308479" cy="1130602"/>
      </dsp:txXfrm>
    </dsp:sp>
    <dsp:sp modelId="{6797CC88-D988-8349-8A90-B8AFF53F507B}">
      <dsp:nvSpPr>
        <dsp:cNvPr id="5" name="圆角矩形 4"/>
        <dsp:cNvSpPr/>
      </dsp:nvSpPr>
      <dsp:spPr bwMode="white">
        <a:xfrm>
          <a:off x="0" y="1243663"/>
          <a:ext cx="1538986" cy="1130602"/>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19050" rIns="38100" bIns="190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执行原则</a:t>
          </a:r>
          <a:endParaRPr>
            <a:solidFill>
              <a:schemeClr val="dk1"/>
            </a:solidFill>
          </a:endParaRPr>
        </a:p>
      </dsp:txBody>
      <dsp:txXfrm>
        <a:off x="0" y="1243663"/>
        <a:ext cx="1538986" cy="1130602"/>
      </dsp:txXfrm>
    </dsp:sp>
  </dsp:spTree>
</dsp:drawing>
</file>

<file path=word/diagrams/drawing25.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4019550" cy="3804285"/>
        <a:chOff x="0" y="0"/>
        <a:chExt cx="4019550" cy="3804285"/>
      </a:xfrm>
    </dsp:grpSpPr>
    <dsp:sp modelId="{9CA991D8-2452-344E-A3D5-720BBFCA6DED}">
      <dsp:nvSpPr>
        <dsp:cNvPr id="3" name="燕尾形 2"/>
        <dsp:cNvSpPr/>
      </dsp:nvSpPr>
      <dsp:spPr bwMode="white">
        <a:xfrm rot="5400000">
          <a:off x="-209920" y="209920"/>
          <a:ext cx="1399467" cy="979627"/>
        </a:xfrm>
        <a:prstGeom prst="chevron">
          <a:avLst/>
        </a:prstGeom>
      </dsp:spPr>
      <dsp:style>
        <a:lnRef idx="1">
          <a:schemeClr val="dk1">
            <a:shade val="80000"/>
          </a:schemeClr>
        </a:lnRef>
        <a:fillRef idx="2">
          <a:schemeClr val="lt1"/>
        </a:fillRef>
        <a:effectRef idx="1">
          <a:scrgbClr r="0" g="0" b="0"/>
        </a:effectRef>
        <a:fontRef idx="minor">
          <a:schemeClr val="dk1"/>
        </a:fontRef>
      </dsp:style>
      <dsp:txBody>
        <a:bodyPr rot="-5400000"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软件过程改进委员会（</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SPIC</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a:t>
          </a:r>
          <a:endParaRPr>
            <a:solidFill>
              <a:schemeClr val="dk1"/>
            </a:solidFill>
          </a:endParaRPr>
        </a:p>
      </dsp:txBody>
      <dsp:txXfrm rot="5400000">
        <a:off x="-209920" y="209920"/>
        <a:ext cx="1399467" cy="979627"/>
      </dsp:txXfrm>
    </dsp:sp>
    <dsp:sp modelId="{4EC9B49D-0FFB-2F48-BA70-016470A5420F}">
      <dsp:nvSpPr>
        <dsp:cNvPr id="4" name="同侧圆角矩形 3"/>
        <dsp:cNvSpPr/>
      </dsp:nvSpPr>
      <dsp:spPr bwMode="white">
        <a:xfrm rot="5400000">
          <a:off x="2044762" y="-1065135"/>
          <a:ext cx="909654" cy="3039923"/>
        </a:xfrm>
        <a:prstGeom prst="round2SameRect">
          <a:avLst/>
        </a:prstGeom>
      </dsp:spPr>
      <dsp:style>
        <a:lnRef idx="1">
          <a:schemeClr val="dk1"/>
        </a:lnRef>
        <a:fillRef idx="1">
          <a:schemeClr val="dk1">
            <a:alpha val="90000"/>
            <a:tint val="40000"/>
          </a:schemeClr>
        </a:fillRef>
        <a:effectRef idx="0">
          <a:scrgbClr r="0" g="0" b="0"/>
        </a:effectRef>
        <a:fontRef idx="minor"/>
      </dsp:style>
      <dsp:txBody>
        <a:bodyPr rot="-5400000" lIns="71120" tIns="6350" rIns="6350" bIns="6350" anchor="ctr"/>
        <a:lstStyle>
          <a:lvl1pPr algn="l">
            <a:defRPr sz="6500"/>
          </a:lvl1pPr>
          <a:lvl2pPr marL="285750" indent="-285750" algn="l">
            <a:defRPr sz="6500"/>
          </a:lvl2pPr>
          <a:lvl3pPr marL="571500" indent="-285750" algn="l">
            <a:defRPr sz="6500"/>
          </a:lvl3pPr>
          <a:lvl4pPr marL="857250" indent="-285750" algn="l">
            <a:defRPr sz="6500"/>
          </a:lvl4pPr>
          <a:lvl5pPr marL="1143000" indent="-285750" algn="l">
            <a:defRPr sz="6500"/>
          </a:lvl5pPr>
          <a:lvl6pPr marL="1428750" indent="-285750" algn="l">
            <a:defRPr sz="6500"/>
          </a:lvl6pPr>
          <a:lvl7pPr marL="1714500" indent="-285750" algn="l">
            <a:defRPr sz="6500"/>
          </a:lvl7pPr>
          <a:lvl8pPr marL="2000250" indent="-285750" algn="l">
            <a:defRPr sz="6500"/>
          </a:lvl8pPr>
          <a:lvl9pPr marL="2286000" indent="-285750" algn="l">
            <a:defRPr sz="6500"/>
          </a:lvl9pPr>
        </a:lstStyle>
        <a:p>
          <a:pPr marL="57150" lvl="1" indent="-57150">
            <a:lnSpc>
              <a:spcPct val="100000"/>
            </a:lnSpc>
            <a:spcBef>
              <a:spcPct val="0"/>
            </a:spcBef>
            <a:spcAft>
              <a:spcPct val="15000"/>
            </a:spcAft>
            <a:buChar char="•"/>
          </a:pP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技术总监（</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CTO</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
质量管理负责人（</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Head of QA</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
业务部门主管（</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BU Head</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a:t>
          </a:r>
          <a:endParaRPr>
            <a:solidFill>
              <a:schemeClr val="dk1"/>
            </a:solidFill>
          </a:endParaRPr>
        </a:p>
      </dsp:txBody>
      <dsp:txXfrm rot="5400000">
        <a:off x="2044762" y="-1065135"/>
        <a:ext cx="909654" cy="3039923"/>
      </dsp:txXfrm>
    </dsp:sp>
    <dsp:sp modelId="{32BC5184-3241-4F46-9236-5D92E8AF6863}">
      <dsp:nvSpPr>
        <dsp:cNvPr id="5" name="燕尾形 4"/>
        <dsp:cNvSpPr/>
      </dsp:nvSpPr>
      <dsp:spPr bwMode="white">
        <a:xfrm rot="5400000">
          <a:off x="-209920" y="1412329"/>
          <a:ext cx="1399467" cy="979627"/>
        </a:xfrm>
        <a:prstGeom prst="chevron">
          <a:avLst/>
        </a:prstGeom>
      </dsp:spPr>
      <dsp:style>
        <a:lnRef idx="1">
          <a:schemeClr val="dk1">
            <a:shade val="80000"/>
          </a:schemeClr>
        </a:lnRef>
        <a:fillRef idx="2">
          <a:schemeClr val="lt1"/>
        </a:fillRef>
        <a:effectRef idx="1">
          <a:scrgbClr r="0" g="0" b="0"/>
        </a:effectRef>
        <a:fontRef idx="minor">
          <a:schemeClr val="dk1"/>
        </a:fontRef>
      </dsp:style>
      <dsp:txBody>
        <a:bodyPr rot="-5400000"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DevOps</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推进办公室（</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DPO</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a:t>
          </a:r>
          <a:endParaRPr>
            <a:solidFill>
              <a:schemeClr val="dk1"/>
            </a:solidFill>
          </a:endParaRPr>
        </a:p>
      </dsp:txBody>
      <dsp:txXfrm rot="5400000">
        <a:off x="-209920" y="1412329"/>
        <a:ext cx="1399467" cy="979627"/>
      </dsp:txXfrm>
    </dsp:sp>
    <dsp:sp modelId="{81D61E7A-D96C-EC4D-B9BE-D07733DA4857}">
      <dsp:nvSpPr>
        <dsp:cNvPr id="6" name="同侧圆角矩形 5"/>
        <dsp:cNvSpPr/>
      </dsp:nvSpPr>
      <dsp:spPr bwMode="white">
        <a:xfrm rot="5400000">
          <a:off x="2044762" y="137274"/>
          <a:ext cx="909654" cy="3039923"/>
        </a:xfrm>
        <a:prstGeom prst="round2SameRect">
          <a:avLst/>
        </a:prstGeom>
      </dsp:spPr>
      <dsp:style>
        <a:lnRef idx="1">
          <a:schemeClr val="dk1"/>
        </a:lnRef>
        <a:fillRef idx="1">
          <a:schemeClr val="dk1">
            <a:alpha val="90000"/>
            <a:tint val="40000"/>
          </a:schemeClr>
        </a:fillRef>
        <a:effectRef idx="0">
          <a:scrgbClr r="0" g="0" b="0"/>
        </a:effectRef>
        <a:fontRef idx="minor"/>
      </dsp:style>
      <dsp:txBody>
        <a:bodyPr rot="-5400000" lIns="71120" tIns="6350" rIns="6350" bIns="6350" anchor="ctr"/>
        <a:lstStyle>
          <a:lvl1pPr algn="l">
            <a:defRPr sz="6500"/>
          </a:lvl1pPr>
          <a:lvl2pPr marL="285750" indent="-285750" algn="l">
            <a:defRPr sz="6500"/>
          </a:lvl2pPr>
          <a:lvl3pPr marL="571500" indent="-285750" algn="l">
            <a:defRPr sz="6500"/>
          </a:lvl3pPr>
          <a:lvl4pPr marL="857250" indent="-285750" algn="l">
            <a:defRPr sz="6500"/>
          </a:lvl4pPr>
          <a:lvl5pPr marL="1143000" indent="-285750" algn="l">
            <a:defRPr sz="6500"/>
          </a:lvl5pPr>
          <a:lvl6pPr marL="1428750" indent="-285750" algn="l">
            <a:defRPr sz="6500"/>
          </a:lvl6pPr>
          <a:lvl7pPr marL="1714500" indent="-285750" algn="l">
            <a:defRPr sz="6500"/>
          </a:lvl7pPr>
          <a:lvl8pPr marL="2000250" indent="-285750" algn="l">
            <a:defRPr sz="6500"/>
          </a:lvl8pPr>
          <a:lvl9pPr marL="2286000" indent="-285750" algn="l">
            <a:defRPr sz="6500"/>
          </a:lvl9pPr>
        </a:lstStyle>
        <a:p>
          <a:pPr marL="57150" lvl="1" indent="-57150">
            <a:lnSpc>
              <a:spcPct val="100000"/>
            </a:lnSpc>
            <a:spcBef>
              <a:spcPct val="0"/>
            </a:spcBef>
            <a:spcAft>
              <a:spcPct val="15000"/>
            </a:spcAft>
            <a:buChar char="•"/>
          </a:pP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研发管理部（</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Development Management</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
测试管理部（</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Testing Management</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
运维管理部（</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Operations Management</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
信息安全与合规部（</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InfoSec &amp; Compliance</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a:t>
          </a:r>
          <a:endParaRPr>
            <a:solidFill>
              <a:schemeClr val="dk1"/>
            </a:solidFill>
          </a:endParaRPr>
        </a:p>
      </dsp:txBody>
      <dsp:txXfrm rot="5400000">
        <a:off x="2044762" y="137274"/>
        <a:ext cx="909654" cy="3039923"/>
      </dsp:txXfrm>
    </dsp:sp>
    <dsp:sp modelId="{D2787750-AAC3-9B42-B428-F0BE9FE00999}">
      <dsp:nvSpPr>
        <dsp:cNvPr id="7" name="燕尾形 6"/>
        <dsp:cNvSpPr/>
      </dsp:nvSpPr>
      <dsp:spPr bwMode="white">
        <a:xfrm rot="5400000">
          <a:off x="-209920" y="2614738"/>
          <a:ext cx="1399467" cy="979627"/>
        </a:xfrm>
        <a:prstGeom prst="chevron">
          <a:avLst/>
        </a:prstGeom>
      </dsp:spPr>
      <dsp:style>
        <a:lnRef idx="1">
          <a:schemeClr val="dk1">
            <a:shade val="80000"/>
          </a:schemeClr>
        </a:lnRef>
        <a:fillRef idx="2">
          <a:schemeClr val="lt1"/>
        </a:fillRef>
        <a:effectRef idx="1">
          <a:scrgbClr r="0" g="0" b="0"/>
        </a:effectRef>
        <a:fontRef idx="minor">
          <a:schemeClr val="dk1"/>
        </a:fontRef>
      </dsp:style>
      <dsp:txBody>
        <a:bodyPr rot="-5400000"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项目级团队</a:t>
          </a:r>
          <a:endParaRPr>
            <a:solidFill>
              <a:schemeClr val="dk1"/>
            </a:solidFill>
          </a:endParaRPr>
        </a:p>
      </dsp:txBody>
      <dsp:txXfrm rot="5400000">
        <a:off x="-209920" y="2614738"/>
        <a:ext cx="1399467" cy="979627"/>
      </dsp:txXfrm>
    </dsp:sp>
    <dsp:sp modelId="{7373FCB7-1D56-214F-9A89-6A7F2FF640F5}">
      <dsp:nvSpPr>
        <dsp:cNvPr id="8" name="同侧圆角矩形 7"/>
        <dsp:cNvSpPr/>
      </dsp:nvSpPr>
      <dsp:spPr bwMode="white">
        <a:xfrm rot="5400000">
          <a:off x="2044762" y="1339683"/>
          <a:ext cx="909654" cy="3039923"/>
        </a:xfrm>
        <a:prstGeom prst="round2SameRect">
          <a:avLst/>
        </a:prstGeom>
      </dsp:spPr>
      <dsp:style>
        <a:lnRef idx="1">
          <a:schemeClr val="dk1"/>
        </a:lnRef>
        <a:fillRef idx="1">
          <a:schemeClr val="dk1">
            <a:alpha val="90000"/>
            <a:tint val="40000"/>
          </a:schemeClr>
        </a:fillRef>
        <a:effectRef idx="0">
          <a:scrgbClr r="0" g="0" b="0"/>
        </a:effectRef>
        <a:fontRef idx="minor"/>
      </dsp:style>
      <dsp:txBody>
        <a:bodyPr rot="-5400000" lIns="71120" tIns="6350" rIns="6350" bIns="6350" anchor="ctr"/>
        <a:lstStyle>
          <a:lvl1pPr algn="l">
            <a:defRPr sz="6500"/>
          </a:lvl1pPr>
          <a:lvl2pPr marL="285750" indent="-285750" algn="l">
            <a:defRPr sz="6500"/>
          </a:lvl2pPr>
          <a:lvl3pPr marL="571500" indent="-285750" algn="l">
            <a:defRPr sz="6500"/>
          </a:lvl3pPr>
          <a:lvl4pPr marL="857250" indent="-285750" algn="l">
            <a:defRPr sz="6500"/>
          </a:lvl4pPr>
          <a:lvl5pPr marL="1143000" indent="-285750" algn="l">
            <a:defRPr sz="6500"/>
          </a:lvl5pPr>
          <a:lvl6pPr marL="1428750" indent="-285750" algn="l">
            <a:defRPr sz="6500"/>
          </a:lvl6pPr>
          <a:lvl7pPr marL="1714500" indent="-285750" algn="l">
            <a:defRPr sz="6500"/>
          </a:lvl7pPr>
          <a:lvl8pPr marL="2000250" indent="-285750" algn="l">
            <a:defRPr sz="6500"/>
          </a:lvl8pPr>
          <a:lvl9pPr marL="2286000" indent="-285750" algn="l">
            <a:defRPr sz="6500"/>
          </a:lvl9pPr>
        </a:lstStyle>
        <a:p>
          <a:pPr marL="57150" lvl="1" indent="-57150">
            <a:lnSpc>
              <a:spcPct val="100000"/>
            </a:lnSpc>
            <a:spcBef>
              <a:spcPct val="0"/>
            </a:spcBef>
            <a:spcAft>
              <a:spcPct val="15000"/>
            </a:spcAft>
            <a:buChar char="•"/>
          </a:pP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项目经理（</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PM</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
质量负责人（</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QA</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
站点可靠性工程师（</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SRE</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a:t>
          </a:r>
          <a:endParaRPr>
            <a:solidFill>
              <a:schemeClr val="dk1"/>
            </a:solidFill>
          </a:endParaRPr>
        </a:p>
      </dsp:txBody>
      <dsp:txXfrm rot="5400000">
        <a:off x="2044762" y="1339683"/>
        <a:ext cx="909654" cy="3039923"/>
      </dsp:txXfrm>
    </dsp:sp>
  </dsp:spTree>
</dsp:drawing>
</file>

<file path=word/diagrams/drawing26.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5486400" cy="2251710"/>
        <a:chOff x="0" y="0"/>
        <a:chExt cx="5486400" cy="2251710"/>
      </a:xfrm>
    </dsp:grpSpPr>
    <dsp:sp modelId="{F22CCEC2-5BD1-BA4D-88A8-BABA0B354F4A}">
      <dsp:nvSpPr>
        <dsp:cNvPr id="3" name="圆角矩形 2"/>
        <dsp:cNvSpPr/>
      </dsp:nvSpPr>
      <dsp:spPr bwMode="white">
        <a:xfrm>
          <a:off x="0" y="45547"/>
          <a:ext cx="910761" cy="432000"/>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71120" tIns="71120" rIns="71120" bIns="38100" anchor="t"/>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zh-CN" altLang="en-US">
              <a:solidFill>
                <a:schemeClr val="dk1"/>
              </a:solidFill>
              <a:latin typeface="Times New Roman" panose="02020603050405020304" charset="0"/>
              <a:cs typeface="Times New Roman" panose="02020603050405020304" charset="0"/>
            </a:rPr>
            <a:t>体系搭建阶段</a:t>
          </a:r>
          <a:endParaRPr>
            <a:solidFill>
              <a:schemeClr val="dk1"/>
            </a:solidFill>
          </a:endParaRPr>
        </a:p>
      </dsp:txBody>
      <dsp:txXfrm>
        <a:off x="0" y="45547"/>
        <a:ext cx="910761" cy="432000"/>
      </dsp:txXfrm>
    </dsp:sp>
    <dsp:sp modelId="{DA90B1E3-4896-EE4D-8E30-6876BBE187FE}">
      <dsp:nvSpPr>
        <dsp:cNvPr id="4" name="圆角矩形 3"/>
        <dsp:cNvSpPr/>
      </dsp:nvSpPr>
      <dsp:spPr bwMode="white">
        <a:xfrm>
          <a:off x="186541" y="333547"/>
          <a:ext cx="910761" cy="1872615"/>
        </a:xfrm>
        <a:prstGeom prst="roundRect">
          <a:avLst>
            <a:gd name="adj" fmla="val 10000"/>
          </a:avLst>
        </a:prstGeom>
      </dsp:spPr>
      <dsp:style>
        <a:lnRef idx="1">
          <a:schemeClr val="dk1"/>
        </a:lnRef>
        <a:fillRef idx="1">
          <a:schemeClr val="dk1">
            <a:alpha val="90000"/>
            <a:tint val="40000"/>
          </a:schemeClr>
        </a:fillRef>
        <a:effectRef idx="0">
          <a:scrgbClr r="0" g="0" b="0"/>
        </a:effectRef>
        <a:fontRef idx="minor"/>
      </dsp:style>
      <dsp:txBody>
        <a:bodyPr lIns="71120" tIns="71120" rIns="71120"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zh-CN" altLang="en-US">
              <a:solidFill>
                <a:schemeClr val="dk1"/>
              </a:solidFill>
              <a:latin typeface="Times New Roman" panose="02020603050405020304" charset="0"/>
              <a:cs typeface="Times New Roman" panose="02020603050405020304" charset="0"/>
            </a:rPr>
            <a:t>主要目标：流程建模、指标定义、工具选型  
关键成果：</a:t>
          </a:r>
          <a:r>
            <a:rPr lang="en-US" altLang="en-US">
              <a:solidFill>
                <a:schemeClr val="dk1"/>
              </a:solidFill>
              <a:latin typeface="Times New Roman" panose="02020603050405020304" charset="0"/>
              <a:cs typeface="Times New Roman" panose="02020603050405020304" charset="0"/>
            </a:rPr>
            <a:t>《</a:t>
          </a:r>
          <a:r>
            <a:rPr lang="zh-CN" altLang="en-US">
              <a:solidFill>
                <a:schemeClr val="dk1"/>
              </a:solidFill>
              <a:latin typeface="Times New Roman" panose="02020603050405020304" charset="0"/>
              <a:cs typeface="Times New Roman" panose="02020603050405020304" charset="0"/>
            </a:rPr>
            <a:t>研发流程蓝图</a:t>
          </a:r>
          <a:r>
            <a:rPr lang="en-US" altLang="en-US">
              <a:solidFill>
                <a:schemeClr val="dk1"/>
              </a:solidFill>
              <a:latin typeface="Times New Roman" panose="02020603050405020304" charset="0"/>
              <a:cs typeface="Times New Roman" panose="02020603050405020304" charset="0"/>
            </a:rPr>
            <a:t>》《</a:t>
          </a:r>
          <a:r>
            <a:rPr lang="zh-CN" altLang="en-US">
              <a:solidFill>
                <a:schemeClr val="dk1"/>
              </a:solidFill>
              <a:latin typeface="Times New Roman" panose="02020603050405020304" charset="0"/>
              <a:cs typeface="Times New Roman" panose="02020603050405020304" charset="0"/>
            </a:rPr>
            <a:t>度量指标规范</a:t>
          </a:r>
          <a:r>
            <a:rPr lang="en-US" altLang="en-US">
              <a:solidFill>
                <a:schemeClr val="dk1"/>
              </a:solidFill>
              <a:latin typeface="Times New Roman" panose="02020603050405020304" charset="0"/>
              <a:cs typeface="Times New Roman" panose="02020603050405020304" charset="0"/>
            </a:rPr>
            <a:t>》</a:t>
          </a:r>
          <a:r>
            <a:rPr lang="zh-CN" altLang="en-US">
              <a:solidFill>
                <a:schemeClr val="dk1"/>
              </a:solidFill>
              <a:latin typeface="Times New Roman" panose="02020603050405020304" charset="0"/>
              <a:cs typeface="Times New Roman" panose="02020603050405020304" charset="0"/>
            </a:rPr>
            <a:t>、</a:t>
          </a:r>
          <a:r>
            <a:rPr lang="en-US" altLang="en-US">
              <a:solidFill>
                <a:schemeClr val="dk1"/>
              </a:solidFill>
              <a:latin typeface="Times New Roman" panose="02020603050405020304" charset="0"/>
              <a:cs typeface="Times New Roman" panose="02020603050405020304" charset="0"/>
            </a:rPr>
            <a:t>CI/CD</a:t>
          </a:r>
          <a:r>
            <a:rPr lang="zh-CN" altLang="en-US">
              <a:solidFill>
                <a:schemeClr val="dk1"/>
              </a:solidFill>
              <a:latin typeface="Times New Roman" panose="02020603050405020304" charset="0"/>
              <a:cs typeface="Times New Roman" panose="02020603050405020304" charset="0"/>
            </a:rPr>
            <a:t>雏形环境</a:t>
          </a:r>
          <a:endParaRPr>
            <a:solidFill>
              <a:schemeClr val="dk1"/>
            </a:solidFill>
          </a:endParaRPr>
        </a:p>
      </dsp:txBody>
      <dsp:txXfrm>
        <a:off x="186541" y="333547"/>
        <a:ext cx="910761" cy="1872615"/>
      </dsp:txXfrm>
    </dsp:sp>
    <dsp:sp modelId="{96D75CFB-4C0A-CE44-B756-00476428DF04}">
      <dsp:nvSpPr>
        <dsp:cNvPr id="5" name="右箭头 4"/>
        <dsp:cNvSpPr/>
      </dsp:nvSpPr>
      <dsp:spPr bwMode="white">
        <a:xfrm>
          <a:off x="1040545" y="76171"/>
          <a:ext cx="292704" cy="226753"/>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800"/>
          </a:lvl1pPr>
          <a:lvl2pPr marL="57150" indent="-57150" algn="ctr">
            <a:defRPr sz="600"/>
          </a:lvl2pPr>
          <a:lvl3pPr marL="114300" indent="-57150" algn="ctr">
            <a:defRPr sz="600"/>
          </a:lvl3pPr>
          <a:lvl4pPr marL="171450" indent="-57150" algn="ctr">
            <a:defRPr sz="600"/>
          </a:lvl4pPr>
          <a:lvl5pPr marL="228600" indent="-57150" algn="ctr">
            <a:defRPr sz="600"/>
          </a:lvl5pPr>
          <a:lvl6pPr marL="285750" indent="-57150" algn="ctr">
            <a:defRPr sz="600"/>
          </a:lvl6pPr>
          <a:lvl7pPr marL="342900" indent="-57150" algn="ctr">
            <a:defRPr sz="600"/>
          </a:lvl7pPr>
          <a:lvl8pPr marL="400050" indent="-57150" algn="ctr">
            <a:defRPr sz="600"/>
          </a:lvl8pPr>
          <a:lvl9pPr marL="457200" indent="-57150" algn="ctr">
            <a:defRPr sz="600"/>
          </a:lvl9pPr>
        </a:lstStyle>
        <a:p>
          <a:pPr lvl="0">
            <a:lnSpc>
              <a:spcPct val="100000"/>
            </a:lnSpc>
            <a:spcBef>
              <a:spcPct val="0"/>
            </a:spcBef>
            <a:spcAft>
              <a:spcPct val="35000"/>
            </a:spcAft>
          </a:pPr>
          <a:endParaRPr lang="zh-CN" altLang="en-US">
            <a:solidFill>
              <a:schemeClr val="dk1"/>
            </a:solidFill>
          </a:endParaRPr>
        </a:p>
      </dsp:txBody>
      <dsp:txXfrm>
        <a:off x="1040545" y="76171"/>
        <a:ext cx="292704" cy="226753"/>
      </dsp:txXfrm>
    </dsp:sp>
    <dsp:sp modelId="{DAA383BD-A4BC-D14D-BA26-AD1A0509A479}">
      <dsp:nvSpPr>
        <dsp:cNvPr id="6" name="圆角矩形 5"/>
        <dsp:cNvSpPr/>
      </dsp:nvSpPr>
      <dsp:spPr bwMode="white">
        <a:xfrm>
          <a:off x="1463033" y="45547"/>
          <a:ext cx="910761" cy="432000"/>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71120" tIns="71120" rIns="71120" bIns="38100" anchor="t"/>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zh-CN" altLang="en-US">
              <a:solidFill>
                <a:schemeClr val="dk1"/>
              </a:solidFill>
              <a:latin typeface="Times New Roman" panose="02020603050405020304" charset="0"/>
              <a:cs typeface="Times New Roman" panose="02020603050405020304" charset="0"/>
            </a:rPr>
            <a:t>试点验证阶段</a:t>
          </a:r>
          <a:endParaRPr>
            <a:solidFill>
              <a:schemeClr val="dk1"/>
            </a:solidFill>
          </a:endParaRPr>
        </a:p>
      </dsp:txBody>
      <dsp:txXfrm>
        <a:off x="1463033" y="45547"/>
        <a:ext cx="910761" cy="432000"/>
      </dsp:txXfrm>
    </dsp:sp>
    <dsp:sp modelId="{A5919E87-7315-064D-99D4-ADD49C4CBBAA}">
      <dsp:nvSpPr>
        <dsp:cNvPr id="7" name="圆角矩形 6"/>
        <dsp:cNvSpPr/>
      </dsp:nvSpPr>
      <dsp:spPr bwMode="white">
        <a:xfrm>
          <a:off x="1649574" y="333547"/>
          <a:ext cx="910761" cy="1872615"/>
        </a:xfrm>
        <a:prstGeom prst="roundRect">
          <a:avLst>
            <a:gd name="adj" fmla="val 10000"/>
          </a:avLst>
        </a:prstGeom>
      </dsp:spPr>
      <dsp:style>
        <a:lnRef idx="1">
          <a:schemeClr val="dk1"/>
        </a:lnRef>
        <a:fillRef idx="1">
          <a:schemeClr val="dk1">
            <a:alpha val="90000"/>
            <a:tint val="40000"/>
          </a:schemeClr>
        </a:fillRef>
        <a:effectRef idx="0">
          <a:scrgbClr r="0" g="0" b="0"/>
        </a:effectRef>
        <a:fontRef idx="minor"/>
      </dsp:style>
      <dsp:txBody>
        <a:bodyPr lIns="71120" tIns="71120" rIns="71120"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zh-CN" altLang="en-US">
              <a:solidFill>
                <a:schemeClr val="dk1"/>
              </a:solidFill>
              <a:latin typeface="Times New Roman" panose="02020603050405020304" charset="0"/>
              <a:cs typeface="Times New Roman" panose="02020603050405020304" charset="0"/>
            </a:rPr>
            <a:t>主要目标：核心系统试运行、度量体系验证  
关键成果：试点项目上线、自动化测试运行、改进报告 </a:t>
          </a:r>
          <a:endParaRPr>
            <a:solidFill>
              <a:schemeClr val="dk1"/>
            </a:solidFill>
          </a:endParaRPr>
        </a:p>
      </dsp:txBody>
      <dsp:txXfrm>
        <a:off x="1649574" y="333547"/>
        <a:ext cx="910761" cy="1872615"/>
      </dsp:txXfrm>
    </dsp:sp>
    <dsp:sp modelId="{32396BF1-7FF3-244B-A721-08B3C65E9A0C}">
      <dsp:nvSpPr>
        <dsp:cNvPr id="8" name="右箭头 7"/>
        <dsp:cNvSpPr/>
      </dsp:nvSpPr>
      <dsp:spPr bwMode="white">
        <a:xfrm>
          <a:off x="2503577" y="76171"/>
          <a:ext cx="292704" cy="226753"/>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800"/>
          </a:lvl1pPr>
          <a:lvl2pPr marL="57150" indent="-57150" algn="ctr">
            <a:defRPr sz="600"/>
          </a:lvl2pPr>
          <a:lvl3pPr marL="114300" indent="-57150" algn="ctr">
            <a:defRPr sz="600"/>
          </a:lvl3pPr>
          <a:lvl4pPr marL="171450" indent="-57150" algn="ctr">
            <a:defRPr sz="600"/>
          </a:lvl4pPr>
          <a:lvl5pPr marL="228600" indent="-57150" algn="ctr">
            <a:defRPr sz="600"/>
          </a:lvl5pPr>
          <a:lvl6pPr marL="285750" indent="-57150" algn="ctr">
            <a:defRPr sz="600"/>
          </a:lvl6pPr>
          <a:lvl7pPr marL="342900" indent="-57150" algn="ctr">
            <a:defRPr sz="600"/>
          </a:lvl7pPr>
          <a:lvl8pPr marL="400050" indent="-57150" algn="ctr">
            <a:defRPr sz="600"/>
          </a:lvl8pPr>
          <a:lvl9pPr marL="457200" indent="-57150" algn="ctr">
            <a:defRPr sz="600"/>
          </a:lvl9pPr>
        </a:lstStyle>
        <a:p>
          <a:pPr lvl="0">
            <a:lnSpc>
              <a:spcPct val="100000"/>
            </a:lnSpc>
            <a:spcBef>
              <a:spcPct val="0"/>
            </a:spcBef>
            <a:spcAft>
              <a:spcPct val="35000"/>
            </a:spcAft>
          </a:pPr>
          <a:endParaRPr lang="zh-CN" altLang="en-US">
            <a:solidFill>
              <a:schemeClr val="dk1"/>
            </a:solidFill>
          </a:endParaRPr>
        </a:p>
      </dsp:txBody>
      <dsp:txXfrm>
        <a:off x="2503577" y="76171"/>
        <a:ext cx="292704" cy="226753"/>
      </dsp:txXfrm>
    </dsp:sp>
    <dsp:sp modelId="{F672FF3F-6B20-CF41-8A64-FE22E7D6CCA0}">
      <dsp:nvSpPr>
        <dsp:cNvPr id="9" name="圆角矩形 8"/>
        <dsp:cNvSpPr/>
      </dsp:nvSpPr>
      <dsp:spPr bwMode="white">
        <a:xfrm>
          <a:off x="2926065" y="45547"/>
          <a:ext cx="910761" cy="432000"/>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71120" tIns="71120" rIns="71120" bIns="38100" anchor="t"/>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zh-CN" altLang="en-US">
              <a:solidFill>
                <a:schemeClr val="dk1"/>
              </a:solidFill>
              <a:latin typeface="Times New Roman" panose="02020603050405020304" charset="0"/>
              <a:cs typeface="Times New Roman" panose="02020603050405020304" charset="0"/>
            </a:rPr>
            <a:t>推广固化阶段</a:t>
          </a:r>
          <a:endParaRPr>
            <a:solidFill>
              <a:schemeClr val="dk1"/>
            </a:solidFill>
          </a:endParaRPr>
        </a:p>
      </dsp:txBody>
      <dsp:txXfrm>
        <a:off x="2926065" y="45547"/>
        <a:ext cx="910761" cy="432000"/>
      </dsp:txXfrm>
    </dsp:sp>
    <dsp:sp modelId="{E582677D-DC23-F847-A72D-580146BEE4CD}">
      <dsp:nvSpPr>
        <dsp:cNvPr id="10" name="圆角矩形 9"/>
        <dsp:cNvSpPr/>
      </dsp:nvSpPr>
      <dsp:spPr bwMode="white">
        <a:xfrm>
          <a:off x="3112607" y="333547"/>
          <a:ext cx="910761" cy="1872615"/>
        </a:xfrm>
        <a:prstGeom prst="roundRect">
          <a:avLst>
            <a:gd name="adj" fmla="val 10000"/>
          </a:avLst>
        </a:prstGeom>
      </dsp:spPr>
      <dsp:style>
        <a:lnRef idx="1">
          <a:schemeClr val="dk1"/>
        </a:lnRef>
        <a:fillRef idx="1">
          <a:schemeClr val="dk1">
            <a:alpha val="90000"/>
            <a:tint val="40000"/>
          </a:schemeClr>
        </a:fillRef>
        <a:effectRef idx="0">
          <a:scrgbClr r="0" g="0" b="0"/>
        </a:effectRef>
        <a:fontRef idx="minor"/>
      </dsp:style>
      <dsp:txBody>
        <a:bodyPr lIns="71120" tIns="71120" rIns="71120"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zh-CN" altLang="en-US">
              <a:solidFill>
                <a:schemeClr val="dk1"/>
              </a:solidFill>
              <a:latin typeface="Times New Roman" panose="02020603050405020304" charset="0"/>
              <a:cs typeface="Times New Roman" panose="02020603050405020304" charset="0"/>
            </a:rPr>
            <a:t>主要目标：流程标准化、制度固化  
关键成果：</a:t>
          </a:r>
          <a:r>
            <a:rPr lang="en-US" altLang="en-US">
              <a:solidFill>
                <a:schemeClr val="dk1"/>
              </a:solidFill>
              <a:latin typeface="Times New Roman" panose="02020603050405020304" charset="0"/>
              <a:cs typeface="Times New Roman" panose="02020603050405020304" charset="0"/>
            </a:rPr>
            <a:t>《</a:t>
          </a:r>
          <a:r>
            <a:rPr lang="zh-CN" altLang="en-US">
              <a:solidFill>
                <a:schemeClr val="dk1"/>
              </a:solidFill>
              <a:latin typeface="Times New Roman" panose="02020603050405020304" charset="0"/>
              <a:cs typeface="Times New Roman" panose="02020603050405020304" charset="0"/>
            </a:rPr>
            <a:t>过程改进操作手册</a:t>
          </a:r>
          <a:r>
            <a:rPr lang="en-US" altLang="en-US">
              <a:solidFill>
                <a:schemeClr val="dk1"/>
              </a:solidFill>
              <a:latin typeface="Times New Roman" panose="02020603050405020304" charset="0"/>
              <a:cs typeface="Times New Roman" panose="02020603050405020304" charset="0"/>
            </a:rPr>
            <a:t>》</a:t>
          </a:r>
          <a:r>
            <a:rPr lang="zh-CN" altLang="en-US">
              <a:solidFill>
                <a:schemeClr val="dk1"/>
              </a:solidFill>
              <a:latin typeface="Times New Roman" panose="02020603050405020304" charset="0"/>
              <a:cs typeface="Times New Roman" panose="02020603050405020304" charset="0"/>
            </a:rPr>
            <a:t>、公司级</a:t>
          </a:r>
          <a:r>
            <a:rPr lang="en-US" altLang="en-US">
              <a:solidFill>
                <a:schemeClr val="dk1"/>
              </a:solidFill>
              <a:latin typeface="Times New Roman" panose="02020603050405020304" charset="0"/>
              <a:cs typeface="Times New Roman" panose="02020603050405020304" charset="0"/>
            </a:rPr>
            <a:t>CI/CD</a:t>
          </a:r>
          <a:r>
            <a:rPr lang="zh-CN" altLang="en-US">
              <a:solidFill>
                <a:schemeClr val="dk1"/>
              </a:solidFill>
              <a:latin typeface="Times New Roman" panose="02020603050405020304" charset="0"/>
              <a:cs typeface="Times New Roman" panose="02020603050405020304" charset="0"/>
            </a:rPr>
            <a:t>一体化平台、绩效考核机制 </a:t>
          </a:r>
          <a:endParaRPr>
            <a:solidFill>
              <a:schemeClr val="dk1"/>
            </a:solidFill>
          </a:endParaRPr>
        </a:p>
      </dsp:txBody>
      <dsp:txXfrm>
        <a:off x="3112607" y="333547"/>
        <a:ext cx="910761" cy="1872615"/>
      </dsp:txXfrm>
    </dsp:sp>
    <dsp:sp modelId="{159D87E7-CB5B-A94E-8883-21BD9D101F4C}">
      <dsp:nvSpPr>
        <dsp:cNvPr id="11" name="右箭头 10"/>
        <dsp:cNvSpPr/>
      </dsp:nvSpPr>
      <dsp:spPr bwMode="white">
        <a:xfrm>
          <a:off x="3966610" y="76171"/>
          <a:ext cx="292704" cy="226753"/>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800"/>
          </a:lvl1pPr>
          <a:lvl2pPr marL="57150" indent="-57150" algn="ctr">
            <a:defRPr sz="600"/>
          </a:lvl2pPr>
          <a:lvl3pPr marL="114300" indent="-57150" algn="ctr">
            <a:defRPr sz="600"/>
          </a:lvl3pPr>
          <a:lvl4pPr marL="171450" indent="-57150" algn="ctr">
            <a:defRPr sz="600"/>
          </a:lvl4pPr>
          <a:lvl5pPr marL="228600" indent="-57150" algn="ctr">
            <a:defRPr sz="600"/>
          </a:lvl5pPr>
          <a:lvl6pPr marL="285750" indent="-57150" algn="ctr">
            <a:defRPr sz="600"/>
          </a:lvl6pPr>
          <a:lvl7pPr marL="342900" indent="-57150" algn="ctr">
            <a:defRPr sz="600"/>
          </a:lvl7pPr>
          <a:lvl8pPr marL="400050" indent="-57150" algn="ctr">
            <a:defRPr sz="600"/>
          </a:lvl8pPr>
          <a:lvl9pPr marL="457200" indent="-57150" algn="ctr">
            <a:defRPr sz="600"/>
          </a:lvl9pPr>
        </a:lstStyle>
        <a:p>
          <a:pPr lvl="0">
            <a:lnSpc>
              <a:spcPct val="100000"/>
            </a:lnSpc>
            <a:spcBef>
              <a:spcPct val="0"/>
            </a:spcBef>
            <a:spcAft>
              <a:spcPct val="35000"/>
            </a:spcAft>
          </a:pPr>
          <a:endParaRPr lang="zh-CN" altLang="en-US">
            <a:solidFill>
              <a:schemeClr val="dk1"/>
            </a:solidFill>
          </a:endParaRPr>
        </a:p>
      </dsp:txBody>
      <dsp:txXfrm>
        <a:off x="3966610" y="76171"/>
        <a:ext cx="292704" cy="226753"/>
      </dsp:txXfrm>
    </dsp:sp>
    <dsp:sp modelId="{0B5ED13F-7F90-3D48-A378-FD2ECF84CB05}">
      <dsp:nvSpPr>
        <dsp:cNvPr id="12" name="圆角矩形 11"/>
        <dsp:cNvSpPr/>
      </dsp:nvSpPr>
      <dsp:spPr bwMode="white">
        <a:xfrm>
          <a:off x="4389098" y="45547"/>
          <a:ext cx="910761" cy="432000"/>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71120" tIns="71120" rIns="71120" bIns="38100" anchor="t"/>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zh-CN" altLang="en-US">
              <a:solidFill>
                <a:schemeClr val="dk1"/>
              </a:solidFill>
              <a:latin typeface="Times New Roman" panose="02020603050405020304" charset="0"/>
              <a:cs typeface="Times New Roman" panose="02020603050405020304" charset="0"/>
            </a:rPr>
            <a:t>持续优化阶段</a:t>
          </a:r>
          <a:endParaRPr>
            <a:solidFill>
              <a:schemeClr val="dk1"/>
            </a:solidFill>
          </a:endParaRPr>
        </a:p>
      </dsp:txBody>
      <dsp:txXfrm>
        <a:off x="4389098" y="45547"/>
        <a:ext cx="910761" cy="432000"/>
      </dsp:txXfrm>
    </dsp:sp>
    <dsp:sp modelId="{692C3CBE-1BE6-DC46-8AD2-EF39BB42645F}">
      <dsp:nvSpPr>
        <dsp:cNvPr id="13" name="圆角矩形 12"/>
        <dsp:cNvSpPr/>
      </dsp:nvSpPr>
      <dsp:spPr bwMode="white">
        <a:xfrm>
          <a:off x="4575639" y="333547"/>
          <a:ext cx="910761" cy="1872615"/>
        </a:xfrm>
        <a:prstGeom prst="roundRect">
          <a:avLst>
            <a:gd name="adj" fmla="val 10000"/>
          </a:avLst>
        </a:prstGeom>
      </dsp:spPr>
      <dsp:style>
        <a:lnRef idx="1">
          <a:schemeClr val="dk1"/>
        </a:lnRef>
        <a:fillRef idx="1">
          <a:schemeClr val="dk1">
            <a:alpha val="90000"/>
            <a:tint val="40000"/>
          </a:schemeClr>
        </a:fillRef>
        <a:effectRef idx="0">
          <a:scrgbClr r="0" g="0" b="0"/>
        </a:effectRef>
        <a:fontRef idx="minor"/>
      </dsp:style>
      <dsp:txBody>
        <a:bodyPr lIns="71120" tIns="71120" rIns="71120"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zh-CN" altLang="zh-CN">
              <a:solidFill>
                <a:schemeClr val="dk1"/>
              </a:solidFill>
              <a:latin typeface="Times New Roman" panose="02020603050405020304" charset="0"/>
              <a:cs typeface="Times New Roman" panose="02020603050405020304" charset="0"/>
            </a:rPr>
            <a:t>主要目标：建立</a:t>
          </a:r>
          <a:r>
            <a:rPr lang="en-US" altLang="zh-CN">
              <a:solidFill>
                <a:schemeClr val="dk1"/>
              </a:solidFill>
              <a:latin typeface="Times New Roman" panose="02020603050405020304" charset="0"/>
              <a:cs typeface="Times New Roman" panose="02020603050405020304" charset="0"/>
            </a:rPr>
            <a:t>PDCA</a:t>
          </a:r>
          <a:r>
            <a:rPr lang="zh-CN" altLang="zh-CN">
              <a:solidFill>
                <a:schemeClr val="dk1"/>
              </a:solidFill>
              <a:latin typeface="Times New Roman" panose="02020603050405020304" charset="0"/>
              <a:cs typeface="Times New Roman" panose="02020603050405020304" charset="0"/>
            </a:rPr>
            <a:t>与</a:t>
          </a:r>
          <a:r>
            <a:rPr lang="en-US" altLang="zh-CN">
              <a:solidFill>
                <a:schemeClr val="dk1"/>
              </a:solidFill>
              <a:latin typeface="Times New Roman" panose="02020603050405020304" charset="0"/>
              <a:cs typeface="Times New Roman" panose="02020603050405020304" charset="0"/>
            </a:rPr>
            <a:t>CAPA</a:t>
          </a:r>
          <a:r>
            <a:rPr lang="zh-CN" altLang="zh-CN">
              <a:solidFill>
                <a:schemeClr val="dk1"/>
              </a:solidFill>
              <a:latin typeface="Times New Roman" panose="02020603050405020304" charset="0"/>
              <a:cs typeface="Times New Roman" panose="02020603050405020304" charset="0"/>
            </a:rPr>
            <a:t>闭环  
关键成果：年度改进白皮书、持续改进知识库、成熟度评估报告</a:t>
          </a:r>
          <a:r>
            <a:rPr lang="en-US" altLang="zh-CN">
              <a:solidFill>
                <a:schemeClr val="dk1"/>
              </a:solidFill>
              <a:latin typeface="Times New Roman" panose="02020603050405020304" charset="0"/>
              <a:cs typeface="Times New Roman" panose="02020603050405020304" charset="0"/>
            </a:rPr>
            <a:t>	</a:t>
          </a:r>
          <a:endParaRPr lang="zh-CN" altLang="en-US">
            <a:solidFill>
              <a:schemeClr val="dk1"/>
            </a:solidFill>
            <a:latin typeface="Times New Roman" panose="02020603050405020304" charset="0"/>
            <a:cs typeface="Times New Roman" panose="02020603050405020304" charset="0"/>
          </a:endParaRPr>
        </a:p>
      </dsp:txBody>
      <dsp:txXfrm>
        <a:off x="4575639" y="333547"/>
        <a:ext cx="910761" cy="1872615"/>
      </dsp:txXfrm>
    </dsp:sp>
  </dsp:spTree>
</dsp:drawing>
</file>

<file path=word/diagrams/drawing27.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4013200" cy="1546225"/>
        <a:chOff x="0" y="0"/>
        <a:chExt cx="4013200" cy="1546225"/>
      </a:xfrm>
    </dsp:grpSpPr>
    <dsp:sp modelId="{7B7F356F-3DD6-CA4E-B5A6-2DF8CBE192FB}">
      <dsp:nvSpPr>
        <dsp:cNvPr id="3" name="椭圆 2"/>
        <dsp:cNvSpPr/>
      </dsp:nvSpPr>
      <dsp:spPr bwMode="white">
        <a:xfrm>
          <a:off x="1772909" y="0"/>
          <a:ext cx="467383" cy="467383"/>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标准</a:t>
          </a:r>
          <a:endParaRPr>
            <a:solidFill>
              <a:schemeClr val="dk1"/>
            </a:solidFill>
          </a:endParaRPr>
        </a:p>
      </dsp:txBody>
      <dsp:txXfrm>
        <a:off x="1772909" y="0"/>
        <a:ext cx="467383" cy="467383"/>
      </dsp:txXfrm>
    </dsp:sp>
    <dsp:sp modelId="{5DE76731-399A-2643-9CAC-7FEDF70526B6}">
      <dsp:nvSpPr>
        <dsp:cNvPr id="4" name="右箭头 3"/>
        <dsp:cNvSpPr/>
      </dsp:nvSpPr>
      <dsp:spPr bwMode="white">
        <a:xfrm rot="2159999">
          <a:off x="2228262" y="360861"/>
          <a:ext cx="123856" cy="157742"/>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6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lang="zh-CN" altLang="en-US">
            <a:solidFill>
              <a:schemeClr val="dk1"/>
            </a:solidFill>
          </a:endParaRPr>
        </a:p>
      </dsp:txBody>
      <dsp:txXfrm rot="2159999">
        <a:off x="2228262" y="360861"/>
        <a:ext cx="123856" cy="157742"/>
      </dsp:txXfrm>
    </dsp:sp>
    <dsp:sp modelId="{89AC6E6D-1098-1242-A7EA-6CD1C6F13835}">
      <dsp:nvSpPr>
        <dsp:cNvPr id="5" name="椭圆 4"/>
        <dsp:cNvSpPr/>
      </dsp:nvSpPr>
      <dsp:spPr bwMode="white">
        <a:xfrm>
          <a:off x="2340090" y="412081"/>
          <a:ext cx="467383" cy="467383"/>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执行</a:t>
          </a:r>
          <a:endParaRPr>
            <a:solidFill>
              <a:schemeClr val="dk1"/>
            </a:solidFill>
          </a:endParaRPr>
        </a:p>
      </dsp:txBody>
      <dsp:txXfrm>
        <a:off x="2340090" y="412081"/>
        <a:ext cx="467383" cy="467383"/>
      </dsp:txXfrm>
    </dsp:sp>
    <dsp:sp modelId="{C9CF4B83-A1BE-3941-A065-F3D755E42877}">
      <dsp:nvSpPr>
        <dsp:cNvPr id="6" name="右箭头 5"/>
        <dsp:cNvSpPr/>
      </dsp:nvSpPr>
      <dsp:spPr bwMode="white">
        <a:xfrm rot="6480000">
          <a:off x="2403531" y="900282"/>
          <a:ext cx="123856" cy="157742"/>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10800000" lIns="0" tIns="0" rIns="0" bIns="0" anchor="ctr"/>
        <a:lstStyle>
          <a:lvl1pPr algn="ctr">
            <a:defRPr sz="6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lang="zh-CN" altLang="en-US">
            <a:solidFill>
              <a:schemeClr val="dk1"/>
            </a:solidFill>
          </a:endParaRPr>
        </a:p>
      </dsp:txBody>
      <dsp:txXfrm rot="6480000">
        <a:off x="2403531" y="900282"/>
        <a:ext cx="123856" cy="157742"/>
      </dsp:txXfrm>
    </dsp:sp>
    <dsp:sp modelId="{578CD1CD-71EB-F44C-9ADF-2FB71579F62B}">
      <dsp:nvSpPr>
        <dsp:cNvPr id="7" name="椭圆 6"/>
        <dsp:cNvSpPr/>
      </dsp:nvSpPr>
      <dsp:spPr bwMode="white">
        <a:xfrm>
          <a:off x="2123446" y="1078842"/>
          <a:ext cx="467383" cy="467383"/>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质量</a:t>
          </a:r>
          <a:endParaRPr>
            <a:solidFill>
              <a:schemeClr val="dk1"/>
            </a:solidFill>
          </a:endParaRPr>
        </a:p>
      </dsp:txBody>
      <dsp:txXfrm>
        <a:off x="2123446" y="1078842"/>
        <a:ext cx="467383" cy="467383"/>
      </dsp:txXfrm>
    </dsp:sp>
    <dsp:sp modelId="{2A758E79-E3C1-7E4A-B70B-EA9017E0D006}">
      <dsp:nvSpPr>
        <dsp:cNvPr id="8" name="右箭头 7"/>
        <dsp:cNvSpPr/>
      </dsp:nvSpPr>
      <dsp:spPr bwMode="white">
        <a:xfrm rot="10800000">
          <a:off x="1944672" y="1233663"/>
          <a:ext cx="123856" cy="157742"/>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10800000" lIns="0" tIns="0" rIns="0" bIns="0" anchor="ctr"/>
        <a:lstStyle>
          <a:lvl1pPr algn="ctr">
            <a:defRPr sz="6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lang="zh-CN" altLang="en-US">
            <a:solidFill>
              <a:schemeClr val="dk1"/>
            </a:solidFill>
          </a:endParaRPr>
        </a:p>
      </dsp:txBody>
      <dsp:txXfrm rot="10800000">
        <a:off x="1944672" y="1233663"/>
        <a:ext cx="123856" cy="157742"/>
      </dsp:txXfrm>
    </dsp:sp>
    <dsp:sp modelId="{F4809565-FF4A-C045-80BB-57932533FD04}">
      <dsp:nvSpPr>
        <dsp:cNvPr id="9" name="椭圆 8"/>
        <dsp:cNvSpPr/>
      </dsp:nvSpPr>
      <dsp:spPr bwMode="white">
        <a:xfrm>
          <a:off x="1422372" y="1078842"/>
          <a:ext cx="467383" cy="467383"/>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审核</a:t>
          </a:r>
          <a:endParaRPr>
            <a:solidFill>
              <a:schemeClr val="dk1"/>
            </a:solidFill>
          </a:endParaRPr>
        </a:p>
      </dsp:txBody>
      <dsp:txXfrm>
        <a:off x="1422372" y="1078842"/>
        <a:ext cx="467383" cy="467383"/>
      </dsp:txXfrm>
    </dsp:sp>
    <dsp:sp modelId="{DBD5F539-DADB-D446-A279-AA4524FFDFC7}">
      <dsp:nvSpPr>
        <dsp:cNvPr id="10" name="右箭头 9"/>
        <dsp:cNvSpPr/>
      </dsp:nvSpPr>
      <dsp:spPr bwMode="white">
        <a:xfrm rot="15120000">
          <a:off x="1485813" y="900282"/>
          <a:ext cx="123856" cy="157742"/>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10800000" lIns="0" tIns="0" rIns="0" bIns="0" anchor="ctr"/>
        <a:lstStyle>
          <a:lvl1pPr algn="ctr">
            <a:defRPr sz="6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lang="zh-CN" altLang="en-US">
            <a:solidFill>
              <a:schemeClr val="dk1"/>
            </a:solidFill>
          </a:endParaRPr>
        </a:p>
      </dsp:txBody>
      <dsp:txXfrm rot="15120000">
        <a:off x="1485813" y="900282"/>
        <a:ext cx="123856" cy="157742"/>
      </dsp:txXfrm>
    </dsp:sp>
    <dsp:sp modelId="{3FD692E9-DD6C-464B-8895-D9F8B995C7F6}">
      <dsp:nvSpPr>
        <dsp:cNvPr id="11" name="椭圆 10"/>
        <dsp:cNvSpPr/>
      </dsp:nvSpPr>
      <dsp:spPr bwMode="white">
        <a:xfrm>
          <a:off x="1205728" y="412081"/>
          <a:ext cx="467383" cy="467383"/>
        </a:xfrm>
        <a:prstGeom prst="ellipse">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改进</a:t>
          </a:r>
          <a:endParaRPr>
            <a:solidFill>
              <a:schemeClr val="dk1"/>
            </a:solidFill>
          </a:endParaRPr>
        </a:p>
      </dsp:txBody>
      <dsp:txXfrm>
        <a:off x="1205728" y="412081"/>
        <a:ext cx="467383" cy="467383"/>
      </dsp:txXfrm>
    </dsp:sp>
    <dsp:sp modelId="{EA1C95CC-3C57-624A-844E-FEBD6664A72F}">
      <dsp:nvSpPr>
        <dsp:cNvPr id="12" name="右箭头 11"/>
        <dsp:cNvSpPr/>
      </dsp:nvSpPr>
      <dsp:spPr bwMode="white">
        <a:xfrm rot="-2159999">
          <a:off x="1661081" y="360861"/>
          <a:ext cx="123856" cy="157742"/>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lIns="0" tIns="0" rIns="0" bIns="0" anchor="ctr"/>
        <a:lstStyle>
          <a:lvl1pPr algn="ctr">
            <a:defRPr sz="6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lang="zh-CN" altLang="en-US">
            <a:solidFill>
              <a:schemeClr val="dk1"/>
            </a:solidFill>
          </a:endParaRPr>
        </a:p>
      </dsp:txBody>
      <dsp:txXfrm rot="-2159999">
        <a:off x="1661081" y="360861"/>
        <a:ext cx="123856" cy="157742"/>
      </dsp:txXfrm>
    </dsp:sp>
  </dsp:spTree>
</dsp:drawing>
</file>

<file path=word/diagrams/drawing28.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4068445" cy="1920240"/>
        <a:chOff x="0" y="0"/>
        <a:chExt cx="4068445" cy="1920240"/>
      </a:xfrm>
    </dsp:grpSpPr>
    <dsp:sp modelId="{87ABD034-E9E5-DC49-BA1A-3460651F0105}">
      <dsp:nvSpPr>
        <dsp:cNvPr id="3" name="圆角矩形 2"/>
        <dsp:cNvSpPr/>
      </dsp:nvSpPr>
      <dsp:spPr bwMode="white">
        <a:xfrm>
          <a:off x="1690782" y="0"/>
          <a:ext cx="686881" cy="446473"/>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文化认同</a:t>
          </a:r>
          <a:endParaRPr>
            <a:solidFill>
              <a:schemeClr val="dk1"/>
            </a:solidFill>
          </a:endParaRPr>
        </a:p>
      </dsp:txBody>
      <dsp:txXfrm>
        <a:off x="1690782" y="0"/>
        <a:ext cx="686881" cy="446473"/>
      </dsp:txXfrm>
    </dsp:sp>
    <dsp:sp modelId="{01694CA6-3300-054A-BDDF-2259BCBD3616}">
      <dsp:nvSpPr>
        <dsp:cNvPr id="4" name="弧形 3"/>
        <dsp:cNvSpPr/>
      </dsp:nvSpPr>
      <dsp:spPr bwMode="white">
        <a:xfrm>
          <a:off x="1297339" y="223236"/>
          <a:ext cx="1473767" cy="1473767"/>
        </a:xfrm>
        <a:prstGeom prst="arc">
          <a:avLst>
            <a:gd name="adj1" fmla="val 18401804"/>
            <a:gd name="adj2" fmla="val 20006891"/>
          </a:avLst>
        </a:prstGeom>
        <a:ln>
          <a:tailEnd type="arrow" w="lg" len="med"/>
        </a:ln>
      </dsp:spPr>
      <dsp:style>
        <a:lnRef idx="1">
          <a:schemeClr val="dk1"/>
        </a:lnRef>
        <a:fillRef idx="0">
          <a:schemeClr val="dk1"/>
        </a:fillRef>
        <a:effectRef idx="0">
          <a:scrgbClr r="0" g="0" b="0"/>
        </a:effectRef>
        <a:fontRef idx="minor"/>
      </dsp:style>
      <dsp:txXfrm>
        <a:off x="1297339" y="223236"/>
        <a:ext cx="1473767" cy="1473767"/>
      </dsp:txXfrm>
    </dsp:sp>
    <dsp:sp modelId="{EBC91776-9296-A343-A345-511E3AA507FF}">
      <dsp:nvSpPr>
        <dsp:cNvPr id="5" name="圆角矩形 4"/>
        <dsp:cNvSpPr/>
      </dsp:nvSpPr>
      <dsp:spPr bwMode="white">
        <a:xfrm>
          <a:off x="2427666" y="736884"/>
          <a:ext cx="686881" cy="446473"/>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协同机制</a:t>
          </a:r>
          <a:endParaRPr>
            <a:solidFill>
              <a:schemeClr val="dk1"/>
            </a:solidFill>
          </a:endParaRPr>
        </a:p>
      </dsp:txBody>
      <dsp:txXfrm>
        <a:off x="2427666" y="736884"/>
        <a:ext cx="686881" cy="446473"/>
      </dsp:txXfrm>
    </dsp:sp>
    <dsp:sp modelId="{D5A739AF-59EE-EB40-A211-94BCC3AC0574}">
      <dsp:nvSpPr>
        <dsp:cNvPr id="6" name="弧形 5"/>
        <dsp:cNvSpPr/>
      </dsp:nvSpPr>
      <dsp:spPr bwMode="white">
        <a:xfrm>
          <a:off x="1297339" y="223236"/>
          <a:ext cx="1473767" cy="1473767"/>
        </a:xfrm>
        <a:prstGeom prst="arc">
          <a:avLst>
            <a:gd name="adj1" fmla="val 1593108"/>
            <a:gd name="adj2" fmla="val 3198195"/>
          </a:avLst>
        </a:prstGeom>
        <a:ln>
          <a:tailEnd type="arrow" w="lg" len="med"/>
        </a:ln>
      </dsp:spPr>
      <dsp:style>
        <a:lnRef idx="1">
          <a:schemeClr val="dk1"/>
        </a:lnRef>
        <a:fillRef idx="0">
          <a:schemeClr val="dk1"/>
        </a:fillRef>
        <a:effectRef idx="0">
          <a:scrgbClr r="0" g="0" b="0"/>
        </a:effectRef>
        <a:fontRef idx="minor"/>
      </dsp:style>
      <dsp:txXfrm>
        <a:off x="1297339" y="223236"/>
        <a:ext cx="1473767" cy="1473767"/>
      </dsp:txXfrm>
    </dsp:sp>
    <dsp:sp modelId="{2E3BA730-E2B6-2D41-ACB0-B43986BFFE23}">
      <dsp:nvSpPr>
        <dsp:cNvPr id="7" name="圆角矩形 6"/>
        <dsp:cNvSpPr/>
      </dsp:nvSpPr>
      <dsp:spPr bwMode="white">
        <a:xfrm>
          <a:off x="1690782" y="1473767"/>
          <a:ext cx="686881" cy="446473"/>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激励反馈</a:t>
          </a:r>
          <a:endParaRPr>
            <a:solidFill>
              <a:schemeClr val="dk1"/>
            </a:solidFill>
          </a:endParaRPr>
        </a:p>
      </dsp:txBody>
      <dsp:txXfrm>
        <a:off x="1690782" y="1473767"/>
        <a:ext cx="686881" cy="446473"/>
      </dsp:txXfrm>
    </dsp:sp>
    <dsp:sp modelId="{6D39C39B-14BC-8445-8727-B2E9BFEE5156}">
      <dsp:nvSpPr>
        <dsp:cNvPr id="8" name="弧形 7"/>
        <dsp:cNvSpPr/>
      </dsp:nvSpPr>
      <dsp:spPr bwMode="white">
        <a:xfrm>
          <a:off x="1297339" y="223236"/>
          <a:ext cx="1473767" cy="1473767"/>
        </a:xfrm>
        <a:prstGeom prst="arc">
          <a:avLst>
            <a:gd name="adj1" fmla="val 7601804"/>
            <a:gd name="adj2" fmla="val 9206891"/>
          </a:avLst>
        </a:prstGeom>
        <a:ln>
          <a:tailEnd type="arrow" w="lg" len="med"/>
        </a:ln>
      </dsp:spPr>
      <dsp:style>
        <a:lnRef idx="1">
          <a:schemeClr val="dk1"/>
        </a:lnRef>
        <a:fillRef idx="0">
          <a:schemeClr val="dk1"/>
        </a:fillRef>
        <a:effectRef idx="0">
          <a:scrgbClr r="0" g="0" b="0"/>
        </a:effectRef>
        <a:fontRef idx="minor"/>
      </dsp:style>
      <dsp:txXfrm>
        <a:off x="1297339" y="223236"/>
        <a:ext cx="1473767" cy="1473767"/>
      </dsp:txXfrm>
    </dsp:sp>
    <dsp:sp modelId="{833F8FA5-E326-F04C-87B8-ECBE2CF931CA}">
      <dsp:nvSpPr>
        <dsp:cNvPr id="9" name="圆角矩形 8"/>
        <dsp:cNvSpPr/>
      </dsp:nvSpPr>
      <dsp:spPr bwMode="white">
        <a:xfrm>
          <a:off x="953898" y="736884"/>
          <a:ext cx="686881" cy="446473"/>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持续改进</a:t>
          </a:r>
          <a:endParaRPr>
            <a:solidFill>
              <a:schemeClr val="dk1"/>
            </a:solidFill>
          </a:endParaRPr>
        </a:p>
      </dsp:txBody>
      <dsp:txXfrm>
        <a:off x="953898" y="736884"/>
        <a:ext cx="686881" cy="446473"/>
      </dsp:txXfrm>
    </dsp:sp>
    <dsp:sp modelId="{42FFCA9C-0E6F-6040-8020-9EDCD3887A03}">
      <dsp:nvSpPr>
        <dsp:cNvPr id="10" name="弧形 9"/>
        <dsp:cNvSpPr/>
      </dsp:nvSpPr>
      <dsp:spPr bwMode="white">
        <a:xfrm>
          <a:off x="1297339" y="223236"/>
          <a:ext cx="1473767" cy="1473767"/>
        </a:xfrm>
        <a:prstGeom prst="arc">
          <a:avLst>
            <a:gd name="adj1" fmla="val 12393108"/>
            <a:gd name="adj2" fmla="val 13998195"/>
          </a:avLst>
        </a:prstGeom>
        <a:ln>
          <a:tailEnd type="arrow" w="lg" len="med"/>
        </a:ln>
      </dsp:spPr>
      <dsp:style>
        <a:lnRef idx="1">
          <a:schemeClr val="dk1"/>
        </a:lnRef>
        <a:fillRef idx="0">
          <a:schemeClr val="dk1"/>
        </a:fillRef>
        <a:effectRef idx="0">
          <a:scrgbClr r="0" g="0" b="0"/>
        </a:effectRef>
        <a:fontRef idx="minor"/>
      </dsp:style>
      <dsp:txXfrm>
        <a:off x="1297339" y="223236"/>
        <a:ext cx="1473767" cy="1473767"/>
      </dsp:txXfrm>
    </dsp:sp>
  </dsp:spTree>
</dsp:drawing>
</file>

<file path=word/diagrams/drawing29.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4338320" cy="1601470"/>
        <a:chOff x="0" y="0"/>
        <a:chExt cx="4338320" cy="1601470"/>
      </a:xfrm>
    </dsp:grpSpPr>
    <dsp:sp modelId="{B9EC3FDC-C3FC-0047-8822-68E81063508B}">
      <dsp:nvSpPr>
        <dsp:cNvPr id="3" name="圆角矩形 2"/>
        <dsp:cNvSpPr/>
      </dsp:nvSpPr>
      <dsp:spPr bwMode="white">
        <a:xfrm>
          <a:off x="1789113" y="0"/>
          <a:ext cx="760095" cy="291176"/>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数据采集层</a:t>
          </a:r>
          <a:endParaRPr>
            <a:solidFill>
              <a:schemeClr val="dk1"/>
            </a:solidFill>
          </a:endParaRPr>
        </a:p>
      </dsp:txBody>
      <dsp:txXfrm>
        <a:off x="1789113" y="0"/>
        <a:ext cx="760095" cy="291176"/>
      </dsp:txXfrm>
    </dsp:sp>
    <dsp:sp modelId="{D32BCB90-3BBC-2547-97B5-91D1A802302D}">
      <dsp:nvSpPr>
        <dsp:cNvPr id="4" name="右箭头 3"/>
        <dsp:cNvSpPr/>
      </dsp:nvSpPr>
      <dsp:spPr bwMode="white">
        <a:xfrm rot="5399999">
          <a:off x="2114564" y="298456"/>
          <a:ext cx="109191" cy="131029"/>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5400000" lIns="0" tIns="0" rIns="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dk1"/>
            </a:solidFill>
          </a:endParaRPr>
        </a:p>
      </dsp:txBody>
      <dsp:txXfrm rot="5399999">
        <a:off x="2114564" y="298456"/>
        <a:ext cx="109191" cy="131029"/>
      </dsp:txXfrm>
    </dsp:sp>
    <dsp:sp modelId="{1ADF280C-2B43-5F40-B099-B656B25FC67B}">
      <dsp:nvSpPr>
        <dsp:cNvPr id="5" name="圆角矩形 4"/>
        <dsp:cNvSpPr/>
      </dsp:nvSpPr>
      <dsp:spPr bwMode="white">
        <a:xfrm>
          <a:off x="1789113" y="436765"/>
          <a:ext cx="760095" cy="291176"/>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分析层</a:t>
          </a:r>
          <a:endParaRPr>
            <a:solidFill>
              <a:schemeClr val="dk1"/>
            </a:solidFill>
          </a:endParaRPr>
        </a:p>
      </dsp:txBody>
      <dsp:txXfrm>
        <a:off x="1789113" y="436765"/>
        <a:ext cx="760095" cy="291176"/>
      </dsp:txXfrm>
    </dsp:sp>
    <dsp:sp modelId="{5CAB7120-1A24-9E47-99A8-5999E1364BED}">
      <dsp:nvSpPr>
        <dsp:cNvPr id="6" name="右箭头 5"/>
        <dsp:cNvSpPr/>
      </dsp:nvSpPr>
      <dsp:spPr bwMode="white">
        <a:xfrm rot="5399999">
          <a:off x="2114564" y="735220"/>
          <a:ext cx="109191" cy="131029"/>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5400000" lIns="0" tIns="0" rIns="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dk1"/>
            </a:solidFill>
          </a:endParaRPr>
        </a:p>
      </dsp:txBody>
      <dsp:txXfrm rot="5399999">
        <a:off x="2114564" y="735220"/>
        <a:ext cx="109191" cy="131029"/>
      </dsp:txXfrm>
    </dsp:sp>
    <dsp:sp modelId="{62E89B66-C8A6-D74E-9EA2-09F5E071F707}">
      <dsp:nvSpPr>
        <dsp:cNvPr id="7" name="圆角矩形 6"/>
        <dsp:cNvSpPr/>
      </dsp:nvSpPr>
      <dsp:spPr bwMode="white">
        <a:xfrm>
          <a:off x="1789113" y="873529"/>
          <a:ext cx="760095" cy="291176"/>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展示层</a:t>
          </a:r>
          <a:endParaRPr>
            <a:solidFill>
              <a:schemeClr val="dk1"/>
            </a:solidFill>
          </a:endParaRPr>
        </a:p>
      </dsp:txBody>
      <dsp:txXfrm>
        <a:off x="1789113" y="873529"/>
        <a:ext cx="760095" cy="291176"/>
      </dsp:txXfrm>
    </dsp:sp>
    <dsp:sp modelId="{EE9DC076-2922-614A-861F-648725EE158B}">
      <dsp:nvSpPr>
        <dsp:cNvPr id="8" name="右箭头 7"/>
        <dsp:cNvSpPr/>
      </dsp:nvSpPr>
      <dsp:spPr bwMode="white">
        <a:xfrm rot="5399999">
          <a:off x="2114564" y="1171985"/>
          <a:ext cx="109191" cy="131029"/>
        </a:xfrm>
        <a:prstGeom prst="rightArrow">
          <a:avLst>
            <a:gd name="adj1" fmla="val 60000"/>
            <a:gd name="adj2" fmla="val 50000"/>
          </a:avLst>
        </a:prstGeom>
      </dsp:spPr>
      <dsp:style>
        <a:lnRef idx="0">
          <a:schemeClr val="dk1">
            <a:tint val="60000"/>
          </a:schemeClr>
        </a:lnRef>
        <a:fillRef idx="2">
          <a:schemeClr val="dk1">
            <a:tint val="60000"/>
          </a:schemeClr>
        </a:fillRef>
        <a:effectRef idx="1">
          <a:scrgbClr r="0" g="0" b="0"/>
        </a:effectRef>
        <a:fontRef idx="minor">
          <a:schemeClr val="dk1"/>
        </a:fontRef>
      </dsp:style>
      <dsp:txBody>
        <a:bodyPr rot="-5400000" lIns="0" tIns="0" rIns="0" bIns="0" anchor="ctr"/>
        <a:lstStyle>
          <a:lvl1pPr algn="ctr">
            <a:defRPr sz="500"/>
          </a:lvl1pPr>
          <a:lvl2pPr marL="57150" indent="-57150" algn="ctr">
            <a:defRPr sz="400"/>
          </a:lvl2pPr>
          <a:lvl3pPr marL="114300" indent="-57150" algn="ctr">
            <a:defRPr sz="400"/>
          </a:lvl3pPr>
          <a:lvl4pPr marL="171450" indent="-57150" algn="ctr">
            <a:defRPr sz="400"/>
          </a:lvl4pPr>
          <a:lvl5pPr marL="228600" indent="-57150" algn="ctr">
            <a:defRPr sz="400"/>
          </a:lvl5pPr>
          <a:lvl6pPr marL="285750" indent="-57150" algn="ctr">
            <a:defRPr sz="400"/>
          </a:lvl6pPr>
          <a:lvl7pPr marL="342900" indent="-57150" algn="ctr">
            <a:defRPr sz="400"/>
          </a:lvl7pPr>
          <a:lvl8pPr marL="400050" indent="-57150" algn="ctr">
            <a:defRPr sz="400"/>
          </a:lvl8pPr>
          <a:lvl9pPr marL="457200" indent="-57150" algn="ctr">
            <a:defRPr sz="400"/>
          </a:lvl9pPr>
        </a:lstStyle>
        <a:p>
          <a:pPr lvl="0">
            <a:lnSpc>
              <a:spcPct val="100000"/>
            </a:lnSpc>
            <a:spcBef>
              <a:spcPct val="0"/>
            </a:spcBef>
            <a:spcAft>
              <a:spcPct val="35000"/>
            </a:spcAft>
          </a:pPr>
          <a:endParaRPr lang="zh-CN" altLang="en-US">
            <a:solidFill>
              <a:schemeClr val="dk1"/>
            </a:solidFill>
          </a:endParaRPr>
        </a:p>
      </dsp:txBody>
      <dsp:txXfrm rot="5399999">
        <a:off x="2114564" y="1171985"/>
        <a:ext cx="109191" cy="131029"/>
      </dsp:txXfrm>
    </dsp:sp>
    <dsp:sp modelId="{F287699F-7307-4744-98E9-AA48EE8B1839}">
      <dsp:nvSpPr>
        <dsp:cNvPr id="9" name="圆角矩形 8"/>
        <dsp:cNvSpPr/>
      </dsp:nvSpPr>
      <dsp:spPr bwMode="white">
        <a:xfrm>
          <a:off x="1789113" y="1310294"/>
          <a:ext cx="760095" cy="291176"/>
        </a:xfrm>
        <a:prstGeom prst="roundRect">
          <a:avLst>
            <a:gd name="adj" fmla="val 100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ea typeface="宋体" panose="02010600030101010101" charset="-122"/>
            </a:rPr>
            <a:t>决策层</a:t>
          </a:r>
          <a:endParaRPr>
            <a:solidFill>
              <a:schemeClr val="dk1"/>
            </a:solidFill>
          </a:endParaRPr>
        </a:p>
      </dsp:txBody>
      <dsp:txXfrm>
        <a:off x="1789113" y="1310294"/>
        <a:ext cx="760095" cy="291176"/>
      </dsp:txXfrm>
    </dsp:sp>
  </dsp:spTree>
</dsp:drawing>
</file>

<file path=word/diagrams/drawing30.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4406265" cy="1914525"/>
        <a:chOff x="0" y="0"/>
        <a:chExt cx="4406265" cy="1914525"/>
      </a:xfrm>
    </dsp:grpSpPr>
    <dsp:sp modelId="{2C5B3BA6-DBAE-E349-B4B6-6592C112AE80}">
      <dsp:nvSpPr>
        <dsp:cNvPr id="3" name="矩形 2"/>
        <dsp:cNvSpPr/>
      </dsp:nvSpPr>
      <dsp:spPr bwMode="white">
        <a:xfrm>
          <a:off x="2429585" y="13070"/>
          <a:ext cx="474431" cy="474431"/>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altLang="zh-CN" sz="1050" baseline="0">
              <a:solidFill>
                <a:schemeClr val="tx1"/>
              </a:solidFill>
              <a:latin typeface="Times New Roman" panose="02020603050405020304" charset="0"/>
              <a:ea typeface="宋体" panose="02010600030101010101" charset="-122"/>
              <a:cs typeface="Times New Roman" panose="02020603050405020304" charset="0"/>
            </a:rPr>
            <a:t>Plan</a:t>
          </a:r>
          <a:endParaRPr lang="zh-CN" altLang="en-US" sz="105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2429585" y="13070"/>
        <a:ext cx="474431" cy="474431"/>
      </dsp:txXfrm>
    </dsp:sp>
    <dsp:sp modelId="{EA2E7A9A-BBAA-2C46-8EE5-B867456829D3}">
      <dsp:nvSpPr>
        <dsp:cNvPr id="4" name="环形箭头 3"/>
        <dsp:cNvSpPr/>
      </dsp:nvSpPr>
      <dsp:spPr bwMode="white">
        <a:xfrm>
          <a:off x="1327521" y="12858"/>
          <a:ext cx="1751223" cy="1751223"/>
        </a:xfrm>
        <a:prstGeom prst="circularArrow">
          <a:avLst>
            <a:gd name="adj1" fmla="val 5000"/>
            <a:gd name="adj2" fmla="val 360000"/>
            <a:gd name="adj3" fmla="val -331458"/>
            <a:gd name="adj4" fmla="val 19766951"/>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327521" y="12858"/>
        <a:ext cx="1751223" cy="1751223"/>
      </dsp:txXfrm>
    </dsp:sp>
    <dsp:sp modelId="{F36D9B3D-D2F5-1242-8B0F-81C39B5B0C5E}">
      <dsp:nvSpPr>
        <dsp:cNvPr id="5" name="矩形 4"/>
        <dsp:cNvSpPr/>
      </dsp:nvSpPr>
      <dsp:spPr bwMode="white">
        <a:xfrm>
          <a:off x="2716148" y="895019"/>
          <a:ext cx="474431" cy="474431"/>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altLang="zh-CN" sz="1050" baseline="0">
              <a:solidFill>
                <a:schemeClr val="tx1"/>
              </a:solidFill>
              <a:latin typeface="Times New Roman" panose="02020603050405020304" charset="0"/>
              <a:ea typeface="宋体" panose="02010600030101010101" charset="-122"/>
              <a:cs typeface="Times New Roman" panose="02020603050405020304" charset="0"/>
            </a:rPr>
            <a:t>Do</a:t>
          </a:r>
          <a:endParaRPr lang="zh-CN" altLang="en-US" sz="105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2716148" y="895019"/>
        <a:ext cx="474431" cy="474431"/>
      </dsp:txXfrm>
    </dsp:sp>
    <dsp:sp modelId="{3AB2BDCD-2CEB-DA47-9FAA-D8006BD409F5}">
      <dsp:nvSpPr>
        <dsp:cNvPr id="6" name="环形箭头 5"/>
        <dsp:cNvSpPr/>
      </dsp:nvSpPr>
      <dsp:spPr bwMode="white">
        <a:xfrm>
          <a:off x="1327521" y="12858"/>
          <a:ext cx="1751223" cy="1751223"/>
        </a:xfrm>
        <a:prstGeom prst="circularArrow">
          <a:avLst>
            <a:gd name="adj1" fmla="val 5000"/>
            <a:gd name="adj2" fmla="val 360000"/>
            <a:gd name="adj3" fmla="val 3989967"/>
            <a:gd name="adj4" fmla="val 2254206"/>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327521" y="12858"/>
        <a:ext cx="1751223" cy="1751223"/>
      </dsp:txXfrm>
    </dsp:sp>
    <dsp:sp modelId="{2870D66A-9C48-0847-BD1B-A266DC867FE3}">
      <dsp:nvSpPr>
        <dsp:cNvPr id="7" name="矩形 6"/>
        <dsp:cNvSpPr/>
      </dsp:nvSpPr>
      <dsp:spPr bwMode="white">
        <a:xfrm>
          <a:off x="1965917" y="1440094"/>
          <a:ext cx="474431" cy="474431"/>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altLang="zh-CN" sz="1050" baseline="0">
              <a:solidFill>
                <a:schemeClr val="tx1"/>
              </a:solidFill>
              <a:latin typeface="Times New Roman" panose="02020603050405020304" charset="0"/>
              <a:ea typeface="宋体" panose="02010600030101010101" charset="-122"/>
              <a:cs typeface="Times New Roman" panose="02020603050405020304" charset="0"/>
            </a:rPr>
            <a:t>Check</a:t>
          </a:r>
          <a:endParaRPr lang="zh-CN" altLang="en-US" sz="105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1965917" y="1440094"/>
        <a:ext cx="474431" cy="474431"/>
      </dsp:txXfrm>
    </dsp:sp>
    <dsp:sp modelId="{A4CE6D0B-A215-7B4E-9346-B4F382D5AFAE}">
      <dsp:nvSpPr>
        <dsp:cNvPr id="8" name="环形箭头 7"/>
        <dsp:cNvSpPr/>
      </dsp:nvSpPr>
      <dsp:spPr bwMode="white">
        <a:xfrm>
          <a:off x="1327521" y="12858"/>
          <a:ext cx="1751223" cy="1751223"/>
        </a:xfrm>
        <a:prstGeom prst="circularArrow">
          <a:avLst>
            <a:gd name="adj1" fmla="val 5000"/>
            <a:gd name="adj2" fmla="val 360000"/>
            <a:gd name="adj3" fmla="val 8185793"/>
            <a:gd name="adj4" fmla="val 6450032"/>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327521" y="12858"/>
        <a:ext cx="1751223" cy="1751223"/>
      </dsp:txXfrm>
    </dsp:sp>
    <dsp:sp modelId="{E0509D77-2E85-304B-A329-2BAC22A7034C}">
      <dsp:nvSpPr>
        <dsp:cNvPr id="9" name="矩形 8"/>
        <dsp:cNvSpPr/>
      </dsp:nvSpPr>
      <dsp:spPr bwMode="white">
        <a:xfrm>
          <a:off x="1215686" y="895019"/>
          <a:ext cx="474431" cy="474431"/>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altLang="zh-CN" sz="1050" baseline="0">
              <a:solidFill>
                <a:schemeClr val="tx1"/>
              </a:solidFill>
              <a:latin typeface="Times New Roman" panose="02020603050405020304" charset="0"/>
              <a:ea typeface="宋体" panose="02010600030101010101" charset="-122"/>
              <a:cs typeface="Times New Roman" panose="02020603050405020304" charset="0"/>
            </a:rPr>
            <a:t>Act</a:t>
          </a:r>
          <a:endParaRPr lang="zh-CN" altLang="en-US" sz="105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1215686" y="895019"/>
        <a:ext cx="474431" cy="474431"/>
      </dsp:txXfrm>
    </dsp:sp>
    <dsp:sp modelId="{9D1F0534-FA57-BA49-A0B0-516C94979DC1}">
      <dsp:nvSpPr>
        <dsp:cNvPr id="10" name="环形箭头 9"/>
        <dsp:cNvSpPr/>
      </dsp:nvSpPr>
      <dsp:spPr bwMode="white">
        <a:xfrm>
          <a:off x="1327521" y="12858"/>
          <a:ext cx="1751223" cy="1751223"/>
        </a:xfrm>
        <a:prstGeom prst="circularArrow">
          <a:avLst>
            <a:gd name="adj1" fmla="val 5000"/>
            <a:gd name="adj2" fmla="val 360000"/>
            <a:gd name="adj3" fmla="val 12273048"/>
            <a:gd name="adj4" fmla="val 10771458"/>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327521" y="12858"/>
        <a:ext cx="1751223" cy="1751223"/>
      </dsp:txXfrm>
    </dsp:sp>
    <dsp:sp modelId="{14DA9B9F-4D89-CD40-90AF-252496EFE3E1}">
      <dsp:nvSpPr>
        <dsp:cNvPr id="11" name="矩形 10"/>
        <dsp:cNvSpPr/>
      </dsp:nvSpPr>
      <dsp:spPr bwMode="white">
        <a:xfrm>
          <a:off x="1502249" y="13070"/>
          <a:ext cx="474431" cy="474431"/>
        </a:xfrm>
        <a:prstGeom prst="rect">
          <a:avLst/>
        </a:prstGeom>
      </dsp:spPr>
      <dsp:style>
        <a:lnRef idx="0">
          <a:schemeClr val="dk1">
            <a:alpha val="0"/>
          </a:schemeClr>
        </a:lnRef>
        <a:fillRef idx="0">
          <a:schemeClr val="lt1">
            <a:alpha val="0"/>
          </a:schemeClr>
        </a:fillRef>
        <a:effectRef idx="0">
          <a:scrgbClr r="0" g="0" b="0"/>
        </a:effectRef>
        <a:fontRef idx="minor"/>
      </dsp:style>
      <dsp:txBody>
        <a:bodyPr lIns="12700" tIns="12700" rIns="12700" bIns="127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altLang="zh-CN" sz="1050" baseline="0">
              <a:solidFill>
                <a:schemeClr val="tx1"/>
              </a:solidFill>
              <a:latin typeface="Times New Roman" panose="02020603050405020304" charset="0"/>
              <a:ea typeface="宋体" panose="02010600030101010101" charset="-122"/>
              <a:cs typeface="Times New Roman" panose="02020603050405020304" charset="0"/>
            </a:rPr>
            <a:t>Prevent</a:t>
          </a:r>
          <a:endParaRPr lang="zh-CN" altLang="en-US" sz="105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1502249" y="13070"/>
        <a:ext cx="474431" cy="474431"/>
      </dsp:txXfrm>
    </dsp:sp>
    <dsp:sp modelId="{467E3945-9070-5049-B3EE-B24D65FE85CD}">
      <dsp:nvSpPr>
        <dsp:cNvPr id="12" name="环形箭头 11"/>
        <dsp:cNvSpPr/>
      </dsp:nvSpPr>
      <dsp:spPr bwMode="white">
        <a:xfrm>
          <a:off x="1327521" y="12858"/>
          <a:ext cx="1751223" cy="1751223"/>
        </a:xfrm>
        <a:prstGeom prst="circularArrow">
          <a:avLst>
            <a:gd name="adj1" fmla="val 5000"/>
            <a:gd name="adj2" fmla="val 360000"/>
            <a:gd name="adj3" fmla="val 16840959"/>
            <a:gd name="adj4" fmla="val 15199040"/>
            <a:gd name="adj5" fmla="val 5500"/>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Xfrm>
        <a:off x="1327521" y="12858"/>
        <a:ext cx="1751223" cy="1751223"/>
      </dsp:txXfrm>
    </dsp:sp>
  </dsp:spTree>
</dsp:drawing>
</file>

<file path=word/diagrams/drawing3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组合 1"/>
      <dsp:cNvGrpSpPr/>
    </dsp:nvGrpSpPr>
    <dsp:grpSpPr>
      <a:xfrm>
        <a:off x="0" y="0"/>
        <a:ext cx="3006725" cy="3006725"/>
        <a:chOff x="0" y="0"/>
        <a:chExt cx="3006725" cy="3006725"/>
      </a:xfrm>
    </dsp:grpSpPr>
    <dsp:sp modelId="{4E0B4590-253A-0C47-8702-5B613BB6E0DC}">
      <dsp:nvSpPr>
        <dsp:cNvPr id="3" name="菱形 2"/>
        <dsp:cNvSpPr/>
      </dsp:nvSpPr>
      <dsp:spPr bwMode="white">
        <a:xfrm>
          <a:off x="1181418" y="0"/>
          <a:ext cx="3006725" cy="3006725"/>
        </a:xfrm>
        <a:prstGeom prst="diamond">
          <a:avLst/>
        </a:prstGeom>
      </dsp:spPr>
      <dsp:style>
        <a:lnRef idx="0">
          <a:schemeClr val="dk1"/>
        </a:lnRef>
        <a:fillRef idx="1">
          <a:schemeClr val="dk1">
            <a:tint val="40000"/>
          </a:schemeClr>
        </a:fillRef>
        <a:effectRef idx="1">
          <a:scrgbClr r="0" g="0" b="0"/>
        </a:effectRef>
        <a:fontRef idx="minor"/>
      </dsp:style>
      <dsp:txXfrm>
        <a:off x="1181418" y="0"/>
        <a:ext cx="3006725" cy="3006725"/>
      </dsp:txXfrm>
    </dsp:sp>
    <dsp:sp modelId="{8E9E02D0-2E05-CD4D-8B46-4B709F6AF70A}">
      <dsp:nvSpPr>
        <dsp:cNvPr id="4" name="圆角矩形 3"/>
        <dsp:cNvSpPr/>
      </dsp:nvSpPr>
      <dsp:spPr bwMode="white">
        <a:xfrm>
          <a:off x="1467056" y="285639"/>
          <a:ext cx="1172623" cy="1172623"/>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管控强化区（</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Governance Enhancement Zone</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baseline="0">
              <a:solidFill>
                <a:schemeClr val="dk1"/>
              </a:solidFill>
              <a:latin typeface="Times New Roman" panose="02020603050405020304" charset="0"/>
              <a:ea typeface="宋体" panose="02010600030101010101" charset="-122"/>
              <a:cs typeface="Times New Roman" panose="02020603050405020304" charset="0"/>
            </a:rPr>
            <a:t>高复杂度，低改进深度，需顶层协调治理 </a:t>
          </a:r>
          <a:endParaRPr lang="zh-CN" altLang="en-US" sz="105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1467056" y="285639"/>
        <a:ext cx="1172623" cy="1172623"/>
      </dsp:txXfrm>
    </dsp:sp>
    <dsp:sp modelId="{D3F42B02-6DA4-F54A-9DF4-E873FBC176DE}">
      <dsp:nvSpPr>
        <dsp:cNvPr id="5" name="圆角矩形 4"/>
        <dsp:cNvSpPr/>
      </dsp:nvSpPr>
      <dsp:spPr bwMode="white">
        <a:xfrm>
          <a:off x="2729881" y="285639"/>
          <a:ext cx="1172623" cy="1172623"/>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成熟体系区（</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Mature System Zone</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baseline="0">
              <a:solidFill>
                <a:schemeClr val="dk1"/>
              </a:solidFill>
              <a:latin typeface="Times New Roman" panose="02020603050405020304" charset="0"/>
              <a:ea typeface="宋体" panose="02010600030101010101" charset="-122"/>
              <a:cs typeface="Times New Roman" panose="02020603050405020304" charset="0"/>
            </a:rPr>
            <a:t>高复杂度，高改进深度，组织级文化驱动 </a:t>
          </a:r>
          <a:endParaRPr lang="zh-CN" altLang="en-US" sz="105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2729881" y="285639"/>
        <a:ext cx="1172623" cy="1172623"/>
      </dsp:txXfrm>
    </dsp:sp>
    <dsp:sp modelId="{8C7205F6-C0FC-8E43-8873-244009B42A1D}">
      <dsp:nvSpPr>
        <dsp:cNvPr id="6" name="圆角矩形 5"/>
        <dsp:cNvSpPr/>
      </dsp:nvSpPr>
      <dsp:spPr bwMode="white">
        <a:xfrm>
          <a:off x="1467056" y="1548463"/>
          <a:ext cx="1172623" cy="1172623"/>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规范启动区（</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Standardization Initiation Zone</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baseline="0">
              <a:solidFill>
                <a:schemeClr val="dk1"/>
              </a:solidFill>
              <a:latin typeface="Times New Roman" panose="02020603050405020304" charset="0"/>
              <a:ea typeface="宋体" panose="02010600030101010101" charset="-122"/>
              <a:cs typeface="Times New Roman" panose="02020603050405020304" charset="0"/>
            </a:rPr>
            <a:t>低复杂度，低改进深度，流程起步阶段 </a:t>
          </a:r>
          <a:endParaRPr lang="zh-CN" altLang="en-US" sz="105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1467056" y="1548463"/>
        <a:ext cx="1172623" cy="1172623"/>
      </dsp:txXfrm>
    </dsp:sp>
    <dsp:sp modelId="{084230D4-8E98-AE47-8CFE-F62469BE408F}">
      <dsp:nvSpPr>
        <dsp:cNvPr id="7" name="圆角矩形 6"/>
        <dsp:cNvSpPr/>
      </dsp:nvSpPr>
      <dsp:spPr bwMode="white">
        <a:xfrm>
          <a:off x="2729881" y="1548463"/>
          <a:ext cx="1172623" cy="1172623"/>
        </a:xfrm>
        <a:prstGeom prst="roundRect">
          <a:avLst/>
        </a:prstGeom>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平衡优化区（</a:t>
          </a:r>
          <a:r>
            <a:rPr lang="en-US" altLang="en-US" sz="1050" baseline="0">
              <a:solidFill>
                <a:schemeClr val="dk1"/>
              </a:solidFill>
              <a:latin typeface="Times New Roman" panose="02020603050405020304" charset="0"/>
              <a:ea typeface="宋体" panose="02010600030101010101" charset="-122"/>
              <a:cs typeface="Times New Roman" panose="02020603050405020304" charset="0"/>
            </a:rPr>
            <a:t>Balanced Optimization Zone</a:t>
          </a:r>
          <a:r>
            <a:rPr lang="zh-CN" altLang="en-US" sz="105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baseline="0">
              <a:solidFill>
                <a:schemeClr val="dk1"/>
              </a:solidFill>
              <a:latin typeface="Times New Roman" panose="02020603050405020304" charset="0"/>
              <a:ea typeface="宋体" panose="02010600030101010101" charset="-122"/>
              <a:cs typeface="Times New Roman" panose="02020603050405020304" charset="0"/>
            </a:rPr>
            <a:t>中复杂度，较高改进深度，标准化与协同兼顾</a:t>
          </a:r>
          <a:endParaRPr lang="zh-CN" altLang="en-US" sz="105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2729881" y="1548463"/>
        <a:ext cx="1172623" cy="1172623"/>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type="rect" r:blip="" rot="270">
                  <dgm:adjLst/>
                </dgm:shape>
              </dgm:if>
              <dgm:else name="Name11">
                <dgm:shape xmlns:r="http://schemas.openxmlformats.org/officeDocument/2006/relationships" type="rect" r:blip="" rot="90">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endSty" val="noArr"/>
                        <dgm:param type="connRout" val="bend"/>
                        <dgm:param type="begPts" val="midR"/>
                        <dgm:param type="endPts" val="midL"/>
                      </dgm:alg>
                    </dgm:if>
                    <dgm:else name="Name18">
                      <dgm:alg type="conn">
                        <dgm:param type="dim" val="1D"/>
                        <dgm:param type="endSty" val="noArr"/>
                        <dgm:param type="connRout" val="bend"/>
                        <dgm:param type="begPts" val="midL"/>
                        <dgm:param type="endPts" val="midR"/>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rSet qsTypeId="urn:microsoft.com/office/officeart/2005/8/quickstyle/simple5"/>
        </dgm:pt>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dstNode" val="node1"/>
                <dgm:param type="connRout" val="longCurve"/>
                <dgm:param type="begPts" val="midR"/>
                <dgm:param type="endPts" val="midL"/>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dstNode" val="node1"/>
                <dgm:param type="connRout" val="longCurve"/>
                <dgm:param type="begPts" val="midL"/>
                <dgm:param type="endPts" val="midR"/>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dstNode" val="nodeFirstNode"/>
                      <dgm:param type="connRout" val="longCurve"/>
                      <dgm:param type="begPts" val="midR"/>
                      <dgm:param type="endPts" val="midL"/>
                    </dgm:alg>
                  </dgm:if>
                  <dgm:else name="Name15">
                    <dgm:alg type="conn">
                      <dgm:param type="dstNode" val="nodeFirstNode"/>
                      <dgm:param type="connRout" val="longCurve"/>
                      <dgm:param type="begPts" val="midL"/>
                      <dgm:param type="endPts" val="midR"/>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linDir" val="fromT"/>
                  <dgm:param type="chAlign" val="r"/>
                </dgm:alg>
              </dgm:if>
              <dgm:if name="Name23" func="var" arg="hierBranch" op="equ" val="r">
                <dgm:alg type="hierChild">
                  <dgm:param type="linDir" val="fromT"/>
                  <dgm:param type="chAlign" val="l"/>
                </dgm:alg>
              </dgm:if>
              <dgm:if name="Name24" func="var" arg="hierBranch" op="equ" val="hang">
                <dgm:choose name="Name25">
                  <dgm:if name="Name26" func="var" arg="dir" op="equ" val="norm">
                    <dgm:alg type="hierChild">
                      <dgm:param type="linDir" val="fromL"/>
                      <dgm:param type="chAlign" val="l"/>
                      <dgm:param type="secLinDir" val="fromT"/>
                      <dgm:param type="secChAlign" val="t"/>
                    </dgm:alg>
                  </dgm:if>
                  <dgm:else name="Name27">
                    <dgm:alg type="hierChild">
                      <dgm:param type="linDir" val="fromR"/>
                      <dgm:param type="chAlign" val="l"/>
                      <dgm:param type="secLinDir" val="fromT"/>
                      <dgm:param type="secChAlign" val="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dim" val="1D"/>
                        <dgm:param type="endSty" val="noArr"/>
                        <dgm:param type="connRout" val="bend"/>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dim" val="1D"/>
                            <dgm:param type="endSty" val="noArr"/>
                            <dgm:param type="connRout" val="bend"/>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dim" val="1D"/>
                                    <dgm:param type="endSty" val="noArr"/>
                                    <dgm:param type="connRout" val="bend"/>
                                    <dgm:param type="begPts" val="bCtr"/>
                                    <dgm:param type="endPts" val="midL midR"/>
                                  </dgm:alg>
                                </dgm:if>
                                <dgm:else name="Name45">
                                  <dgm:alg type="conn">
                                    <dgm:param type="srcNode" val="rootConnector"/>
                                    <dgm:param type="dim" val="1D"/>
                                    <dgm:param type="endSty" val="noArr"/>
                                    <dgm:param type="connRout" val="bend"/>
                                    <dgm:param type="begPts" val="bCtr"/>
                                    <dgm:param type="endPts" val="midL midR"/>
                                  </dgm:alg>
                                </dgm:else>
                              </dgm:choose>
                            </dgm:if>
                            <dgm:else name="Name46">
                              <dgm:alg type="conn">
                                <dgm:param type="dim" val="1D"/>
                                <dgm:param type="endSty" val="noArr"/>
                                <dgm:param type="connRout" val="bend"/>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dim" val="1D"/>
                                <dgm:param type="endSty" val="noArr"/>
                                <dgm:param type="connRout" val="bend"/>
                                <dgm:param type="begPts" val="bCtr"/>
                                <dgm:param type="endPts" val="midL midR"/>
                              </dgm:alg>
                            </dgm:if>
                            <dgm:else name="Name55">
                              <dgm:alg type="conn">
                                <dgm:param type="srcNode" val="rootConnector1"/>
                                <dgm:param type="dim" val="1D"/>
                                <dgm:param type="endSty" val="noArr"/>
                                <dgm:param type="connRout" val="bend"/>
                                <dgm:param type="begPts" val="bCtr"/>
                                <dgm:param type="endPts" val="midL midR"/>
                              </dgm:alg>
                            </dgm:else>
                          </dgm:choose>
                        </dgm:if>
                        <dgm:else name="Name56">
                          <dgm:choose name="Name57">
                            <dgm:if name="Name58" axis="par ch" ptType="node asst" func="cnt" op="gte" val="1">
                              <dgm:alg type="conn">
                                <dgm:param type="dim" val="1D"/>
                                <dgm:param type="endSty" val="noArr"/>
                                <dgm:param type="connRout" val="bend"/>
                                <dgm:param type="begPts" val="bCtr"/>
                                <dgm:param type="endPts" val="midL midR"/>
                              </dgm:alg>
                            </dgm:if>
                            <dgm:else name="Name59">
                              <dgm:alg type="conn">
                                <dgm:param type="srcNode" val="rootConnector"/>
                                <dgm:param type="dim" val="1D"/>
                                <dgm:param type="endSty" val="noArr"/>
                                <dgm:param type="connRout" val="bend"/>
                                <dgm:param type="begPts" val="bCtr"/>
                                <dgm:param type="endPts" val="midL mid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linDir" val="fromT"/>
                        <dgm:param type="chAlign" val="r"/>
                      </dgm:alg>
                    </dgm:if>
                    <dgm:if name="Name85" func="var" arg="hierBranch" op="equ" val="r">
                      <dgm:alg type="hierChild">
                        <dgm:param type="linDir" val="fromT"/>
                        <dgm:param type="chAlign" val="l"/>
                      </dgm:alg>
                    </dgm:if>
                    <dgm:if name="Name86" func="var" arg="hierBranch" op="equ" val="hang">
                      <dgm:choose name="Name87">
                        <dgm:if name="Name88" func="var" arg="dir" op="equ" val="norm">
                          <dgm:alg type="hierChild">
                            <dgm:param type="linDir" val="fromL"/>
                            <dgm:param type="chAlign" val="l"/>
                            <dgm:param type="secLinDir" val="fromT"/>
                            <dgm:param type="secChAlign" val="t"/>
                          </dgm:alg>
                        </dgm:if>
                        <dgm:else name="Name89">
                          <dgm:alg type="hierChild">
                            <dgm:param type="linDir" val="fromR"/>
                            <dgm:param type="chAlign" val="l"/>
                            <dgm:param type="secLinDir" val="fromT"/>
                            <dgm:param type="secChAlign" val="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linDir" val="fromT"/>
                            <dgm:param type="chAlign" val="l"/>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linDir" val="fromL"/>
                        <dgm:param type="chAlign" val="l"/>
                        <dgm:param type="secLinDir" val="fromT"/>
                        <dgm:param type="secChAlign" val="t"/>
                      </dgm:alg>
                    </dgm:if>
                    <dgm:else name="Name105">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linDir" val="fromL"/>
                  <dgm:param type="chAlign" val="l"/>
                  <dgm:param type="secLinDir" val="fromT"/>
                  <dgm:param type="secChAlign" val="t"/>
                </dgm:alg>
              </dgm:if>
              <dgm:else name="Name109">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linDir" val="fromT"/>
                        <dgm:param type="chAlign" val="r"/>
                      </dgm:alg>
                    </dgm:if>
                    <dgm:if name="Name129" func="var" arg="hierBranch" op="equ" val="r">
                      <dgm:alg type="hierChild">
                        <dgm:param type="linDir" val="fromT"/>
                        <dgm:param type="chAlign" val="l"/>
                      </dgm:alg>
                    </dgm:if>
                    <dgm:if name="Name130" func="var" arg="hierBranch" op="equ" val="hang">
                      <dgm:choose name="Name131">
                        <dgm:if name="Name132" func="var" arg="dir" op="equ" val="norm">
                          <dgm:alg type="hierChild">
                            <dgm:param type="linDir" val="fromL"/>
                            <dgm:param type="chAlign" val="l"/>
                            <dgm:param type="secLinDir" val="fromT"/>
                            <dgm:param type="secChAlign" val="t"/>
                          </dgm:alg>
                        </dgm:if>
                        <dgm:else name="Name133">
                          <dgm:alg type="hierChild">
                            <dgm:param type="linDir" val="fromR"/>
                            <dgm:param type="chAlign" val="l"/>
                            <dgm:param type="secLinDir" val="fromT"/>
                            <dgm:param type="secChAlign" val="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linDir" val="fromT"/>
                            <dgm:param type="chAlign" val="l"/>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linDir" val="fromL"/>
                        <dgm:param type="chAlign" val="l"/>
                        <dgm:param type="secLinDir" val="fromT"/>
                        <dgm:param type="secChAlign" val="t"/>
                      </dgm:alg>
                    </dgm:if>
                    <dgm:else name="Name146">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dstNode" val="node"/>
                    <dgm:param type="begSty" val="noArr"/>
                    <dgm:param type="endSty" val="noArr"/>
                    <dgm:param type="connRout" val="curve"/>
                    <dgm:param type="begPts" val="ctr"/>
                    <dgm:param type="endPts" val="ctr"/>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srcNode" val="dummyConnPt"/>
                    <dgm:param type="dstNode" val="dummyConnPt"/>
                    <dgm:param type="begSty" val="noArr"/>
                    <dgm:param type="endSty" val="noArr"/>
                    <dgm:param type="connRout" val="longCurve"/>
                    <dgm:param type="begPts" val="bCtr"/>
                    <dgm:param type="endPts" val="tCtr"/>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dstNode" val="node1"/>
                <dgm:param type="connRout" val="longCurve"/>
                <dgm:param type="begPts" val="midR"/>
                <dgm:param type="endPts" val="midL"/>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dstNode" val="node1"/>
                <dgm:param type="connRout" val="longCurve"/>
                <dgm:param type="begPts" val="midL"/>
                <dgm:param type="endPts" val="midR"/>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dstNode" val="nodeFirstNode"/>
                      <dgm:param type="connRout" val="longCurve"/>
                      <dgm:param type="begPts" val="midR"/>
                      <dgm:param type="endPts" val="midL"/>
                    </dgm:alg>
                  </dgm:if>
                  <dgm:else name="Name15">
                    <dgm:alg type="conn">
                      <dgm:param type="dstNode" val="nodeFirstNode"/>
                      <dgm:param type="connRout" val="longCurve"/>
                      <dgm:param type="begPts" val="midL"/>
                      <dgm:param type="endPts" val="midR"/>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bkpt" val="fixed"/>
          <dgm:param type="bkPtFixedVal" val="1"/>
          <dgm:param type="off" val="off"/>
          <dgm:param type="grDir" val="bL"/>
          <dgm:param type="flowDir" val="row"/>
        </dgm:alg>
      </dgm:if>
      <dgm:else name="Name2">
        <dgm:alg type="snake">
          <dgm:param type="bkpt" val="fixed"/>
          <dgm:param type="bkPtFixedVal" val="1"/>
          <dgm:param type="off" val="off"/>
          <dgm:param type="grDir" val="bR"/>
          <dgm:param type="flowDir" val="row"/>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type="corner" r:blip="" rot="90">
                <dgm:adjLst>
                  <dgm:adj idx="1" val="0.1612"/>
                  <dgm:adj idx="2" val="0.1611"/>
                </dgm:adjLst>
              </dgm:shape>
            </dgm:if>
            <dgm:else name="Name8">
              <dgm:shape xmlns:r="http://schemas.openxmlformats.org/officeDocument/2006/relationships" type="corner" r:blip="" rot="180">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type="triangle" r:blip="" rot="90">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type="chevron" r:blip="" rot="180">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type="chevron" r:blip="" rot="180">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dstNode" val="node1"/>
                <dgm:param type="connRout" val="longCurve"/>
                <dgm:param type="begPts" val="midR"/>
                <dgm:param type="endPts" val="midL"/>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dstNode" val="node1"/>
                <dgm:param type="connRout" val="longCurve"/>
                <dgm:param type="begPts" val="midL"/>
                <dgm:param type="endPts" val="midR"/>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dstNode" val="nodeFirstNode"/>
                      <dgm:param type="connRout" val="longCurve"/>
                      <dgm:param type="begPts" val="midR"/>
                      <dgm:param type="endPts" val="midL"/>
                    </dgm:alg>
                  </dgm:if>
                  <dgm:else name="Name15">
                    <dgm:alg type="conn">
                      <dgm:param type="dstNode" val="nodeFirstNode"/>
                      <dgm:param type="connRout" val="longCurve"/>
                      <dgm:param type="begPts" val="midL"/>
                      <dgm:param type="endPts" val="midR"/>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type="rightArrow" r:blip="" rot="180"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type="chevron" r:blip="" rot="90">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type="round2SameRect" r:blip="" rot="90">
                <dgm:adjLst/>
              </dgm:shape>
            </dgm:if>
            <dgm:else name="Name6">
              <dgm:alg type="tx">
                <dgm:param type="stBulletLvl" val="1"/>
                <dgm:param type="txAnchorVertCh" val="mid"/>
              </dgm:alg>
              <dgm:shape xmlns:r="http://schemas.openxmlformats.org/officeDocument/2006/relationships" type="round2SameRect" r:blip="" rot="-90">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srcNode" val="parTx"/>
            <dgm:param type="dstNode" val="parTx"/>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DDD5056-3D45-6B4A-B664-693BAB5B9226}">
  <ds:schemaRefs/>
</ds:datastoreItem>
</file>

<file path=docProps/app.xml><?xml version="1.0" encoding="utf-8"?>
<Properties xmlns="http://schemas.openxmlformats.org/officeDocument/2006/extended-properties" xmlns:vt="http://schemas.openxmlformats.org/officeDocument/2006/docPropsVTypes">
  <Template>Normal.dotm</Template>
  <Company>nwpu</Company>
  <Pages>99</Pages>
  <Words>62643</Words>
  <Characters>78184</Characters>
  <Lines>1018</Lines>
  <Paragraphs>286</Paragraphs>
  <TotalTime>4</TotalTime>
  <ScaleCrop>false</ScaleCrop>
  <LinksUpToDate>false</LinksUpToDate>
  <CharactersWithSpaces>101944</CharactersWithSpaces>
  <Application>WPS Office_12.1.0.17133_F1E327BC-269C-435d-A152-05C5408002CA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2018-09-02T20:09:00Z</dcterms:created>
  <dc:creator>jiaoxueban</dc:creator>
  <cp:lastModifiedBy>Administrator</cp:lastModifiedBy>
  <cp:lastPrinted>2022-11-15T09:00:00Z</cp:lastPrinted>
  <dcterms:modified xsi:type="dcterms:W3CDTF">2025-11-10T13:18:08Z</dcterms:modified>
  <cp:revision>2753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2052-12.1.0.17133</vt:lpwstr>
  </property>
  <property fmtid="{D5CDD505-2E9C-101B-9397-08002B2CF9AE}" pid="3" name="ICV">
    <vt:lpwstr>39C3299BF7AE41CF97F6453DC5561A3B_13</vt:lpwstr>
  </property>
  <property fmtid="{D5CDD505-2E9C-101B-9397-08002B2CF9AE}" pid="4" name="ZOTERO_PREF_1">
    <vt:lpwstr>&lt;data data-version="3" zotero-version="7.0.29"&gt;&lt;session id="LD6WwXca"/&gt;&lt;style id="http://www.zotero.org/styles/china-national-standard-gb-t-7714-2015-numeric" hasBibliography="1" bibliographyStyleHasBeenSet="1"/&gt;&lt;prefs&gt;&lt;pref name="fieldType" value="Field"</vt:lpwstr>
  </property>
  <property fmtid="{D5CDD505-2E9C-101B-9397-08002B2CF9AE}" pid="5" name="ZOTERO_PREF_2">
    <vt:lpwstr>/&gt;&lt;pref name="automaticJournalAbbreviations" value="true"/&gt;&lt;/prefs&gt;&lt;/data&gt;</vt:lpwstr>
  </property>
</Properties>
</file>