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tbl>
      <w:tblPr>
        <w:tblW w:type="dxa" w:w="8838"/>
        <w:jc w:val="left"/>
        <w:tblBorders/>
      </w:tblPr>
      <w:tblGrid>
        <w:gridCol w:w="8838"/>
      </w:tblGrid>
      <w:tr>
        <w:trPr>
          <w:cantSplit w:val="false"/>
        </w:trPr>
        <w:tc>
          <w:tcPr>
            <w:tcW w:type="dxa" w:w="883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shd w:fill="CFE7F5" w:val="clear"/>
              <w:jc w:val="center"/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Políticas</w:t>
            </w:r>
          </w:p>
        </w:tc>
      </w:tr>
    </w:tbl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 xml:space="preserve">Planeación </w:t>
            </w:r>
          </w:p>
          <w:p>
            <w:pPr>
              <w:pStyle w:val="style25"/>
              <w:numPr>
                <w:ilvl w:val="0"/>
                <w:numId w:val="1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deben realizar una planeación estratégica la cual contenga objetivos estrategias a seguir para su cumplimiento.</w:t>
            </w:r>
          </w:p>
          <w:p>
            <w:pPr>
              <w:pStyle w:val="style25"/>
              <w:numPr>
                <w:ilvl w:val="0"/>
                <w:numId w:val="1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deben estimar anualmente los servicios a entregar de acuerdo al catálogo de servicios.</w:t>
            </w:r>
          </w:p>
          <w:p>
            <w:pPr>
              <w:pStyle w:val="style25"/>
              <w:numPr>
                <w:ilvl w:val="0"/>
                <w:numId w:val="1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El plan estratégico deberá de darse a conocer a todos los miembros de la organización</w:t>
            </w:r>
          </w:p>
          <w:p>
            <w:pPr>
              <w:pStyle w:val="style25"/>
              <w:numPr>
                <w:ilvl w:val="0"/>
                <w:numId w:val="1"/>
              </w:numPr>
              <w:shd w:fill="auto" w:val="clear"/>
              <w:jc w:val="both"/>
            </w:pPr>
            <w:r>
              <w:rPr>
                <w:rFonts w:ascii="Times New Roman" w:cs="Times New Roman" w:hAnsi="Times New Roman"/>
                <w:sz w:val="24"/>
              </w:rPr>
              <w:t>Solo se podrá agregar un servicio nuevo a través de una solicitud de cambio.</w:t>
            </w:r>
          </w:p>
        </w:tc>
      </w:tr>
    </w:tbl>
    <w:p>
      <w:pPr>
        <w:pStyle w:val="style0"/>
        <w:jc w:val="both"/>
      </w:pPr>
      <w:r>
        <w:rPr/>
      </w:r>
    </w:p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>Ejecución</w:t>
            </w:r>
          </w:p>
          <w:p>
            <w:pPr>
              <w:pStyle w:val="style25"/>
              <w:numPr>
                <w:ilvl w:val="0"/>
                <w:numId w:val="2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Todos los tickets deberán ser registrados en la herramienta JIRA.</w:t>
            </w:r>
          </w:p>
          <w:p>
            <w:pPr>
              <w:pStyle w:val="style25"/>
              <w:numPr>
                <w:ilvl w:val="0"/>
                <w:numId w:val="2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deberán de registrar el esfuerzo por cada ticket cerrado en la herramienta.</w:t>
            </w:r>
          </w:p>
          <w:p>
            <w:pPr>
              <w:pStyle w:val="style25"/>
              <w:numPr>
                <w:ilvl w:val="0"/>
                <w:numId w:val="2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El ticket deberá contener la incidencia y una pequeña descripción de la solución.</w:t>
            </w:r>
          </w:p>
        </w:tc>
      </w:tr>
    </w:tbl>
    <w:p>
      <w:pPr>
        <w:pStyle w:val="style0"/>
        <w:jc w:val="both"/>
      </w:pPr>
      <w:r>
        <w:rPr/>
      </w:r>
    </w:p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>Solicitud de cambio</w:t>
            </w:r>
          </w:p>
          <w:p>
            <w:pPr>
              <w:pStyle w:val="style25"/>
              <w:numPr>
                <w:ilvl w:val="0"/>
                <w:numId w:val="2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Cada vez que se haga un cambio deberá analizarse el impacto y una vez aplicado deberá ser validado por todos los miembros del equipo de trabajo</w:t>
            </w:r>
          </w:p>
          <w:p>
            <w:pPr>
              <w:pStyle w:val="style25"/>
              <w:numPr>
                <w:ilvl w:val="0"/>
                <w:numId w:val="2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Una vez aprobado el cambio deberá ser aplicado inmediatamente después de su publicación.</w:t>
            </w:r>
          </w:p>
        </w:tc>
      </w:tr>
    </w:tbl>
    <w:p>
      <w:pPr>
        <w:pStyle w:val="style25"/>
        <w:jc w:val="both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>Medición y Monitoreo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deberá generar un reporte de monitoreo el cual se deberá presentar a dirección de acuerdo a la periodicidad indicada en el plan de métricas.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La información de la recolección de métricas deberá estar almacenada en el concentrado de métricas</w:t>
            </w:r>
          </w:p>
        </w:tc>
      </w:tr>
    </w:tbl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>Calidad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deberán auditar todos los procesos definidos en el ciclo de vida.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Se deberá auditar al menos un producto de trabajo de cada proceso, estos deberán estar especificados en el plan de auditoría.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Todas las preguntas indicadas en los checklist deberán estar contestadas por alguna de las 3 condiciones (si, no y no aplica).</w:t>
            </w:r>
          </w:p>
        </w:tc>
      </w:tr>
    </w:tbl>
    <w:tbl>
      <w:tblPr>
        <w:tblW w:type="dxa" w:w="8838"/>
        <w:jc w:val="left"/>
        <w:tblBorders>
          <w:top w:color="C0C0C0" w:space="0" w:sz="2" w:val="single"/>
          <w:left w:color="C0C0C0" w:space="0" w:sz="2" w:val="single"/>
          <w:bottom w:color="C0C0C0" w:space="0" w:sz="2" w:val="single"/>
          <w:right w:color="C0C0C0" w:space="0" w:sz="2" w:val="single"/>
        </w:tblBorders>
      </w:tblPr>
      <w:tblGrid>
        <w:gridCol w:w="8838"/>
      </w:tblGrid>
      <w:tr>
        <w:trPr>
          <w:cantSplit w:val="false"/>
        </w:trPr>
        <w:tc>
          <w:tcPr>
            <w:tcW w:type="dxa" w:w="883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E6E6FF" w:val="clear"/>
              <w:jc w:val="both"/>
            </w:pPr>
            <w:r>
              <w:rPr>
                <w:rFonts w:ascii="Times New Roman" w:cs="Times New Roman" w:hAnsi="Times New Roman"/>
                <w:b/>
                <w:sz w:val="28"/>
              </w:rPr>
              <w:t>Configuración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Realizar las líneas base especificadas en el plan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 xml:space="preserve">Las líneas base deben contener solo los documentos solicitados </w:t>
            </w:r>
          </w:p>
          <w:p>
            <w:pPr>
              <w:pStyle w:val="style25"/>
              <w:numPr>
                <w:ilvl w:val="0"/>
                <w:numId w:val="3"/>
              </w:numPr>
              <w:jc w:val="both"/>
            </w:pPr>
            <w:r>
              <w:rPr>
                <w:rFonts w:ascii="Times New Roman" w:cs="Times New Roman" w:hAnsi="Times New Roman"/>
                <w:sz w:val="24"/>
              </w:rPr>
              <w:t>La documentación generada en los procesos deberá estar en el repositorio definido.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5"/>
        <w:jc w:val="both"/>
      </w:pPr>
      <w:r>
        <w:rPr>
          <w:rFonts w:ascii="Times New Roman" w:cs="Times New Roman" w:hAnsi="Times New Roman"/>
          <w:sz w:val="24"/>
        </w:rPr>
      </w:r>
    </w:p>
    <w:p>
      <w:pPr>
        <w:pStyle w:val="style25"/>
        <w:jc w:val="both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Bitstream Vera Sans" w:eastAsia="Droid Sans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Bitstream Vera Sans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Bitstream Vera Sans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Bitstream Vera Sans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Encabezamiento"/>
    <w:basedOn w:val="style0"/>
    <w:next w:val="style2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7" w:type="paragraph">
    <w:name w:val="Pie de página"/>
    <w:basedOn w:val="style0"/>
    <w:next w:val="style27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Contenido de la tabla"/>
    <w:basedOn w:val="style0"/>
    <w:next w:val="style2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2014-04-14T15:21:00.00Z</dcterms:created>
  <dc:creator>Minerva Sahagun</dc:creator>
  <cp:lastModifiedBy>Ariana Sosa</cp:lastModifiedBy>
  <dcterms:modified xsi:type="dcterms:W3CDTF">2015-04-28T21:05:00.00Z</dcterms:modified>
  <cp:revision>30</cp:revision>
</cp:coreProperties>
</file>