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62F9B">
      <w:pPr>
        <w:pStyle w:val="Predeterminado"/>
      </w:pPr>
      <w:r>
        <w:t xml:space="preserve"> </w:t>
      </w:r>
      <w:bookmarkStart w:id="0" w:name="_GoBack"/>
      <w:bookmarkEnd w:id="0"/>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 xml:space="preserve">Este servicio cubre todas aquellas tareas que se realizan a los equipos sin que se haya </w:t>
      </w:r>
      <w:proofErr w:type="gramStart"/>
      <w:r>
        <w:rPr>
          <w:sz w:val="23"/>
          <w:szCs w:val="23"/>
        </w:rPr>
        <w:t>presentado</w:t>
      </w:r>
      <w:proofErr w:type="gramEnd"/>
      <w:r>
        <w:rPr>
          <w:sz w:val="23"/>
          <w:szCs w:val="23"/>
        </w:rPr>
        <w:t xml:space="preserve">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Prolonga la 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con 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B7030F" w:rsidRDefault="00B7030F">
      <w:pPr>
        <w:pStyle w:val="Predeterminado"/>
      </w:pPr>
    </w:p>
    <w:p w:rsidR="00B7030F" w:rsidRDefault="00C41F9E">
      <w:pPr>
        <w:pStyle w:val="Predeterminado"/>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B7030F" w:rsidRDefault="00B7030F">
      <w:pPr>
        <w:pStyle w:val="Predeterminado"/>
      </w:pPr>
    </w:p>
    <w:sectPr w:rsidR="00B7030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B62F9B"/>
    <w:rsid w:val="00B7030F"/>
    <w:rsid w:val="00C41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578</Words>
  <Characters>3180</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zepeda</cp:lastModifiedBy>
  <cp:revision>6</cp:revision>
  <dcterms:created xsi:type="dcterms:W3CDTF">2015-02-25T17:04:00Z</dcterms:created>
  <dcterms:modified xsi:type="dcterms:W3CDTF">2015-06-03T18:13:00Z</dcterms:modified>
</cp:coreProperties>
</file>