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0"/>
        </w:rPr>
        <w:t>E-commerce Customer Segmentation Analysis Report</w:t>
      </w:r>
    </w:p>
    <w:p/>
    <w:p>
      <w:r>
        <w:rPr>
          <w:b/>
          <w:color w:val="006699"/>
          <w:sz w:val="28"/>
        </w:rPr>
        <w:t>Problem Statement</w:t>
      </w:r>
    </w:p>
    <w:p>
      <w:r>
        <w:rPr>
          <w:sz w:val="22"/>
        </w:rPr>
        <w:t>SuperMart Online is experiencing stagnant revenue growth despite increasing customer acquisition. The current one-size-fits-all marketing strategy does not differentiate between customer behaviors, leading to inefficient marketing spend and low retention rates. The objective is to use data-driven customer segmentation to improve targeting and increase customer lifetime value.</w:t>
      </w:r>
    </w:p>
    <w:p>
      <w:r>
        <w:rPr>
          <w:b/>
          <w:color w:val="006699"/>
          <w:sz w:val="28"/>
        </w:rPr>
        <w:t>Data Overview</w:t>
      </w:r>
    </w:p>
    <w:p>
      <w:r>
        <w:rPr>
          <w:sz w:val="22"/>
        </w:rPr>
        <w:t>The dataset consists of customer, order, and product-level transactional data. It enables analysis of customer purchasing behavior, revenue trends, and segmentation opportunities.</w:t>
      </w:r>
    </w:p>
    <w:p>
      <w:r>
        <w:rPr>
          <w:b/>
          <w:color w:val="006699"/>
          <w:sz w:val="28"/>
        </w:rPr>
        <w:t>Data Quality Checks</w:t>
      </w:r>
    </w:p>
    <w:p>
      <w:r>
        <w:rPr>
          <w:sz w:val="22"/>
        </w:rPr>
        <w:t>• No duplicate customer records were found.</w:t>
        <w:br/>
        <w:t>• No missing values in key fields such as customer_id and email.</w:t>
        <w:br/>
        <w:t>• No orphaned orders were detected, ensuring strong relational integrity.</w:t>
        <w:br/>
        <w:t>The dataset is clean and reliable for further analysis.</w:t>
      </w:r>
    </w:p>
    <w:p>
      <w:r>
        <w:rPr>
          <w:b/>
          <w:color w:val="006699"/>
          <w:sz w:val="28"/>
        </w:rPr>
        <w:t>Initial Insights</w:t>
      </w:r>
    </w:p>
    <w:p>
      <w:r>
        <w:rPr>
          <w:sz w:val="22"/>
        </w:rPr>
        <w:t>• The dataset is clean and suitable for analysis.</w:t>
        <w:br/>
        <w:t>• Customer and transaction data are well-structured.</w:t>
        <w:br/>
        <w:t>• Revenue is distributed across multiple customers, indicating segmentation potential.</w:t>
        <w:br/>
        <w:t>• The data supports detailed behavioral analysis and business insights generation.</w:t>
      </w:r>
    </w:p>
    <w:p>
      <w:r>
        <w:rPr>
          <w:b/>
          <w:color w:val="006699"/>
          <w:sz w:val="28"/>
        </w:rPr>
        <w:t>Key Insights</w:t>
      </w:r>
    </w:p>
    <w:p>
      <w:r>
        <w:rPr>
          <w:sz w:val="22"/>
        </w:rPr>
        <w:t>• A small segment of high-value customers (Champions) contributes a significant portion of total revenue.</w:t>
      </w:r>
    </w:p>
    <w:p>
      <w:r>
        <w:rPr>
          <w:sz w:val="22"/>
        </w:rPr>
        <w:t>• Loyal Customers form a stable revenue base with consistent purchasing behavior.</w:t>
      </w:r>
    </w:p>
    <w:p>
      <w:r>
        <w:rPr>
          <w:sz w:val="22"/>
        </w:rPr>
        <w:t>• A considerable number of customers fall into At Risk and Hibernating segments, indicating potential churn.</w:t>
      </w:r>
    </w:p>
    <w:p>
      <w:r>
        <w:rPr>
          <w:sz w:val="22"/>
        </w:rPr>
        <w:t>• Potential Loyalists represent a strong growth opportunity through targeted engagement strategies.</w:t>
      </w:r>
    </w:p>
    <w:p>
      <w:r>
        <w:rPr>
          <w:sz w:val="22"/>
        </w:rPr>
        <w:t>• Customer behavior varies significantly across segments, highlighting the need for personalized marketing.</w:t>
      </w:r>
    </w:p>
    <w:p>
      <w:r>
        <w:rPr>
          <w:b/>
          <w:color w:val="006699"/>
          <w:sz w:val="28"/>
        </w:rPr>
        <w:t>Business Recommendations</w:t>
      </w:r>
    </w:p>
    <w:p>
      <w:r>
        <w:rPr>
          <w:sz w:val="22"/>
        </w:rPr>
        <w:t>• Retain Champions with exclusive rewards, loyalty programs, and personalized experiences.</w:t>
      </w:r>
    </w:p>
    <w:p>
      <w:r>
        <w:rPr>
          <w:sz w:val="22"/>
        </w:rPr>
        <w:t>• Engage Loyal Customers with targeted promotions and consistent communication.</w:t>
      </w:r>
    </w:p>
    <w:p>
      <w:r>
        <w:rPr>
          <w:sz w:val="22"/>
        </w:rPr>
        <w:t>• Re-engage At Risk customers through win-back campaigns and tailored offers.</w:t>
      </w:r>
    </w:p>
    <w:p>
      <w:r>
        <w:rPr>
          <w:sz w:val="22"/>
        </w:rPr>
        <w:t>• Convert Potential Loyalists into repeat buyers using onboarding campaigns and incentives.</w:t>
      </w:r>
    </w:p>
    <w:p>
      <w:r>
        <w:rPr>
          <w:sz w:val="22"/>
        </w:rPr>
        <w:t>• Reduce churn by identifying early warning signs and applying proactive retention strategies.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