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5. Environment Variables</w:t>
      </w:r>
    </w:p>
    <w:p>
      <w:r>
        <w:t xml:space="preserve">These are the secret settings the app needs. You put them in a </w:t>
      </w:r>
      <w:r>
        <w:rPr>
          <w:rFonts w:ascii="Consolas" w:hAnsi="Consolas"/>
          <w:color w:val="C7254E"/>
          <w:sz w:val="20"/>
        </w:rPr>
        <w:t>.env</w:t>
      </w:r>
      <w:r>
        <w:t xml:space="preserve"> file. The app reads them when it starts.</w:t>
      </w:r>
    </w:p>
    <w:p>
      <w:pPr>
        <w:pStyle w:val="Heading2"/>
      </w:pPr>
      <w:r>
        <w:t>Backend (</w:t>
      </w:r>
      <w:r>
        <w:rPr>
          <w:rFonts w:ascii="Consolas" w:hAnsi="Consolas"/>
          <w:color w:val="C7254E"/>
          <w:sz w:val="20"/>
        </w:rPr>
        <w:t>backend/.env</w:t>
      </w:r>
      <w:r>
        <w:t>)</w:t>
      </w:r>
    </w:p>
    <w:p>
      <w:pPr>
        <w:pStyle w:val="Heading3"/>
      </w:pPr>
      <w:r>
        <w:t>Basic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A4A7A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880"/>
            <w:shd w:val="clear" w:color="auto" w:fill="4A4A7A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880"/>
            <w:shd w:val="clear" w:color="auto" w:fill="4A4A7A"/>
          </w:tcPr>
          <w:p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DEBUG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True</w:t>
            </w:r>
          </w:p>
        </w:tc>
        <w:tc>
          <w:tcPr>
            <w:tcW w:type="dxa" w:w="2880"/>
          </w:tcPr>
          <w:p>
            <w:r>
              <w:t xml:space="preserve">Keep as </w:t>
            </w:r>
            <w:r>
              <w:rPr>
                <w:rFonts w:ascii="Consolas" w:hAnsi="Consolas"/>
                <w:color w:val="C7254E"/>
                <w:sz w:val="20"/>
              </w:rPr>
              <w:t>True</w:t>
            </w:r>
            <w:r>
              <w:t xml:space="preserve"> when testing. Set to </w:t>
            </w:r>
            <w:r>
              <w:rPr>
                <w:rFonts w:ascii="Consolas" w:hAnsi="Consolas"/>
                <w:color w:val="C7254E"/>
                <w:sz w:val="20"/>
              </w:rPr>
              <w:t>False</w:t>
            </w:r>
            <w:r>
              <w:t xml:space="preserve"> when online.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SECRET_KEY</w:t>
            </w:r>
          </w:p>
        </w:tc>
        <w:tc>
          <w:tcPr>
            <w:tcW w:type="dxa" w:w="2880"/>
          </w:tcPr>
          <w:p>
            <w:r>
              <w:t>(insecure)</w:t>
            </w:r>
          </w:p>
        </w:tc>
        <w:tc>
          <w:tcPr>
            <w:tcW w:type="dxa" w:w="2880"/>
          </w:tcPr>
          <w:p>
            <w:r>
              <w:t>A secret string. Make a new one when going online.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ALLOWED_HOSTS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localhost,127.0.0.1</w:t>
            </w:r>
          </w:p>
        </w:tc>
        <w:tc>
          <w:tcPr>
            <w:tcW w:type="dxa" w:w="2880"/>
          </w:tcPr>
          <w:p>
            <w:r>
              <w:t>The addresses the server will respond to.</w:t>
            </w:r>
          </w:p>
        </w:tc>
      </w:tr>
    </w:tbl>
    <w:p>
      <w:pPr>
        <w:pStyle w:val="Heading3"/>
      </w:pPr>
      <w:r>
        <w:t>Database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A4A7A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880"/>
            <w:shd w:val="clear" w:color="auto" w:fill="4A4A7A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880"/>
            <w:shd w:val="clear" w:color="auto" w:fill="4A4A7A"/>
          </w:tcPr>
          <w:p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DATABASE_URL</w:t>
            </w:r>
          </w:p>
        </w:tc>
        <w:tc>
          <w:tcPr>
            <w:tcW w:type="dxa" w:w="2880"/>
          </w:tcPr>
          <w:p>
            <w:r>
              <w:t>empty</w:t>
            </w:r>
          </w:p>
        </w:tc>
        <w:tc>
          <w:tcPr>
            <w:tcW w:type="dxa" w:w="2880"/>
          </w:tcPr>
          <w:p>
            <w:r>
              <w:t>A long string pointing to your PostgreSQL database. If empty, the app uses SQLite (a file).</w:t>
            </w:r>
          </w:p>
        </w:tc>
      </w:tr>
    </w:tbl>
    <w:p>
      <w:pPr>
        <w:pStyle w:val="Heading3"/>
      </w:pPr>
      <w:r>
        <w:t>Frontend Connection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A4A7A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880"/>
            <w:shd w:val="clear" w:color="auto" w:fill="4A4A7A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880"/>
            <w:shd w:val="clear" w:color="auto" w:fill="4A4A7A"/>
          </w:tcPr>
          <w:p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CORS_ALLOWED_ORIGINS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http://localhost:3000,http://127.0.0.1:3000</w:t>
            </w:r>
          </w:p>
        </w:tc>
        <w:tc>
          <w:tcPr>
            <w:tcW w:type="dxa" w:w="2880"/>
          </w:tcPr>
          <w:p>
            <w:r>
              <w:t>The websites that are allowed to talk to this server.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CSRF_TRUSTED_ORIGINS</w:t>
            </w:r>
          </w:p>
        </w:tc>
        <w:tc>
          <w:tcPr>
            <w:tcW w:type="dxa" w:w="2880"/>
          </w:tcPr>
          <w:p>
            <w:r>
              <w:t>same</w:t>
            </w:r>
          </w:p>
        </w:tc>
        <w:tc>
          <w:tcPr>
            <w:tcW w:type="dxa" w:w="2880"/>
          </w:tcPr>
          <w:p>
            <w:r>
              <w:t>Trusted websites for form submissions.</w:t>
            </w:r>
          </w:p>
        </w:tc>
      </w:tr>
    </w:tbl>
    <w:p>
      <w:pPr>
        <w:pStyle w:val="Heading3"/>
      </w:pPr>
      <w:r>
        <w:t>Email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A4A7A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880"/>
            <w:shd w:val="clear" w:color="auto" w:fill="4A4A7A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880"/>
            <w:shd w:val="clear" w:color="auto" w:fill="4A4A7A"/>
          </w:tcPr>
          <w:p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EMAIL_BACKEND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...console.EmailBackend</w:t>
            </w:r>
          </w:p>
        </w:tc>
        <w:tc>
          <w:tcPr>
            <w:tcW w:type="dxa" w:w="2880"/>
          </w:tcPr>
          <w:p>
            <w:r>
              <w:t xml:space="preserve">While testing, prints emails to the terminal. Online, use </w:t>
            </w:r>
            <w:r>
              <w:rPr>
                <w:rFonts w:ascii="Consolas" w:hAnsi="Consolas"/>
                <w:color w:val="C7254E"/>
                <w:sz w:val="20"/>
              </w:rPr>
              <w:t>...smtp.EmailBackend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EMAIL_HOST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smtp.gmail.com</w:t>
            </w:r>
          </w:p>
        </w:tc>
        <w:tc>
          <w:tcPr>
            <w:tcW w:type="dxa" w:w="2880"/>
          </w:tcPr>
          <w:p>
            <w:r>
              <w:t>The email server.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EMAIL_PORT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587</w:t>
            </w:r>
          </w:p>
        </w:tc>
        <w:tc>
          <w:tcPr>
            <w:tcW w:type="dxa" w:w="2880"/>
          </w:tcPr>
          <w:p>
            <w:r>
              <w:t>The email server port.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EMAIL_USE_TLS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True</w:t>
            </w:r>
          </w:p>
        </w:tc>
        <w:tc>
          <w:tcPr>
            <w:tcW w:type="dxa" w:w="2880"/>
          </w:tcPr>
          <w:p>
            <w:r>
              <w:t>Keep as True.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EMAIL_HOST_USER</w:t>
            </w:r>
          </w:p>
        </w:tc>
        <w:tc>
          <w:tcPr>
            <w:tcW w:type="dxa" w:w="2880"/>
          </w:tcPr>
          <w:p>
            <w:r>
              <w:t>empty</w:t>
            </w:r>
          </w:p>
        </w:tc>
        <w:tc>
          <w:tcPr>
            <w:tcW w:type="dxa" w:w="2880"/>
          </w:tcPr>
          <w:p>
            <w:r>
              <w:t>Your full Gmail address.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EMAIL_HOST_PASSWORD</w:t>
            </w:r>
          </w:p>
        </w:tc>
        <w:tc>
          <w:tcPr>
            <w:tcW w:type="dxa" w:w="2880"/>
          </w:tcPr>
          <w:p>
            <w:r>
              <w:t>empty</w:t>
            </w:r>
          </w:p>
        </w:tc>
        <w:tc>
          <w:tcPr>
            <w:tcW w:type="dxa" w:w="2880"/>
          </w:tcPr>
          <w:p>
            <w:r>
              <w:t xml:space="preserve">A Gmail </w:t>
            </w:r>
            <w:r>
              <w:rPr>
                <w:b/>
              </w:rPr>
              <w:t>App Password</w:t>
            </w:r>
            <w:r>
              <w:t xml:space="preserve"> (not your regular password).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FRONTEND_URL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color w:val="C7254E"/>
                <w:sz w:val="20"/>
              </w:rPr>
              <w:t>http://localhost:3000</w:t>
            </w:r>
          </w:p>
        </w:tc>
        <w:tc>
          <w:tcPr>
            <w:tcW w:type="dxa" w:w="2880"/>
          </w:tcPr>
          <w:p>
            <w:r>
              <w:t>Used in email links like the verification link.</w:t>
            </w:r>
          </w:p>
        </w:tc>
      </w:tr>
    </w:tbl>
    <w:p>
      <w:pPr>
        <w:pStyle w:val="Heading3"/>
      </w:pPr>
      <w:r>
        <w:t>Optional — Cloud Storage</w:t>
      </w:r>
    </w:p>
    <w:p>
      <w:r>
        <w:t>These are only needed if you want uploaded files (PDFs, icons) to go to the cloud instead of the server's hard drive.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A4A7A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4320"/>
            <w:shd w:val="clear" w:color="auto" w:fill="4A4A7A"/>
          </w:tcPr>
          <w:p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USE_SPACES</w:t>
            </w:r>
          </w:p>
        </w:tc>
        <w:tc>
          <w:tcPr>
            <w:tcW w:type="dxa" w:w="4320"/>
          </w:tcPr>
          <w:p>
            <w:r>
              <w:t xml:space="preserve">Set to </w:t>
            </w:r>
            <w:r>
              <w:rPr>
                <w:rFonts w:ascii="Consolas" w:hAnsi="Consolas"/>
                <w:color w:val="C7254E"/>
                <w:sz w:val="20"/>
              </w:rPr>
              <w:t>True</w:t>
            </w:r>
            <w:r>
              <w:t xml:space="preserve"> to use Digital Ocean Spaces.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DO_SPACES_ACCESS_KEY</w:t>
            </w:r>
          </w:p>
        </w:tc>
        <w:tc>
          <w:tcPr>
            <w:tcW w:type="dxa" w:w="4320"/>
          </w:tcPr>
          <w:p>
            <w:r>
              <w:t>Your key.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DO_SPACES_SECRET_KEY</w:t>
            </w:r>
          </w:p>
        </w:tc>
        <w:tc>
          <w:tcPr>
            <w:tcW w:type="dxa" w:w="4320"/>
          </w:tcPr>
          <w:p>
            <w:r>
              <w:t>Your secret.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DO_SPACES_BUCKET_NAME</w:t>
            </w:r>
          </w:p>
        </w:tc>
        <w:tc>
          <w:tcPr>
            <w:tcW w:type="dxa" w:w="4320"/>
          </w:tcPr>
          <w:p>
            <w:r>
              <w:t>The bucket name.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DO_SPACES_REGION</w:t>
            </w:r>
          </w:p>
        </w:tc>
        <w:tc>
          <w:tcPr>
            <w:tcW w:type="dxa" w:w="4320"/>
          </w:tcPr>
          <w:p>
            <w:r>
              <w:t xml:space="preserve">The region (default </w:t>
            </w:r>
            <w:r>
              <w:rPr>
                <w:rFonts w:ascii="Consolas" w:hAnsi="Consolas"/>
                <w:color w:val="C7254E"/>
                <w:sz w:val="20"/>
              </w:rPr>
              <w:t>sgp1</w:t>
            </w:r>
            <w:r>
              <w:t>).</w:t>
            </w:r>
          </w:p>
        </w:tc>
      </w:tr>
    </w:tbl>
    <w:p>
      <w:pPr>
        <w:pStyle w:val="Heading2"/>
      </w:pPr>
      <w:r>
        <w:t>Frontend (</w:t>
      </w:r>
      <w:r>
        <w:rPr>
          <w:rFonts w:ascii="Consolas" w:hAnsi="Consolas"/>
          <w:color w:val="C7254E"/>
          <w:sz w:val="20"/>
        </w:rPr>
        <w:t>frontend/.env.local</w:t>
      </w:r>
      <w:r>
        <w:t>)</w:t>
      </w:r>
    </w:p>
    <w:p>
      <w:r>
        <w:t>Only one variable is needed.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A4A7A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4320"/>
            <w:shd w:val="clear" w:color="auto" w:fill="4A4A7A"/>
          </w:tcPr>
          <w:p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color w:val="C7254E"/>
                <w:sz w:val="20"/>
              </w:rPr>
              <w:t>NEXT_PUBLIC_API_URL</w:t>
            </w:r>
          </w:p>
        </w:tc>
        <w:tc>
          <w:tcPr>
            <w:tcW w:type="dxa" w:w="4320"/>
          </w:tcPr>
          <w:p>
            <w:r>
              <w:t xml:space="preserve">The address of the backend. For example </w:t>
            </w:r>
            <w:r>
              <w:rPr>
                <w:rFonts w:ascii="Consolas" w:hAnsi="Consolas"/>
                <w:color w:val="C7254E"/>
                <w:sz w:val="20"/>
              </w:rPr>
              <w:t>http://localhost:8000/api</w:t>
            </w:r>
            <w:r>
              <w:t xml:space="preserve"> when testing, or your real backend URL when online.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