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CodeLogic: System Diagrams</w:t>
      </w:r>
    </w:p>
    <w:p>
      <w:pPr>
        <w:jc w:val="center"/>
      </w:pPr>
      <w:r>
        <w:rPr>
          <w:i/>
          <w:color w:val="555555"/>
          <w:sz w:val="24"/>
        </w:rPr>
        <w:t>Flowchart, Use Case Diagram, and Data Flow Diagrams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459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chart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System Flowchart of the Student Side of CodeLogic</w:t>
      </w:r>
    </w:p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377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2 </w:t>
      </w:r>
      <w:r>
        <w:rPr>
          <w:i/>
          <w:sz w:val="22"/>
        </w:rPr>
        <w:t>Use Case Diagram of the CodeLogic Quiz Platform</w:t>
      </w:r>
    </w:p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78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3 </w:t>
      </w:r>
      <w:r>
        <w:rPr>
          <w:i/>
          <w:sz w:val="22"/>
        </w:rPr>
        <w:t>Level 0 Data Flow Diagram (Context Diagram) of the CodeLogic Quiz Platform</w:t>
      </w:r>
    </w:p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57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fd_leve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4 </w:t>
      </w:r>
      <w:r>
        <w:rPr>
          <w:i/>
          <w:sz w:val="22"/>
        </w:rPr>
        <w:t>Level 1 Data Flow Diagram: User, Content, Quiz, Progress, Certificate, and Resource Management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