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A7821" w:rsidRDefault="00C1287B" w:rsidP="00C1287B">
      <w:pPr>
        <w:pStyle w:val="Title"/>
        <w:pBdr>
          <w:bottom w:val="single" w:sz="6" w:space="1" w:color="auto"/>
        </w:pBdr>
      </w:pPr>
      <w:r w:rsidRPr="00C1287B">
        <w:t>Gindang (Gendang)</w:t>
      </w:r>
    </w:p>
    <w:p w:rsidR="00C1287B" w:rsidRDefault="00C1287B" w:rsidP="00C1287B">
      <w:pPr>
        <w:spacing w:line="240" w:lineRule="auto"/>
        <w:rPr>
          <w:rFonts w:ascii="Arial" w:eastAsia="Times New Roman" w:hAnsi="Arial" w:cs="Arial"/>
          <w:b/>
          <w:bCs/>
          <w:sz w:val="24"/>
          <w:szCs w:val="24"/>
          <w:lang w:eastAsia="en-ID"/>
        </w:rPr>
      </w:pPr>
      <w:r>
        <w:rPr>
          <w:rFonts w:ascii="Arial" w:hAnsi="Arial" w:cs="Arial"/>
          <w:b/>
          <w:bCs/>
          <w:noProof/>
        </w:rPr>
        <w:drawing>
          <wp:inline distT="0" distB="0" distL="0" distR="0">
            <wp:extent cx="2621280" cy="1744980"/>
            <wp:effectExtent l="0" t="0" r="7620" b="7620"/>
            <wp:docPr id="1" name="Picture 1" descr="C:\Users\USER\AppData\Local\Microsoft\Windows\INetCache\Content.MSO\13DFCA1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MSO\13DFCA1F.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p>
    <w:p w:rsidR="00C1287B" w:rsidRDefault="00C1287B" w:rsidP="00C1287B">
      <w:pPr>
        <w:spacing w:line="240" w:lineRule="auto"/>
        <w:rPr>
          <w:rFonts w:ascii="Arial" w:eastAsia="Times New Roman" w:hAnsi="Arial" w:cs="Arial"/>
          <w:b/>
          <w:bCs/>
          <w:sz w:val="24"/>
          <w:szCs w:val="24"/>
          <w:lang w:eastAsia="en-ID"/>
        </w:rPr>
      </w:pPr>
      <w:r>
        <w:rPr>
          <w:rFonts w:ascii="Arial" w:hAnsi="Arial" w:cs="Arial"/>
          <w:b/>
          <w:bCs/>
          <w:noProof/>
        </w:rPr>
        <w:drawing>
          <wp:inline distT="0" distB="0" distL="0" distR="0">
            <wp:extent cx="2621280" cy="1744980"/>
            <wp:effectExtent l="0" t="0" r="7620" b="7620"/>
            <wp:docPr id="2" name="Picture 2" descr="C:\Users\USER\AppData\Local\Microsoft\Windows\INetCache\Content.MSO\8B40F88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MSO\8B40F885.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21280" cy="1744980"/>
                    </a:xfrm>
                    <a:prstGeom prst="rect">
                      <a:avLst/>
                    </a:prstGeom>
                    <a:noFill/>
                    <a:ln>
                      <a:noFill/>
                    </a:ln>
                  </pic:spPr>
                </pic:pic>
              </a:graphicData>
            </a:graphic>
          </wp:inline>
        </w:drawing>
      </w:r>
      <w:bookmarkStart w:id="0" w:name="_GoBack"/>
      <w:bookmarkEnd w:id="0"/>
    </w:p>
    <w:p w:rsidR="00C1287B" w:rsidRPr="00C1287B" w:rsidRDefault="00C1287B" w:rsidP="00C1287B">
      <w:pPr>
        <w:spacing w:line="240" w:lineRule="auto"/>
        <w:rPr>
          <w:rFonts w:ascii="Arial" w:eastAsia="Times New Roman" w:hAnsi="Arial" w:cs="Arial"/>
          <w:sz w:val="24"/>
          <w:szCs w:val="24"/>
          <w:lang w:eastAsia="en-ID"/>
        </w:rPr>
      </w:pPr>
      <w:r w:rsidRPr="00C1287B">
        <w:rPr>
          <w:rFonts w:ascii="Arial" w:eastAsia="Times New Roman" w:hAnsi="Arial" w:cs="Arial"/>
          <w:b/>
          <w:bCs/>
          <w:sz w:val="24"/>
          <w:szCs w:val="24"/>
          <w:lang w:eastAsia="en-ID"/>
        </w:rPr>
        <w:t>Gindang atau Gendang</w:t>
      </w:r>
      <w:r w:rsidRPr="00C1287B">
        <w:rPr>
          <w:rFonts w:ascii="Arial" w:eastAsia="Times New Roman" w:hAnsi="Arial" w:cs="Arial"/>
          <w:sz w:val="24"/>
          <w:szCs w:val="24"/>
          <w:lang w:eastAsia="en-ID"/>
        </w:rPr>
        <w:t xml:space="preserve"> adalah alat musik tradisional Nusantara dari kelompok membranofon yang dimainkan dengan cara dipukul menggunakan tangan atau alat pemukul khusus. Instrumen ini umumnya terbuat dari kayu berongga yang dilapisi kulit hewan (seperti sapi atau kerbau) pada bagian ujungnya untuk menghasilkan resonansi suara. [</w:t>
      </w:r>
      <w:hyperlink r:id="rId7" w:history="1">
        <w:r w:rsidRPr="00C1287B">
          <w:rPr>
            <w:rFonts w:ascii="Arial" w:eastAsia="Times New Roman" w:hAnsi="Arial" w:cs="Arial"/>
            <w:color w:val="0000FF"/>
            <w:sz w:val="24"/>
            <w:szCs w:val="24"/>
            <w:u w:val="single"/>
            <w:lang w:eastAsia="en-ID"/>
          </w:rPr>
          <w:t>1</w:t>
        </w:r>
      </w:hyperlink>
      <w:r w:rsidRPr="00C1287B">
        <w:rPr>
          <w:rFonts w:ascii="Arial" w:eastAsia="Times New Roman" w:hAnsi="Arial" w:cs="Arial"/>
          <w:sz w:val="24"/>
          <w:szCs w:val="24"/>
          <w:lang w:eastAsia="en-ID"/>
        </w:rPr>
        <w:t xml:space="preserve">, </w:t>
      </w:r>
      <w:hyperlink r:id="rId8" w:history="1">
        <w:r w:rsidRPr="00C1287B">
          <w:rPr>
            <w:rFonts w:ascii="Arial" w:eastAsia="Times New Roman" w:hAnsi="Arial" w:cs="Arial"/>
            <w:color w:val="0000FF"/>
            <w:sz w:val="24"/>
            <w:szCs w:val="24"/>
            <w:u w:val="single"/>
            <w:lang w:eastAsia="en-ID"/>
          </w:rPr>
          <w:t>2</w:t>
        </w:r>
      </w:hyperlink>
      <w:r w:rsidRPr="00C1287B">
        <w:rPr>
          <w:rFonts w:ascii="Arial" w:eastAsia="Times New Roman" w:hAnsi="Arial" w:cs="Arial"/>
          <w:sz w:val="24"/>
          <w:szCs w:val="24"/>
          <w:lang w:eastAsia="en-ID"/>
        </w:rPr>
        <w:t xml:space="preserve">, </w:t>
      </w:r>
      <w:hyperlink r:id="rId9" w:history="1">
        <w:r w:rsidRPr="00C1287B">
          <w:rPr>
            <w:rFonts w:ascii="Arial" w:eastAsia="Times New Roman" w:hAnsi="Arial" w:cs="Arial"/>
            <w:color w:val="0000FF"/>
            <w:sz w:val="24"/>
            <w:szCs w:val="24"/>
            <w:u w:val="single"/>
            <w:lang w:eastAsia="en-ID"/>
          </w:rPr>
          <w:t>3</w:t>
        </w:r>
      </w:hyperlink>
      <w:r w:rsidRPr="00C1287B">
        <w:rPr>
          <w:rFonts w:ascii="Arial" w:eastAsia="Times New Roman" w:hAnsi="Arial" w:cs="Arial"/>
          <w:sz w:val="24"/>
          <w:szCs w:val="24"/>
          <w:lang w:eastAsia="en-ID"/>
        </w:rPr>
        <w:t xml:space="preserve">, </w:t>
      </w:r>
      <w:hyperlink r:id="rId10" w:history="1">
        <w:r w:rsidRPr="00C1287B">
          <w:rPr>
            <w:rFonts w:ascii="Arial" w:eastAsia="Times New Roman" w:hAnsi="Arial" w:cs="Arial"/>
            <w:color w:val="0000FF"/>
            <w:sz w:val="24"/>
            <w:szCs w:val="24"/>
            <w:u w:val="single"/>
            <w:lang w:eastAsia="en-ID"/>
          </w:rPr>
          <w:t>4</w:t>
        </w:r>
      </w:hyperlink>
      <w:r w:rsidRPr="00C1287B">
        <w:rPr>
          <w:rFonts w:ascii="Arial" w:eastAsia="Times New Roman" w:hAnsi="Arial" w:cs="Arial"/>
          <w:sz w:val="24"/>
          <w:szCs w:val="24"/>
          <w:lang w:eastAsia="en-ID"/>
        </w:rPr>
        <w:t>]</w:t>
      </w:r>
    </w:p>
    <w:p w:rsidR="00C1287B" w:rsidRPr="00C1287B" w:rsidRDefault="00C1287B" w:rsidP="00C1287B">
      <w:pPr>
        <w:spacing w:line="240" w:lineRule="auto"/>
        <w:rPr>
          <w:rFonts w:ascii="Arial" w:eastAsia="Times New Roman" w:hAnsi="Arial" w:cs="Arial"/>
          <w:b/>
          <w:bCs/>
          <w:sz w:val="30"/>
          <w:szCs w:val="30"/>
          <w:lang w:eastAsia="en-ID"/>
        </w:rPr>
      </w:pPr>
      <w:r w:rsidRPr="00C1287B">
        <w:rPr>
          <w:rFonts w:ascii="Arial" w:eastAsia="Times New Roman" w:hAnsi="Arial" w:cs="Arial"/>
          <w:b/>
          <w:bCs/>
          <w:sz w:val="30"/>
          <w:szCs w:val="30"/>
          <w:lang w:eastAsia="en-ID"/>
        </w:rPr>
        <w:t>Karakteristik &amp; Jenis Utama</w:t>
      </w:r>
    </w:p>
    <w:p w:rsidR="00C1287B" w:rsidRPr="00C1287B" w:rsidRDefault="00C1287B" w:rsidP="00C1287B">
      <w:pPr>
        <w:spacing w:line="240" w:lineRule="auto"/>
        <w:rPr>
          <w:rFonts w:ascii="Arial" w:eastAsia="Times New Roman" w:hAnsi="Arial" w:cs="Arial"/>
          <w:sz w:val="24"/>
          <w:szCs w:val="24"/>
          <w:lang w:eastAsia="en-ID"/>
        </w:rPr>
      </w:pPr>
      <w:r w:rsidRPr="00C1287B">
        <w:rPr>
          <w:rFonts w:ascii="Arial" w:eastAsia="Times New Roman" w:hAnsi="Arial" w:cs="Arial"/>
          <w:sz w:val="24"/>
          <w:szCs w:val="24"/>
          <w:lang w:eastAsia="en-ID"/>
        </w:rPr>
        <w:t>Gendang memegang peran krusial sebagai pengatur irama atau tempo dalam sebuah ensambel musik. Berbagai daerah di Indonesia memiliki ciri khas gendang tersendiri, di antaranya: [</w:t>
      </w:r>
      <w:hyperlink r:id="rId11" w:history="1">
        <w:r w:rsidRPr="00C1287B">
          <w:rPr>
            <w:rFonts w:ascii="Arial" w:eastAsia="Times New Roman" w:hAnsi="Arial" w:cs="Arial"/>
            <w:color w:val="0000FF"/>
            <w:sz w:val="24"/>
            <w:szCs w:val="24"/>
            <w:u w:val="single"/>
            <w:lang w:eastAsia="en-ID"/>
          </w:rPr>
          <w:t>1</w:t>
        </w:r>
      </w:hyperlink>
      <w:r w:rsidRPr="00C1287B">
        <w:rPr>
          <w:rFonts w:ascii="Arial" w:eastAsia="Times New Roman" w:hAnsi="Arial" w:cs="Arial"/>
          <w:sz w:val="24"/>
          <w:szCs w:val="24"/>
          <w:lang w:eastAsia="en-ID"/>
        </w:rPr>
        <w:t>]</w:t>
      </w:r>
    </w:p>
    <w:p w:rsidR="00C1287B" w:rsidRPr="00C1287B" w:rsidRDefault="00C1287B" w:rsidP="00C1287B">
      <w:pPr>
        <w:numPr>
          <w:ilvl w:val="0"/>
          <w:numId w:val="1"/>
        </w:numPr>
        <w:spacing w:after="0" w:line="240" w:lineRule="auto"/>
        <w:ind w:left="0"/>
        <w:rPr>
          <w:rFonts w:ascii="Arial" w:eastAsia="Times New Roman" w:hAnsi="Arial" w:cs="Arial"/>
          <w:sz w:val="24"/>
          <w:szCs w:val="24"/>
          <w:lang w:eastAsia="en-ID"/>
        </w:rPr>
      </w:pPr>
      <w:r w:rsidRPr="00C1287B">
        <w:rPr>
          <w:rFonts w:ascii="Arial" w:eastAsia="Times New Roman" w:hAnsi="Arial" w:cs="Arial"/>
          <w:b/>
          <w:bCs/>
          <w:sz w:val="24"/>
          <w:szCs w:val="24"/>
          <w:lang w:eastAsia="en-ID"/>
        </w:rPr>
        <w:t>Kendang Jawa &amp; Sunda:</w:t>
      </w:r>
      <w:r w:rsidRPr="00C1287B">
        <w:rPr>
          <w:rFonts w:ascii="Arial" w:eastAsia="Times New Roman" w:hAnsi="Arial" w:cs="Arial"/>
          <w:sz w:val="24"/>
          <w:szCs w:val="24"/>
          <w:lang w:eastAsia="en-ID"/>
        </w:rPr>
        <w:t xml:space="preserve"> Umumnya terbuat dari kayu nangka, berfungsi vital dalam mengiringi pagelaran wayang, gamelan, dan tari tradisional. [</w:t>
      </w:r>
      <w:hyperlink r:id="rId12" w:history="1">
        <w:r w:rsidRPr="00C1287B">
          <w:rPr>
            <w:rFonts w:ascii="Arial" w:eastAsia="Times New Roman" w:hAnsi="Arial" w:cs="Arial"/>
            <w:color w:val="0000FF"/>
            <w:sz w:val="24"/>
            <w:szCs w:val="24"/>
            <w:u w:val="single"/>
            <w:lang w:eastAsia="en-ID"/>
          </w:rPr>
          <w:t>1</w:t>
        </w:r>
      </w:hyperlink>
      <w:r w:rsidRPr="00C1287B">
        <w:rPr>
          <w:rFonts w:ascii="Arial" w:eastAsia="Times New Roman" w:hAnsi="Arial" w:cs="Arial"/>
          <w:sz w:val="24"/>
          <w:szCs w:val="24"/>
          <w:lang w:eastAsia="en-ID"/>
        </w:rPr>
        <w:t xml:space="preserve">, </w:t>
      </w:r>
      <w:hyperlink r:id="rId13" w:history="1">
        <w:r w:rsidRPr="00C1287B">
          <w:rPr>
            <w:rFonts w:ascii="Arial" w:eastAsia="Times New Roman" w:hAnsi="Arial" w:cs="Arial"/>
            <w:color w:val="0000FF"/>
            <w:sz w:val="24"/>
            <w:szCs w:val="24"/>
            <w:u w:val="single"/>
            <w:lang w:eastAsia="en-ID"/>
          </w:rPr>
          <w:t>2</w:t>
        </w:r>
      </w:hyperlink>
      <w:r w:rsidRPr="00C1287B">
        <w:rPr>
          <w:rFonts w:ascii="Arial" w:eastAsia="Times New Roman" w:hAnsi="Arial" w:cs="Arial"/>
          <w:sz w:val="24"/>
          <w:szCs w:val="24"/>
          <w:lang w:eastAsia="en-ID"/>
        </w:rPr>
        <w:t xml:space="preserve">, </w:t>
      </w:r>
      <w:hyperlink r:id="rId14" w:history="1">
        <w:r w:rsidRPr="00C1287B">
          <w:rPr>
            <w:rFonts w:ascii="Arial" w:eastAsia="Times New Roman" w:hAnsi="Arial" w:cs="Arial"/>
            <w:color w:val="0000FF"/>
            <w:sz w:val="24"/>
            <w:szCs w:val="24"/>
            <w:u w:val="single"/>
            <w:lang w:eastAsia="en-ID"/>
          </w:rPr>
          <w:t>3</w:t>
        </w:r>
      </w:hyperlink>
      <w:r w:rsidRPr="00C1287B">
        <w:rPr>
          <w:rFonts w:ascii="Arial" w:eastAsia="Times New Roman" w:hAnsi="Arial" w:cs="Arial"/>
          <w:sz w:val="24"/>
          <w:szCs w:val="24"/>
          <w:lang w:eastAsia="en-ID"/>
        </w:rPr>
        <w:t xml:space="preserve">, </w:t>
      </w:r>
      <w:hyperlink r:id="rId15" w:history="1">
        <w:r w:rsidRPr="00C1287B">
          <w:rPr>
            <w:rFonts w:ascii="Arial" w:eastAsia="Times New Roman" w:hAnsi="Arial" w:cs="Arial"/>
            <w:color w:val="0000FF"/>
            <w:sz w:val="24"/>
            <w:szCs w:val="24"/>
            <w:u w:val="single"/>
            <w:lang w:eastAsia="en-ID"/>
          </w:rPr>
          <w:t>4</w:t>
        </w:r>
      </w:hyperlink>
      <w:r w:rsidRPr="00C1287B">
        <w:rPr>
          <w:rFonts w:ascii="Arial" w:eastAsia="Times New Roman" w:hAnsi="Arial" w:cs="Arial"/>
          <w:sz w:val="24"/>
          <w:szCs w:val="24"/>
          <w:lang w:eastAsia="en-ID"/>
        </w:rPr>
        <w:t>]</w:t>
      </w:r>
    </w:p>
    <w:p w:rsidR="00C1287B" w:rsidRPr="00C1287B" w:rsidRDefault="00C1287B" w:rsidP="00C1287B">
      <w:pPr>
        <w:numPr>
          <w:ilvl w:val="0"/>
          <w:numId w:val="1"/>
        </w:numPr>
        <w:spacing w:after="0" w:line="240" w:lineRule="auto"/>
        <w:ind w:left="0"/>
        <w:rPr>
          <w:rFonts w:ascii="Arial" w:eastAsia="Times New Roman" w:hAnsi="Arial" w:cs="Arial"/>
          <w:sz w:val="24"/>
          <w:szCs w:val="24"/>
          <w:lang w:eastAsia="en-ID"/>
        </w:rPr>
      </w:pPr>
      <w:r w:rsidRPr="00C1287B">
        <w:rPr>
          <w:rFonts w:ascii="Arial" w:eastAsia="Times New Roman" w:hAnsi="Arial" w:cs="Arial"/>
          <w:b/>
          <w:bCs/>
          <w:sz w:val="24"/>
          <w:szCs w:val="24"/>
          <w:lang w:eastAsia="en-ID"/>
        </w:rPr>
        <w:t>Gordang (Sumatera Utara):</w:t>
      </w:r>
      <w:r w:rsidRPr="00C1287B">
        <w:rPr>
          <w:rFonts w:ascii="Arial" w:eastAsia="Times New Roman" w:hAnsi="Arial" w:cs="Arial"/>
          <w:sz w:val="24"/>
          <w:szCs w:val="24"/>
          <w:lang w:eastAsia="en-ID"/>
        </w:rPr>
        <w:t xml:space="preserve"> Sering digunakan dalam budaya Batak dan Mandailing. Terdapat variasi </w:t>
      </w:r>
      <w:r w:rsidRPr="00C1287B">
        <w:rPr>
          <w:rFonts w:ascii="Arial" w:eastAsia="Times New Roman" w:hAnsi="Arial" w:cs="Arial"/>
          <w:b/>
          <w:bCs/>
          <w:sz w:val="24"/>
          <w:szCs w:val="24"/>
          <w:lang w:eastAsia="en-ID"/>
        </w:rPr>
        <w:t>Gordang Sambilan</w:t>
      </w:r>
      <w:r w:rsidRPr="00C1287B">
        <w:rPr>
          <w:rFonts w:ascii="Arial" w:eastAsia="Times New Roman" w:hAnsi="Arial" w:cs="Arial"/>
          <w:sz w:val="24"/>
          <w:szCs w:val="24"/>
          <w:lang w:eastAsia="en-ID"/>
        </w:rPr>
        <w:t>, yaitu ansambel yang terdiri dari sembilan gendang dengan ukuran berbeda yang menghasilkan nada bervariasi. [</w:t>
      </w:r>
      <w:hyperlink r:id="rId16" w:history="1">
        <w:r w:rsidRPr="00C1287B">
          <w:rPr>
            <w:rFonts w:ascii="Arial" w:eastAsia="Times New Roman" w:hAnsi="Arial" w:cs="Arial"/>
            <w:color w:val="0000FF"/>
            <w:sz w:val="24"/>
            <w:szCs w:val="24"/>
            <w:u w:val="single"/>
            <w:lang w:eastAsia="en-ID"/>
          </w:rPr>
          <w:t>1</w:t>
        </w:r>
      </w:hyperlink>
      <w:r w:rsidRPr="00C1287B">
        <w:rPr>
          <w:rFonts w:ascii="Arial" w:eastAsia="Times New Roman" w:hAnsi="Arial" w:cs="Arial"/>
          <w:sz w:val="24"/>
          <w:szCs w:val="24"/>
          <w:lang w:eastAsia="en-ID"/>
        </w:rPr>
        <w:t xml:space="preserve">, </w:t>
      </w:r>
      <w:hyperlink r:id="rId17" w:history="1">
        <w:r w:rsidRPr="00C1287B">
          <w:rPr>
            <w:rFonts w:ascii="Arial" w:eastAsia="Times New Roman" w:hAnsi="Arial" w:cs="Arial"/>
            <w:color w:val="0000FF"/>
            <w:sz w:val="24"/>
            <w:szCs w:val="24"/>
            <w:u w:val="single"/>
            <w:lang w:eastAsia="en-ID"/>
          </w:rPr>
          <w:t>2</w:t>
        </w:r>
      </w:hyperlink>
      <w:r w:rsidRPr="00C1287B">
        <w:rPr>
          <w:rFonts w:ascii="Arial" w:eastAsia="Times New Roman" w:hAnsi="Arial" w:cs="Arial"/>
          <w:sz w:val="24"/>
          <w:szCs w:val="24"/>
          <w:lang w:eastAsia="en-ID"/>
        </w:rPr>
        <w:t>]</w:t>
      </w:r>
    </w:p>
    <w:p w:rsidR="00C1287B" w:rsidRPr="00C1287B" w:rsidRDefault="00C1287B" w:rsidP="00C1287B">
      <w:pPr>
        <w:numPr>
          <w:ilvl w:val="0"/>
          <w:numId w:val="1"/>
        </w:numPr>
        <w:spacing w:after="0" w:line="240" w:lineRule="auto"/>
        <w:ind w:left="0"/>
        <w:rPr>
          <w:rFonts w:ascii="Arial" w:eastAsia="Times New Roman" w:hAnsi="Arial" w:cs="Arial"/>
          <w:sz w:val="24"/>
          <w:szCs w:val="24"/>
          <w:lang w:eastAsia="en-ID"/>
        </w:rPr>
      </w:pPr>
      <w:r w:rsidRPr="00C1287B">
        <w:rPr>
          <w:rFonts w:ascii="Arial" w:eastAsia="Times New Roman" w:hAnsi="Arial" w:cs="Arial"/>
          <w:b/>
          <w:bCs/>
          <w:sz w:val="24"/>
          <w:szCs w:val="24"/>
          <w:lang w:eastAsia="en-ID"/>
        </w:rPr>
        <w:t>Gendang Bali:</w:t>
      </w:r>
      <w:r w:rsidRPr="00C1287B">
        <w:rPr>
          <w:rFonts w:ascii="Arial" w:eastAsia="Times New Roman" w:hAnsi="Arial" w:cs="Arial"/>
          <w:sz w:val="24"/>
          <w:szCs w:val="24"/>
          <w:lang w:eastAsia="en-ID"/>
        </w:rPr>
        <w:t xml:space="preserve"> Memiliki berbagai jenis ukuran dan fungsi spesifik, serta telah dikenal sejak abad ke-9 Masehi. [</w:t>
      </w:r>
      <w:hyperlink r:id="rId18" w:history="1">
        <w:r w:rsidRPr="00C1287B">
          <w:rPr>
            <w:rFonts w:ascii="Arial" w:eastAsia="Times New Roman" w:hAnsi="Arial" w:cs="Arial"/>
            <w:color w:val="0000FF"/>
            <w:sz w:val="24"/>
            <w:szCs w:val="24"/>
            <w:u w:val="single"/>
            <w:lang w:eastAsia="en-ID"/>
          </w:rPr>
          <w:t>1</w:t>
        </w:r>
      </w:hyperlink>
      <w:r w:rsidRPr="00C1287B">
        <w:rPr>
          <w:rFonts w:ascii="Arial" w:eastAsia="Times New Roman" w:hAnsi="Arial" w:cs="Arial"/>
          <w:sz w:val="24"/>
          <w:szCs w:val="24"/>
          <w:lang w:eastAsia="en-ID"/>
        </w:rPr>
        <w:t xml:space="preserve">, </w:t>
      </w:r>
      <w:hyperlink r:id="rId19" w:history="1">
        <w:r w:rsidRPr="00C1287B">
          <w:rPr>
            <w:rFonts w:ascii="Arial" w:eastAsia="Times New Roman" w:hAnsi="Arial" w:cs="Arial"/>
            <w:color w:val="0000FF"/>
            <w:sz w:val="24"/>
            <w:szCs w:val="24"/>
            <w:u w:val="single"/>
            <w:lang w:eastAsia="en-ID"/>
          </w:rPr>
          <w:t>2</w:t>
        </w:r>
      </w:hyperlink>
      <w:r w:rsidRPr="00C1287B">
        <w:rPr>
          <w:rFonts w:ascii="Arial" w:eastAsia="Times New Roman" w:hAnsi="Arial" w:cs="Arial"/>
          <w:sz w:val="24"/>
          <w:szCs w:val="24"/>
          <w:lang w:eastAsia="en-ID"/>
        </w:rPr>
        <w:t xml:space="preserve">, </w:t>
      </w:r>
      <w:hyperlink r:id="rId20" w:history="1">
        <w:r w:rsidRPr="00C1287B">
          <w:rPr>
            <w:rFonts w:ascii="Arial" w:eastAsia="Times New Roman" w:hAnsi="Arial" w:cs="Arial"/>
            <w:color w:val="0000FF"/>
            <w:sz w:val="24"/>
            <w:szCs w:val="24"/>
            <w:u w:val="single"/>
            <w:lang w:eastAsia="en-ID"/>
          </w:rPr>
          <w:t>3</w:t>
        </w:r>
      </w:hyperlink>
      <w:r w:rsidRPr="00C1287B">
        <w:rPr>
          <w:rFonts w:ascii="Arial" w:eastAsia="Times New Roman" w:hAnsi="Arial" w:cs="Arial"/>
          <w:sz w:val="24"/>
          <w:szCs w:val="24"/>
          <w:lang w:eastAsia="en-ID"/>
        </w:rPr>
        <w:t>]</w:t>
      </w:r>
    </w:p>
    <w:p w:rsidR="00C1287B" w:rsidRPr="00C1287B" w:rsidRDefault="00C1287B" w:rsidP="00C1287B">
      <w:pPr>
        <w:numPr>
          <w:ilvl w:val="0"/>
          <w:numId w:val="1"/>
        </w:numPr>
        <w:spacing w:after="0" w:line="240" w:lineRule="auto"/>
        <w:ind w:left="0"/>
        <w:rPr>
          <w:rFonts w:ascii="Arial" w:eastAsia="Times New Roman" w:hAnsi="Arial" w:cs="Arial"/>
          <w:sz w:val="24"/>
          <w:szCs w:val="24"/>
          <w:lang w:eastAsia="en-ID"/>
        </w:rPr>
      </w:pPr>
      <w:r w:rsidRPr="00C1287B">
        <w:rPr>
          <w:rFonts w:ascii="Arial" w:eastAsia="Times New Roman" w:hAnsi="Arial" w:cs="Arial"/>
          <w:b/>
          <w:bCs/>
          <w:sz w:val="24"/>
          <w:szCs w:val="24"/>
          <w:lang w:eastAsia="en-ID"/>
        </w:rPr>
        <w:t>Gendang Beleq (Lombok):</w:t>
      </w:r>
      <w:r w:rsidRPr="00C1287B">
        <w:rPr>
          <w:rFonts w:ascii="Arial" w:eastAsia="Times New Roman" w:hAnsi="Arial" w:cs="Arial"/>
          <w:sz w:val="24"/>
          <w:szCs w:val="24"/>
          <w:lang w:eastAsia="en-ID"/>
        </w:rPr>
        <w:t xml:space="preserve"> Berukuran besar dan sering dimainkan secara berkelompok dalam suatu arak-arakan budaya. [</w:t>
      </w:r>
      <w:hyperlink r:id="rId21" w:history="1">
        <w:r w:rsidRPr="00C1287B">
          <w:rPr>
            <w:rFonts w:ascii="Arial" w:eastAsia="Times New Roman" w:hAnsi="Arial" w:cs="Arial"/>
            <w:color w:val="0000FF"/>
            <w:sz w:val="24"/>
            <w:szCs w:val="24"/>
            <w:u w:val="single"/>
            <w:lang w:eastAsia="en-ID"/>
          </w:rPr>
          <w:t>1</w:t>
        </w:r>
      </w:hyperlink>
      <w:r w:rsidRPr="00C1287B">
        <w:rPr>
          <w:rFonts w:ascii="Arial" w:eastAsia="Times New Roman" w:hAnsi="Arial" w:cs="Arial"/>
          <w:sz w:val="24"/>
          <w:szCs w:val="24"/>
          <w:lang w:eastAsia="en-ID"/>
        </w:rPr>
        <w:t>]</w:t>
      </w:r>
    </w:p>
    <w:p w:rsidR="00C1287B" w:rsidRPr="00C1287B" w:rsidRDefault="00C1287B" w:rsidP="00C1287B"/>
    <w:sectPr w:rsidR="00C1287B" w:rsidRPr="00C128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8C4E3F"/>
    <w:multiLevelType w:val="multilevel"/>
    <w:tmpl w:val="1352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87B"/>
    <w:rsid w:val="00C1287B"/>
    <w:rsid w:val="00FA78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51482"/>
  <w15:chartTrackingRefBased/>
  <w15:docId w15:val="{7AEE50FC-4693-409F-8F45-3BB8A21DD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1287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87B"/>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C1287B"/>
    <w:rPr>
      <w:b/>
      <w:bCs/>
    </w:rPr>
  </w:style>
  <w:style w:type="character" w:styleId="Hyperlink">
    <w:name w:val="Hyperlink"/>
    <w:basedOn w:val="DefaultParagraphFont"/>
    <w:uiPriority w:val="99"/>
    <w:semiHidden/>
    <w:unhideWhenUsed/>
    <w:rsid w:val="00C1287B"/>
    <w:rPr>
      <w:color w:val="0000FF"/>
      <w:u w:val="single"/>
    </w:rPr>
  </w:style>
  <w:style w:type="paragraph" w:customStyle="1" w:styleId="z1qcye">
    <w:name w:val="z1qcye"/>
    <w:basedOn w:val="Normal"/>
    <w:rsid w:val="00C1287B"/>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t286pc">
    <w:name w:val="t286pc"/>
    <w:basedOn w:val="DefaultParagraphFont"/>
    <w:rsid w:val="00C1287B"/>
  </w:style>
  <w:style w:type="character" w:customStyle="1" w:styleId="yadgie">
    <w:name w:val="yadgie"/>
    <w:basedOn w:val="DefaultParagraphFont"/>
    <w:rsid w:val="00C128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8254417">
      <w:bodyDiv w:val="1"/>
      <w:marLeft w:val="0"/>
      <w:marRight w:val="0"/>
      <w:marTop w:val="0"/>
      <w:marBottom w:val="0"/>
      <w:divBdr>
        <w:top w:val="none" w:sz="0" w:space="0" w:color="auto"/>
        <w:left w:val="none" w:sz="0" w:space="0" w:color="auto"/>
        <w:bottom w:val="none" w:sz="0" w:space="0" w:color="auto"/>
        <w:right w:val="none" w:sz="0" w:space="0" w:color="auto"/>
      </w:divBdr>
      <w:divsChild>
        <w:div w:id="934365085">
          <w:marLeft w:val="0"/>
          <w:marRight w:val="0"/>
          <w:marTop w:val="0"/>
          <w:marBottom w:val="240"/>
          <w:divBdr>
            <w:top w:val="none" w:sz="0" w:space="0" w:color="auto"/>
            <w:left w:val="none" w:sz="0" w:space="0" w:color="auto"/>
            <w:bottom w:val="none" w:sz="0" w:space="0" w:color="auto"/>
            <w:right w:val="none" w:sz="0" w:space="0" w:color="auto"/>
          </w:divBdr>
        </w:div>
        <w:div w:id="1694066924">
          <w:marLeft w:val="0"/>
          <w:marRight w:val="0"/>
          <w:marTop w:val="360"/>
          <w:marBottom w:val="180"/>
          <w:divBdr>
            <w:top w:val="none" w:sz="0" w:space="0" w:color="auto"/>
            <w:left w:val="none" w:sz="0" w:space="0" w:color="auto"/>
            <w:bottom w:val="none" w:sz="0" w:space="0" w:color="auto"/>
            <w:right w:val="none" w:sz="0" w:space="0" w:color="auto"/>
          </w:divBdr>
        </w:div>
        <w:div w:id="1896965706">
          <w:marLeft w:val="0"/>
          <w:marRight w:val="0"/>
          <w:marTop w:val="0"/>
          <w:marBottom w:val="0"/>
          <w:divBdr>
            <w:top w:val="none" w:sz="0" w:space="0" w:color="auto"/>
            <w:left w:val="none" w:sz="0" w:space="0" w:color="auto"/>
            <w:bottom w:val="none" w:sz="0" w:space="0" w:color="auto"/>
            <w:right w:val="none" w:sz="0" w:space="0" w:color="auto"/>
          </w:divBdr>
          <w:divsChild>
            <w:div w:id="1580366382">
              <w:marLeft w:val="0"/>
              <w:marRight w:val="0"/>
              <w:marTop w:val="180"/>
              <w:marBottom w:val="240"/>
              <w:divBdr>
                <w:top w:val="none" w:sz="0" w:space="0" w:color="auto"/>
                <w:left w:val="none" w:sz="0" w:space="0" w:color="auto"/>
                <w:bottom w:val="none" w:sz="0" w:space="0" w:color="auto"/>
                <w:right w:val="none" w:sz="0" w:space="0" w:color="auto"/>
              </w:divBdr>
            </w:div>
          </w:divsChild>
        </w:div>
        <w:div w:id="3692623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lib-iakntoraja.ac.id/594/3/bartho_bab_2.pdf" TargetMode="External"/><Relationship Id="rId13" Type="http://schemas.openxmlformats.org/officeDocument/2006/relationships/hyperlink" Target="https://www.instagram.com/p/DSofc_GEWTP/" TargetMode="External"/><Relationship Id="rId18" Type="http://schemas.openxmlformats.org/officeDocument/2006/relationships/hyperlink" Target="https://isibali.ac.id/jenis-jenis-kendang-bali/" TargetMode="External"/><Relationship Id="rId3" Type="http://schemas.openxmlformats.org/officeDocument/2006/relationships/settings" Target="settings.xml"/><Relationship Id="rId21" Type="http://schemas.openxmlformats.org/officeDocument/2006/relationships/hyperlink" Target="https://www.aman.or.id/news/read/1739" TargetMode="External"/><Relationship Id="rId7" Type="http://schemas.openxmlformats.org/officeDocument/2006/relationships/hyperlink" Target="https://id.wikipedia.org/wiki/Gordang" TargetMode="External"/><Relationship Id="rId12" Type="http://schemas.openxmlformats.org/officeDocument/2006/relationships/hyperlink" Target="http://digilib.isi.ac.id/2028/2/Pages%20from%20Metode%20Belajar%20Kendang.pdf.pdf" TargetMode="External"/><Relationship Id="rId17" Type="http://schemas.openxmlformats.org/officeDocument/2006/relationships/hyperlink" Target="https://budaya-indonesia.org/alat-musik-gondang" TargetMode="External"/><Relationship Id="rId2" Type="http://schemas.openxmlformats.org/officeDocument/2006/relationships/styles" Target="styles.xml"/><Relationship Id="rId16" Type="http://schemas.openxmlformats.org/officeDocument/2006/relationships/hyperlink" Target="https://ksdae.kehutanan.go.id/publikasi/artikel/gordang-sambilan-budaya-mandailing-DmDzs1yp/" TargetMode="External"/><Relationship Id="rId20" Type="http://schemas.openxmlformats.org/officeDocument/2006/relationships/hyperlink" Target="https://digilib-iakntoraja.ac.id/594/3/bartho_bab_2.pdf"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instagram.com/p/DSofc_GEWTP/" TargetMode="External"/><Relationship Id="rId5" Type="http://schemas.openxmlformats.org/officeDocument/2006/relationships/image" Target="media/image1.jpeg"/><Relationship Id="rId15" Type="http://schemas.openxmlformats.org/officeDocument/2006/relationships/hyperlink" Target="https://www.instagram.com/p/DSofc_GEWTP/" TargetMode="External"/><Relationship Id="rId23" Type="http://schemas.openxmlformats.org/officeDocument/2006/relationships/theme" Target="theme/theme1.xml"/><Relationship Id="rId10" Type="http://schemas.openxmlformats.org/officeDocument/2006/relationships/hyperlink" Target="https://id.wikipedia.org/wiki/Kendang" TargetMode="External"/><Relationship Id="rId19" Type="http://schemas.openxmlformats.org/officeDocument/2006/relationships/hyperlink" Target="https://isibali.ac.id/jenis-jenis-kendang-bali/" TargetMode="External"/><Relationship Id="rId4" Type="http://schemas.openxmlformats.org/officeDocument/2006/relationships/webSettings" Target="webSettings.xml"/><Relationship Id="rId9" Type="http://schemas.openxmlformats.org/officeDocument/2006/relationships/hyperlink" Target="https://www.gramedia.com/literasi/alat-musik-kendang/" TargetMode="External"/><Relationship Id="rId14" Type="http://schemas.openxmlformats.org/officeDocument/2006/relationships/hyperlink" Target="https://jurnal.isbi.ac.id/index.php/Prosiding/article/download/4443/2259/11086"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332</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2026-06-11T05:58:00Z</dcterms:created>
  <dcterms:modified xsi:type="dcterms:W3CDTF">2026-06-11T06:02:00Z</dcterms:modified>
</cp:coreProperties>
</file>