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4E79"/>
          <w:sz w:val="44"/>
          <w:szCs w:val="44"/>
        </w:rPr>
        <w:t xml:space="preserve">Single-cell RNA-seq and Type 2 Diabetes</w:t>
      </w:r>
    </w:p>
    <w:p>
      <w:pPr>
        <w:spacing w:after="240"/>
      </w:pPr>
      <w:r>
        <w:rPr>
          <w:rFonts w:ascii="Arial" w:cs="Arial" w:eastAsia="Arial" w:hAnsi="Arial"/>
          <w:color w:val="2E75B6"/>
          <w:sz w:val="28"/>
          <w:szCs w:val="28"/>
        </w:rPr>
        <w:t xml:space="preserve">The key ideas explained in simple terms</w:t>
      </w:r>
    </w:p>
    <w:p>
      <w:pPr>
        <w:pBdr>
          <w:left w:val="single" w:color="C55A11" w:sz="24" w:space="10"/>
        </w:pBdr>
        <w:shd w:fill="FBEFE6" w:val="clear"/>
        <w:spacing w:after="160" w:before="120" w:line="300"/>
        <w:ind w:left="240"/>
      </w:pPr>
      <w:r>
        <w:rPr>
          <w:rFonts w:ascii="Arial" w:cs="Arial" w:eastAsia="Arial" w:hAnsi="Arial"/>
          <w:b/>
          <w:bCs/>
          <w:sz w:val="22"/>
          <w:szCs w:val="22"/>
        </w:rPr>
        <w:t xml:space="preserve">One-sentence summary:</w:t>
      </w:r>
      <w:r>
        <w:rPr>
          <w:rFonts w:ascii="Arial" w:cs="Arial" w:eastAsia="Arial" w:hAnsi="Arial"/>
          <w:sz w:val="22"/>
          <w:szCs w:val="22"/>
        </w:rPr>
        <w:t xml:space="preserve"> Good single-cell analysis is less about having millions of cells or the newest software, and more about having enough independent donors and using statistics that respect the fact that cells come from people.</w:t>
      </w:r>
    </w:p>
    <w:p>
      <w:pPr>
        <w:pStyle w:val="Heading1"/>
        <w:spacing w:after="140" w:before="360"/>
      </w:pPr>
      <w:r>
        <w:rPr>
          <w:rFonts w:ascii="Arial" w:cs="Arial" w:eastAsia="Arial" w:hAnsi="Arial"/>
          <w:b/>
          <w:bCs/>
          <w:color w:val="1F4E79"/>
          <w:sz w:val="32"/>
          <w:szCs w:val="32"/>
        </w:rPr>
        <w:t xml:space="preserve">The big picture</w:t>
      </w:r>
    </w:p>
    <w:p>
      <w:pPr>
        <w:spacing w:after="120" w:line="300"/>
      </w:pPr>
      <w:r>
        <w:rPr>
          <w:rFonts w:ascii="Arial" w:cs="Arial" w:eastAsia="Arial" w:hAnsi="Arial"/>
          <w:sz w:val="22"/>
          <w:szCs w:val="22"/>
        </w:rPr>
        <w:t xml:space="preserve">You are trying to answer one question: </w:t>
      </w:r>
      <w:r>
        <w:rPr>
          <w:rFonts w:ascii="Arial" w:cs="Arial" w:eastAsia="Arial" w:hAnsi="Arial"/>
          <w:b/>
          <w:bCs/>
          <w:sz w:val="22"/>
          <w:szCs w:val="22"/>
        </w:rPr>
        <w:t xml:space="preserve">how can we reliably compare gene expression between people with type 2 diabetes (T2D) and non-diabetic people using single-cell RNA-seq data?</w:t>
      </w:r>
    </w:p>
    <w:p>
      <w:pPr>
        <w:spacing w:after="120" w:line="300"/>
      </w:pPr>
      <w:r>
        <w:rPr>
          <w:rFonts w:ascii="Arial" w:cs="Arial" w:eastAsia="Arial" w:hAnsi="Arial"/>
          <w:sz w:val="22"/>
          <w:szCs w:val="22"/>
        </w:rPr>
        <w:t xml:space="preserve">The biggest problem is that thousands of cells come from only a small number of people. For example, 20 donors with 2,000 cells each gives 40,000 cells. It looks like 40,000 samples, but statistically you have 20 independent biological samples, because cells from the same person are related.</w:t>
      </w:r>
    </w:p>
    <w:p>
      <w:pPr>
        <w:pStyle w:val="Heading1"/>
        <w:spacing w:after="140" w:before="360"/>
      </w:pPr>
      <w:r>
        <w:rPr>
          <w:rFonts w:ascii="Arial" w:cs="Arial" w:eastAsia="Arial" w:hAnsi="Arial"/>
          <w:b/>
          <w:bCs/>
          <w:color w:val="1F4E79"/>
          <w:sz w:val="32"/>
          <w:szCs w:val="32"/>
        </w:rPr>
        <w:t xml:space="preserve">1. The most important idea: donor is not the same as cell</w:t>
      </w:r>
    </w:p>
    <w:p>
      <w:pPr>
        <w:spacing w:after="120" w:line="300"/>
      </w:pPr>
      <w:r>
        <w:rPr>
          <w:rFonts w:ascii="Arial" w:cs="Arial" w:eastAsia="Arial" w:hAnsi="Arial"/>
          <w:sz w:val="22"/>
          <w:szCs w:val="22"/>
        </w:rPr>
        <w:t xml:space="preserve">Imagine 10 diabetic people and 10 non-diabetic people, each giving 2,000 beta cells. That is 20 donors × 2,000 cells = 40,000 cells. You should </w:t>
      </w:r>
      <w:r>
        <w:rPr>
          <w:rFonts w:ascii="Arial" w:cs="Arial" w:eastAsia="Arial" w:hAnsi="Arial"/>
          <w:b/>
          <w:bCs/>
          <w:sz w:val="22"/>
          <w:szCs w:val="22"/>
        </w:rPr>
        <w:t xml:space="preserve">not</w:t>
      </w:r>
      <w:r>
        <w:rPr>
          <w:rFonts w:ascii="Arial" w:cs="Arial" w:eastAsia="Arial" w:hAnsi="Arial"/>
          <w:sz w:val="22"/>
          <w:szCs w:val="22"/>
        </w:rPr>
        <w:t xml:space="preserve"> say "I have 40,000 independent observations." You should say "I have 20 independent donors, each containing many cells."</w:t>
      </w:r>
    </w:p>
    <w:p>
      <w:pPr>
        <w:spacing w:after="120" w:line="300"/>
      </w:pPr>
      <w:r>
        <w:rPr>
          <w:rFonts w:ascii="Arial" w:cs="Arial" w:eastAsia="Arial" w:hAnsi="Arial"/>
          <w:sz w:val="22"/>
          <w:szCs w:val="22"/>
        </w:rPr>
        <w:t xml:space="preserve">Cells from the same person share genetics, age, biological environment, sample preparation, technical effects and other donor-specific features, so the cells are correlated. Treating them as independent is called </w:t>
      </w:r>
      <w:r>
        <w:rPr>
          <w:rFonts w:ascii="Arial" w:cs="Arial" w:eastAsia="Arial" w:hAnsi="Arial"/>
          <w:b/>
          <w:bCs/>
          <w:sz w:val="22"/>
          <w:szCs w:val="22"/>
        </w:rPr>
        <w:t xml:space="preserve">pseudoreplication</w:t>
      </w:r>
      <w:r>
        <w:rPr>
          <w:rFonts w:ascii="Arial" w:cs="Arial" w:eastAsia="Arial" w:hAnsi="Arial"/>
          <w:sz w:val="22"/>
          <w:szCs w:val="22"/>
        </w:rPr>
        <w:t xml:space="preserve">.</w:t>
      </w:r>
    </w:p>
    <w:p>
      <w:pPr>
        <w:pBdr>
          <w:left w:val="single" w:color="C55A11" w:sz="24" w:space="10"/>
        </w:pBdr>
        <w:shd w:fill="FBEFE6" w:val="clear"/>
        <w:spacing w:after="160" w:before="120" w:line="300"/>
        <w:ind w:left="240"/>
      </w:pPr>
      <w:r>
        <w:rPr>
          <w:rFonts w:ascii="Arial" w:cs="Arial" w:eastAsia="Arial" w:hAnsi="Arial"/>
          <w:b/>
          <w:bCs/>
          <w:sz w:val="22"/>
          <w:szCs w:val="22"/>
        </w:rPr>
        <w:t xml:space="preserve">Analogy:</w:t>
      </w:r>
      <w:r>
        <w:rPr>
          <w:rFonts w:ascii="Arial" w:cs="Arial" w:eastAsia="Arial" w:hAnsi="Arial"/>
          <w:sz w:val="22"/>
          <w:szCs w:val="22"/>
        </w:rPr>
        <w:t xml:space="preserve"> asking 2,000 students from one school whether they like coffee. You cannot treat them as independent evidence about the whole country, because they all come from the same school. In the same way, 2,000 cells from one donor are not 2,000 independent replicates.</w:t>
      </w:r>
    </w:p>
    <w:p>
      <w:pPr>
        <w:pStyle w:val="Heading1"/>
        <w:spacing w:after="140" w:before="360"/>
      </w:pPr>
      <w:r>
        <w:rPr>
          <w:rFonts w:ascii="Arial" w:cs="Arial" w:eastAsia="Arial" w:hAnsi="Arial"/>
          <w:b/>
          <w:bCs/>
          <w:color w:val="1F4E79"/>
          <w:sz w:val="32"/>
          <w:szCs w:val="32"/>
        </w:rPr>
        <w:t xml:space="preserve">2. Why pseudobulk is important</w:t>
      </w:r>
    </w:p>
    <w:p>
      <w:pPr>
        <w:spacing w:after="120" w:line="300"/>
      </w:pPr>
      <w:r>
        <w:rPr>
          <w:rFonts w:ascii="Arial" w:cs="Arial" w:eastAsia="Arial" w:hAnsi="Arial"/>
          <w:sz w:val="22"/>
          <w:szCs w:val="22"/>
        </w:rPr>
        <w:t xml:space="preserve">Pseudobulk is probably the single most important method to understand. Instead of analysing every cell on its own, you:</w:t>
      </w:r>
    </w:p>
    <w:p>
      <w:pPr>
        <w:pStyle w:val="ListParagraph"/>
        <w:numPr>
          <w:ilvl w:val="0"/>
          <w:numId w:val="2"/>
        </w:numPr>
        <w:spacing w:after="80" w:line="290"/>
      </w:pPr>
      <w:r>
        <w:rPr>
          <w:rFonts w:ascii="Arial" w:cs="Arial" w:eastAsia="Arial" w:hAnsi="Arial"/>
          <w:sz w:val="22"/>
          <w:szCs w:val="22"/>
        </w:rPr>
        <w:t xml:space="preserve">Choose a cell type, for example beta cells.</w:t>
      </w:r>
    </w:p>
    <w:p>
      <w:pPr>
        <w:pStyle w:val="ListParagraph"/>
        <w:numPr>
          <w:ilvl w:val="0"/>
          <w:numId w:val="2"/>
        </w:numPr>
        <w:spacing w:after="80" w:line="290"/>
      </w:pPr>
      <w:r>
        <w:rPr>
          <w:rFonts w:ascii="Arial" w:cs="Arial" w:eastAsia="Arial" w:hAnsi="Arial"/>
          <w:sz w:val="22"/>
          <w:szCs w:val="22"/>
        </w:rPr>
        <w:t xml:space="preserve">Take all beta cells from one donor.</w:t>
      </w:r>
    </w:p>
    <w:p>
      <w:pPr>
        <w:pStyle w:val="ListParagraph"/>
        <w:numPr>
          <w:ilvl w:val="0"/>
          <w:numId w:val="2"/>
        </w:numPr>
        <w:spacing w:after="80" w:line="290"/>
      </w:pPr>
      <w:r>
        <w:rPr>
          <w:rFonts w:ascii="Arial" w:cs="Arial" w:eastAsia="Arial" w:hAnsi="Arial"/>
          <w:sz w:val="22"/>
          <w:szCs w:val="22"/>
        </w:rPr>
        <w:t xml:space="preserve">Add their raw gene counts together. That donor now becomes one observation.</w:t>
      </w:r>
    </w:p>
    <w:p>
      <w:pPr>
        <w:pStyle w:val="ListParagraph"/>
        <w:numPr>
          <w:ilvl w:val="0"/>
          <w:numId w:val="2"/>
        </w:numPr>
        <w:spacing w:after="80" w:line="290"/>
      </w:pPr>
      <w:r>
        <w:rPr>
          <w:rFonts w:ascii="Arial" w:cs="Arial" w:eastAsia="Arial" w:hAnsi="Arial"/>
          <w:sz w:val="22"/>
          <w:szCs w:val="22"/>
        </w:rPr>
        <w:t xml:space="preserve">Repeat for every donor.</w:t>
      </w:r>
    </w:p>
    <w:p>
      <w:pPr>
        <w:spacing w:after="120" w:line="300"/>
      </w:pPr>
      <w:r>
        <w:rPr>
          <w:rFonts w:ascii="Arial" w:cs="Arial" w:eastAsia="Arial" w:hAnsi="Arial"/>
          <w:sz w:val="22"/>
          <w:szCs w:val="22"/>
        </w:rPr>
        <w:t xml:space="preserve">So instead of 40,000 cells going into a statistical test, 20 donors go in. Here is what one donor looks like after adding up (the numbers are an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Gene</w:t>
            </w:r>
          </w:p>
        </w:tc>
        <w:tc>
          <w:tcPr>
            <w:tcW w:type="dxa" w:w="636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Donor 1 beta cells (example counts)</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INS</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50,000</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IAPP</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20,000</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MAFA</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1,500</w:t>
            </w:r>
          </w:p>
        </w:tc>
      </w:tr>
    </w:tbl>
    <w:p>
      <w:pPr>
        <w:spacing w:after="120"/>
      </w:pPr>
    </w:p>
    <w:p>
      <w:pPr>
        <w:pStyle w:val="Heading1"/>
        <w:spacing w:after="140" w:before="360"/>
      </w:pPr>
      <w:r>
        <w:rPr>
          <w:rFonts w:ascii="Arial" w:cs="Arial" w:eastAsia="Arial" w:hAnsi="Arial"/>
          <w:b/>
          <w:bCs/>
          <w:color w:val="1F4E79"/>
          <w:sz w:val="32"/>
          <w:szCs w:val="32"/>
        </w:rPr>
        <w:t xml:space="preserve">3. Why not use a cell-level test?</w:t>
      </w:r>
    </w:p>
    <w:p>
      <w:pPr>
        <w:spacing w:after="120" w:line="300"/>
      </w:pPr>
      <w:r>
        <w:rPr>
          <w:rFonts w:ascii="Arial" w:cs="Arial" w:eastAsia="Arial" w:hAnsi="Arial"/>
          <w:sz w:val="22"/>
          <w:szCs w:val="22"/>
        </w:rPr>
        <w:t xml:space="preserve">Cell-level tests can produce too many false positives. A benchmark described in the source document found that naive cell-level approaches gave </w:t>
      </w:r>
      <w:r>
        <w:rPr>
          <w:rFonts w:ascii="Arial" w:cs="Arial" w:eastAsia="Arial" w:hAnsi="Arial"/>
          <w:b/>
          <w:bCs/>
          <w:sz w:val="22"/>
          <w:szCs w:val="22"/>
        </w:rPr>
        <w:t xml:space="preserve">up to 40%</w:t>
      </w:r>
      <w:r>
        <w:rPr>
          <w:rFonts w:ascii="Arial" w:cs="Arial" w:eastAsia="Arial" w:hAnsi="Arial"/>
          <w:sz w:val="22"/>
          <w:szCs w:val="22"/>
        </w:rPr>
        <w:t xml:space="preserve"> false positives (that is the maximum reported, not the average), while pseudobulk and mixed models stayed close to the expected 5%.</w:t>
      </w:r>
    </w:p>
    <w:p>
      <w:pPr>
        <w:spacing w:after="120" w:line="300"/>
      </w:pPr>
      <w:r>
        <w:rPr>
          <w:rFonts w:ascii="Arial" w:cs="Arial" w:eastAsia="Arial" w:hAnsi="Arial"/>
          <w:sz w:val="22"/>
          <w:szCs w:val="22"/>
        </w:rPr>
        <w:t xml:space="preserve">In simple terms: if there is truly no difference between T2D and controls, a good method should flag about 5% of genes at p &lt; 0.05. A bad cell-level approach might say "40% of genes are significant!" That looks exciting, but it is mostly statistical error.</w:t>
      </w:r>
    </w:p>
    <w:p>
      <w:pPr>
        <w:pStyle w:val="Heading1"/>
        <w:spacing w:after="140" w:before="360"/>
      </w:pPr>
      <w:r>
        <w:rPr>
          <w:rFonts w:ascii="Arial" w:cs="Arial" w:eastAsia="Arial" w:hAnsi="Arial"/>
          <w:b/>
          <w:bCs/>
          <w:color w:val="1F4E79"/>
          <w:sz w:val="32"/>
          <w:szCs w:val="32"/>
        </w:rPr>
        <w:t xml:space="preserve">4. Why more cells does not solve everything</w:t>
      </w:r>
    </w:p>
    <w:p>
      <w:pPr>
        <w:spacing w:after="120" w:line="300"/>
      </w:pPr>
      <w:r>
        <w:rPr>
          <w:rFonts w:ascii="Arial" w:cs="Arial" w:eastAsia="Arial" w:hAnsi="Arial"/>
          <w:sz w:val="22"/>
          <w:szCs w:val="22"/>
        </w:rPr>
        <w:t xml:space="preserve">Study A has 10 donors with 200 cells each. Study B has 10 donors with 10,000 cells each. Study B has far more cells, but both still have 10 independent donors per group.</w:t>
      </w:r>
    </w:p>
    <w:p>
      <w:pPr>
        <w:pBdr>
          <w:left w:val="single" w:color="C55A11" w:sz="24" w:space="10"/>
        </w:pBdr>
        <w:shd w:fill="FBEFE6" w:val="clear"/>
        <w:spacing w:after="160" w:before="120" w:line="300"/>
        <w:ind w:left="240"/>
      </w:pPr>
      <w:r>
        <w:rPr>
          <w:rFonts w:ascii="Arial" w:cs="Arial" w:eastAsia="Arial" w:hAnsi="Arial"/>
          <w:b/>
          <w:bCs/>
          <w:sz w:val="22"/>
          <w:szCs w:val="22"/>
        </w:rPr>
        <w:t xml:space="preserve">More cells</w:t>
      </w:r>
      <w:r>
        <w:rPr>
          <w:rFonts w:ascii="Arial" w:cs="Arial" w:eastAsia="Arial" w:hAnsi="Arial"/>
          <w:sz w:val="22"/>
          <w:szCs w:val="22"/>
        </w:rPr>
        <w:t xml:space="preserve"> improve precision within a donor. </w:t>
      </w:r>
      <w:r>
        <w:rPr>
          <w:rFonts w:ascii="Arial" w:cs="Arial" w:eastAsia="Arial" w:hAnsi="Arial"/>
          <w:b/>
          <w:bCs/>
          <w:sz w:val="22"/>
          <w:szCs w:val="22"/>
        </w:rPr>
        <w:t xml:space="preserve">More donors</w:t>
      </w:r>
      <w:r>
        <w:rPr>
          <w:rFonts w:ascii="Arial" w:cs="Arial" w:eastAsia="Arial" w:hAnsi="Arial"/>
          <w:sz w:val="22"/>
          <w:szCs w:val="22"/>
        </w:rPr>
        <w:t xml:space="preserve"> improve statistical power between people. Donor number ultimately sets the ceiling for what you can conclude.</w:t>
      </w:r>
    </w:p>
    <w:p>
      <w:pPr>
        <w:pStyle w:val="Heading1"/>
        <w:spacing w:after="140" w:before="360"/>
      </w:pPr>
      <w:r>
        <w:rPr>
          <w:rFonts w:ascii="Arial" w:cs="Arial" w:eastAsia="Arial" w:hAnsi="Arial"/>
          <w:b/>
          <w:bCs/>
          <w:color w:val="1F4E79"/>
          <w:sz w:val="32"/>
          <w:szCs w:val="32"/>
        </w:rPr>
        <w:t xml:space="preserve">5. DESeq2, edgeR and limma</w:t>
      </w:r>
    </w:p>
    <w:p>
      <w:pPr>
        <w:spacing w:after="120" w:line="300"/>
      </w:pPr>
      <w:r>
        <w:rPr>
          <w:rFonts w:ascii="Arial" w:cs="Arial" w:eastAsia="Arial" w:hAnsi="Arial"/>
          <w:sz w:val="22"/>
          <w:szCs w:val="22"/>
        </w:rPr>
        <w:t xml:space="preserve">Once you have pseudobulk data, you can use established statistical methods. The workflow is: donor → beta cells → sum counts → DESeq2 (or edgeR or limma). The model then asks: after accounting for variation between donors and other variables, is this gene expressed differently in T2D versus controls? The model can include T2D status, age, sex, BMI, sequencing chemistry and study centre.</w:t>
      </w:r>
    </w:p>
    <w:p>
      <w:pPr>
        <w:pStyle w:val="Heading1"/>
        <w:spacing w:after="140" w:before="360"/>
      </w:pPr>
      <w:r>
        <w:rPr>
          <w:rFonts w:ascii="Arial" w:cs="Arial" w:eastAsia="Arial" w:hAnsi="Arial"/>
          <w:b/>
          <w:bCs/>
          <w:color w:val="1F4E79"/>
          <w:sz w:val="32"/>
          <w:szCs w:val="32"/>
        </w:rPr>
        <w:t xml:space="preserve">6. What is a covariate?</w:t>
      </w:r>
    </w:p>
    <w:p>
      <w:pPr>
        <w:spacing w:after="120" w:line="300"/>
      </w:pPr>
      <w:r>
        <w:rPr>
          <w:rFonts w:ascii="Arial" w:cs="Arial" w:eastAsia="Arial" w:hAnsi="Arial"/>
          <w:sz w:val="22"/>
          <w:szCs w:val="22"/>
        </w:rPr>
        <w:t xml:space="preserve">A covariate is another variable that might influence your result. Suppose Gene X is higher in T2D, but your T2D participants are also much heavier than your controls. Maybe Gene X is responding to BMI, not diabetes. So you include disease, BMI, age, sex, batch and centre in the model. The question becomes: is Gene X associated with T2D after accounting for BMI, age, sex and technical factors? That is a much stronger claim.</w:t>
      </w:r>
    </w:p>
    <w:p>
      <w:pPr>
        <w:pStyle w:val="Heading1"/>
        <w:spacing w:after="140" w:before="360"/>
      </w:pPr>
      <w:r>
        <w:rPr>
          <w:rFonts w:ascii="Arial" w:cs="Arial" w:eastAsia="Arial" w:hAnsi="Arial"/>
          <w:b/>
          <w:bCs/>
          <w:color w:val="1F4E79"/>
          <w:sz w:val="32"/>
          <w:szCs w:val="32"/>
        </w:rPr>
        <w:t xml:space="preserve">7. Batch effects</w:t>
      </w:r>
    </w:p>
    <w:p>
      <w:pPr>
        <w:spacing w:after="120" w:line="300"/>
      </w:pPr>
      <w:r>
        <w:rPr>
          <w:rFonts w:ascii="Arial" w:cs="Arial" w:eastAsia="Arial" w:hAnsi="Arial"/>
          <w:sz w:val="22"/>
          <w:szCs w:val="22"/>
        </w:rPr>
        <w:t xml:space="preserve">A batch effect is a technical difference, not a biological one. For example, T2D samples processed with chemistry V3 and controls with chemistry V2. You find "T2D cells look different!", but the difference may be the chemistry. What you want is disease separated from batch.</w:t>
      </w:r>
    </w:p>
    <w:p>
      <w:pPr>
        <w:pBdr>
          <w:left w:val="single" w:color="C55A11" w:sz="24" w:space="10"/>
        </w:pBdr>
        <w:shd w:fill="FBEFE6" w:val="clear"/>
        <w:spacing w:after="160" w:before="120" w:line="300"/>
        <w:ind w:left="240"/>
      </w:pPr>
      <w:r>
        <w:rPr>
          <w:rFonts w:ascii="Arial" w:cs="Arial" w:eastAsia="Arial" w:hAnsi="Arial"/>
          <w:sz w:val="22"/>
          <w:szCs w:val="22"/>
        </w:rPr>
        <w:t xml:space="preserve">The document's advice: put batch into the statistical model. Do not test batch-corrected expression values.</w:t>
      </w:r>
    </w:p>
    <w:p>
      <w:pPr>
        <w:pStyle w:val="Heading1"/>
        <w:spacing w:after="140" w:before="360"/>
      </w:pPr>
      <w:r>
        <w:rPr>
          <w:rFonts w:ascii="Arial" w:cs="Arial" w:eastAsia="Arial" w:hAnsi="Arial"/>
          <w:b/>
          <w:bCs/>
          <w:color w:val="1F4E79"/>
          <w:sz w:val="32"/>
          <w:szCs w:val="32"/>
        </w:rPr>
        <w:t xml:space="preserve">8. The dangerous case: complete confounding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Group</w:t>
            </w:r>
          </w:p>
        </w:tc>
        <w:tc>
          <w:tcPr>
            <w:tcW w:type="dxa" w:w="468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Sequencing chemistry</w:t>
            </w:r>
          </w:p>
        </w:tc>
      </w:tr>
      <w:tr>
        <w:tc>
          <w:tcPr>
            <w:tcW w:type="dxa" w:w="468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T2D</w:t>
            </w:r>
          </w:p>
        </w:tc>
        <w:tc>
          <w:tcPr>
            <w:tcW w:type="dxa" w:w="468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V3</w:t>
            </w:r>
          </w:p>
        </w:tc>
      </w:tr>
      <w:tr>
        <w:tc>
          <w:tcPr>
            <w:tcW w:type="dxa" w:w="468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Control</w:t>
            </w:r>
          </w:p>
        </w:tc>
        <w:tc>
          <w:tcPr>
            <w:tcW w:type="dxa" w:w="468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V2</w:t>
            </w:r>
          </w:p>
        </w:tc>
      </w:tr>
    </w:tbl>
    <w:p>
      <w:pPr>
        <w:spacing w:after="120"/>
      </w:pPr>
    </w:p>
    <w:p>
      <w:pPr>
        <w:spacing w:after="120" w:line="300"/>
      </w:pPr>
      <w:r>
        <w:rPr>
          <w:rFonts w:ascii="Arial" w:cs="Arial" w:eastAsia="Arial" w:hAnsi="Arial"/>
          <w:sz w:val="22"/>
          <w:szCs w:val="22"/>
        </w:rPr>
        <w:t xml:space="preserve">Every T2D sample is V3 and every control is V2. If you see a difference, you cannot know whether it is T2D biology or V3 chemistry. No statistical trick can fully solve this, which is why good experimental design is more important than fancy software.</w:t>
      </w:r>
    </w:p>
    <w:p>
      <w:pPr>
        <w:pStyle w:val="Heading1"/>
        <w:spacing w:after="140" w:before="360"/>
      </w:pPr>
      <w:r>
        <w:rPr>
          <w:rFonts w:ascii="Arial" w:cs="Arial" w:eastAsia="Arial" w:hAnsi="Arial"/>
          <w:b/>
          <w:bCs/>
          <w:color w:val="1F4E79"/>
          <w:sz w:val="32"/>
          <w:szCs w:val="32"/>
        </w:rPr>
        <w:t xml:space="preserve">9. What Harmony and scVI do</w:t>
      </w:r>
    </w:p>
    <w:p>
      <w:pPr>
        <w:spacing w:after="120" w:line="300"/>
      </w:pPr>
      <w:r>
        <w:rPr>
          <w:rFonts w:ascii="Arial" w:cs="Arial" w:eastAsia="Arial" w:hAnsi="Arial"/>
          <w:sz w:val="22"/>
          <w:szCs w:val="22"/>
        </w:rPr>
        <w:t xml:space="preserve">Integration methods such as Harmony, scVI, MNN and LIGER try to reduce technical differences between batches so that the same biological cell types group together. Imagine blue cells from dataset 1 and red cells from dataset 2: you want the same cell types to mix, not to separate by batch.</w:t>
      </w:r>
    </w:p>
    <w:p>
      <w:pPr>
        <w:pBdr>
          <w:left w:val="single" w:color="C55A11" w:sz="24" w:space="10"/>
        </w:pBdr>
        <w:shd w:fill="FBEFE6" w:val="clear"/>
        <w:spacing w:after="160" w:before="120" w:line="300"/>
        <w:ind w:left="240"/>
      </w:pPr>
      <w:r>
        <w:rPr>
          <w:rFonts w:ascii="Arial" w:cs="Arial" w:eastAsia="Arial" w:hAnsi="Arial"/>
          <w:sz w:val="22"/>
          <w:szCs w:val="22"/>
        </w:rPr>
        <w:t xml:space="preserve">Integration is useful for </w:t>
      </w:r>
      <w:r>
        <w:rPr>
          <w:rFonts w:ascii="Arial" w:cs="Arial" w:eastAsia="Arial" w:hAnsi="Arial"/>
          <w:b/>
          <w:bCs/>
          <w:sz w:val="22"/>
          <w:szCs w:val="22"/>
        </w:rPr>
        <w:t xml:space="preserve">visualisation and clustering</w:t>
      </w:r>
      <w:r>
        <w:rPr>
          <w:rFonts w:ascii="Arial" w:cs="Arial" w:eastAsia="Arial" w:hAnsi="Arial"/>
          <w:sz w:val="22"/>
          <w:szCs w:val="22"/>
        </w:rPr>
        <w:t xml:space="preserve">. It is not automatically the right data for differential expression. For DE the safer approach is: raw counts + a statistical model + batch covariates, not batch-corrected values.</w:t>
      </w:r>
    </w:p>
    <w:p>
      <w:pPr>
        <w:pStyle w:val="Heading1"/>
        <w:spacing w:after="140" w:before="360"/>
      </w:pPr>
      <w:r>
        <w:rPr>
          <w:rFonts w:ascii="Arial" w:cs="Arial" w:eastAsia="Arial" w:hAnsi="Arial"/>
          <w:b/>
          <w:bCs/>
          <w:color w:val="1F4E79"/>
          <w:sz w:val="32"/>
          <w:szCs w:val="32"/>
        </w:rPr>
        <w:t xml:space="preserve">10. What UMAP is</w:t>
      </w:r>
    </w:p>
    <w:p>
      <w:pPr>
        <w:spacing w:after="120" w:line="300"/>
      </w:pPr>
      <w:r>
        <w:rPr>
          <w:rFonts w:ascii="Arial" w:cs="Arial" w:eastAsia="Arial" w:hAnsi="Arial"/>
          <w:sz w:val="22"/>
          <w:szCs w:val="22"/>
        </w:rPr>
        <w:t xml:space="preserve">UMAP is a map of cells. It helps you see whether cells form groups, for example beta cells in one cloud and alpha cells in another. But UMAP is not a statistical test. You should not say "these cells are twice as far apart, so they are twice as different." UMAP distances and cluster sizes should not be treated as quantities.</w:t>
      </w:r>
    </w:p>
    <w:p>
      <w:pPr>
        <w:pStyle w:val="Heading1"/>
        <w:spacing w:after="140" w:before="360"/>
      </w:pPr>
      <w:r>
        <w:rPr>
          <w:rFonts w:ascii="Arial" w:cs="Arial" w:eastAsia="Arial" w:hAnsi="Arial"/>
          <w:b/>
          <w:bCs/>
          <w:color w:val="1F4E79"/>
          <w:sz w:val="32"/>
          <w:szCs w:val="32"/>
        </w:rPr>
        <w:t xml:space="preserve">11. Clustering and annotation</w:t>
      </w:r>
    </w:p>
    <w:p>
      <w:pPr>
        <w:spacing w:after="120" w:line="300"/>
      </w:pPr>
      <w:r>
        <w:rPr>
          <w:rFonts w:ascii="Arial" w:cs="Arial" w:eastAsia="Arial" w:hAnsi="Arial"/>
          <w:sz w:val="22"/>
          <w:szCs w:val="22"/>
        </w:rPr>
        <w:t xml:space="preserve">After PCA and building a cell-to-cell graph, you cluster the cells (for example cluster 1 = beta cells, cluster 2 = alpha cells, cluster 3 = delta cells, cluster 4 = macrophages). You then name each cluster using known marker genes: beta cells use INS and IAPP; alpha cells use GCG.</w:t>
      </w:r>
    </w:p>
    <w:p>
      <w:pPr>
        <w:spacing w:after="120" w:line="300"/>
      </w:pPr>
      <w:r>
        <w:rPr>
          <w:rFonts w:ascii="Arial" w:cs="Arial" w:eastAsia="Arial" w:hAnsi="Arial"/>
          <w:sz w:val="22"/>
          <w:szCs w:val="22"/>
        </w:rPr>
        <w:t xml:space="preserve">Do not rely only on an automated annotation tool. The recommended route is: automated annotation → marker checking → independent verification, because automated tools can make mistakes.</w:t>
      </w:r>
    </w:p>
    <w:p>
      <w:pPr>
        <w:pStyle w:val="Heading1"/>
        <w:spacing w:after="140" w:before="360"/>
      </w:pPr>
      <w:r>
        <w:rPr>
          <w:rFonts w:ascii="Arial" w:cs="Arial" w:eastAsia="Arial" w:hAnsi="Arial"/>
          <w:b/>
          <w:bCs/>
          <w:color w:val="1F4E79"/>
          <w:sz w:val="32"/>
          <w:szCs w:val="32"/>
        </w:rPr>
        <w:t xml:space="preserve">12. What FDR is</w:t>
      </w:r>
    </w:p>
    <w:p>
      <w:pPr>
        <w:spacing w:after="120" w:line="300"/>
      </w:pPr>
      <w:r>
        <w:rPr>
          <w:rFonts w:ascii="Arial" w:cs="Arial" w:eastAsia="Arial" w:hAnsi="Arial"/>
          <w:sz w:val="22"/>
          <w:szCs w:val="22"/>
        </w:rPr>
        <w:t xml:space="preserve">If you test 15,000 genes with p &lt; 0.05, you expect about 15,000 × 0.05 = 750 false positives even if nothing interesting is happening. So you need multiple-testing correction. A common method is Benjamini-Hochberg, which controls the false discovery rate (FDR). With FDR = 0.05 you control the expected proportion of false discoveries among the genes you call significant. The Elgamal study used FDR 0.10, which is less strict.</w:t>
      </w:r>
    </w:p>
    <w:p>
      <w:pPr>
        <w:pStyle w:val="Heading1"/>
        <w:spacing w:after="140" w:before="360"/>
      </w:pPr>
      <w:r>
        <w:rPr>
          <w:rFonts w:ascii="Arial" w:cs="Arial" w:eastAsia="Arial" w:hAnsi="Arial"/>
          <w:b/>
          <w:bCs/>
          <w:color w:val="1F4E79"/>
          <w:sz w:val="32"/>
          <w:szCs w:val="32"/>
        </w:rPr>
        <w:t xml:space="preserve">13. Statistical versus biological significance</w:t>
      </w:r>
    </w:p>
    <w:p>
      <w:pPr>
        <w:spacing w:after="120" w:line="300"/>
      </w:pPr>
      <w:r>
        <w:rPr>
          <w:rFonts w:ascii="Arial" w:cs="Arial" w:eastAsia="Arial" w:hAnsi="Arial"/>
          <w:sz w:val="22"/>
          <w:szCs w:val="22"/>
        </w:rPr>
        <w:t xml:space="preserve">A gene can have p = 0.000001 but change only 1.01-fold. That is statistically significant but possibly biologically unimportant. Look at both the FDR and the effect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3860"/>
      </w:tblGrid>
      <w:tr>
        <w:trPr>
          <w:tblHeader/>
        </w:trPr>
        <w:tc>
          <w:tcPr>
            <w:tcW w:type="dxa" w:w="18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Gene</w:t>
            </w:r>
          </w:p>
        </w:tc>
        <w:tc>
          <w:tcPr>
            <w:tcW w:type="dxa" w:w="22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log2 fold change</w:t>
            </w:r>
          </w:p>
        </w:tc>
        <w:tc>
          <w:tcPr>
            <w:tcW w:type="dxa" w:w="15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FDR</w:t>
            </w:r>
          </w:p>
        </w:tc>
        <w:tc>
          <w:tcPr>
            <w:tcW w:type="dxa" w:w="386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Reading</w:t>
            </w:r>
          </w:p>
        </w:tc>
      </w:tr>
      <w:tr>
        <w:tc>
          <w:tcPr>
            <w:tcW w:type="dxa" w:w="18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Gene X</w:t>
            </w:r>
          </w:p>
        </w:tc>
        <w:tc>
          <w:tcPr>
            <w:tcW w:type="dxa" w:w="22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2.5</w:t>
            </w:r>
          </w:p>
        </w:tc>
        <w:tc>
          <w:tcPr>
            <w:tcW w:type="dxa" w:w="15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0.001</w:t>
            </w:r>
          </w:p>
        </w:tc>
        <w:tc>
          <w:tcPr>
            <w:tcW w:type="dxa" w:w="38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Large change, strong evidence</w:t>
            </w:r>
          </w:p>
        </w:tc>
      </w:tr>
      <w:tr>
        <w:tc>
          <w:tcPr>
            <w:tcW w:type="dxa" w:w="18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Gene Y</w:t>
            </w:r>
          </w:p>
        </w:tc>
        <w:tc>
          <w:tcPr>
            <w:tcW w:type="dxa" w:w="22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0.02</w:t>
            </w:r>
          </w:p>
        </w:tc>
        <w:tc>
          <w:tcPr>
            <w:tcW w:type="dxa" w:w="15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0.001</w:t>
            </w:r>
          </w:p>
        </w:tc>
        <w:tc>
          <w:tcPr>
            <w:tcW w:type="dxa" w:w="38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Tiny change, even though FDR is small</w:t>
            </w:r>
          </w:p>
        </w:tc>
      </w:tr>
    </w:tbl>
    <w:p>
      <w:pPr>
        <w:spacing w:after="120"/>
      </w:pPr>
    </w:p>
    <w:p>
      <w:pPr>
        <w:pStyle w:val="Heading1"/>
        <w:spacing w:after="140" w:before="360"/>
      </w:pPr>
      <w:r>
        <w:rPr>
          <w:rFonts w:ascii="Arial" w:cs="Arial" w:eastAsia="Arial" w:hAnsi="Arial"/>
          <w:b/>
          <w:bCs/>
          <w:color w:val="1F4E79"/>
          <w:sz w:val="32"/>
          <w:szCs w:val="32"/>
        </w:rPr>
        <w:t xml:space="preserve">14. Cell proportions are a separate problem</w:t>
      </w:r>
    </w:p>
    <w:p>
      <w:pPr>
        <w:spacing w:after="120" w:line="300"/>
      </w:pPr>
      <w:r>
        <w:rPr>
          <w:rFonts w:ascii="Arial" w:cs="Arial" w:eastAsia="Arial" w:hAnsi="Arial"/>
          <w:sz w:val="22"/>
          <w:szCs w:val="22"/>
        </w:rPr>
        <w:t xml:space="preserve">Suppose a tissue is 45% beta cells, 30% alpha cells and 25% other cells. If beta cells fall to 25%, the other percentages must rise because everything adds to 100%. That does not mean alpha cells truly increased; they may simply be a larger share because beta cells fell. This is called </w:t>
      </w:r>
      <w:r>
        <w:rPr>
          <w:rFonts w:ascii="Arial" w:cs="Arial" w:eastAsia="Arial" w:hAnsi="Arial"/>
          <w:b/>
          <w:bCs/>
          <w:sz w:val="22"/>
          <w:szCs w:val="22"/>
        </w:rPr>
        <w:t xml:space="preserve">compositional data</w:t>
      </w:r>
      <w:r>
        <w:rPr>
          <w:rFonts w:ascii="Arial" w:cs="Arial" w:eastAsia="Arial" w:hAnsi="Arial"/>
          <w:sz w:val="22"/>
          <w:szCs w:val="22"/>
        </w:rPr>
        <w:t xml:space="preserve">. The document recommends methods such as </w:t>
      </w:r>
      <w:r>
        <w:rPr>
          <w:rFonts w:ascii="Arial" w:cs="Arial" w:eastAsia="Arial" w:hAnsi="Arial"/>
          <w:b/>
          <w:bCs/>
          <w:sz w:val="22"/>
          <w:szCs w:val="22"/>
        </w:rPr>
        <w:t xml:space="preserve">scCODA</w:t>
      </w:r>
      <w:r>
        <w:rPr>
          <w:rFonts w:ascii="Arial" w:cs="Arial" w:eastAsia="Arial" w:hAnsi="Arial"/>
          <w:sz w:val="22"/>
          <w:szCs w:val="22"/>
        </w:rPr>
        <w:t xml:space="preserve"> and </w:t>
      </w:r>
      <w:r>
        <w:rPr>
          <w:rFonts w:ascii="Arial" w:cs="Arial" w:eastAsia="Arial" w:hAnsi="Arial"/>
          <w:b/>
          <w:bCs/>
          <w:sz w:val="22"/>
          <w:szCs w:val="22"/>
        </w:rPr>
        <w:t xml:space="preserve">Milo</w:t>
      </w:r>
      <w:r>
        <w:rPr>
          <w:rFonts w:ascii="Arial" w:cs="Arial" w:eastAsia="Arial" w:hAnsi="Arial"/>
          <w:sz w:val="22"/>
          <w:szCs w:val="22"/>
        </w:rPr>
        <w:t xml:space="preserve"> instead of separate tests on each percentage.</w:t>
      </w:r>
    </w:p>
    <w:p>
      <w:pPr>
        <w:pStyle w:val="Heading1"/>
        <w:spacing w:after="140" w:before="360"/>
      </w:pPr>
      <w:r>
        <w:rPr>
          <w:rFonts w:ascii="Arial" w:cs="Arial" w:eastAsia="Arial" w:hAnsi="Arial"/>
          <w:b/>
          <w:bCs/>
          <w:color w:val="1F4E79"/>
          <w:sz w:val="32"/>
          <w:szCs w:val="32"/>
        </w:rPr>
        <w:t xml:space="preserve">15. What the T2D studies found</w:t>
      </w:r>
    </w:p>
    <w:p>
      <w:pPr>
        <w:spacing w:after="120" w:line="300"/>
      </w:pPr>
      <w:r>
        <w:rPr>
          <w:rFonts w:ascii="Arial" w:cs="Arial" w:eastAsia="Arial" w:hAnsi="Arial"/>
          <w:sz w:val="22"/>
          <w:szCs w:val="22"/>
        </w:rPr>
        <w:t xml:space="preserve">The most important study discussed is Elgamal 2023. It used 46 donors in the T2D versus non-diabetic comparison and found 84 T2D-associated genes, 79 of them in beta cells. Reported changes included TSHR, SLC4A4 and TNFRSF11B going up, and mitochondrial and oxidative-phosphorylation genes going down.</w:t>
      </w:r>
    </w:p>
    <w:p>
      <w:pPr>
        <w:spacing w:after="120" w:line="300"/>
      </w:pPr>
      <w:r>
        <w:rPr>
          <w:rFonts w:ascii="Arial" w:cs="Arial" w:eastAsia="Arial" w:hAnsi="Arial"/>
          <w:sz w:val="22"/>
          <w:szCs w:val="22"/>
        </w:rPr>
        <w:t xml:space="preserve">The sensible reading is that beta cells appear to show a particularly strong transcriptional response in T2D. But you should </w:t>
      </w:r>
      <w:r>
        <w:rPr>
          <w:rFonts w:ascii="Arial" w:cs="Arial" w:eastAsia="Arial" w:hAnsi="Arial"/>
          <w:b/>
          <w:bCs/>
          <w:sz w:val="22"/>
          <w:szCs w:val="22"/>
        </w:rPr>
        <w:t xml:space="preserve">not</w:t>
      </w:r>
      <w:r>
        <w:rPr>
          <w:rFonts w:ascii="Arial" w:cs="Arial" w:eastAsia="Arial" w:hAnsi="Arial"/>
          <w:sz w:val="22"/>
          <w:szCs w:val="22"/>
        </w:rPr>
        <w:t xml:space="preserve"> say "T2D only affects beta cells", because other cell types may simply have lower statistical power.</w:t>
      </w:r>
    </w:p>
    <w:p>
      <w:pPr>
        <w:pStyle w:val="Heading1"/>
        <w:spacing w:after="140" w:before="360"/>
      </w:pPr>
      <w:r>
        <w:rPr>
          <w:rFonts w:ascii="Arial" w:cs="Arial" w:eastAsia="Arial" w:hAnsi="Arial"/>
          <w:b/>
          <w:bCs/>
          <w:color w:val="1F4E79"/>
          <w:sz w:val="32"/>
          <w:szCs w:val="32"/>
        </w:rPr>
        <w:t xml:space="preserve">16. Why different studies report different numbers of 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Study</w:t>
            </w:r>
          </w:p>
        </w:tc>
        <w:tc>
          <w:tcPr>
            <w:tcW w:type="dxa" w:w="33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Donors</w:t>
            </w:r>
          </w:p>
        </w:tc>
        <w:tc>
          <w:tcPr>
            <w:tcW w:type="dxa" w:w="306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Beta-cell T2D genes</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Lawlor 2017</w:t>
            </w:r>
          </w:p>
        </w:tc>
        <w:tc>
          <w:tcPr>
            <w:tcW w:type="dxa" w:w="33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8</w:t>
            </w:r>
          </w:p>
        </w:tc>
        <w:tc>
          <w:tcPr>
            <w:tcW w:type="dxa" w:w="30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248</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Elgamal 2023</w:t>
            </w:r>
          </w:p>
        </w:tc>
        <w:tc>
          <w:tcPr>
            <w:tcW w:type="dxa" w:w="33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46 (relevant comparison)</w:t>
            </w:r>
          </w:p>
        </w:tc>
        <w:tc>
          <w:tcPr>
            <w:tcW w:type="dxa" w:w="30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79</w:t>
            </w:r>
          </w:p>
        </w:tc>
      </w:tr>
    </w:tbl>
    <w:p>
      <w:pPr>
        <w:spacing w:after="120"/>
      </w:pPr>
    </w:p>
    <w:p>
      <w:pPr>
        <w:spacing w:after="120" w:line="300"/>
      </w:pPr>
      <w:r>
        <w:rPr>
          <w:rFonts w:ascii="Arial" w:cs="Arial" w:eastAsia="Arial" w:hAnsi="Arial"/>
          <w:sz w:val="22"/>
          <w:szCs w:val="22"/>
        </w:rPr>
        <w:t xml:space="preserve">It seems odd that more donors gave fewer genes, but that does not automatically mean one study is wrong. Possible reasons include the number of donors, sequencing technology, tissue handling, statistical methods, thresholds, covariates and pseudoreplication. The document's advice is to investigate study design and statistical handling, not to conclude immediately that one study is incorrect.</w:t>
      </w:r>
    </w:p>
    <w:p>
      <w:pPr>
        <w:pStyle w:val="Heading1"/>
        <w:spacing w:after="140" w:before="360"/>
      </w:pPr>
      <w:r>
        <w:rPr>
          <w:rFonts w:ascii="Arial" w:cs="Arial" w:eastAsia="Arial" w:hAnsi="Arial"/>
          <w:b/>
          <w:bCs/>
          <w:color w:val="1F4E79"/>
          <w:sz w:val="32"/>
          <w:szCs w:val="32"/>
        </w:rPr>
        <w:t xml:space="preserve">17. The biggest research gap</w:t>
      </w:r>
    </w:p>
    <w:p>
      <w:pPr>
        <w:spacing w:after="120" w:line="300"/>
      </w:pPr>
      <w:r>
        <w:rPr>
          <w:rFonts w:ascii="Arial" w:cs="Arial" w:eastAsia="Arial" w:hAnsi="Arial"/>
          <w:sz w:val="22"/>
          <w:szCs w:val="22"/>
        </w:rPr>
        <w:t xml:space="preserve">The strongest proposed gap is </w:t>
      </w:r>
      <w:r>
        <w:rPr>
          <w:rFonts w:ascii="Arial" w:cs="Arial" w:eastAsia="Arial" w:hAnsi="Arial"/>
          <w:b/>
          <w:bCs/>
          <w:sz w:val="22"/>
          <w:szCs w:val="22"/>
        </w:rPr>
        <w:t xml:space="preserve">independent donor-level replication of T2D-associated islet and beta-cell signatures.</w:t>
      </w:r>
      <w:r>
        <w:rPr>
          <w:rFonts w:ascii="Arial" w:cs="Arial" w:eastAsia="Arial" w:hAnsi="Arial"/>
          <w:sz w:val="22"/>
          <w:szCs w:val="22"/>
        </w:rPr>
        <w:t xml:space="preserve"> In practice:</w:t>
      </w:r>
    </w:p>
    <w:p>
      <w:pPr>
        <w:pStyle w:val="ListParagraph"/>
        <w:numPr>
          <w:ilvl w:val="0"/>
          <w:numId w:val="2"/>
        </w:numPr>
        <w:spacing w:after="80" w:line="290"/>
      </w:pPr>
      <w:r>
        <w:rPr>
          <w:rFonts w:ascii="Arial" w:cs="Arial" w:eastAsia="Arial" w:hAnsi="Arial"/>
          <w:sz w:val="22"/>
          <w:szCs w:val="22"/>
        </w:rPr>
        <w:t xml:space="preserve">Find genes associated with T2D.</w:t>
      </w:r>
    </w:p>
    <w:p>
      <w:pPr>
        <w:pStyle w:val="ListParagraph"/>
        <w:numPr>
          <w:ilvl w:val="0"/>
          <w:numId w:val="2"/>
        </w:numPr>
        <w:spacing w:after="80" w:line="290"/>
      </w:pPr>
      <w:r>
        <w:rPr>
          <w:rFonts w:ascii="Arial" w:cs="Arial" w:eastAsia="Arial" w:hAnsi="Arial"/>
          <w:sz w:val="22"/>
          <w:szCs w:val="22"/>
        </w:rPr>
        <w:t xml:space="preserve">Make sure donor-level statistics were used.</w:t>
      </w:r>
    </w:p>
    <w:p>
      <w:pPr>
        <w:pStyle w:val="ListParagraph"/>
        <w:numPr>
          <w:ilvl w:val="0"/>
          <w:numId w:val="2"/>
        </w:numPr>
        <w:spacing w:after="80" w:line="290"/>
      </w:pPr>
      <w:r>
        <w:rPr>
          <w:rFonts w:ascii="Arial" w:cs="Arial" w:eastAsia="Arial" w:hAnsi="Arial"/>
          <w:sz w:val="22"/>
          <w:szCs w:val="22"/>
        </w:rPr>
        <w:t xml:space="preserve">Check whether the genes appear in another independent cohort.</w:t>
      </w:r>
    </w:p>
    <w:p>
      <w:pPr>
        <w:pStyle w:val="ListParagraph"/>
        <w:numPr>
          <w:ilvl w:val="0"/>
          <w:numId w:val="2"/>
        </w:numPr>
        <w:spacing w:after="80" w:line="290"/>
      </w:pPr>
      <w:r>
        <w:rPr>
          <w:rFonts w:ascii="Arial" w:cs="Arial" w:eastAsia="Arial" w:hAnsi="Arial"/>
          <w:sz w:val="22"/>
          <w:szCs w:val="22"/>
        </w:rPr>
        <w:t xml:space="preserve">Control for BMI and other confounders.</w:t>
      </w:r>
    </w:p>
    <w:p>
      <w:pPr>
        <w:pStyle w:val="ListParagraph"/>
        <w:numPr>
          <w:ilvl w:val="0"/>
          <w:numId w:val="2"/>
        </w:numPr>
        <w:spacing w:after="80" w:line="290"/>
      </w:pPr>
      <w:r>
        <w:rPr>
          <w:rFonts w:ascii="Arial" w:cs="Arial" w:eastAsia="Arial" w:hAnsi="Arial"/>
          <w:sz w:val="22"/>
          <w:szCs w:val="22"/>
        </w:rPr>
        <w:t xml:space="preserve">Check that your pipeline does not produce false positives.</w:t>
      </w:r>
    </w:p>
    <w:p>
      <w:pPr>
        <w:pStyle w:val="ListParagraph"/>
        <w:numPr>
          <w:ilvl w:val="0"/>
          <w:numId w:val="2"/>
        </w:numPr>
        <w:spacing w:after="80" w:line="290"/>
      </w:pPr>
      <w:r>
        <w:rPr>
          <w:rFonts w:ascii="Arial" w:cs="Arial" w:eastAsia="Arial" w:hAnsi="Arial"/>
          <w:sz w:val="22"/>
          <w:szCs w:val="22"/>
        </w:rPr>
        <w:t xml:space="preserve">Then investigate the biological pathways.</w:t>
      </w:r>
    </w:p>
    <w:p>
      <w:pPr>
        <w:pStyle w:val="Heading1"/>
        <w:spacing w:after="140" w:before="360"/>
      </w:pPr>
      <w:r>
        <w:rPr>
          <w:rFonts w:ascii="Arial" w:cs="Arial" w:eastAsia="Arial" w:hAnsi="Arial"/>
          <w:b/>
          <w:bCs/>
          <w:color w:val="1F4E79"/>
          <w:sz w:val="32"/>
          <w:szCs w:val="32"/>
        </w:rPr>
        <w:t xml:space="preserve">18. The whole pipeline in one picture</w:t>
      </w:r>
    </w:p>
    <w:p>
      <w:pPr>
        <w:shd w:fill="EEF1F5" w:val="clear"/>
        <w:spacing w:after="0"/>
      </w:pPr>
      <w:r>
        <w:rPr>
          <w:rFonts w:ascii="Courier New" w:cs="Courier New" w:eastAsia="Courier New" w:hAnsi="Courier New"/>
          <w:sz w:val="19"/>
          <w:szCs w:val="19"/>
        </w:rPr>
        <w:t xml:space="preserve">RAW scRNA-seq DATA</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QC  --&gt;  remove bad cells and doublets</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Normalisation</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PCA</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Cell clustering</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Cell annotation</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                         |</w:t>
      </w:r>
    </w:p>
    <w:p>
      <w:pPr>
        <w:shd w:fill="EEF1F5" w:val="clear"/>
        <w:spacing w:after="0"/>
      </w:pPr>
      <w:r>
        <w:rPr>
          <w:rFonts w:ascii="Courier New" w:cs="Courier New" w:eastAsia="Courier New" w:hAnsi="Courier New"/>
          <w:sz w:val="19"/>
          <w:szCs w:val="19"/>
        </w:rPr>
        <w:t xml:space="preserve">   v                         v</w:t>
      </w:r>
    </w:p>
    <w:p>
      <w:pPr>
        <w:shd w:fill="EEF1F5" w:val="clear"/>
        <w:spacing w:after="0"/>
      </w:pPr>
      <w:r>
        <w:rPr>
          <w:rFonts w:ascii="Courier New" w:cs="Courier New" w:eastAsia="Courier New" w:hAnsi="Courier New"/>
          <w:sz w:val="19"/>
          <w:szCs w:val="19"/>
        </w:rPr>
        <w:t xml:space="preserve">Cell composition      Differential expression</w:t>
      </w:r>
    </w:p>
    <w:p>
      <w:pPr>
        <w:shd w:fill="EEF1F5" w:val="clear"/>
        <w:spacing w:after="0"/>
      </w:pPr>
      <w:r>
        <w:rPr>
          <w:rFonts w:ascii="Courier New" w:cs="Courier New" w:eastAsia="Courier New" w:hAnsi="Courier New"/>
          <w:sz w:val="19"/>
          <w:szCs w:val="19"/>
        </w:rPr>
        <w:t xml:space="preserve">  (scCODA, Milo)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PSEUDOBULK (donor-level counts)</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DESeq2 / edgeR / limma</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add covariates: BMI, age, sex, batch</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FDR correction</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Significant genes</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Pathway analysis</w:t>
      </w:r>
    </w:p>
    <w:p>
      <w:pPr>
        <w:shd w:fill="EEF1F5" w:val="clear"/>
        <w:spacing w:after="0"/>
      </w:pPr>
      <w:r>
        <w:rPr>
          <w:rFonts w:ascii="Courier New" w:cs="Courier New" w:eastAsia="Courier New" w:hAnsi="Courier New"/>
          <w:sz w:val="19"/>
          <w:szCs w:val="19"/>
        </w:rPr>
        <w:t xml:space="preserve">                              |</w:t>
      </w:r>
    </w:p>
    <w:p>
      <w:pPr>
        <w:shd w:fill="EEF1F5" w:val="clear"/>
        <w:spacing w:after="0"/>
      </w:pPr>
      <w:r>
        <w:rPr>
          <w:rFonts w:ascii="Courier New" w:cs="Courier New" w:eastAsia="Courier New" w:hAnsi="Courier New"/>
          <w:sz w:val="19"/>
          <w:szCs w:val="19"/>
        </w:rPr>
        <w:t xml:space="preserve">                              v</w:t>
      </w:r>
    </w:p>
    <w:p>
      <w:pPr>
        <w:shd w:fill="EEF1F5" w:val="clear"/>
        <w:spacing w:after="0"/>
      </w:pPr>
      <w:r>
        <w:rPr>
          <w:rFonts w:ascii="Courier New" w:cs="Courier New" w:eastAsia="Courier New" w:hAnsi="Courier New"/>
          <w:sz w:val="19"/>
          <w:szCs w:val="19"/>
        </w:rPr>
        <w:t xml:space="preserve">                Biological interpretation</w:t>
      </w:r>
    </w:p>
    <w:p>
      <w:pPr>
        <w:spacing w:after="120"/>
      </w:pPr>
    </w:p>
    <w:p>
      <w:pPr>
        <w:pStyle w:val="Heading1"/>
        <w:spacing w:after="140" w:before="360"/>
      </w:pPr>
      <w:r>
        <w:rPr>
          <w:rFonts w:ascii="Arial" w:cs="Arial" w:eastAsia="Arial" w:hAnsi="Arial"/>
          <w:b/>
          <w:bCs/>
          <w:color w:val="1F4E79"/>
          <w:sz w:val="32"/>
          <w:szCs w:val="32"/>
        </w:rPr>
        <w:t xml:space="preserve">If you remember only seven things</w:t>
      </w:r>
    </w:p>
    <w:p>
      <w:pPr>
        <w:pStyle w:val="ListParagraph"/>
        <w:numPr>
          <w:ilvl w:val="0"/>
          <w:numId w:val="2"/>
        </w:numPr>
        <w:spacing w:after="80" w:line="290"/>
      </w:pPr>
      <w:r>
        <w:rPr>
          <w:rFonts w:ascii="Arial" w:cs="Arial" w:eastAsia="Arial" w:hAnsi="Arial"/>
          <w:b/>
          <w:bCs/>
          <w:sz w:val="22"/>
          <w:szCs w:val="22"/>
        </w:rPr>
        <w:t xml:space="preserve">Donor is the biological replicate, not the cell.</w:t>
      </w:r>
    </w:p>
    <w:p>
      <w:pPr>
        <w:pStyle w:val="ListParagraph"/>
        <w:numPr>
          <w:ilvl w:val="0"/>
          <w:numId w:val="2"/>
        </w:numPr>
        <w:spacing w:after="80" w:line="290"/>
      </w:pPr>
      <w:r>
        <w:rPr>
          <w:rFonts w:ascii="Arial" w:cs="Arial" w:eastAsia="Arial" w:hAnsi="Arial"/>
          <w:b/>
          <w:bCs/>
          <w:sz w:val="22"/>
          <w:szCs w:val="22"/>
        </w:rPr>
        <w:t xml:space="preserve">Pseudobulk</w:t>
      </w:r>
      <w:r>
        <w:rPr>
          <w:rFonts w:ascii="Arial" w:cs="Arial" w:eastAsia="Arial" w:hAnsi="Arial"/>
          <w:sz w:val="22"/>
          <w:szCs w:val="22"/>
        </w:rPr>
        <w:t xml:space="preserve"> means summing the counts of the cells from each donor within each cell type.</w:t>
      </w:r>
    </w:p>
    <w:p>
      <w:pPr>
        <w:pStyle w:val="ListParagraph"/>
        <w:numPr>
          <w:ilvl w:val="0"/>
          <w:numId w:val="2"/>
        </w:numPr>
        <w:spacing w:after="80" w:line="290"/>
      </w:pPr>
      <w:r>
        <w:rPr>
          <w:rFonts w:ascii="Arial" w:cs="Arial" w:eastAsia="Arial" w:hAnsi="Arial"/>
          <w:sz w:val="22"/>
          <w:szCs w:val="22"/>
        </w:rPr>
        <w:t xml:space="preserve">Use </w:t>
      </w:r>
      <w:r>
        <w:rPr>
          <w:rFonts w:ascii="Arial" w:cs="Arial" w:eastAsia="Arial" w:hAnsi="Arial"/>
          <w:b/>
          <w:bCs/>
          <w:sz w:val="22"/>
          <w:szCs w:val="22"/>
        </w:rPr>
        <w:t xml:space="preserve">DESeq2, edgeR or limma</w:t>
      </w:r>
      <w:r>
        <w:rPr>
          <w:rFonts w:ascii="Arial" w:cs="Arial" w:eastAsia="Arial" w:hAnsi="Arial"/>
          <w:sz w:val="22"/>
          <w:szCs w:val="22"/>
        </w:rPr>
        <w:t xml:space="preserve"> on the donor-level data.</w:t>
      </w:r>
    </w:p>
    <w:p>
      <w:pPr>
        <w:pStyle w:val="ListParagraph"/>
        <w:numPr>
          <w:ilvl w:val="0"/>
          <w:numId w:val="2"/>
        </w:numPr>
        <w:spacing w:after="80" w:line="290"/>
      </w:pPr>
      <w:r>
        <w:rPr>
          <w:rFonts w:ascii="Arial" w:cs="Arial" w:eastAsia="Arial" w:hAnsi="Arial"/>
          <w:sz w:val="22"/>
          <w:szCs w:val="22"/>
        </w:rPr>
        <w:t xml:space="preserve">Include important </w:t>
      </w:r>
      <w:r>
        <w:rPr>
          <w:rFonts w:ascii="Arial" w:cs="Arial" w:eastAsia="Arial" w:hAnsi="Arial"/>
          <w:b/>
          <w:bCs/>
          <w:sz w:val="22"/>
          <w:szCs w:val="22"/>
        </w:rPr>
        <w:t xml:space="preserve">covariates</w:t>
      </w:r>
      <w:r>
        <w:rPr>
          <w:rFonts w:ascii="Arial" w:cs="Arial" w:eastAsia="Arial" w:hAnsi="Arial"/>
          <w:sz w:val="22"/>
          <w:szCs w:val="22"/>
        </w:rPr>
        <w:t xml:space="preserve"> such as BMI, age, sex and batch.</w:t>
      </w:r>
    </w:p>
    <w:p>
      <w:pPr>
        <w:pStyle w:val="ListParagraph"/>
        <w:numPr>
          <w:ilvl w:val="0"/>
          <w:numId w:val="2"/>
        </w:numPr>
        <w:spacing w:after="80" w:line="290"/>
      </w:pPr>
      <w:r>
        <w:rPr>
          <w:rFonts w:ascii="Arial" w:cs="Arial" w:eastAsia="Arial" w:hAnsi="Arial"/>
          <w:sz w:val="22"/>
          <w:szCs w:val="22"/>
        </w:rPr>
        <w:t xml:space="preserve">Never treat a </w:t>
      </w:r>
      <w:r>
        <w:rPr>
          <w:rFonts w:ascii="Arial" w:cs="Arial" w:eastAsia="Arial" w:hAnsi="Arial"/>
          <w:b/>
          <w:bCs/>
          <w:sz w:val="22"/>
          <w:szCs w:val="22"/>
        </w:rPr>
        <w:t xml:space="preserve">UMAP</w:t>
      </w:r>
      <w:r>
        <w:rPr>
          <w:rFonts w:ascii="Arial" w:cs="Arial" w:eastAsia="Arial" w:hAnsi="Arial"/>
          <w:sz w:val="22"/>
          <w:szCs w:val="22"/>
        </w:rPr>
        <w:t xml:space="preserve"> or an integrated dataset as a statistical test.</w:t>
      </w:r>
    </w:p>
    <w:p>
      <w:pPr>
        <w:pStyle w:val="ListParagraph"/>
        <w:numPr>
          <w:ilvl w:val="0"/>
          <w:numId w:val="2"/>
        </w:numPr>
        <w:spacing w:after="80" w:line="290"/>
      </w:pPr>
      <w:r>
        <w:rPr>
          <w:rFonts w:ascii="Arial" w:cs="Arial" w:eastAsia="Arial" w:hAnsi="Arial"/>
          <w:sz w:val="22"/>
          <w:szCs w:val="22"/>
        </w:rPr>
        <w:t xml:space="preserve">Correct for multiple testing with </w:t>
      </w:r>
      <w:r>
        <w:rPr>
          <w:rFonts w:ascii="Arial" w:cs="Arial" w:eastAsia="Arial" w:hAnsi="Arial"/>
          <w:b/>
          <w:bCs/>
          <w:sz w:val="22"/>
          <w:szCs w:val="22"/>
        </w:rPr>
        <w:t xml:space="preserve">FDR</w:t>
      </w:r>
      <w:r>
        <w:rPr>
          <w:rFonts w:ascii="Arial" w:cs="Arial" w:eastAsia="Arial" w:hAnsi="Arial"/>
          <w:sz w:val="22"/>
          <w:szCs w:val="22"/>
        </w:rPr>
        <w:t xml:space="preserve"> and report effect sizes.</w:t>
      </w:r>
    </w:p>
    <w:p>
      <w:pPr>
        <w:pStyle w:val="ListParagraph"/>
        <w:numPr>
          <w:ilvl w:val="0"/>
          <w:numId w:val="2"/>
        </w:numPr>
        <w:spacing w:after="80" w:line="290"/>
      </w:pPr>
      <w:r>
        <w:rPr>
          <w:rFonts w:ascii="Arial" w:cs="Arial" w:eastAsia="Arial" w:hAnsi="Arial"/>
          <w:sz w:val="22"/>
          <w:szCs w:val="22"/>
        </w:rPr>
        <w:t xml:space="preserve">For T2D, the key research question is whether beta-cell signatures are real, reproducible across donors and studies, and separable from obesity and technical confounding.</w:t>
      </w:r>
    </w:p>
    <w:p>
      <w:pPr>
        <w:pStyle w:val="Heading1"/>
        <w:spacing w:after="140" w:before="360"/>
      </w:pPr>
      <w:r>
        <w:rPr>
          <w:rFonts w:ascii="Arial" w:cs="Arial" w:eastAsia="Arial" w:hAnsi="Arial"/>
          <w:b/>
          <w:bCs/>
          <w:color w:val="1F4E79"/>
          <w:sz w:val="32"/>
          <w:szCs w:val="32"/>
        </w:rPr>
        <w:t xml:space="preserve">Extra background: what a beta cell is</w:t>
      </w:r>
    </w:p>
    <w:p>
      <w:pPr>
        <w:spacing w:after="120" w:line="300"/>
      </w:pPr>
      <w:r>
        <w:rPr>
          <w:rFonts w:ascii="Arial" w:cs="Arial" w:eastAsia="Arial" w:hAnsi="Arial"/>
          <w:sz w:val="22"/>
          <w:szCs w:val="22"/>
        </w:rPr>
        <w:t xml:space="preserve">A beta cell is a specialised cell in the pancreas whose main job is to make and release </w:t>
      </w:r>
      <w:r>
        <w:rPr>
          <w:rFonts w:ascii="Arial" w:cs="Arial" w:eastAsia="Arial" w:hAnsi="Arial"/>
          <w:b/>
          <w:bCs/>
          <w:sz w:val="22"/>
          <w:szCs w:val="22"/>
        </w:rPr>
        <w:t xml:space="preserve">insulin</w:t>
      </w:r>
      <w:r>
        <w:rPr>
          <w:rFonts w:ascii="Arial" w:cs="Arial" w:eastAsia="Arial" w:hAnsi="Arial"/>
          <w:sz w:val="22"/>
          <w:szCs w:val="22"/>
        </w:rPr>
        <w:t xml:space="preserve">. The simple chain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636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Blood glucose</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Rises after eating</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Beta cell</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Senses the glucose</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Insulin</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Is released by the beta cell</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Body cells</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Take up glucose from the blood</w:t>
            </w:r>
          </w:p>
        </w:tc>
      </w:tr>
      <w:tr>
        <w:tc>
          <w:tcPr>
            <w:tcW w:type="dxa" w:w="30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Blood glucose</w:t>
            </w:r>
          </w:p>
        </w:tc>
        <w:tc>
          <w:tcPr>
            <w:tcW w:type="dxa" w:w="6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Comes back down</w:t>
            </w:r>
          </w:p>
        </w:tc>
      </w:tr>
    </w:tbl>
    <w:p>
      <w:pPr>
        <w:spacing w:after="120"/>
      </w:pPr>
    </w:p>
    <w:p>
      <w:pPr>
        <w:pStyle w:val="Heading2"/>
        <w:spacing w:after="100" w:before="240"/>
      </w:pPr>
      <w:r>
        <w:rPr>
          <w:rFonts w:ascii="Arial" w:cs="Arial" w:eastAsia="Arial" w:hAnsi="Arial"/>
          <w:b/>
          <w:bCs/>
          <w:color w:val="2E75B6"/>
          <w:sz w:val="26"/>
          <w:szCs w:val="26"/>
        </w:rPr>
        <w:t xml:space="preserve">Why beta cells matter in T2D</w:t>
      </w:r>
    </w:p>
    <w:p>
      <w:pPr>
        <w:spacing w:after="120" w:line="300"/>
      </w:pPr>
      <w:r>
        <w:rPr>
          <w:rFonts w:ascii="Arial" w:cs="Arial" w:eastAsia="Arial" w:hAnsi="Arial"/>
          <w:sz w:val="22"/>
          <w:szCs w:val="22"/>
        </w:rPr>
        <w:t xml:space="preserve">In T2D the body becomes less responsive to insulin (insulin resistance). Beta cells first try to compensate by making more insulin, and over time beta-cell function can become impaired. That is why single-cell T2D work focuses on them: what changes in the gene expression of beta cells in people with T2D?</w:t>
      </w:r>
    </w:p>
    <w:p>
      <w:pPr>
        <w:pBdr>
          <w:left w:val="single" w:color="C55A11" w:sz="24" w:space="10"/>
        </w:pBdr>
        <w:shd w:fill="FBEFE6" w:val="clear"/>
        <w:spacing w:after="160" w:before="120" w:line="300"/>
        <w:ind w:left="240"/>
      </w:pPr>
      <w:r>
        <w:rPr>
          <w:rFonts w:ascii="Arial" w:cs="Arial" w:eastAsia="Arial" w:hAnsi="Arial"/>
          <w:b/>
          <w:bCs/>
          <w:sz w:val="22"/>
          <w:szCs w:val="22"/>
        </w:rPr>
        <w:t xml:space="preserve">A beta cell is not a beta gene.</w:t>
      </w:r>
      <w:r>
        <w:rPr>
          <w:rFonts w:ascii="Arial" w:cs="Arial" w:eastAsia="Arial" w:hAnsi="Arial"/>
          <w:sz w:val="22"/>
          <w:szCs w:val="22"/>
        </w:rPr>
        <w:t xml:space="preserve"> A beta cell is a type of pancreatic cell. Inside it are thousands of genes, such as INS, which encodes insulin. "T2D beta-cell gene expression" simply means which genes behave differently inside beta cells from people with T2D compared with controls.</w:t>
      </w:r>
    </w:p>
    <w:p>
      <w:pPr>
        <w:pStyle w:val="Heading1"/>
        <w:spacing w:after="140" w:before="360"/>
      </w:pPr>
      <w:r>
        <w:rPr>
          <w:rFonts w:ascii="Arial" w:cs="Arial" w:eastAsia="Arial" w:hAnsi="Arial"/>
          <w:b/>
          <w:bCs/>
          <w:color w:val="1F4E79"/>
          <w:sz w:val="32"/>
          <w:szCs w:val="32"/>
        </w:rPr>
        <w:t xml:space="preserve">Extra background: what the gene table means</w:t>
      </w:r>
    </w:p>
    <w:p>
      <w:pPr>
        <w:spacing w:after="120" w:line="300"/>
      </w:pPr>
      <w:r>
        <w:rPr>
          <w:rFonts w:ascii="Arial" w:cs="Arial" w:eastAsia="Arial" w:hAnsi="Arial"/>
          <w:sz w:val="22"/>
          <w:szCs w:val="22"/>
        </w:rPr>
        <w:t xml:space="preserve">In the pseudobulk table, each number is how many RNA counts were measured for that gene across all the beta cells from Donor 1. Imagine Donor 1 has 1,000 beta cells. You collect the RNA from them and count how many RNA molecules (counts) belong to each gene.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360"/>
        <w:gridCol w:w="1800"/>
      </w:tblGrid>
      <w:tr>
        <w:trPr>
          <w:tblHeader/>
        </w:trPr>
        <w:tc>
          <w:tcPr>
            <w:tcW w:type="dxa" w:w="15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Gene symbol</w:t>
            </w:r>
          </w:p>
        </w:tc>
        <w:tc>
          <w:tcPr>
            <w:tcW w:type="dxa" w:w="27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Full name</w:t>
            </w:r>
          </w:p>
        </w:tc>
        <w:tc>
          <w:tcPr>
            <w:tcW w:type="dxa" w:w="336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c>
          <w:tcPr>
            <w:tcW w:type="dxa" w:w="1800"/>
            <w:tcBorders>
              <w:top w:val="single" w:color="C8D3DE" w:sz="4"/>
              <w:left w:val="single" w:color="C8D3DE" w:sz="4"/>
              <w:bottom w:val="single" w:color="C8D3DE" w:sz="4"/>
              <w:right w:val="single" w:color="C8D3DE" w:sz="4"/>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Example counts</w:t>
            </w:r>
          </w:p>
        </w:tc>
      </w:tr>
      <w:tr>
        <w:tc>
          <w:tcPr>
            <w:tcW w:type="dxa" w:w="15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INS</w:t>
            </w:r>
          </w:p>
        </w:tc>
        <w:tc>
          <w:tcPr>
            <w:tcW w:type="dxa" w:w="27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Insulin</w:t>
            </w:r>
          </w:p>
        </w:tc>
        <w:tc>
          <w:tcPr>
            <w:tcW w:type="dxa" w:w="3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Produces insulin; a main beta-cell gene</w:t>
            </w:r>
          </w:p>
        </w:tc>
        <w:tc>
          <w:tcPr>
            <w:tcW w:type="dxa" w:w="18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50,000 (very high)</w:t>
            </w:r>
          </w:p>
        </w:tc>
      </w:tr>
      <w:tr>
        <w:tc>
          <w:tcPr>
            <w:tcW w:type="dxa" w:w="15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IAPP</w:t>
            </w:r>
          </w:p>
        </w:tc>
        <w:tc>
          <w:tcPr>
            <w:tcW w:type="dxa" w:w="27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Islet amyloid polypeptide (amylin)</w:t>
            </w:r>
          </w:p>
        </w:tc>
        <w:tc>
          <w:tcPr>
            <w:tcW w:type="dxa" w:w="3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Made by beta cells and released with insulin</w:t>
            </w:r>
          </w:p>
        </w:tc>
        <w:tc>
          <w:tcPr>
            <w:tcW w:type="dxa" w:w="18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20,000 (high)</w:t>
            </w:r>
          </w:p>
        </w:tc>
      </w:tr>
      <w:tr>
        <w:tc>
          <w:tcPr>
            <w:tcW w:type="dxa" w:w="15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MAFA</w:t>
            </w:r>
          </w:p>
        </w:tc>
        <w:tc>
          <w:tcPr>
            <w:tcW w:type="dxa" w:w="27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MAF bZIP transcription factor A</w:t>
            </w:r>
          </w:p>
        </w:tc>
        <w:tc>
          <w:tcPr>
            <w:tcW w:type="dxa" w:w="336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Helps beta cells keep their identity and regulates insulin-related genes</w:t>
            </w:r>
          </w:p>
        </w:tc>
        <w:tc>
          <w:tcPr>
            <w:tcW w:type="dxa" w:w="1800"/>
            <w:tcBorders>
              <w:top w:val="single" w:color="C8D3DE" w:sz="4"/>
              <w:left w:val="single" w:color="C8D3DE" w:sz="4"/>
              <w:bottom w:val="single" w:color="C8D3DE" w:sz="4"/>
              <w:right w:val="single" w:color="C8D3DE" w:sz="4"/>
            </w:tcBorders>
            <w:shd w:fill="F2F6FA" w:val="clear"/>
            <w:tcMar>
              <w:top w:type="dxa" w:w="80"/>
              <w:left w:type="dxa" w:w="120"/>
              <w:bottom w:type="dxa" w:w="80"/>
              <w:right w:type="dxa" w:w="120"/>
            </w:tcMar>
          </w:tcPr>
          <w:p>
            <w:r>
              <w:rPr>
                <w:rFonts w:ascii="Arial" w:cs="Arial" w:eastAsia="Arial" w:hAnsi="Arial"/>
                <w:b w:val="false"/>
                <w:bCs w:val="false"/>
                <w:color w:val="262626"/>
                <w:sz w:val="21"/>
                <w:szCs w:val="21"/>
              </w:rPr>
              <w:t xml:space="preserve">1,500 (lower)</w:t>
            </w:r>
          </w:p>
        </w:tc>
      </w:tr>
    </w:tbl>
    <w:p>
      <w:pPr>
        <w:spacing w:after="120"/>
      </w:pPr>
    </w:p>
    <w:p>
      <w:pPr>
        <w:pBdr>
          <w:left w:val="single" w:color="C55A11" w:sz="24" w:space="10"/>
        </w:pBdr>
        <w:shd w:fill="FBEFE6" w:val="clear"/>
        <w:spacing w:after="160" w:before="120" w:line="300"/>
        <w:ind w:left="240"/>
      </w:pPr>
      <w:r>
        <w:rPr>
          <w:rFonts w:ascii="Arial" w:cs="Arial" w:eastAsia="Arial" w:hAnsi="Arial"/>
          <w:b/>
          <w:bCs/>
          <w:sz w:val="22"/>
          <w:szCs w:val="22"/>
        </w:rPr>
        <w:t xml:space="preserve">50,000 does not mean 50,000 beta cells.</w:t>
      </w:r>
      <w:r>
        <w:rPr>
          <w:rFonts w:ascii="Arial" w:cs="Arial" w:eastAsia="Arial" w:hAnsi="Arial"/>
          <w:sz w:val="22"/>
          <w:szCs w:val="22"/>
        </w:rPr>
        <w:t xml:space="preserve"> It means 50,000 sequencing counts were assigned to the INS gene across the beta cells from that donor. The gene names are symbols, not abbreviations for phrases. The numbers shown are illustrative examples.</w:t>
      </w:r>
    </w:p>
    <w:p>
      <w:pPr>
        <w:spacing w:after="120" w:line="300"/>
      </w:pPr>
      <w:r>
        <w:rPr>
          <w:rFonts w:ascii="Arial" w:cs="Arial" w:eastAsia="Arial" w:hAnsi="Arial"/>
          <w:b/>
          <w:bCs/>
          <w:sz w:val="22"/>
          <w:szCs w:val="22"/>
        </w:rPr>
        <w:t xml:space="preserve">In one sentence:</w:t>
      </w:r>
      <w:r>
        <w:rPr>
          <w:rFonts w:ascii="Arial" w:cs="Arial" w:eastAsia="Arial" w:hAnsi="Arial"/>
          <w:sz w:val="22"/>
          <w:szCs w:val="22"/>
        </w:rPr>
        <w:t xml:space="preserve"> pseudobulk means adding up the gene counts from all beta cells belonging to the same donor to create one donor-level beta-cell sample. That matters because the donor is the true biological replicate, not each individual cell.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6A3"/>
        <w:sz w:val="18"/>
        <w:szCs w:val="18"/>
      </w:rPr>
      <w:t xml:space="preserve">Page </w:t>
    </w:r>
    <w:r>
      <w:rPr>
        <w:rFonts w:ascii="Arial" w:cs="Arial" w:eastAsia="Arial" w:hAnsi="Arial"/>
        <w:color w:val="8A96A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2026-10-08T16:11:10.684Z</dcterms:created>
  <dcterms:modified xsi:type="dcterms:W3CDTF">2026-10-08T16:11:10.694Z</dcterms:modified>
</cp:coreProperties>
</file>

<file path=docProps/custom.xml><?xml version="1.0" encoding="utf-8"?>
<Properties xmlns="http://schemas.openxmlformats.org/officeDocument/2006/custom-properties" xmlns:vt="http://schemas.openxmlformats.org/officeDocument/2006/docPropsVTypes"/>
</file>