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b/>
          <w:bCs/>
          <w:color w:val="1B4F8A"/>
          <w:sz w:val="52"/>
          <w:szCs w:val="52"/>
        </w:rPr>
        <w:t xml:space="preserve">RAW TALENT RECRUITMENT</w:t>
      </w:r>
    </w:p>
    <w:p>
      <w:pPr>
        <w:pBdr>
          <w:bottom w:val="single" w:color="0D7A6E" w:sz="8" w:space="1"/>
        </w:pBdr>
        <w:spacing w:after="80" w:before="0"/>
        <w:jc w:val="center"/>
      </w:pPr>
      <w:r>
        <w:rPr>
          <w:rFonts w:ascii="Arial" w:cs="Arial" w:eastAsia="Arial" w:hAnsi="Arial"/>
          <w:color w:val="0D7A6E"/>
          <w:sz w:val="36"/>
          <w:szCs w:val="36"/>
        </w:rPr>
        <w:t xml:space="preserve">Competitive Intelligence Report</w:t>
      </w:r>
    </w:p>
    <w:p>
      <w:pPr>
        <w:spacing w:after="80" w:before="80"/>
      </w:pPr>
      <w:r>
        <w:t xml:space="preserve"/>
      </w:r>
    </w:p>
    <w:p>
      <w:pPr>
        <w:jc w:val="center"/>
      </w:pPr>
      <w:r>
        <w:rPr>
          <w:rFonts w:ascii="Arial" w:cs="Arial" w:eastAsia="Arial" w:hAnsi="Arial"/>
          <w:color w:val="1A1A1A"/>
          <w:sz w:val="24"/>
          <w:szCs w:val="24"/>
        </w:rPr>
        <w:t xml:space="preserve">Australian Casual Childcare Staffing Market</w:t>
      </w:r>
    </w:p>
    <w:p>
      <w:pPr>
        <w:jc w:val="center"/>
      </w:pPr>
      <w:r>
        <w:rPr>
          <w:rFonts w:ascii="Arial" w:cs="Arial" w:eastAsia="Arial" w:hAnsi="Arial"/>
          <w:color w:val="888888"/>
          <w:sz w:val="20"/>
          <w:szCs w:val="20"/>
        </w:rPr>
        <w:t xml:space="preserve">v2.0  |  June 2026  |  Prepared for Internal Strategy Use</w:t>
      </w:r>
    </w:p>
    <w:p>
      <w:pPr>
        <w:spacing w:after="80" w:before="80"/>
      </w:pPr>
      <w:r>
        <w:t xml:space="preserve"/>
      </w:r>
    </w:p>
    <w:p>
      <w:pPr>
        <w:jc w:val="center"/>
      </w:pPr>
      <w:r>
        <w:rPr>
          <w:rFonts w:ascii="Arial" w:cs="Arial" w:eastAsia="Arial" w:hAnsi="Arial"/>
          <w:i/>
          <w:iCs/>
          <w:color w:val="888888"/>
          <w:sz w:val="18"/>
          <w:szCs w:val="18"/>
        </w:rPr>
        <w:t xml:space="preserve">Data sourced from verified primary sources, government statistics, and industry publications.</w:t>
      </w:r>
    </w:p>
    <w:p>
      <w:pPr>
        <w:jc w:val="center"/>
      </w:pPr>
      <w:r>
        <w:rPr>
          <w:rFonts w:ascii="Arial" w:cs="Arial" w:eastAsia="Arial" w:hAnsi="Arial"/>
          <w:i/>
          <w:iCs/>
          <w:color w:val="888888"/>
          <w:sz w:val="18"/>
          <w:szCs w:val="18"/>
        </w:rPr>
        <w:t xml:space="preserve">All citations referenced in Section 10.</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CC0000"/>
          <w:sz w:val="18"/>
          <w:szCs w:val="18"/>
        </w:rPr>
        <w:t xml:space="preserve">CONFIDENTIAL — NOT FOR DISTRIBUTION</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1. Executive Summary</w:t>
      </w:r>
    </w:p>
    <w:p>
      <w:pPr>
        <w:spacing w:after="60" w:before="60"/>
      </w:pPr>
      <w:r>
        <w:rPr>
          <w:rFonts w:ascii="Arial" w:cs="Arial" w:eastAsia="Arial" w:hAnsi="Arial"/>
          <w:color w:val="1A1A1A"/>
          <w:sz w:val="20"/>
          <w:szCs w:val="20"/>
        </w:rPr>
        <w:t xml:space="preserve">Raw Talent Recruitment operates within Australia's </w:t>
      </w:r>
      <w:r>
        <w:rPr>
          <w:rFonts w:ascii="Arial" w:cs="Arial" w:eastAsia="Arial" w:hAnsi="Arial"/>
          <w:b/>
          <w:bCs/>
          <w:color w:val="1A1A1A"/>
          <w:sz w:val="20"/>
          <w:szCs w:val="20"/>
        </w:rPr>
        <w:t xml:space="preserve">$23.6 billion</w:t>
      </w:r>
      <w:r>
        <w:rPr>
          <w:rFonts w:ascii="Arial" w:cs="Arial" w:eastAsia="Arial" w:hAnsi="Arial"/>
          <w:color w:val="1A1A1A"/>
          <w:sz w:val="20"/>
          <w:szCs w:val="20"/>
        </w:rPr>
        <w:t xml:space="preserve"> Child Care Services market, which has grown at a </w:t>
      </w:r>
      <w:r>
        <w:rPr>
          <w:rFonts w:ascii="Arial" w:cs="Arial" w:eastAsia="Arial" w:hAnsi="Arial"/>
          <w:b/>
          <w:bCs/>
          <w:color w:val="1A1A1A"/>
          <w:sz w:val="20"/>
          <w:szCs w:val="20"/>
        </w:rPr>
        <w:t xml:space="preserve">7.8% CAGR between 2020 and 2025 </w:t>
      </w:r>
      <w:r>
        <w:rPr>
          <w:rFonts w:ascii="Arial" w:cs="Arial" w:eastAsia="Arial" w:hAnsi="Arial"/>
          <w:color w:val="1A1A1A"/>
          <w:sz w:val="20"/>
          <w:szCs w:val="20"/>
        </w:rPr>
        <w:t xml:space="preserve">according to IBISWorld, with 11,131 registered childcare service businesses operating nationally </w:t>
      </w:r>
      <w:r>
        <w:rPr>
          <w:rFonts w:ascii="Arial" w:cs="Arial" w:eastAsia="Arial" w:hAnsi="Arial"/>
          <w:color w:val="888888"/>
          <w:sz w:val="14"/>
          <w:szCs w:val="14"/>
          <w:vertAlign w:val="superscript"/>
        </w:rPr>
        <w:t xml:space="preserve"> [1] </w:t>
      </w:r>
      <w:r>
        <w:rPr>
          <w:rFonts w:ascii="Arial" w:cs="Arial" w:eastAsia="Arial" w:hAnsi="Arial"/>
          <w:color w:val="1A1A1A"/>
          <w:sz w:val="20"/>
          <w:szCs w:val="20"/>
        </w:rPr>
        <w:t xml:space="preserve">. The casual staffing segment within this market has been transformed by app-based platforms over the past seven years, creating both opportunity and intensified competition for Raw Talent.</w:t>
      </w:r>
    </w:p>
    <w:p>
      <w:pPr>
        <w:spacing w:after="80" w:before="80"/>
      </w:pPr>
      <w:r>
        <w:t xml:space="preserve"/>
      </w:r>
    </w:p>
    <w:p>
      <w:pPr>
        <w:spacing w:after="60" w:before="60"/>
      </w:pPr>
      <w:r>
        <w:rPr>
          <w:rFonts w:ascii="Arial" w:cs="Arial" w:eastAsia="Arial" w:hAnsi="Arial"/>
          <w:color w:val="1A1A1A"/>
          <w:sz w:val="20"/>
          <w:szCs w:val="20"/>
        </w:rPr>
        <w:t xml:space="preserve">This report benchmarks Raw Talent against five direct and indirect competitors across nine dimensions, supported by verified statistics from primary sources including IBISWorld, the Australian Government Department of Education's National Workforce Census, Jobs and Skills Australia, the Productivity Commission's Report on Government Services 2026, and each competitor's own published materials.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Key Strategic Finding</w:t>
            </w:r>
          </w:p>
          <w:p>
            <w:pPr>
              <w:spacing w:after="0" w:before="0"/>
            </w:pPr>
            <w:r>
              <w:rPr>
                <w:rFonts w:ascii="Arial" w:cs="Arial" w:eastAsia="Arial" w:hAnsi="Arial"/>
                <w:b/>
                <w:bCs/>
                <w:color w:val="1A1A1A"/>
                <w:sz w:val="20"/>
                <w:szCs w:val="20"/>
              </w:rPr>
              <w:t xml:space="preserve">Raw Talent's current single-tier pricing and app-only support model are being outflanked on three fronts: </w:t>
            </w:r>
            <w:r>
              <w:rPr>
                <w:rFonts w:ascii="Arial" w:cs="Arial" w:eastAsia="Arial" w:hAnsi="Arial"/>
                <w:color w:val="1A1A1A"/>
                <w:sz w:val="20"/>
                <w:szCs w:val="20"/>
              </w:rPr>
              <w:t xml:space="preserve">(1) Talent Now's Casual Connect tier offers a structurally lower-cost option for centres willing to directly employ casuals; (2) ANZUK Education and Expect A Star retain centre loyalty through 22 and 22 years of brand trust respectively, plus dedicated consultant relationships; and (3) QuickCare's Compliance Passport addresses regulatory anxieties that are intensifying as the 2026 child safety reforms take effect </w:t>
            </w:r>
            <w:r>
              <w:rPr>
                <w:rFonts w:ascii="Arial" w:cs="Arial" w:eastAsia="Arial" w:hAnsi="Arial"/>
                <w:color w:val="888888"/>
                <w:sz w:val="14"/>
                <w:szCs w:val="14"/>
                <w:vertAlign w:val="superscript"/>
              </w:rPr>
              <w:t xml:space="preserve"> [2] </w:t>
            </w:r>
            <w:r>
              <w:rPr>
                <w:rFonts w:ascii="Arial" w:cs="Arial" w:eastAsia="Arial" w:hAnsi="Arial"/>
                <w:color w:val="1A1A1A"/>
                <w:sz w:val="20"/>
                <w:szCs w:val="20"/>
              </w:rPr>
              <w:t xml:space="preserv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Sector Context</w:t>
      </w:r>
    </w:p>
    <w:p>
      <w:pPr>
        <w:pStyle w:val="ListParagraph"/>
        <w:numPr>
          <w:ilvl w:val="0"/>
          <w:numId w:val="2"/>
        </w:numPr>
        <w:spacing w:after="40" w:before="40"/>
      </w:pPr>
      <w:r>
        <w:rPr>
          <w:rFonts w:ascii="Arial" w:cs="Arial" w:eastAsia="Arial" w:hAnsi="Arial"/>
          <w:color w:val="1A1A1A"/>
          <w:sz w:val="20"/>
          <w:szCs w:val="20"/>
        </w:rPr>
        <w:t xml:space="preserve">Australian ECEC sector revenue: </w:t>
      </w:r>
      <w:r>
        <w:rPr>
          <w:rFonts w:ascii="Arial" w:cs="Arial" w:eastAsia="Arial" w:hAnsi="Arial"/>
          <w:b/>
          <w:bCs/>
          <w:color w:val="1A1A1A"/>
          <w:sz w:val="20"/>
          <w:szCs w:val="20"/>
        </w:rPr>
        <w:t xml:space="preserve">AUD $23.6 billion in 2025</w:t>
      </w:r>
      <w:r>
        <w:rPr>
          <w:rFonts w:ascii="Arial" w:cs="Arial" w:eastAsia="Arial" w:hAnsi="Arial"/>
          <w:color w:val="1A1A1A"/>
          <w:sz w:val="20"/>
          <w:szCs w:val="20"/>
        </w:rPr>
        <w:t xml:space="preserve"> (+8.6% YoY) </w:t>
      </w:r>
      <w:r>
        <w:rPr>
          <w:rFonts w:ascii="Arial" w:cs="Arial" w:eastAsia="Arial" w:hAnsi="Arial"/>
          <w:color w:val="888888"/>
          <w:sz w:val="14"/>
          <w:szCs w:val="14"/>
          <w:vertAlign w:val="superscript"/>
        </w:rPr>
        <w:t xml:space="preserve"> [1] </w:t>
      </w:r>
    </w:p>
    <w:p>
      <w:pPr>
        <w:pStyle w:val="ListParagraph"/>
        <w:numPr>
          <w:ilvl w:val="0"/>
          <w:numId w:val="2"/>
        </w:numPr>
        <w:spacing w:after="40" w:before="40"/>
      </w:pPr>
      <w:r>
        <w:rPr>
          <w:rFonts w:ascii="Arial" w:cs="Arial" w:eastAsia="Arial" w:hAnsi="Arial"/>
          <w:color w:val="1A1A1A"/>
          <w:sz w:val="20"/>
          <w:szCs w:val="20"/>
        </w:rPr>
        <w:t xml:space="preserve">Approved CCS childcare services: </w:t>
      </w:r>
      <w:r>
        <w:rPr>
          <w:rFonts w:ascii="Arial" w:cs="Arial" w:eastAsia="Arial" w:hAnsi="Arial"/>
          <w:b/>
          <w:bCs/>
          <w:color w:val="1A1A1A"/>
          <w:sz w:val="20"/>
          <w:szCs w:val="20"/>
        </w:rPr>
        <w:t xml:space="preserve">15,158 nationally in 2025</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[3] </w:t>
      </w:r>
    </w:p>
    <w:p>
      <w:pPr>
        <w:pStyle w:val="ListParagraph"/>
        <w:numPr>
          <w:ilvl w:val="0"/>
          <w:numId w:val="2"/>
        </w:numPr>
        <w:spacing w:after="40" w:before="40"/>
      </w:pPr>
      <w:r>
        <w:rPr>
          <w:rFonts w:ascii="Arial" w:cs="Arial" w:eastAsia="Arial" w:hAnsi="Arial"/>
          <w:color w:val="1A1A1A"/>
          <w:sz w:val="20"/>
          <w:szCs w:val="20"/>
        </w:rPr>
        <w:t xml:space="preserve">Total ECEC sector employment: </w:t>
      </w:r>
      <w:r>
        <w:rPr>
          <w:rFonts w:ascii="Arial" w:cs="Arial" w:eastAsia="Arial" w:hAnsi="Arial"/>
          <w:b/>
          <w:bCs/>
          <w:color w:val="1A1A1A"/>
          <w:sz w:val="20"/>
          <w:szCs w:val="20"/>
        </w:rPr>
        <w:t xml:space="preserve">195,809 workers in 2025</w:t>
      </w:r>
      <w:r>
        <w:rPr>
          <w:rFonts w:ascii="Arial" w:cs="Arial" w:eastAsia="Arial" w:hAnsi="Arial"/>
          <w:color w:val="1A1A1A"/>
          <w:sz w:val="20"/>
          <w:szCs w:val="20"/>
        </w:rPr>
        <w:t xml:space="preserve"> (+2.4% CAGR 2020–2025) </w:t>
      </w:r>
      <w:r>
        <w:rPr>
          <w:rFonts w:ascii="Arial" w:cs="Arial" w:eastAsia="Arial" w:hAnsi="Arial"/>
          <w:color w:val="888888"/>
          <w:sz w:val="14"/>
          <w:szCs w:val="14"/>
          <w:vertAlign w:val="superscript"/>
        </w:rPr>
        <w:t xml:space="preserve"> [4] </w:t>
      </w:r>
    </w:p>
    <w:p>
      <w:pPr>
        <w:pStyle w:val="ListParagraph"/>
        <w:numPr>
          <w:ilvl w:val="0"/>
          <w:numId w:val="2"/>
        </w:numPr>
        <w:spacing w:after="40" w:before="40"/>
      </w:pPr>
      <w:r>
        <w:rPr>
          <w:rFonts w:ascii="Arial" w:cs="Arial" w:eastAsia="Arial" w:hAnsi="Arial"/>
          <w:color w:val="1A1A1A"/>
          <w:sz w:val="20"/>
          <w:szCs w:val="20"/>
        </w:rPr>
        <w:t xml:space="preserve">Children attending CCS services in 2025: </w:t>
      </w:r>
      <w:r>
        <w:rPr>
          <w:rFonts w:ascii="Arial" w:cs="Arial" w:eastAsia="Arial" w:hAnsi="Arial"/>
          <w:b/>
          <w:bCs/>
          <w:color w:val="1A1A1A"/>
          <w:sz w:val="20"/>
          <w:szCs w:val="20"/>
        </w:rPr>
        <w:t xml:space="preserve">over 1.4 million aged 0–12 years</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[5] </w:t>
      </w:r>
    </w:p>
    <w:p>
      <w:pPr>
        <w:pStyle w:val="ListParagraph"/>
        <w:numPr>
          <w:ilvl w:val="0"/>
          <w:numId w:val="2"/>
        </w:numPr>
        <w:spacing w:after="40" w:before="40"/>
      </w:pPr>
      <w:r>
        <w:rPr>
          <w:rFonts w:ascii="Arial" w:cs="Arial" w:eastAsia="Arial" w:hAnsi="Arial"/>
          <w:color w:val="1A1A1A"/>
          <w:sz w:val="20"/>
          <w:szCs w:val="20"/>
        </w:rPr>
        <w:t xml:space="preserve">Government recurrent expenditure on ECEC 2024–25: </w:t>
      </w:r>
      <w:r>
        <w:rPr>
          <w:rFonts w:ascii="Arial" w:cs="Arial" w:eastAsia="Arial" w:hAnsi="Arial"/>
          <w:b/>
          <w:bCs/>
          <w:color w:val="1A1A1A"/>
          <w:sz w:val="20"/>
          <w:szCs w:val="20"/>
        </w:rPr>
        <w:t xml:space="preserve">AUD $20.4 billion</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[5] </w:t>
      </w:r>
    </w:p>
    <w:p>
      <w:pPr>
        <w:pStyle w:val="ListParagraph"/>
        <w:numPr>
          <w:ilvl w:val="0"/>
          <w:numId w:val="2"/>
        </w:numPr>
        <w:spacing w:after="40" w:before="40"/>
      </w:pPr>
      <w:r>
        <w:rPr>
          <w:rFonts w:ascii="Arial" w:cs="Arial" w:eastAsia="Arial" w:hAnsi="Arial"/>
          <w:color w:val="1A1A1A"/>
          <w:sz w:val="20"/>
          <w:szCs w:val="20"/>
        </w:rPr>
        <w:t xml:space="preserve">Projected workforce growth needed by 2034: </w:t>
      </w:r>
      <w:r>
        <w:rPr>
          <w:rFonts w:ascii="Arial" w:cs="Arial" w:eastAsia="Arial" w:hAnsi="Arial"/>
          <w:b/>
          <w:bCs/>
          <w:color w:val="1A1A1A"/>
          <w:sz w:val="20"/>
          <w:szCs w:val="20"/>
        </w:rPr>
        <w:t xml:space="preserve">1.5% per year</w:t>
      </w:r>
      <w:r>
        <w:rPr>
          <w:rFonts w:ascii="Arial" w:cs="Arial" w:eastAsia="Arial" w:hAnsi="Arial"/>
          <w:color w:val="1A1A1A"/>
          <w:sz w:val="20"/>
          <w:szCs w:val="20"/>
        </w:rPr>
        <w:t xml:space="preserve"> to meet population and participation demand </w:t>
      </w:r>
      <w:r>
        <w:rPr>
          <w:rFonts w:ascii="Arial" w:cs="Arial" w:eastAsia="Arial" w:hAnsi="Arial"/>
          <w:color w:val="888888"/>
          <w:sz w:val="14"/>
          <w:szCs w:val="14"/>
          <w:vertAlign w:val="superscript"/>
        </w:rPr>
        <w:t xml:space="preserve"> [6] </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2. Market Overview</w:t>
      </w:r>
    </w:p>
    <w:p>
      <w:pPr>
        <w:pStyle w:val="Heading2"/>
        <w:spacing w:after="100" w:before="280"/>
      </w:pPr>
      <w:r>
        <w:rPr>
          <w:rFonts w:ascii="Arial" w:cs="Arial" w:eastAsia="Arial" w:hAnsi="Arial"/>
          <w:b/>
          <w:bCs/>
          <w:color w:val="0D7A6E"/>
          <w:sz w:val="26"/>
          <w:szCs w:val="26"/>
        </w:rPr>
        <w:t xml:space="preserve">2.1 Market Size and Growth</w:t>
      </w:r>
    </w:p>
    <w:p>
      <w:pPr>
        <w:spacing w:after="60" w:before="60"/>
      </w:pPr>
      <w:r>
        <w:rPr>
          <w:rFonts w:ascii="Arial" w:cs="Arial" w:eastAsia="Arial" w:hAnsi="Arial"/>
          <w:color w:val="1A1A1A"/>
          <w:sz w:val="20"/>
          <w:szCs w:val="20"/>
        </w:rPr>
        <w:t xml:space="preserve">According to IBISWorld, the Australian Child Care Services market was valued at </w:t>
      </w:r>
      <w:r>
        <w:rPr>
          <w:rFonts w:ascii="Arial" w:cs="Arial" w:eastAsia="Arial" w:hAnsi="Arial"/>
          <w:b/>
          <w:bCs/>
          <w:color w:val="1A1A1A"/>
          <w:sz w:val="20"/>
          <w:szCs w:val="20"/>
        </w:rPr>
        <w:t xml:space="preserve">AUD $23.6 billion in 2025</w:t>
      </w:r>
      <w:r>
        <w:rPr>
          <w:rFonts w:ascii="Arial" w:cs="Arial" w:eastAsia="Arial" w:hAnsi="Arial"/>
          <w:color w:val="1A1A1A"/>
          <w:sz w:val="20"/>
          <w:szCs w:val="20"/>
        </w:rPr>
        <w:t xml:space="preserve">, up 8.6% from $21.7 billion in 2024. The market has compounded at a 7.8% CAGR over the five years 2020–2025 </w:t>
      </w:r>
      <w:r>
        <w:rPr>
          <w:rFonts w:ascii="Arial" w:cs="Arial" w:eastAsia="Arial" w:hAnsi="Arial"/>
          <w:color w:val="888888"/>
          <w:sz w:val="14"/>
          <w:szCs w:val="14"/>
          <w:vertAlign w:val="superscript"/>
        </w:rPr>
        <w:t xml:space="preserve"> [1] </w:t>
      </w:r>
      <w:r>
        <w:rPr>
          <w:rFonts w:ascii="Arial" w:cs="Arial" w:eastAsia="Arial" w:hAnsi="Arial"/>
          <w:color w:val="1A1A1A"/>
          <w:sz w:val="20"/>
          <w:szCs w:val="20"/>
        </w:rPr>
        <w:t xml:space="preserve">. The sector consists of 11,131 registered businesses employing 195,809 people, with an average of 17.4 employees per business </w:t>
      </w:r>
      <w:r>
        <w:rPr>
          <w:rFonts w:ascii="Arial" w:cs="Arial" w:eastAsia="Arial" w:hAnsi="Arial"/>
          <w:color w:val="888888"/>
          <w:sz w:val="14"/>
          <w:szCs w:val="14"/>
          <w:vertAlign w:val="superscript"/>
        </w:rPr>
        <w:t xml:space="preserve"> [1, 4] </w:t>
      </w:r>
      <w:r>
        <w:rPr>
          <w:rFonts w:ascii="Arial" w:cs="Arial" w:eastAsia="Arial" w:hAnsi="Arial"/>
          <w:color w:val="1A1A1A"/>
          <w:sz w:val="20"/>
          <w:szCs w:val="20"/>
        </w:rPr>
        <w:t xml:space="preserve">. Government investment underpins this growth: total recurrent government expenditure on ECEC reached </w:t>
      </w:r>
      <w:r>
        <w:rPr>
          <w:rFonts w:ascii="Arial" w:cs="Arial" w:eastAsia="Arial" w:hAnsi="Arial"/>
          <w:b/>
          <w:bCs/>
          <w:color w:val="1A1A1A"/>
          <w:sz w:val="20"/>
          <w:szCs w:val="20"/>
        </w:rPr>
        <w:t xml:space="preserve">AUD $20.4 billion in 2024–25</w:t>
      </w:r>
      <w:r>
        <w:rPr>
          <w:rFonts w:ascii="Arial" w:cs="Arial" w:eastAsia="Arial" w:hAnsi="Arial"/>
          <w:color w:val="1A1A1A"/>
          <w:sz w:val="20"/>
          <w:szCs w:val="20"/>
        </w:rPr>
        <w:t xml:space="preserve">, with Child Care Subsidy expenditure set to exceed AUD $16 billion in 2025 </w:t>
      </w:r>
      <w:r>
        <w:rPr>
          <w:rFonts w:ascii="Arial" w:cs="Arial" w:eastAsia="Arial" w:hAnsi="Arial"/>
          <w:color w:val="888888"/>
          <w:sz w:val="14"/>
          <w:szCs w:val="14"/>
          <w:vertAlign w:val="superscript"/>
        </w:rPr>
        <w:t xml:space="preserve"> [5, 7] </w:t>
      </w:r>
      <w:r>
        <w:rPr>
          <w:rFonts w:ascii="Arial" w:cs="Arial" w:eastAsia="Arial" w:hAnsi="Arial"/>
          <w:color w:val="1A1A1A"/>
          <w:sz w:val="20"/>
          <w:szCs w:val="20"/>
        </w:rPr>
        <w:t xml:space="preserv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2.2 Workforce Demand Drivers</w:t>
      </w:r>
    </w:p>
    <w:p>
      <w:pPr>
        <w:spacing w:after="60" w:before="60"/>
      </w:pPr>
      <w:r>
        <w:rPr>
          <w:rFonts w:ascii="Arial" w:cs="Arial" w:eastAsia="Arial" w:hAnsi="Arial"/>
          <w:color w:val="1A1A1A"/>
          <w:sz w:val="20"/>
          <w:szCs w:val="20"/>
        </w:rPr>
        <w:t xml:space="preserve">The casual staffing market exists primarily because of three structural pressures on centres:</w:t>
      </w:r>
    </w:p>
    <w:p>
      <w:pPr>
        <w:pStyle w:val="ListParagraph"/>
        <w:numPr>
          <w:ilvl w:val="0"/>
          <w:numId w:val="2"/>
        </w:numPr>
        <w:spacing w:after="40" w:before="40"/>
      </w:pPr>
      <w:r>
        <w:rPr>
          <w:rFonts w:ascii="Arial" w:cs="Arial" w:eastAsia="Arial" w:hAnsi="Arial"/>
          <w:color w:val="1A1A1A"/>
          <w:sz w:val="20"/>
          <w:szCs w:val="20"/>
        </w:rPr>
        <w:t xml:space="preserve">Persistent labour shortages — childcare educators are among the largest occupation groups affected by below-average retention, with over </w:t>
      </w:r>
      <w:r>
        <w:rPr>
          <w:rFonts w:ascii="Arial" w:cs="Arial" w:eastAsia="Arial" w:hAnsi="Arial"/>
          <w:b/>
          <w:bCs/>
          <w:color w:val="1A1A1A"/>
          <w:sz w:val="20"/>
          <w:szCs w:val="20"/>
        </w:rPr>
        <w:t xml:space="preserve">173,000 workers</w:t>
      </w:r>
      <w:r>
        <w:rPr>
          <w:rFonts w:ascii="Arial" w:cs="Arial" w:eastAsia="Arial" w:hAnsi="Arial"/>
          <w:color w:val="1A1A1A"/>
          <w:sz w:val="20"/>
          <w:szCs w:val="20"/>
        </w:rPr>
        <w:t xml:space="preserve"> facing pressures from low pay, poor working conditions, and limited social infrastructure access </w:t>
      </w:r>
      <w:r>
        <w:rPr>
          <w:rFonts w:ascii="Arial" w:cs="Arial" w:eastAsia="Arial" w:hAnsi="Arial"/>
          <w:color w:val="888888"/>
          <w:sz w:val="14"/>
          <w:szCs w:val="14"/>
          <w:vertAlign w:val="superscript"/>
        </w:rPr>
        <w:t xml:space="preserve"> [8] </w:t>
      </w:r>
    </w:p>
    <w:p>
      <w:pPr>
        <w:pStyle w:val="ListParagraph"/>
        <w:numPr>
          <w:ilvl w:val="0"/>
          <w:numId w:val="2"/>
        </w:numPr>
        <w:spacing w:after="40" w:before="40"/>
      </w:pPr>
      <w:r>
        <w:rPr>
          <w:rFonts w:ascii="Arial" w:cs="Arial" w:eastAsia="Arial" w:hAnsi="Arial"/>
          <w:color w:val="1A1A1A"/>
          <w:sz w:val="20"/>
          <w:szCs w:val="20"/>
        </w:rPr>
        <w:t xml:space="preserve">National Quality Framework ratio requirements — centres must maintain prescribed educator-to-child ratios or face regulatory action under the Education and Care Services National Law </w:t>
      </w:r>
      <w:r>
        <w:rPr>
          <w:rFonts w:ascii="Arial" w:cs="Arial" w:eastAsia="Arial" w:hAnsi="Arial"/>
          <w:color w:val="888888"/>
          <w:sz w:val="14"/>
          <w:szCs w:val="14"/>
          <w:vertAlign w:val="superscript"/>
        </w:rPr>
        <w:t xml:space="preserve"> [2] </w:t>
      </w:r>
    </w:p>
    <w:p>
      <w:pPr>
        <w:pStyle w:val="ListParagraph"/>
        <w:numPr>
          <w:ilvl w:val="0"/>
          <w:numId w:val="2"/>
        </w:numPr>
        <w:spacing w:after="40" w:before="40"/>
      </w:pPr>
      <w:r>
        <w:rPr>
          <w:rFonts w:ascii="Arial" w:cs="Arial" w:eastAsia="Arial" w:hAnsi="Arial"/>
          <w:color w:val="1A1A1A"/>
          <w:sz w:val="20"/>
          <w:szCs w:val="20"/>
        </w:rPr>
        <w:t xml:space="preserve">Australian Government's 3-day childcare guarantee from 2026, increasing subsidised hours and driving demand for educators </w:t>
      </w:r>
      <w:r>
        <w:rPr>
          <w:rFonts w:ascii="Arial" w:cs="Arial" w:eastAsia="Arial" w:hAnsi="Arial"/>
          <w:color w:val="888888"/>
          <w:sz w:val="14"/>
          <w:szCs w:val="14"/>
          <w:vertAlign w:val="superscript"/>
        </w:rPr>
        <w:t xml:space="preserve"> [6] </w:t>
      </w:r>
    </w:p>
    <w:p>
      <w:pPr>
        <w:pStyle w:val="ListParagraph"/>
        <w:numPr>
          <w:ilvl w:val="0"/>
          <w:numId w:val="2"/>
        </w:numPr>
        <w:spacing w:after="40" w:before="40"/>
      </w:pPr>
      <w:r>
        <w:rPr>
          <w:rFonts w:ascii="Arial" w:cs="Arial" w:eastAsia="Arial" w:hAnsi="Arial"/>
          <w:color w:val="1A1A1A"/>
          <w:sz w:val="20"/>
          <w:szCs w:val="20"/>
        </w:rPr>
        <w:t xml:space="preserve">Jobs and Skills Australia projects </w:t>
      </w:r>
      <w:r>
        <w:rPr>
          <w:rFonts w:ascii="Arial" w:cs="Arial" w:eastAsia="Arial" w:hAnsi="Arial"/>
          <w:b/>
          <w:bCs/>
          <w:color w:val="1A1A1A"/>
          <w:sz w:val="20"/>
          <w:szCs w:val="20"/>
        </w:rPr>
        <w:t xml:space="preserve">nearly 1 million new jobs (6.5% growth) by 2030</w:t>
      </w:r>
      <w:r>
        <w:rPr>
          <w:rFonts w:ascii="Arial" w:cs="Arial" w:eastAsia="Arial" w:hAnsi="Arial"/>
          <w:color w:val="1A1A1A"/>
          <w:sz w:val="20"/>
          <w:szCs w:val="20"/>
        </w:rPr>
        <w:t xml:space="preserve">, with education and care among the expanding sectors </w:t>
      </w:r>
      <w:r>
        <w:rPr>
          <w:rFonts w:ascii="Arial" w:cs="Arial" w:eastAsia="Arial" w:hAnsi="Arial"/>
          <w:color w:val="888888"/>
          <w:sz w:val="14"/>
          <w:szCs w:val="14"/>
          <w:vertAlign w:val="superscript"/>
        </w:rPr>
        <w:t xml:space="preserve"> [6] </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2.3 Market Structure</w:t>
      </w:r>
    </w:p>
    <w:p>
      <w:pPr>
        <w:spacing w:after="60" w:before="60"/>
      </w:pPr>
      <w:r>
        <w:rPr>
          <w:rFonts w:ascii="Arial" w:cs="Arial" w:eastAsia="Arial" w:hAnsi="Arial"/>
          <w:color w:val="1A1A1A"/>
          <w:sz w:val="20"/>
          <w:szCs w:val="20"/>
        </w:rPr>
        <w:t xml:space="preserve">The Australian casual childcare staffing market has bifurcated into two distinct models:</w:t>
      </w:r>
    </w:p>
    <w:p>
      <w:pPr>
        <w:pStyle w:val="ListParagraph"/>
        <w:numPr>
          <w:ilvl w:val="0"/>
          <w:numId w:val="2"/>
        </w:numPr>
        <w:spacing w:after="40" w:before="40"/>
      </w:pPr>
      <w:r>
        <w:rPr>
          <w:rFonts w:ascii="Arial" w:cs="Arial" w:eastAsia="Arial" w:hAnsi="Arial"/>
          <w:color w:val="1A1A1A"/>
          <w:sz w:val="20"/>
          <w:szCs w:val="20"/>
        </w:rPr>
        <w:t xml:space="preserve">Traditional agency model — Human-led, consultant-driven, higher fees, deeper centre relationships (ANZUK Education, Expect A Star)</w:t>
      </w:r>
    </w:p>
    <w:p>
      <w:pPr>
        <w:pStyle w:val="ListParagraph"/>
        <w:numPr>
          <w:ilvl w:val="0"/>
          <w:numId w:val="2"/>
        </w:numPr>
        <w:spacing w:after="40" w:before="40"/>
      </w:pPr>
      <w:r>
        <w:rPr>
          <w:rFonts w:ascii="Arial" w:cs="Arial" w:eastAsia="Arial" w:hAnsi="Arial"/>
          <w:color w:val="1A1A1A"/>
          <w:sz w:val="20"/>
          <w:szCs w:val="20"/>
        </w:rPr>
        <w:t xml:space="preserve">App-first platform model — Technology-led, lower fees, faster matching, self-serve (Raw Talent, Talent Now, QuickCare, Z Staffing)</w:t>
      </w:r>
    </w:p>
    <w:p>
      <w:pPr>
        <w:spacing w:after="80" w:before="80"/>
      </w:pPr>
      <w:r>
        <w:t xml:space="preserve"/>
      </w:r>
    </w:p>
    <w:p>
      <w:pPr>
        <w:spacing w:after="60" w:before="60"/>
      </w:pPr>
      <w:r>
        <w:rPr>
          <w:rFonts w:ascii="Arial" w:cs="Arial" w:eastAsia="Arial" w:hAnsi="Arial"/>
          <w:color w:val="1A1A1A"/>
          <w:sz w:val="20"/>
          <w:szCs w:val="20"/>
        </w:rPr>
        <w:t xml:space="preserve">The two categories are converging: ANZUK has built its Ready2Book platform, Expect A Star offers app-based booking, and Talent Now has expanded into payroll integration via Employment Hero </w:t>
      </w:r>
      <w:r>
        <w:rPr>
          <w:rFonts w:ascii="Arial" w:cs="Arial" w:eastAsia="Arial" w:hAnsi="Arial"/>
          <w:color w:val="888888"/>
          <w:sz w:val="14"/>
          <w:szCs w:val="14"/>
          <w:vertAlign w:val="superscript"/>
        </w:rPr>
        <w:t xml:space="preserve"> [9, 10, 11] </w:t>
      </w:r>
      <w:r>
        <w:rPr>
          <w:rFonts w:ascii="Arial" w:cs="Arial" w:eastAsia="Arial" w:hAnsi="Arial"/>
          <w:color w:val="1A1A1A"/>
          <w:sz w:val="20"/>
          <w:szCs w:val="20"/>
        </w:rPr>
        <w:t xml:space="preserve">. The race is no longer between human or technology — it is about which provider can credibly combine both.</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2.4 Regulatory Context Driving Behaviour</w:t>
      </w:r>
    </w:p>
    <w:p>
      <w:pPr>
        <w:spacing w:after="60" w:before="60"/>
      </w:pPr>
      <w:r>
        <w:rPr>
          <w:rFonts w:ascii="Arial" w:cs="Arial" w:eastAsia="Arial" w:hAnsi="Arial"/>
          <w:color w:val="1A1A1A"/>
          <w:sz w:val="20"/>
          <w:szCs w:val="20"/>
        </w:rPr>
        <w:t xml:space="preserve">The 2026 ECEC reform agenda is reshaping centre buying behaviour. The Australian Government's Worker Retention Payment Scheme, the Expanded ECEC Multi-Employer Agreement 2024–2026 (now covering approximately </w:t>
      </w:r>
      <w:r>
        <w:rPr>
          <w:rFonts w:ascii="Arial" w:cs="Arial" w:eastAsia="Arial" w:hAnsi="Arial"/>
          <w:b/>
          <w:bCs/>
          <w:color w:val="1A1A1A"/>
          <w:sz w:val="20"/>
          <w:szCs w:val="20"/>
        </w:rPr>
        <w:t xml:space="preserve">38,000 employees across 229 employers</w:t>
      </w:r>
      <w:r>
        <w:rPr>
          <w:rFonts w:ascii="Arial" w:cs="Arial" w:eastAsia="Arial" w:hAnsi="Arial"/>
          <w:color w:val="1A1A1A"/>
          <w:sz w:val="20"/>
          <w:szCs w:val="20"/>
        </w:rPr>
        <w:t xml:space="preserve">), and upcoming amendments to Regulation 84A on child safety training are increasing the administrative burden on centres </w:t>
      </w:r>
      <w:r>
        <w:rPr>
          <w:rFonts w:ascii="Arial" w:cs="Arial" w:eastAsia="Arial" w:hAnsi="Arial"/>
          <w:color w:val="888888"/>
          <w:sz w:val="14"/>
          <w:szCs w:val="14"/>
          <w:vertAlign w:val="superscript"/>
        </w:rPr>
        <w:t xml:space="preserve"> [12] </w:t>
      </w:r>
      <w:r>
        <w:rPr>
          <w:rFonts w:ascii="Arial" w:cs="Arial" w:eastAsia="Arial" w:hAnsi="Arial"/>
          <w:color w:val="1A1A1A"/>
          <w:sz w:val="20"/>
          <w:szCs w:val="20"/>
        </w:rPr>
        <w:t xml:space="preserve">. Centres are increasingly evaluating staffing providers on their ability to reduce compliance friction — not just on price or fill rate.</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3. Raw Talent — Company Profile</w:t>
      </w:r>
    </w:p>
    <w:p>
      <w:pPr>
        <w:pStyle w:val="Heading2"/>
        <w:spacing w:after="100" w:before="280"/>
      </w:pPr>
      <w:r>
        <w:rPr>
          <w:rFonts w:ascii="Arial" w:cs="Arial" w:eastAsia="Arial" w:hAnsi="Arial"/>
          <w:b/>
          <w:bCs/>
          <w:color w:val="0D7A6E"/>
          <w:sz w:val="26"/>
          <w:szCs w:val="26"/>
        </w:rPr>
        <w:t xml:space="preserve">Verified Company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Legal 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Talent Recruitment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Liam Baxter and Ryan Lea (Directors)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Melbourne, Victoria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App-first casual &amp; permanent childcare staffing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 pool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 network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1,600+ centres Australia-wide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Shifts filled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Stated fill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Apps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 (App Store) and Android (Google Play)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rawtalent.com.au</w:t>
            </w:r>
          </w:p>
        </w:tc>
      </w:tr>
    </w:tbl>
    <w:p>
      <w:pPr>
        <w:spacing w:after="80" w:before="80"/>
      </w:pPr>
      <w:r>
        <w:t xml:space="preserve"/>
      </w:r>
    </w:p>
    <w:p>
      <w:pPr>
        <w:spacing w:after="60" w:before="60"/>
      </w:pPr>
      <w:r>
        <w:rPr>
          <w:rFonts w:ascii="Arial" w:cs="Arial" w:eastAsia="Arial" w:hAnsi="Arial"/>
          <w:color w:val="1A1A1A"/>
          <w:sz w:val="20"/>
          <w:szCs w:val="20"/>
        </w:rPr>
        <w:t xml:space="preserve">Raw Talent was founded in 2016 by Liam Baxter and Ryan Lea with the goal of revolutionising temporary and permanent recruitment in childcare across Australia </w:t>
      </w:r>
      <w:r>
        <w:rPr>
          <w:rFonts w:ascii="Arial" w:cs="Arial" w:eastAsia="Arial" w:hAnsi="Arial"/>
          <w:color w:val="888888"/>
          <w:sz w:val="14"/>
          <w:szCs w:val="14"/>
          <w:vertAlign w:val="superscript"/>
        </w:rPr>
        <w:t xml:space="preserve"> [13] </w:t>
      </w:r>
      <w:r>
        <w:rPr>
          <w:rFonts w:ascii="Arial" w:cs="Arial" w:eastAsia="Arial" w:hAnsi="Arial"/>
          <w:color w:val="1A1A1A"/>
          <w:sz w:val="20"/>
          <w:szCs w:val="20"/>
        </w:rPr>
        <w:t xml:space="preserve">. The company operates exclusively in the early childhood sector and is publicly visible through its Facebook page ("Raw Talent", Melbourne), LinkedIn presence, and dual app store listings.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Stated Customer Numbers (Source: Raw Talent Homepage, 2026)</w:t>
      </w:r>
    </w:p>
    <w:p>
      <w:pPr>
        <w:pStyle w:val="ListParagraph"/>
        <w:numPr>
          <w:ilvl w:val="0"/>
          <w:numId w:val="2"/>
        </w:numPr>
        <w:spacing w:after="40" w:before="40"/>
      </w:pPr>
      <w:r>
        <w:rPr>
          <w:rFonts w:ascii="Arial" w:cs="Arial" w:eastAsia="Arial" w:hAnsi="Arial"/>
          <w:color w:val="1A1A1A"/>
          <w:sz w:val="20"/>
          <w:szCs w:val="20"/>
        </w:rPr>
        <w:t xml:space="preserve">1,600+ centres trusting the platform</w:t>
      </w:r>
    </w:p>
    <w:p>
      <w:pPr>
        <w:pStyle w:val="ListParagraph"/>
        <w:numPr>
          <w:ilvl w:val="0"/>
          <w:numId w:val="2"/>
        </w:numPr>
        <w:spacing w:after="40" w:before="40"/>
      </w:pPr>
      <w:r>
        <w:rPr>
          <w:rFonts w:ascii="Arial" w:cs="Arial" w:eastAsia="Arial" w:hAnsi="Arial"/>
          <w:color w:val="1A1A1A"/>
          <w:sz w:val="20"/>
          <w:szCs w:val="20"/>
        </w:rPr>
        <w:t xml:space="preserve">6,000+ educators in network</w:t>
      </w:r>
    </w:p>
    <w:p>
      <w:pPr>
        <w:pStyle w:val="ListParagraph"/>
        <w:numPr>
          <w:ilvl w:val="0"/>
          <w:numId w:val="2"/>
        </w:numPr>
        <w:spacing w:after="40" w:before="40"/>
      </w:pPr>
      <w:r>
        <w:rPr>
          <w:rFonts w:ascii="Arial" w:cs="Arial" w:eastAsia="Arial" w:hAnsi="Arial"/>
          <w:color w:val="1A1A1A"/>
          <w:sz w:val="20"/>
          <w:szCs w:val="20"/>
        </w:rPr>
        <w:t xml:space="preserve">100,000+ shifts filled</w:t>
      </w:r>
    </w:p>
    <w:p>
      <w:pPr>
        <w:pStyle w:val="ListParagraph"/>
        <w:numPr>
          <w:ilvl w:val="0"/>
          <w:numId w:val="2"/>
        </w:numPr>
        <w:spacing w:after="40" w:before="40"/>
      </w:pPr>
      <w:r>
        <w:rPr>
          <w:rFonts w:ascii="Arial" w:cs="Arial" w:eastAsia="Arial" w:hAnsi="Arial"/>
          <w:color w:val="1A1A1A"/>
          <w:sz w:val="20"/>
          <w:szCs w:val="20"/>
        </w:rPr>
        <w:t xml:space="preserve">96% fill rate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Named Centre Clients (Source: Raw Talent Website Logos &amp; Testimonials)</w:t>
      </w:r>
    </w:p>
    <w:p>
      <w:pPr>
        <w:pStyle w:val="ListParagraph"/>
        <w:numPr>
          <w:ilvl w:val="0"/>
          <w:numId w:val="2"/>
        </w:numPr>
        <w:spacing w:after="40" w:before="40"/>
      </w:pPr>
      <w:r>
        <w:rPr>
          <w:rFonts w:ascii="Arial" w:cs="Arial" w:eastAsia="Arial" w:hAnsi="Arial"/>
          <w:color w:val="1A1A1A"/>
          <w:sz w:val="20"/>
          <w:szCs w:val="20"/>
        </w:rPr>
        <w:t xml:space="preserve">Goodstart Early Learning (largest ECEC provider in Australia)</w:t>
      </w:r>
    </w:p>
    <w:p>
      <w:pPr>
        <w:pStyle w:val="ListParagraph"/>
        <w:numPr>
          <w:ilvl w:val="0"/>
          <w:numId w:val="2"/>
        </w:numPr>
        <w:spacing w:after="40" w:before="40"/>
      </w:pPr>
      <w:r>
        <w:rPr>
          <w:rFonts w:ascii="Arial" w:cs="Arial" w:eastAsia="Arial" w:hAnsi="Arial"/>
          <w:color w:val="1A1A1A"/>
          <w:sz w:val="20"/>
          <w:szCs w:val="20"/>
        </w:rPr>
        <w:t xml:space="preserve">Guardian Childcare &amp; Education</w:t>
      </w:r>
    </w:p>
    <w:p>
      <w:pPr>
        <w:pStyle w:val="ListParagraph"/>
        <w:numPr>
          <w:ilvl w:val="0"/>
          <w:numId w:val="2"/>
        </w:numPr>
        <w:spacing w:after="40" w:before="40"/>
      </w:pPr>
      <w:r>
        <w:rPr>
          <w:rFonts w:ascii="Arial" w:cs="Arial" w:eastAsia="Arial" w:hAnsi="Arial"/>
          <w:color w:val="1A1A1A"/>
          <w:sz w:val="20"/>
          <w:szCs w:val="20"/>
        </w:rPr>
        <w:t xml:space="preserve">Affinity Education Group</w:t>
      </w:r>
    </w:p>
    <w:p>
      <w:pPr>
        <w:pStyle w:val="ListParagraph"/>
        <w:numPr>
          <w:ilvl w:val="0"/>
          <w:numId w:val="2"/>
        </w:numPr>
        <w:spacing w:after="40" w:before="40"/>
      </w:pPr>
      <w:r>
        <w:rPr>
          <w:rFonts w:ascii="Arial" w:cs="Arial" w:eastAsia="Arial" w:hAnsi="Arial"/>
          <w:color w:val="1A1A1A"/>
          <w:sz w:val="20"/>
          <w:szCs w:val="20"/>
        </w:rPr>
        <w:t xml:space="preserve">Bambini Early Learning</w:t>
      </w:r>
    </w:p>
    <w:p>
      <w:pPr>
        <w:pStyle w:val="ListParagraph"/>
        <w:numPr>
          <w:ilvl w:val="0"/>
          <w:numId w:val="2"/>
        </w:numPr>
        <w:spacing w:after="40" w:before="40"/>
      </w:pPr>
      <w:r>
        <w:rPr>
          <w:rFonts w:ascii="Arial" w:cs="Arial" w:eastAsia="Arial" w:hAnsi="Arial"/>
          <w:color w:val="1A1A1A"/>
          <w:sz w:val="20"/>
          <w:szCs w:val="20"/>
        </w:rPr>
        <w:t xml:space="preserve">Choklits Childcare</w:t>
      </w:r>
    </w:p>
    <w:p>
      <w:pPr>
        <w:pStyle w:val="ListParagraph"/>
        <w:numPr>
          <w:ilvl w:val="0"/>
          <w:numId w:val="2"/>
        </w:numPr>
        <w:spacing w:after="40" w:before="40"/>
      </w:pPr>
      <w:r>
        <w:rPr>
          <w:rFonts w:ascii="Arial" w:cs="Arial" w:eastAsia="Arial" w:hAnsi="Arial"/>
          <w:color w:val="1A1A1A"/>
          <w:sz w:val="20"/>
          <w:szCs w:val="20"/>
        </w:rPr>
        <w:t xml:space="preserve">BPA Children's Services</w:t>
      </w:r>
    </w:p>
    <w:p>
      <w:pPr>
        <w:pStyle w:val="ListParagraph"/>
        <w:numPr>
          <w:ilvl w:val="0"/>
          <w:numId w:val="2"/>
        </w:numPr>
        <w:spacing w:after="40" w:before="40"/>
      </w:pPr>
      <w:r>
        <w:rPr>
          <w:rFonts w:ascii="Arial" w:cs="Arial" w:eastAsia="Arial" w:hAnsi="Arial"/>
          <w:color w:val="1A1A1A"/>
          <w:sz w:val="20"/>
          <w:szCs w:val="20"/>
        </w:rPr>
        <w:t xml:space="preserve">Edge Early Learning</w:t>
      </w:r>
    </w:p>
    <w:p>
      <w:pPr>
        <w:pStyle w:val="ListParagraph"/>
        <w:numPr>
          <w:ilvl w:val="0"/>
          <w:numId w:val="2"/>
        </w:numPr>
        <w:spacing w:after="40" w:before="40"/>
      </w:pPr>
      <w:r>
        <w:rPr>
          <w:rFonts w:ascii="Arial" w:cs="Arial" w:eastAsia="Arial" w:hAnsi="Arial"/>
          <w:color w:val="1A1A1A"/>
          <w:sz w:val="20"/>
          <w:szCs w:val="20"/>
        </w:rPr>
        <w:t xml:space="preserve">Wattletree Early Childhood Centre</w:t>
      </w:r>
    </w:p>
    <w:p>
      <w:pPr>
        <w:pStyle w:val="ListParagraph"/>
        <w:numPr>
          <w:ilvl w:val="0"/>
          <w:numId w:val="2"/>
        </w:numPr>
        <w:spacing w:after="40" w:before="40"/>
      </w:pPr>
      <w:r>
        <w:rPr>
          <w:rFonts w:ascii="Arial" w:cs="Arial" w:eastAsia="Arial" w:hAnsi="Arial"/>
          <w:color w:val="1A1A1A"/>
          <w:sz w:val="20"/>
          <w:szCs w:val="20"/>
        </w:rPr>
        <w:t xml:space="preserve">Amiga Montessori</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Distinctive Features</w:t>
      </w:r>
    </w:p>
    <w:p>
      <w:pPr>
        <w:pStyle w:val="ListParagraph"/>
        <w:numPr>
          <w:ilvl w:val="0"/>
          <w:numId w:val="2"/>
        </w:numPr>
        <w:spacing w:after="40" w:before="40"/>
      </w:pPr>
      <w:r>
        <w:rPr>
          <w:rFonts w:ascii="Arial" w:cs="Arial" w:eastAsia="Arial" w:hAnsi="Arial"/>
          <w:color w:val="1A1A1A"/>
          <w:sz w:val="20"/>
          <w:szCs w:val="20"/>
        </w:rPr>
        <w:t xml:space="preserve">Weekly educator pay (self-described as the only agency in market with this)</w:t>
      </w:r>
    </w:p>
    <w:p>
      <w:pPr>
        <w:pStyle w:val="ListParagraph"/>
        <w:numPr>
          <w:ilvl w:val="0"/>
          <w:numId w:val="2"/>
        </w:numPr>
        <w:spacing w:after="40" w:before="40"/>
      </w:pPr>
      <w:r>
        <w:rPr>
          <w:rFonts w:ascii="Arial" w:cs="Arial" w:eastAsia="Arial" w:hAnsi="Arial"/>
          <w:color w:val="1A1A1A"/>
          <w:sz w:val="20"/>
          <w:szCs w:val="20"/>
        </w:rPr>
        <w:t xml:space="preserve">Favourites List and Manage Your Casual Pool</w:t>
      </w:r>
    </w:p>
    <w:p>
      <w:pPr>
        <w:pStyle w:val="ListParagraph"/>
        <w:numPr>
          <w:ilvl w:val="0"/>
          <w:numId w:val="2"/>
        </w:numPr>
        <w:spacing w:after="40" w:before="40"/>
      </w:pPr>
      <w:r>
        <w:rPr>
          <w:rFonts w:ascii="Arial" w:cs="Arial" w:eastAsia="Arial" w:hAnsi="Arial"/>
          <w:color w:val="1A1A1A"/>
          <w:sz w:val="20"/>
          <w:szCs w:val="20"/>
        </w:rPr>
        <w:t xml:space="preserve">Lowest rate guarantee — will beat competitor rate if found</w:t>
      </w:r>
    </w:p>
    <w:p>
      <w:pPr>
        <w:pStyle w:val="ListParagraph"/>
        <w:numPr>
          <w:ilvl w:val="0"/>
          <w:numId w:val="2"/>
        </w:numPr>
        <w:spacing w:after="40" w:before="40"/>
      </w:pPr>
      <w:r>
        <w:rPr>
          <w:rFonts w:ascii="Arial" w:cs="Arial" w:eastAsia="Arial" w:hAnsi="Arial"/>
          <w:color w:val="1A1A1A"/>
          <w:sz w:val="20"/>
          <w:szCs w:val="20"/>
        </w:rPr>
        <w:t xml:space="preserve">Educator profile browsing prior to booking</w:t>
      </w:r>
    </w:p>
    <w:p>
      <w:pPr>
        <w:pStyle w:val="ListParagraph"/>
        <w:numPr>
          <w:ilvl w:val="0"/>
          <w:numId w:val="2"/>
        </w:numPr>
        <w:spacing w:after="40" w:before="40"/>
      </w:pPr>
      <w:r>
        <w:rPr>
          <w:rFonts w:ascii="Arial" w:cs="Arial" w:eastAsia="Arial" w:hAnsi="Arial"/>
          <w:color w:val="1A1A1A"/>
          <w:sz w:val="20"/>
          <w:szCs w:val="20"/>
        </w:rPr>
        <w:t xml:space="preserve">Live chat support</w:t>
      </w:r>
    </w:p>
    <w:p>
      <w:pPr>
        <w:pStyle w:val="ListParagraph"/>
        <w:numPr>
          <w:ilvl w:val="0"/>
          <w:numId w:val="2"/>
        </w:numPr>
        <w:spacing w:after="40" w:before="40"/>
      </w:pPr>
      <w:r>
        <w:rPr>
          <w:rFonts w:ascii="Arial" w:cs="Arial" w:eastAsia="Arial" w:hAnsi="Arial"/>
          <w:color w:val="1A1A1A"/>
          <w:sz w:val="20"/>
          <w:szCs w:val="20"/>
        </w:rPr>
        <w:t xml:space="preserve">Free centre sign-up with no hidden fees</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4. Competitor Profiles</w:t>
      </w:r>
    </w:p>
    <w:p>
      <w:pPr>
        <w:spacing w:after="60" w:before="60"/>
      </w:pPr>
      <w:r>
        <w:rPr>
          <w:rFonts w:ascii="Arial" w:cs="Arial" w:eastAsia="Arial" w:hAnsi="Arial"/>
          <w:i/>
          <w:iCs/>
          <w:color w:val="555555"/>
          <w:sz w:val="20"/>
          <w:szCs w:val="20"/>
        </w:rPr>
        <w:t xml:space="preserve">Each competitor below is profiled using verified information from their own websites, official press releases, third-party industry publications, and government data sources. All claims include source attribution.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4.1 ANZUK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World's largest specialist education recruitment company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Global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globally (Australia, NZ, UK, Canada, USA, Europe)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Australian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(Melbourne, Sydney, Brisbane, Perth, Canberra, Adelaide, plus regional)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Global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Childhood, Primary, Secondary, OSHC, Executive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Ready2Book (proprietary booking app)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rates (Cert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$34.04/hr ex super ($37.78 inc super)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rates (Diploma)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$40.10/hr ex super ($44.51 inc super)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rates (ECT)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$349.02 for 4+ hours + 11.5% Super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anzuk.education/au</w:t>
            </w:r>
          </w:p>
        </w:tc>
      </w:tr>
    </w:tbl>
    <w:p>
      <w:pPr>
        <w:spacing w:after="80" w:before="80"/>
      </w:pPr>
      <w:r>
        <w:t xml:space="preserve"/>
      </w:r>
    </w:p>
    <w:p>
      <w:pPr>
        <w:spacing w:after="60" w:before="60"/>
      </w:pPr>
      <w:r>
        <w:rPr>
          <w:rFonts w:ascii="Arial" w:cs="Arial" w:eastAsia="Arial" w:hAnsi="Arial"/>
          <w:color w:val="1A1A1A"/>
          <w:sz w:val="20"/>
          <w:szCs w:val="20"/>
        </w:rPr>
        <w:t xml:space="preserve">ANZUK Education was founded in 2004 with the original mission of placing Australian and New Zealand educators into UK classrooms. In 2024 the company celebrated its 20th anniversary as the world's largest specialist education recruitment company </w:t>
      </w:r>
      <w:r>
        <w:rPr>
          <w:rFonts w:ascii="Arial" w:cs="Arial" w:eastAsia="Arial" w:hAnsi="Arial"/>
          <w:color w:val="888888"/>
          <w:sz w:val="14"/>
          <w:szCs w:val="14"/>
          <w:vertAlign w:val="superscript"/>
        </w:rPr>
        <w:t xml:space="preserve"> [14] </w:t>
      </w:r>
      <w:r>
        <w:rPr>
          <w:rFonts w:ascii="Arial" w:cs="Arial" w:eastAsia="Arial" w:hAnsi="Arial"/>
          <w:color w:val="1A1A1A"/>
          <w:sz w:val="20"/>
          <w:szCs w:val="20"/>
        </w:rPr>
        <w:t xml:space="preserve">. Pay rates are sourced directly from ANZUK's published 2025 casual recruitment listings </w:t>
      </w:r>
      <w:r>
        <w:rPr>
          <w:rFonts w:ascii="Arial" w:cs="Arial" w:eastAsia="Arial" w:hAnsi="Arial"/>
          <w:color w:val="888888"/>
          <w:sz w:val="14"/>
          <w:szCs w:val="14"/>
          <w:vertAlign w:val="superscript"/>
        </w:rPr>
        <w:t xml:space="preserve"> [15] </w:t>
      </w:r>
      <w:r>
        <w:rPr>
          <w:rFonts w:ascii="Arial" w:cs="Arial" w:eastAsia="Arial" w:hAnsi="Arial"/>
          <w:color w:val="1A1A1A"/>
          <w:sz w:val="20"/>
          <w:szCs w:val="20"/>
        </w:rPr>
        <w:t xml:space="preserve">. Their multi-layer screening process includes </w:t>
      </w:r>
      <w:r>
        <w:rPr>
          <w:rFonts w:ascii="Arial" w:cs="Arial" w:eastAsia="Arial" w:hAnsi="Arial"/>
          <w:b/>
          <w:bCs/>
          <w:color w:val="1A1A1A"/>
          <w:sz w:val="20"/>
          <w:szCs w:val="20"/>
        </w:rPr>
        <w:t xml:space="preserve">two reference checks from within the past 12 months plus one management reference</w:t>
      </w:r>
      <w:r>
        <w:rPr>
          <w:rFonts w:ascii="Arial" w:cs="Arial" w:eastAsia="Arial" w:hAnsi="Arial"/>
          <w:color w:val="1A1A1A"/>
          <w:sz w:val="20"/>
          <w:szCs w:val="20"/>
        </w:rPr>
        <w:t xml:space="preserve">, among the most rigorous in the market </w:t>
      </w:r>
      <w:r>
        <w:rPr>
          <w:rFonts w:ascii="Arial" w:cs="Arial" w:eastAsia="Arial" w:hAnsi="Arial"/>
          <w:color w:val="888888"/>
          <w:sz w:val="14"/>
          <w:szCs w:val="14"/>
          <w:vertAlign w:val="superscript"/>
        </w:rPr>
        <w:t xml:space="preserve"> [16]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22-year sector track record — strongest brand trust among casual staffing competitors</w:t>
      </w:r>
    </w:p>
    <w:p>
      <w:pPr>
        <w:pStyle w:val="ListParagraph"/>
        <w:numPr>
          <w:ilvl w:val="0"/>
          <w:numId w:val="2"/>
        </w:numPr>
        <w:spacing w:after="40" w:before="40"/>
      </w:pPr>
      <w:r>
        <w:rPr>
          <w:rFonts w:ascii="Arial" w:cs="Arial" w:eastAsia="Arial" w:hAnsi="Arial"/>
          <w:color w:val="1A1A1A"/>
          <w:sz w:val="20"/>
          <w:szCs w:val="20"/>
        </w:rPr>
        <w:t xml:space="preserve">9 physical offices in Australia enabling genuine local centre relationships</w:t>
      </w:r>
    </w:p>
    <w:p>
      <w:pPr>
        <w:pStyle w:val="ListParagraph"/>
        <w:numPr>
          <w:ilvl w:val="0"/>
          <w:numId w:val="2"/>
        </w:numPr>
        <w:spacing w:after="40" w:before="40"/>
      </w:pPr>
      <w:r>
        <w:rPr>
          <w:rFonts w:ascii="Arial" w:cs="Arial" w:eastAsia="Arial" w:hAnsi="Arial"/>
          <w:color w:val="1A1A1A"/>
          <w:sz w:val="20"/>
          <w:szCs w:val="20"/>
        </w:rPr>
        <w:t xml:space="preserve">Consultants are frequently former educators themselves</w:t>
      </w:r>
    </w:p>
    <w:p>
      <w:pPr>
        <w:pStyle w:val="ListParagraph"/>
        <w:numPr>
          <w:ilvl w:val="0"/>
          <w:numId w:val="2"/>
        </w:numPr>
        <w:spacing w:after="40" w:before="40"/>
      </w:pPr>
      <w:r>
        <w:rPr>
          <w:rFonts w:ascii="Arial" w:cs="Arial" w:eastAsia="Arial" w:hAnsi="Arial"/>
          <w:color w:val="1A1A1A"/>
          <w:sz w:val="20"/>
          <w:szCs w:val="20"/>
        </w:rPr>
        <w:t xml:space="preserve">Ready2Book platform combines human consultants with technology booking layer</w:t>
      </w:r>
    </w:p>
    <w:p>
      <w:pPr>
        <w:pStyle w:val="ListParagraph"/>
        <w:numPr>
          <w:ilvl w:val="0"/>
          <w:numId w:val="2"/>
        </w:numPr>
        <w:spacing w:after="40" w:before="40"/>
      </w:pPr>
      <w:r>
        <w:rPr>
          <w:rFonts w:ascii="Arial" w:cs="Arial" w:eastAsia="Arial" w:hAnsi="Arial"/>
          <w:color w:val="1A1A1A"/>
          <w:sz w:val="20"/>
          <w:szCs w:val="20"/>
        </w:rPr>
        <w:t xml:space="preserve">Multi-layer educator screening (2+1 reference checks)</w:t>
      </w:r>
    </w:p>
    <w:p>
      <w:pPr>
        <w:pStyle w:val="ListParagraph"/>
        <w:numPr>
          <w:ilvl w:val="0"/>
          <w:numId w:val="2"/>
        </w:numPr>
        <w:spacing w:after="40" w:before="40"/>
      </w:pPr>
      <w:r>
        <w:rPr>
          <w:rFonts w:ascii="Arial" w:cs="Arial" w:eastAsia="Arial" w:hAnsi="Arial"/>
          <w:color w:val="1A1A1A"/>
          <w:sz w:val="20"/>
          <w:szCs w:val="20"/>
        </w:rPr>
        <w:t xml:space="preserve">Coverage across Early Childhood, OSHC, Primary, Secondary, and Executive recruitment</w:t>
      </w:r>
    </w:p>
    <w:p>
      <w:pPr>
        <w:pStyle w:val="ListParagraph"/>
        <w:numPr>
          <w:ilvl w:val="0"/>
          <w:numId w:val="2"/>
        </w:numPr>
        <w:spacing w:after="40" w:before="40"/>
      </w:pPr>
      <w:r>
        <w:rPr>
          <w:rFonts w:ascii="Arial" w:cs="Arial" w:eastAsia="Arial" w:hAnsi="Arial"/>
          <w:color w:val="1A1A1A"/>
          <w:sz w:val="20"/>
          <w:szCs w:val="20"/>
        </w:rPr>
        <w:t xml:space="preserve">Free professional development sessions for educators — strong supply-side attraction</w:t>
      </w:r>
    </w:p>
    <w:p>
      <w:pPr>
        <w:pStyle w:val="ListParagraph"/>
        <w:numPr>
          <w:ilvl w:val="0"/>
          <w:numId w:val="2"/>
        </w:numPr>
        <w:spacing w:after="40" w:before="40"/>
      </w:pPr>
      <w:r>
        <w:rPr>
          <w:rFonts w:ascii="Arial" w:cs="Arial" w:eastAsia="Arial" w:hAnsi="Arial"/>
          <w:color w:val="1A1A1A"/>
          <w:sz w:val="20"/>
          <w:szCs w:val="20"/>
        </w:rPr>
        <w:t xml:space="preserve">$100 educator referral bonus program</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ANZUK combines scale, brand trust, and a competitive technology layer. Centres prioritising compliance, reliability, and being known by their staffing provider have a credible alternative at a higher price point. Raw Talent's app-only support model does not match ANZUK's consultant relationship layer.</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4.2 Talent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Founder &amp; CEO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Liddy Korner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app-based casual staffing platform in Australia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Self-description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"Uber of Childcare"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Two-tier pricing: Casual Connect + Casual Hire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Connect 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Centres directly employ educators; Talent Now charges booking fee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Hire 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Full-service — Talent Now manages payments and invoices centres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Employment Hero (announced Feb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Worker Retention Payment Scheme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 tier eligible — competitive advantage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talentnow.com.au</w:t>
            </w:r>
          </w:p>
        </w:tc>
      </w:tr>
    </w:tbl>
    <w:p>
      <w:pPr>
        <w:spacing w:after="80" w:before="80"/>
      </w:pPr>
      <w:r>
        <w:t xml:space="preserve"/>
      </w:r>
    </w:p>
    <w:p>
      <w:pPr>
        <w:spacing w:after="60" w:before="60"/>
      </w:pPr>
      <w:r>
        <w:rPr>
          <w:rFonts w:ascii="Arial" w:cs="Arial" w:eastAsia="Arial" w:hAnsi="Arial"/>
          <w:color w:val="1A1A1A"/>
          <w:sz w:val="20"/>
          <w:szCs w:val="20"/>
        </w:rPr>
        <w:t xml:space="preserve">Talent Now was founded in 2018 by Liddy Korner after her own experience with daycare for her son highlighted the gap between industry profitability and educator value </w:t>
      </w:r>
      <w:r>
        <w:rPr>
          <w:rFonts w:ascii="Arial" w:cs="Arial" w:eastAsia="Arial" w:hAnsi="Arial"/>
          <w:color w:val="888888"/>
          <w:sz w:val="14"/>
          <w:szCs w:val="14"/>
          <w:vertAlign w:val="superscript"/>
        </w:rPr>
        <w:t xml:space="preserve"> [17] </w:t>
      </w:r>
      <w:r>
        <w:rPr>
          <w:rFonts w:ascii="Arial" w:cs="Arial" w:eastAsia="Arial" w:hAnsi="Arial"/>
          <w:color w:val="1A1A1A"/>
          <w:sz w:val="20"/>
          <w:szCs w:val="20"/>
        </w:rPr>
        <w:t xml:space="preserve">. The company positions itself as Australia's first app-based casual staffing solution. In February 2025, Talent Now announced a strategic integration with Employment Hero, allowing payroll and compliance data to flow seamlessly between platforms — particularly valuable for centres participating in the Australian Government's Worker Retention Payment Scheme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w:t>
      </w:r>
    </w:p>
    <w:p>
      <w:pPr>
        <w:spacing w:after="80" w:before="80"/>
      </w:pPr>
      <w:r>
        <w:t xml:space="preserve"/>
      </w:r>
    </w:p>
    <w:p>
      <w:pPr>
        <w:spacing w:after="60" w:before="60"/>
      </w:pPr>
      <w:r>
        <w:rPr>
          <w:rFonts w:ascii="Arial" w:cs="Arial" w:eastAsia="Arial" w:hAnsi="Arial"/>
          <w:color w:val="1A1A1A"/>
          <w:sz w:val="20"/>
          <w:szCs w:val="20"/>
        </w:rPr>
        <w:t xml:space="preserve">The </w:t>
      </w:r>
      <w:r>
        <w:rPr>
          <w:rFonts w:ascii="Arial" w:cs="Arial" w:eastAsia="Arial" w:hAnsi="Arial"/>
          <w:b/>
          <w:bCs/>
          <w:color w:val="1A1A1A"/>
          <w:sz w:val="20"/>
          <w:szCs w:val="20"/>
        </w:rPr>
        <w:t xml:space="preserve">Casual Connect</w:t>
      </w:r>
      <w:r>
        <w:rPr>
          <w:rFonts w:ascii="Arial" w:cs="Arial" w:eastAsia="Arial" w:hAnsi="Arial"/>
          <w:color w:val="1A1A1A"/>
          <w:sz w:val="20"/>
          <w:szCs w:val="20"/>
        </w:rPr>
        <w:t xml:space="preserve"> model is structurally distinct: educators are employed directly by the childcare centre, not by Talent Now. This keeps casual staffing costs significantly lower for ECEC services and enables centres to access the government Worker Retention Payment for those casuals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Pricing flexibility — Connect tier addresses budget-conscious centres directly</w:t>
      </w:r>
    </w:p>
    <w:p>
      <w:pPr>
        <w:pStyle w:val="ListParagraph"/>
        <w:numPr>
          <w:ilvl w:val="0"/>
          <w:numId w:val="2"/>
        </w:numPr>
        <w:spacing w:after="40" w:before="40"/>
      </w:pPr>
      <w:r>
        <w:rPr>
          <w:rFonts w:ascii="Arial" w:cs="Arial" w:eastAsia="Arial" w:hAnsi="Arial"/>
          <w:color w:val="1A1A1A"/>
          <w:sz w:val="20"/>
          <w:szCs w:val="20"/>
        </w:rPr>
        <w:t xml:space="preserve">Casual Connect enables Worker Retention Payment eligibility for casuals</w:t>
      </w:r>
    </w:p>
    <w:p>
      <w:pPr>
        <w:pStyle w:val="ListParagraph"/>
        <w:numPr>
          <w:ilvl w:val="0"/>
          <w:numId w:val="2"/>
        </w:numPr>
        <w:spacing w:after="40" w:before="40"/>
      </w:pPr>
      <w:r>
        <w:rPr>
          <w:rFonts w:ascii="Arial" w:cs="Arial" w:eastAsia="Arial" w:hAnsi="Arial"/>
          <w:color w:val="1A1A1A"/>
          <w:sz w:val="20"/>
          <w:szCs w:val="20"/>
        </w:rPr>
        <w:t xml:space="preserve">Employment Hero integration reduces administrative burden for centres</w:t>
      </w:r>
    </w:p>
    <w:p>
      <w:pPr>
        <w:pStyle w:val="ListParagraph"/>
        <w:numPr>
          <w:ilvl w:val="0"/>
          <w:numId w:val="2"/>
        </w:numPr>
        <w:spacing w:after="40" w:before="40"/>
      </w:pPr>
      <w:r>
        <w:rPr>
          <w:rFonts w:ascii="Arial" w:cs="Arial" w:eastAsia="Arial" w:hAnsi="Arial"/>
          <w:color w:val="1A1A1A"/>
          <w:sz w:val="20"/>
          <w:szCs w:val="20"/>
        </w:rPr>
        <w:t xml:space="preserve">Stand-alone organisation — not owned by a childcare provider (transparency advantage)</w:t>
      </w:r>
    </w:p>
    <w:p>
      <w:pPr>
        <w:pStyle w:val="ListParagraph"/>
        <w:numPr>
          <w:ilvl w:val="0"/>
          <w:numId w:val="2"/>
        </w:numPr>
        <w:spacing w:after="40" w:before="40"/>
      </w:pPr>
      <w:r>
        <w:rPr>
          <w:rFonts w:ascii="Arial" w:cs="Arial" w:eastAsia="Arial" w:hAnsi="Arial"/>
          <w:color w:val="1A1A1A"/>
          <w:sz w:val="20"/>
          <w:szCs w:val="20"/>
        </w:rPr>
        <w:t xml:space="preserve">Educator rating system enables centres to benchmark for excellence</w:t>
      </w:r>
    </w:p>
    <w:p>
      <w:pPr>
        <w:pStyle w:val="ListParagraph"/>
        <w:numPr>
          <w:ilvl w:val="0"/>
          <w:numId w:val="2"/>
        </w:numPr>
        <w:spacing w:after="40" w:before="40"/>
      </w:pPr>
      <w:r>
        <w:rPr>
          <w:rFonts w:ascii="Arial" w:cs="Arial" w:eastAsia="Arial" w:hAnsi="Arial"/>
          <w:color w:val="1A1A1A"/>
          <w:sz w:val="20"/>
          <w:szCs w:val="20"/>
        </w:rPr>
        <w:t xml:space="preserve">Pre-vetted educator documentation maintained continuously</w:t>
      </w:r>
    </w:p>
    <w:p>
      <w:pPr>
        <w:pStyle w:val="ListParagraph"/>
        <w:numPr>
          <w:ilvl w:val="0"/>
          <w:numId w:val="2"/>
        </w:numPr>
        <w:spacing w:after="40" w:before="40"/>
      </w:pPr>
      <w:r>
        <w:rPr>
          <w:rFonts w:ascii="Arial" w:cs="Arial" w:eastAsia="Arial" w:hAnsi="Arial"/>
          <w:color w:val="1A1A1A"/>
          <w:sz w:val="20"/>
          <w:szCs w:val="20"/>
        </w:rPr>
        <w:t xml:space="preserve">Active sector commentary on regulatory reform (2026 child safety updates published)</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Talent Now's Casual Connect tier is a structural undercut of Raw Talent's pricing model. As centres adopt the Worker Retention Payment Scheme, Talent Now's eligibility advantage will draw price-sensitive volume away from Raw Talent. The Employment Hero integration is a tangible product gap Raw Talent does not currently address.</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4.3 Expect A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Ownership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Australian-owned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Childcare, Primary, Secondary — ages birth to 18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Hybrid (consultant-led with app and client portal)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Unique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International educator sourcing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Regional offering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Travelling Educator program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1300 669 653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Listing fee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Operating hours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24/7 booking via app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expectastar.com.au</w:t>
            </w:r>
          </w:p>
        </w:tc>
      </w:tr>
    </w:tbl>
    <w:p>
      <w:pPr>
        <w:spacing w:after="80" w:before="80"/>
      </w:pPr>
      <w:r>
        <w:t xml:space="preserve"/>
      </w:r>
    </w:p>
    <w:p>
      <w:pPr>
        <w:spacing w:after="60" w:before="60"/>
      </w:pPr>
      <w:r>
        <w:rPr>
          <w:rFonts w:ascii="Arial" w:cs="Arial" w:eastAsia="Arial" w:hAnsi="Arial"/>
          <w:color w:val="1A1A1A"/>
          <w:sz w:val="20"/>
          <w:szCs w:val="20"/>
        </w:rPr>
        <w:t xml:space="preserve">Expect A Star is an Australian-owned agency operating since 2004 with an exclusive focus on the early childhood sector </w:t>
      </w:r>
      <w:r>
        <w:rPr>
          <w:rFonts w:ascii="Arial" w:cs="Arial" w:eastAsia="Arial" w:hAnsi="Arial"/>
          <w:color w:val="888888"/>
          <w:sz w:val="14"/>
          <w:szCs w:val="14"/>
          <w:vertAlign w:val="superscript"/>
        </w:rPr>
        <w:t xml:space="preserve"> [18] </w:t>
      </w:r>
      <w:r>
        <w:rPr>
          <w:rFonts w:ascii="Arial" w:cs="Arial" w:eastAsia="Arial" w:hAnsi="Arial"/>
          <w:color w:val="1A1A1A"/>
          <w:sz w:val="20"/>
          <w:szCs w:val="20"/>
        </w:rPr>
        <w:t xml:space="preserve">. The company has expanded its scope to cover childcare, primary, and secondary schools, serving children from birth to 18 years. The client portal app allows centres to check shifts, manage compliance documents, report safety incidents, and communicate with consultants in one place </w:t>
      </w:r>
      <w:r>
        <w:rPr>
          <w:rFonts w:ascii="Arial" w:cs="Arial" w:eastAsia="Arial" w:hAnsi="Arial"/>
          <w:color w:val="888888"/>
          <w:sz w:val="14"/>
          <w:szCs w:val="14"/>
          <w:vertAlign w:val="superscript"/>
        </w:rPr>
        <w:t xml:space="preserve"> [19]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22-year track record in the exclusive ECEC space</w:t>
      </w:r>
    </w:p>
    <w:p>
      <w:pPr>
        <w:pStyle w:val="ListParagraph"/>
        <w:numPr>
          <w:ilvl w:val="0"/>
          <w:numId w:val="2"/>
        </w:numPr>
        <w:spacing w:after="40" w:before="40"/>
      </w:pPr>
      <w:r>
        <w:rPr>
          <w:rFonts w:ascii="Arial" w:cs="Arial" w:eastAsia="Arial" w:hAnsi="Arial"/>
          <w:color w:val="1A1A1A"/>
          <w:sz w:val="20"/>
          <w:szCs w:val="20"/>
        </w:rPr>
        <w:t xml:space="preserve">International educator sourcing pipeline — solves regional staffing crises Raw Talent cannot address</w:t>
      </w:r>
    </w:p>
    <w:p>
      <w:pPr>
        <w:pStyle w:val="ListParagraph"/>
        <w:numPr>
          <w:ilvl w:val="0"/>
          <w:numId w:val="2"/>
        </w:numPr>
        <w:spacing w:after="40" w:before="40"/>
      </w:pPr>
      <w:r>
        <w:rPr>
          <w:rFonts w:ascii="Arial" w:cs="Arial" w:eastAsia="Arial" w:hAnsi="Arial"/>
          <w:color w:val="1A1A1A"/>
          <w:sz w:val="20"/>
          <w:szCs w:val="20"/>
        </w:rPr>
        <w:t xml:space="preserve">Travelling Educator program addresses regional Australia gap</w:t>
      </w:r>
    </w:p>
    <w:p>
      <w:pPr>
        <w:pStyle w:val="ListParagraph"/>
        <w:numPr>
          <w:ilvl w:val="0"/>
          <w:numId w:val="2"/>
        </w:numPr>
        <w:spacing w:after="40" w:before="40"/>
      </w:pPr>
      <w:r>
        <w:rPr>
          <w:rFonts w:ascii="Arial" w:cs="Arial" w:eastAsia="Arial" w:hAnsi="Arial"/>
          <w:color w:val="1A1A1A"/>
          <w:sz w:val="20"/>
          <w:szCs w:val="20"/>
        </w:rPr>
        <w:t xml:space="preserve">Client app handles compliance docs, scheduling, and incident reporting in one place</w:t>
      </w:r>
    </w:p>
    <w:p>
      <w:pPr>
        <w:pStyle w:val="ListParagraph"/>
        <w:numPr>
          <w:ilvl w:val="0"/>
          <w:numId w:val="2"/>
        </w:numPr>
        <w:spacing w:after="40" w:before="40"/>
      </w:pPr>
      <w:r>
        <w:rPr>
          <w:rFonts w:ascii="Arial" w:cs="Arial" w:eastAsia="Arial" w:hAnsi="Arial"/>
          <w:color w:val="1A1A1A"/>
          <w:sz w:val="20"/>
          <w:szCs w:val="20"/>
        </w:rPr>
        <w:t xml:space="preserve">24/7 booking availability</w:t>
      </w:r>
    </w:p>
    <w:p>
      <w:pPr>
        <w:pStyle w:val="ListParagraph"/>
        <w:numPr>
          <w:ilvl w:val="0"/>
          <w:numId w:val="2"/>
        </w:numPr>
        <w:spacing w:after="40" w:before="40"/>
      </w:pPr>
      <w:r>
        <w:rPr>
          <w:rFonts w:ascii="Arial" w:cs="Arial" w:eastAsia="Arial" w:hAnsi="Arial"/>
          <w:color w:val="1A1A1A"/>
          <w:sz w:val="20"/>
          <w:szCs w:val="20"/>
        </w:rPr>
        <w:t xml:space="preserve">No listing fee — accessible commercial entry point</w:t>
      </w:r>
    </w:p>
    <w:p>
      <w:pPr>
        <w:pStyle w:val="ListParagraph"/>
        <w:numPr>
          <w:ilvl w:val="0"/>
          <w:numId w:val="2"/>
        </w:numPr>
        <w:spacing w:after="40" w:before="40"/>
      </w:pPr>
      <w:r>
        <w:rPr>
          <w:rFonts w:ascii="Arial" w:cs="Arial" w:eastAsia="Arial" w:hAnsi="Arial"/>
          <w:color w:val="1A1A1A"/>
          <w:sz w:val="20"/>
          <w:szCs w:val="20"/>
        </w:rPr>
        <w:t xml:space="preserve">Consultants bring localised industry knowledge</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MEDIUM-HIGH</w:t>
            </w:r>
          </w:p>
          <w:p>
            <w:pPr>
              <w:spacing w:after="0" w:before="0"/>
            </w:pPr>
            <w:r>
              <w:rPr>
                <w:rFonts w:ascii="Arial" w:cs="Arial" w:eastAsia="Arial" w:hAnsi="Arial"/>
                <w:color w:val="1A1A1A"/>
                <w:sz w:val="20"/>
                <w:szCs w:val="20"/>
              </w:rPr>
              <w:t xml:space="preserve">Expect A Star's 22-year track record and international educator pipeline are competitive moats Raw Talent cannot quickly replicate. Regional centres in particular benefit from Expect A Star's Travelling Educator program when local educator supply fails — a scenario Raw Talent's app-only domestic model does not solve.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4.4 QuickCare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Workforce management platform for ECEC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Centres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 Australia-wide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Educators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 onboarding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24–48 hours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Compliance 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Passport (real-time credential verification)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 pay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$35–$42/hr (vs. agency $28–$32/hr)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Unique feature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2-minute video educator profiles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Contract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lock-in; pay per shift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quickcarehr.com</w:t>
            </w:r>
          </w:p>
        </w:tc>
      </w:tr>
    </w:tbl>
    <w:p>
      <w:pPr>
        <w:spacing w:after="80" w:before="80"/>
      </w:pPr>
      <w:r>
        <w:t xml:space="preserve"/>
      </w:r>
    </w:p>
    <w:p>
      <w:pPr>
        <w:spacing w:after="60" w:before="60"/>
      </w:pPr>
      <w:r>
        <w:rPr>
          <w:rFonts w:ascii="Arial" w:cs="Arial" w:eastAsia="Arial" w:hAnsi="Arial"/>
          <w:color w:val="1A1A1A"/>
          <w:sz w:val="20"/>
          <w:szCs w:val="20"/>
        </w:rPr>
        <w:t xml:space="preserve">QuickCare launched in 2022 with a stated mission to raise the standard of care for children by automating compliance and improving educator visibility </w:t>
      </w:r>
      <w:r>
        <w:rPr>
          <w:rFonts w:ascii="Arial" w:cs="Arial" w:eastAsia="Arial" w:hAnsi="Arial"/>
          <w:color w:val="888888"/>
          <w:sz w:val="14"/>
          <w:szCs w:val="14"/>
          <w:vertAlign w:val="superscript"/>
        </w:rPr>
        <w:t xml:space="preserve"> [20] </w:t>
      </w:r>
      <w:r>
        <w:rPr>
          <w:rFonts w:ascii="Arial" w:cs="Arial" w:eastAsia="Arial" w:hAnsi="Arial"/>
          <w:color w:val="1A1A1A"/>
          <w:sz w:val="20"/>
          <w:szCs w:val="20"/>
        </w:rPr>
        <w:t xml:space="preserve">. In September 2025, sector publication </w:t>
      </w:r>
      <w:r>
        <w:rPr>
          <w:rFonts w:ascii="Arial" w:cs="Arial" w:eastAsia="Arial" w:hAnsi="Arial"/>
          <w:i/>
          <w:iCs/>
          <w:color w:val="1A1A1A"/>
          <w:sz w:val="20"/>
          <w:szCs w:val="20"/>
        </w:rPr>
        <w:t xml:space="preserve">The Sector</w:t>
      </w:r>
      <w:r>
        <w:rPr>
          <w:rFonts w:ascii="Arial" w:cs="Arial" w:eastAsia="Arial" w:hAnsi="Arial"/>
          <w:color w:val="1A1A1A"/>
          <w:sz w:val="20"/>
          <w:szCs w:val="20"/>
        </w:rPr>
        <w:t xml:space="preserve"> highlighted QuickCare as the response to a long-recognised gap in ECEC workforce management — a system supporting approved providers, leaders, and educators in managing workforce checks against the National Quality Framework, the Education and Care Services National Law, and ongoing child safety reforms </w:t>
      </w:r>
      <w:r>
        <w:rPr>
          <w:rFonts w:ascii="Arial" w:cs="Arial" w:eastAsia="Arial" w:hAnsi="Arial"/>
          <w:color w:val="888888"/>
          <w:sz w:val="14"/>
          <w:szCs w:val="14"/>
          <w:vertAlign w:val="superscript"/>
        </w:rPr>
        <w:t xml:space="preserve"> [21] </w:t>
      </w:r>
      <w:r>
        <w:rPr>
          <w:rFonts w:ascii="Arial" w:cs="Arial" w:eastAsia="Arial" w:hAnsi="Arial"/>
          <w:color w:val="1A1A1A"/>
          <w:sz w:val="20"/>
          <w:szCs w:val="20"/>
        </w:rPr>
        <w:t xml:space="preserve">. The </w:t>
      </w:r>
      <w:r>
        <w:rPr>
          <w:rFonts w:ascii="Arial" w:cs="Arial" w:eastAsia="Arial" w:hAnsi="Arial"/>
          <w:b/>
          <w:bCs/>
          <w:color w:val="1A1A1A"/>
          <w:sz w:val="20"/>
          <w:szCs w:val="20"/>
        </w:rPr>
        <w:t xml:space="preserve">Compliance Passport</w:t>
      </w:r>
      <w:r>
        <w:rPr>
          <w:rFonts w:ascii="Arial" w:cs="Arial" w:eastAsia="Arial" w:hAnsi="Arial"/>
          <w:color w:val="1A1A1A"/>
          <w:sz w:val="20"/>
          <w:szCs w:val="20"/>
        </w:rPr>
        <w:t xml:space="preserve"> feature tracks Working with Children Checks (WWCC), qualifications, and credential expiry dates in real time, addressing one of the highest-priority pain points for centre operators in 2026.</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Compliance Passport — real-time WWCC, qualification, and expiry tracking is the most sophisticated compliance feature in the market</w:t>
      </w:r>
    </w:p>
    <w:p>
      <w:pPr>
        <w:pStyle w:val="ListParagraph"/>
        <w:numPr>
          <w:ilvl w:val="0"/>
          <w:numId w:val="2"/>
        </w:numPr>
        <w:spacing w:after="40" w:before="40"/>
      </w:pPr>
      <w:r>
        <w:rPr>
          <w:rFonts w:ascii="Arial" w:cs="Arial" w:eastAsia="Arial" w:hAnsi="Arial"/>
          <w:color w:val="1A1A1A"/>
          <w:sz w:val="20"/>
          <w:szCs w:val="20"/>
        </w:rPr>
        <w:t xml:space="preserve">Video educator profiles (2-minute intro) — centres see personality before booking</w:t>
      </w:r>
    </w:p>
    <w:p>
      <w:pPr>
        <w:pStyle w:val="ListParagraph"/>
        <w:numPr>
          <w:ilvl w:val="0"/>
          <w:numId w:val="2"/>
        </w:numPr>
        <w:spacing w:after="40" w:before="40"/>
      </w:pPr>
      <w:r>
        <w:rPr>
          <w:rFonts w:ascii="Arial" w:cs="Arial" w:eastAsia="Arial" w:hAnsi="Arial"/>
          <w:color w:val="1A1A1A"/>
          <w:sz w:val="20"/>
          <w:szCs w:val="20"/>
        </w:rPr>
        <w:t xml:space="preserve">Reliability scoring system — educators build reputation, centres access premium tier</w:t>
      </w:r>
    </w:p>
    <w:p>
      <w:pPr>
        <w:pStyle w:val="ListParagraph"/>
        <w:numPr>
          <w:ilvl w:val="0"/>
          <w:numId w:val="2"/>
        </w:numPr>
        <w:spacing w:after="40" w:before="40"/>
      </w:pPr>
      <w:r>
        <w:rPr>
          <w:rFonts w:ascii="Arial" w:cs="Arial" w:eastAsia="Arial" w:hAnsi="Arial"/>
          <w:color w:val="1A1A1A"/>
          <w:sz w:val="20"/>
          <w:szCs w:val="20"/>
        </w:rPr>
        <w:t xml:space="preserve">Educator pay rates of $35–$42/hr exceed traditional agency rates of $28–$32/hr (strong supply-side attraction)</w:t>
      </w:r>
    </w:p>
    <w:p>
      <w:pPr>
        <w:pStyle w:val="ListParagraph"/>
        <w:numPr>
          <w:ilvl w:val="0"/>
          <w:numId w:val="2"/>
        </w:numPr>
        <w:spacing w:after="40" w:before="40"/>
      </w:pPr>
      <w:r>
        <w:rPr>
          <w:rFonts w:ascii="Arial" w:cs="Arial" w:eastAsia="Arial" w:hAnsi="Arial"/>
          <w:color w:val="1A1A1A"/>
          <w:sz w:val="20"/>
          <w:szCs w:val="20"/>
        </w:rPr>
        <w:t xml:space="preserve">No lock-in contracts; pay-per-shift commercial model</w:t>
      </w:r>
    </w:p>
    <w:p>
      <w:pPr>
        <w:pStyle w:val="ListParagraph"/>
        <w:numPr>
          <w:ilvl w:val="0"/>
          <w:numId w:val="2"/>
        </w:numPr>
        <w:spacing w:after="40" w:before="40"/>
      </w:pPr>
      <w:r>
        <w:rPr>
          <w:rFonts w:ascii="Arial" w:cs="Arial" w:eastAsia="Arial" w:hAnsi="Arial"/>
          <w:color w:val="1A1A1A"/>
          <w:sz w:val="20"/>
          <w:szCs w:val="20"/>
        </w:rPr>
        <w:t xml:space="preserve">Centre onboarding within 24–48 hours</w:t>
      </w:r>
    </w:p>
    <w:p>
      <w:pPr>
        <w:pStyle w:val="ListParagraph"/>
        <w:numPr>
          <w:ilvl w:val="0"/>
          <w:numId w:val="2"/>
        </w:numPr>
        <w:spacing w:after="40" w:before="40"/>
      </w:pPr>
      <w:r>
        <w:rPr>
          <w:rFonts w:ascii="Arial" w:cs="Arial" w:eastAsia="Arial" w:hAnsi="Arial"/>
          <w:color w:val="1A1A1A"/>
          <w:sz w:val="20"/>
          <w:szCs w:val="20"/>
        </w:rPr>
        <w:t xml:space="preserve">Strong child-safety values positioning aligns with 2026 reform agenda</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QuickCare's Compliance Passport directly addresses 2026 regulatory anxiety. Centres focused on reducing compliance risk will find this offering compelling. Higher educator pay rates create supply-side competition — Raw Talent risks losing high-quality casuals to QuickCare's pay differential.</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4.5 Z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App-first, in-app chat and email only (no phone support)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Stated fill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out of 10 shifts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Technology-driven "partner" model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positioning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Higher educator rates than traditional agencies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Support channels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In-app shift chat, email (admin@zstaffing.com.au)</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 focus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Childcare casual staffing; expanding to travel nursing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zstaffing.com.au</w:t>
            </w:r>
          </w:p>
        </w:tc>
      </w:tr>
    </w:tbl>
    <w:p>
      <w:pPr>
        <w:spacing w:after="80" w:before="80"/>
      </w:pPr>
      <w:r>
        <w:t xml:space="preserve"/>
      </w:r>
    </w:p>
    <w:p>
      <w:pPr>
        <w:spacing w:after="60" w:before="60"/>
      </w:pPr>
      <w:r>
        <w:rPr>
          <w:rFonts w:ascii="Arial" w:cs="Arial" w:eastAsia="Arial" w:hAnsi="Arial"/>
          <w:color w:val="1A1A1A"/>
          <w:sz w:val="20"/>
          <w:szCs w:val="20"/>
        </w:rPr>
        <w:t xml:space="preserve">Z Staffing operates a fully tech-driven model that explicitly removed phone support to focus on app-based service delivery. Centres are routed to dedicated shift chat channels for scheduling and cancellations </w:t>
      </w:r>
      <w:r>
        <w:rPr>
          <w:rFonts w:ascii="Arial" w:cs="Arial" w:eastAsia="Arial" w:hAnsi="Arial"/>
          <w:color w:val="888888"/>
          <w:sz w:val="14"/>
          <w:szCs w:val="14"/>
          <w:vertAlign w:val="superscript"/>
        </w:rPr>
        <w:t xml:space="preserve"> [22] </w:t>
      </w:r>
      <w:r>
        <w:rPr>
          <w:rFonts w:ascii="Arial" w:cs="Arial" w:eastAsia="Arial" w:hAnsi="Arial"/>
          <w:color w:val="1A1A1A"/>
          <w:sz w:val="20"/>
          <w:szCs w:val="20"/>
        </w:rPr>
        <w:t xml:space="preserve">. The company positions itself as a "partner" rather than a "supplier," emphasising quality and commitment. Z Staffing is also expanding beyond childcare into travel nursing contracts.</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Strong stated fill rate (9/10)</w:t>
      </w:r>
    </w:p>
    <w:p>
      <w:pPr>
        <w:pStyle w:val="ListParagraph"/>
        <w:numPr>
          <w:ilvl w:val="0"/>
          <w:numId w:val="2"/>
        </w:numPr>
        <w:spacing w:after="40" w:before="40"/>
      </w:pPr>
      <w:r>
        <w:rPr>
          <w:rFonts w:ascii="Arial" w:cs="Arial" w:eastAsia="Arial" w:hAnsi="Arial"/>
          <w:color w:val="1A1A1A"/>
          <w:sz w:val="20"/>
          <w:szCs w:val="20"/>
        </w:rPr>
        <w:t xml:space="preserve">Lean operating cost structure (no phone support)</w:t>
      </w:r>
    </w:p>
    <w:p>
      <w:pPr>
        <w:pStyle w:val="ListParagraph"/>
        <w:numPr>
          <w:ilvl w:val="0"/>
          <w:numId w:val="2"/>
        </w:numPr>
        <w:spacing w:after="40" w:before="40"/>
      </w:pPr>
      <w:r>
        <w:rPr>
          <w:rFonts w:ascii="Arial" w:cs="Arial" w:eastAsia="Arial" w:hAnsi="Arial"/>
          <w:color w:val="1A1A1A"/>
          <w:sz w:val="20"/>
          <w:szCs w:val="20"/>
        </w:rPr>
        <w:t xml:space="preserve">Dedicated in-app channels for shift management</w:t>
      </w:r>
    </w:p>
    <w:p>
      <w:pPr>
        <w:pStyle w:val="ListParagraph"/>
        <w:numPr>
          <w:ilvl w:val="0"/>
          <w:numId w:val="2"/>
        </w:numPr>
        <w:spacing w:after="40" w:before="40"/>
      </w:pPr>
      <w:r>
        <w:rPr>
          <w:rFonts w:ascii="Arial" w:cs="Arial" w:eastAsia="Arial" w:hAnsi="Arial"/>
          <w:color w:val="1A1A1A"/>
          <w:sz w:val="20"/>
          <w:szCs w:val="20"/>
        </w:rPr>
        <w:t xml:space="preserve">Higher educator pay positioning attracts supply</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w:t>
            </w:r>
          </w:p>
          <w:p>
            <w:pPr>
              <w:spacing w:after="0" w:before="0"/>
            </w:pPr>
            <w:r>
              <w:rPr>
                <w:rFonts w:ascii="Arial" w:cs="Arial" w:eastAsia="Arial" w:hAnsi="Arial"/>
                <w:color w:val="1A1A1A"/>
                <w:sz w:val="20"/>
                <w:szCs w:val="20"/>
              </w:rPr>
              <w:t xml:space="preserve">Z Staffing is a direct tech-model competitor without Raw Talent's scale or weekly pay differentiation. The no-phone-support stance creates a vulnerability with centres that value human contact in urgent ratio situations.</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5. Head-to-Head Comparison Matrix</w:t>
      </w:r>
    </w:p>
    <w:p>
      <w:pPr>
        <w:spacing w:after="60" w:before="60"/>
      </w:pPr>
      <w:r>
        <w:rPr>
          <w:rFonts w:ascii="Arial" w:cs="Arial" w:eastAsia="Arial" w:hAnsi="Arial"/>
          <w:i/>
          <w:iCs/>
          <w:color w:val="555555"/>
          <w:sz w:val="20"/>
          <w:szCs w:val="20"/>
        </w:rPr>
        <w:t xml:space="preserve">All figures below are sourced from each company's published materials, government data, or independent industry publications. Sources are referenced in Section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80"/>
        <w:gridCol w:w="1280"/>
        <w:gridCol w:w="1280"/>
        <w:gridCol w:w="1280"/>
        <w:gridCol w:w="1280"/>
        <w:gridCol w:w="1260"/>
      </w:tblGrid>
      <w:tr>
        <w:trPr>
          <w:tblHeader/>
        </w:trPr>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Raw Talent</w:t>
            </w:r>
          </w:p>
        </w:tc>
        <w:tc>
          <w:tcPr>
            <w:tcW w:type="dxa" w:w="1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ANZUK</w:t>
            </w:r>
          </w:p>
        </w:tc>
        <w:tc>
          <w:tcPr>
            <w:tcW w:type="dxa" w:w="1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Talent Now</w:t>
            </w:r>
          </w:p>
        </w:tc>
        <w:tc>
          <w:tcPr>
            <w:tcW w:type="dxa" w:w="1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 A Star</w:t>
            </w:r>
          </w:p>
        </w:tc>
        <w:tc>
          <w:tcPr>
            <w:tcW w:type="dxa" w:w="1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QuickCare</w:t>
            </w:r>
          </w:p>
        </w:tc>
        <w:tc>
          <w:tcPr>
            <w:tcW w:type="dxa" w:w="1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Z Staffing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Year founded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2016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2004</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2018</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2004</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2022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N/A</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Years operating</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Educator pool</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6,000+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Global</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Thousands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Large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N/A</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Centre network</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1,600+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AU-wide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AU-wide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AU-wide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AU-wide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Fill rate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Same-day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90%</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AU physical offices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Multiple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Weekly educator pay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Pricing tiers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Traditional</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Traditional</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Per-shift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Per-shift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Payroll integration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Employment Hero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Compliance auto-track</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Strong</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Good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Good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Best-in-class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Video profiles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Educator rating system</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Favourites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International supply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Regional solution</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Limited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Limited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Travelling Edu.</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Limited</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Limited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Phone support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Live chat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Limited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Permanent recruitment</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Cook/non-educator roles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Worker Retention Pay</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Connect-eligible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Standard</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6. Gap Analysis — Where Raw Talent is Losing</w:t>
      </w:r>
    </w:p>
    <w:p>
      <w:pPr>
        <w:pStyle w:val="Heading2"/>
        <w:spacing w:after="100" w:before="280"/>
      </w:pPr>
      <w:r>
        <w:rPr>
          <w:rFonts w:ascii="Arial" w:cs="Arial" w:eastAsia="Arial" w:hAnsi="Arial"/>
          <w:b/>
          <w:bCs/>
          <w:color w:val="0D7A6E"/>
          <w:sz w:val="26"/>
          <w:szCs w:val="26"/>
        </w:rPr>
        <w:t xml:space="preserve">6.1 Pricing Flexibility</w:t>
      </w:r>
    </w:p>
    <w:p>
      <w:pPr>
        <w:spacing w:after="60" w:before="60"/>
      </w:pPr>
      <w:r>
        <w:rPr>
          <w:rFonts w:ascii="Arial" w:cs="Arial" w:eastAsia="Arial" w:hAnsi="Arial"/>
          <w:color w:val="1A1A1A"/>
          <w:sz w:val="20"/>
          <w:szCs w:val="20"/>
        </w:rPr>
        <w:t xml:space="preserve">Raw Talent currently operates a single pricing model. Talent Now's Casual Connect tier — where educators are employed directly by the centre and Talent Now charges only a booking fee — creates a structurally lower-cost option for centres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 With Australia's new Worker Retention Payment Scheme, this model also enables centres to access the government grant on those casual hours, an advantage Raw Talent currently cannot offer.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Explore a two-tier pricing model. Add a self-serve booking-fee-only tier where centres directly employ educators, alongside the existing full-service tier. This neutralises Talent Now's Casual Connect advantage and aligns Raw Talent with the Worker Retention Payment Scheme.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6.2 Payroll &amp; Compliance Integration</w:t>
      </w:r>
    </w:p>
    <w:p>
      <w:pPr>
        <w:spacing w:after="60" w:before="60"/>
      </w:pPr>
      <w:r>
        <w:rPr>
          <w:rFonts w:ascii="Arial" w:cs="Arial" w:eastAsia="Arial" w:hAnsi="Arial"/>
          <w:color w:val="1A1A1A"/>
          <w:sz w:val="20"/>
          <w:szCs w:val="20"/>
        </w:rPr>
        <w:t xml:space="preserve">Talent Now's Employment Hero integration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 is the only payroll sync currently in the market. As the 2026 ECEC reform agenda intensifies compliance and wage reporting requirements, centres are evaluating providers on their ability to reduce administrative friction.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Evaluate integration with Employment Hero, Xero, or MYOB. Even a basic CSV export or webhook-based sync would reduce admin burden for centre managers and increase platform stickiness.</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6.3 Human Relationship Layer</w:t>
      </w:r>
    </w:p>
    <w:p>
      <w:pPr>
        <w:spacing w:after="60" w:before="60"/>
      </w:pPr>
      <w:r>
        <w:rPr>
          <w:rFonts w:ascii="Arial" w:cs="Arial" w:eastAsia="Arial" w:hAnsi="Arial"/>
          <w:color w:val="1A1A1A"/>
          <w:sz w:val="20"/>
          <w:szCs w:val="20"/>
        </w:rPr>
        <w:t xml:space="preserve">Across all primary source research, ANZUK Education and Expect A Star win disproportionately on the strength of personal consultant relationships. ANZUK consultants make regular in-person centre visits and many are former educators </w:t>
      </w:r>
      <w:r>
        <w:rPr>
          <w:rFonts w:ascii="Arial" w:cs="Arial" w:eastAsia="Arial" w:hAnsi="Arial"/>
          <w:color w:val="888888"/>
          <w:sz w:val="14"/>
          <w:szCs w:val="14"/>
          <w:vertAlign w:val="superscript"/>
        </w:rPr>
        <w:t xml:space="preserve"> [16] </w:t>
      </w:r>
      <w:r>
        <w:rPr>
          <w:rFonts w:ascii="Arial" w:cs="Arial" w:eastAsia="Arial" w:hAnsi="Arial"/>
          <w:color w:val="1A1A1A"/>
          <w:sz w:val="20"/>
          <w:szCs w:val="20"/>
        </w:rPr>
        <w:t xml:space="preserve">. Raw Talent's live chat support, while fast, does not replicate the trust built by named relationship managers.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Introduce a dedicated Account Manager program for high-volume centres (e.g. centres booking 20+ shifts/month). Physical offices are not required — a scheduled video check-in cadence plus proactive outreach would meaningfully differentiate Raw Talent's service experience.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6.4 Compliance Automation</w:t>
      </w:r>
    </w:p>
    <w:p>
      <w:pPr>
        <w:spacing w:after="60" w:before="60"/>
      </w:pPr>
      <w:r>
        <w:rPr>
          <w:rFonts w:ascii="Arial" w:cs="Arial" w:eastAsia="Arial" w:hAnsi="Arial"/>
          <w:color w:val="1A1A1A"/>
          <w:sz w:val="20"/>
          <w:szCs w:val="20"/>
        </w:rPr>
        <w:t xml:space="preserve">QuickCare's Compliance Passport — with real-time WWCC tracking, qualification expiry alerts, and instant document download per shift </w:t>
      </w:r>
      <w:r>
        <w:rPr>
          <w:rFonts w:ascii="Arial" w:cs="Arial" w:eastAsia="Arial" w:hAnsi="Arial"/>
          <w:color w:val="888888"/>
          <w:sz w:val="14"/>
          <w:szCs w:val="14"/>
          <w:vertAlign w:val="superscript"/>
        </w:rPr>
        <w:t xml:space="preserve"> [21] </w:t>
      </w:r>
      <w:r>
        <w:rPr>
          <w:rFonts w:ascii="Arial" w:cs="Arial" w:eastAsia="Arial" w:hAnsi="Arial"/>
          <w:color w:val="1A1A1A"/>
          <w:sz w:val="20"/>
          <w:szCs w:val="20"/>
        </w:rPr>
        <w:t xml:space="preserve"> — is the most sophisticated compliance tool in the market. With 2026 regulatory reforms increasing centre scrutiny, this is now a primary buying factor.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Build automated compliance expiry alerts into the Raw Talent app. Notify centres before an educator's documents lapse and surface ratio risk. This is high-value, technically straightforward, and directly addresses a top-three centre pain point.</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6.5 Educator Quality Signalling</w:t>
      </w:r>
    </w:p>
    <w:p>
      <w:pPr>
        <w:spacing w:after="60" w:before="60"/>
      </w:pPr>
      <w:r>
        <w:rPr>
          <w:rFonts w:ascii="Arial" w:cs="Arial" w:eastAsia="Arial" w:hAnsi="Arial"/>
          <w:color w:val="1A1A1A"/>
          <w:sz w:val="20"/>
          <w:szCs w:val="20"/>
        </w:rPr>
        <w:t xml:space="preserve">QuickCare's video profile feature </w:t>
      </w:r>
      <w:r>
        <w:rPr>
          <w:rFonts w:ascii="Arial" w:cs="Arial" w:eastAsia="Arial" w:hAnsi="Arial"/>
          <w:color w:val="888888"/>
          <w:sz w:val="14"/>
          <w:szCs w:val="14"/>
          <w:vertAlign w:val="superscript"/>
        </w:rPr>
        <w:t xml:space="preserve"> [23] </w:t>
      </w:r>
      <w:r>
        <w:rPr>
          <w:rFonts w:ascii="Arial" w:cs="Arial" w:eastAsia="Arial" w:hAnsi="Arial"/>
          <w:color w:val="1A1A1A"/>
          <w:sz w:val="20"/>
          <w:szCs w:val="20"/>
        </w:rPr>
        <w:t xml:space="preserve"> is a genuine product innovation. Centres see an educator's personality, communication style, and approach before booking — directly addressing the consistency concern that drives centres back to traditional agencies.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Introduce optional 60-second educator video profiles. This is a low-build feature that meaningfully reduces centre hesitation when booking unfamiliar educators and increases trust in the platform.</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6.6 Regional &amp; International Supply</w:t>
      </w:r>
    </w:p>
    <w:p>
      <w:pPr>
        <w:spacing w:after="60" w:before="60"/>
      </w:pPr>
      <w:r>
        <w:rPr>
          <w:rFonts w:ascii="Arial" w:cs="Arial" w:eastAsia="Arial" w:hAnsi="Arial"/>
          <w:color w:val="1A1A1A"/>
          <w:sz w:val="20"/>
          <w:szCs w:val="20"/>
        </w:rPr>
        <w:t xml:space="preserve">ANZUK Education and Expect A Star both address regional staffing crises Raw Talent cannot solve through its current app-only domestic model. Expect A Star's Travelling Educator program </w:t>
      </w:r>
      <w:r>
        <w:rPr>
          <w:rFonts w:ascii="Arial" w:cs="Arial" w:eastAsia="Arial" w:hAnsi="Arial"/>
          <w:color w:val="888888"/>
          <w:sz w:val="14"/>
          <w:szCs w:val="14"/>
          <w:vertAlign w:val="superscript"/>
        </w:rPr>
        <w:t xml:space="preserve"> [19] </w:t>
      </w:r>
      <w:r>
        <w:rPr>
          <w:rFonts w:ascii="Arial" w:cs="Arial" w:eastAsia="Arial" w:hAnsi="Arial"/>
          <w:color w:val="1A1A1A"/>
          <w:sz w:val="20"/>
          <w:szCs w:val="20"/>
        </w:rPr>
        <w:t xml:space="preserve"> and ANZUK's international placement network </w:t>
      </w:r>
      <w:r>
        <w:rPr>
          <w:rFonts w:ascii="Arial" w:cs="Arial" w:eastAsia="Arial" w:hAnsi="Arial"/>
          <w:color w:val="888888"/>
          <w:sz w:val="14"/>
          <w:szCs w:val="14"/>
          <w:vertAlign w:val="superscript"/>
        </w:rPr>
        <w:t xml:space="preserve"> [14] </w:t>
      </w:r>
      <w:r>
        <w:rPr>
          <w:rFonts w:ascii="Arial" w:cs="Arial" w:eastAsia="Arial" w:hAnsi="Arial"/>
          <w:color w:val="1A1A1A"/>
          <w:sz w:val="20"/>
          <w:szCs w:val="20"/>
        </w:rPr>
        <w:t xml:space="preserve"> are credible regional solutions Raw Talent does not currently offer.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Identify the top 10 regional markets where Raw Talent has below-average fill rates. Consider a targeted international educator onboarding pathway (e.g. partnering with VETASSESS for skill assessments) or a regional educator incentive program.</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7. Raw Talent SWOT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120"/>
              <w:left w:type="dxa" w:w="160"/>
              <w:bottom w:type="dxa" w:w="80"/>
              <w:right w:type="dxa" w:w="160"/>
            </w:tcMar>
          </w:tcPr>
          <w:p>
            <w:r>
              <w:rPr>
                <w:rFonts w:ascii="Arial" w:cs="Arial" w:eastAsia="Arial" w:hAnsi="Arial"/>
                <w:b/>
                <w:bCs/>
                <w:color w:val="FFFFFF"/>
                <w:sz w:val="22"/>
                <w:szCs w:val="22"/>
              </w:rPr>
              <w:t xml:space="preserve">STRENGTHS</w:t>
            </w:r>
          </w:p>
          <w:p>
            <w:pPr>
              <w:spacing w:before="80"/>
            </w:pPr>
            <w:r>
              <w:rPr>
                <w:rFonts w:ascii="Arial" w:cs="Arial" w:eastAsia="Arial" w:hAnsi="Arial"/>
                <w:color w:val="FFFFFF"/>
                <w:sz w:val="18"/>
                <w:szCs w:val="18"/>
              </w:rPr>
              <w:t xml:space="preserve">• 96% fill rate (self-reported, best among app-first peers)</w:t>
            </w:r>
          </w:p>
          <w:p>
            <w:r>
              <w:rPr>
                <w:rFonts w:ascii="Arial" w:cs="Arial" w:eastAsia="Arial" w:hAnsi="Arial"/>
                <w:color w:val="FFFFFF"/>
                <w:sz w:val="18"/>
                <w:szCs w:val="18"/>
              </w:rPr>
              <w:t xml:space="preserve">• Weekly educator pay — unique in market</w:t>
            </w:r>
          </w:p>
          <w:p>
            <w:r>
              <w:rPr>
                <w:rFonts w:ascii="Arial" w:cs="Arial" w:eastAsia="Arial" w:hAnsi="Arial"/>
                <w:color w:val="FFFFFF"/>
                <w:sz w:val="18"/>
                <w:szCs w:val="18"/>
              </w:rPr>
              <w:t xml:space="preserve">• 1,600+ centre network</w:t>
            </w:r>
          </w:p>
          <w:p>
            <w:r>
              <w:rPr>
                <w:rFonts w:ascii="Arial" w:cs="Arial" w:eastAsia="Arial" w:hAnsi="Arial"/>
                <w:color w:val="FFFFFF"/>
                <w:sz w:val="18"/>
                <w:szCs w:val="18"/>
              </w:rPr>
              <w:t xml:space="preserve">• 6,000+ educator pool</w:t>
            </w:r>
          </w:p>
          <w:p>
            <w:r>
              <w:rPr>
                <w:rFonts w:ascii="Arial" w:cs="Arial" w:eastAsia="Arial" w:hAnsi="Arial"/>
                <w:color w:val="FFFFFF"/>
                <w:sz w:val="18"/>
                <w:szCs w:val="18"/>
              </w:rPr>
              <w:t xml:space="preserve">• 100,000+ shifts filled — proven scale</w:t>
            </w:r>
          </w:p>
          <w:p>
            <w:r>
              <w:rPr>
                <w:rFonts w:ascii="Arial" w:cs="Arial" w:eastAsia="Arial" w:hAnsi="Arial"/>
                <w:color w:val="FFFFFF"/>
                <w:sz w:val="18"/>
                <w:szCs w:val="18"/>
              </w:rPr>
              <w:t xml:space="preserve">• Named clients include Goodstart, Guardian, Affinity</w:t>
            </w:r>
          </w:p>
          <w:p>
            <w:r>
              <w:rPr>
                <w:rFonts w:ascii="Arial" w:cs="Arial" w:eastAsia="Arial" w:hAnsi="Arial"/>
                <w:color w:val="FFFFFF"/>
                <w:sz w:val="18"/>
                <w:szCs w:val="18"/>
              </w:rPr>
              <w:t xml:space="preserve">• Lowest rate guarantee — price-competitive positioning</w:t>
            </w:r>
          </w:p>
          <w:p>
            <w:r>
              <w:rPr>
                <w:rFonts w:ascii="Arial" w:cs="Arial" w:eastAsia="Arial" w:hAnsi="Arial"/>
                <w:color w:val="FFFFFF"/>
                <w:sz w:val="18"/>
                <w:szCs w:val="18"/>
              </w:rPr>
              <w:t xml:space="preserve">• 10-year track record (founded 2016)</w:t>
            </w:r>
          </w:p>
          <w:p>
            <w:r>
              <w:rPr>
                <w:rFonts w:ascii="Arial" w:cs="Arial" w:eastAsia="Arial" w:hAnsi="Arial"/>
                <w:color w:val="FFFFFF"/>
                <w:sz w:val="18"/>
                <w:szCs w:val="18"/>
              </w:rPr>
              <w:t xml:space="preserve">• Permanent + casual + cook services breadth</w:t>
            </w:r>
          </w:p>
        </w:tc>
        <w:tc>
          <w:tcPr>
            <w:tcW w:type="dxa" w:w="4680"/>
            <w:tcBorders>
              <w:top w:val="single" w:color="CCCCCC" w:sz="1"/>
              <w:left w:val="single" w:color="CCCCCC" w:sz="1"/>
              <w:bottom w:val="single" w:color="CCCCCC" w:sz="1"/>
              <w:right w:val="single" w:color="CCCCCC" w:sz="1"/>
            </w:tcBorders>
            <w:shd w:fill="B71C1C" w:val="clear"/>
            <w:tcMar>
              <w:top w:type="dxa" w:w="120"/>
              <w:left w:type="dxa" w:w="160"/>
              <w:bottom w:type="dxa" w:w="80"/>
              <w:right w:type="dxa" w:w="160"/>
            </w:tcMar>
          </w:tcPr>
          <w:p>
            <w:r>
              <w:rPr>
                <w:rFonts w:ascii="Arial" w:cs="Arial" w:eastAsia="Arial" w:hAnsi="Arial"/>
                <w:b/>
                <w:bCs/>
                <w:color w:val="FFFFFF"/>
                <w:sz w:val="22"/>
                <w:szCs w:val="22"/>
              </w:rPr>
              <w:t xml:space="preserve">WEAKNESSES</w:t>
            </w:r>
          </w:p>
          <w:p>
            <w:pPr>
              <w:spacing w:before="80"/>
            </w:pPr>
            <w:r>
              <w:rPr>
                <w:rFonts w:ascii="Arial" w:cs="Arial" w:eastAsia="Arial" w:hAnsi="Arial"/>
                <w:color w:val="FFFFFF"/>
                <w:sz w:val="18"/>
                <w:szCs w:val="18"/>
              </w:rPr>
              <w:t xml:space="preserve">• No payroll integration</w:t>
            </w:r>
          </w:p>
          <w:p>
            <w:r>
              <w:rPr>
                <w:rFonts w:ascii="Arial" w:cs="Arial" w:eastAsia="Arial" w:hAnsi="Arial"/>
                <w:color w:val="FFFFFF"/>
                <w:sz w:val="18"/>
                <w:szCs w:val="18"/>
              </w:rPr>
              <w:t xml:space="preserve">• Single pricing tier (no budget entry point)</w:t>
            </w:r>
          </w:p>
          <w:p>
            <w:r>
              <w:rPr>
                <w:rFonts w:ascii="Arial" w:cs="Arial" w:eastAsia="Arial" w:hAnsi="Arial"/>
                <w:color w:val="FFFFFF"/>
                <w:sz w:val="18"/>
                <w:szCs w:val="18"/>
              </w:rPr>
              <w:t xml:space="preserve">• No physical office presence in Australia</w:t>
            </w:r>
          </w:p>
          <w:p>
            <w:r>
              <w:rPr>
                <w:rFonts w:ascii="Arial" w:cs="Arial" w:eastAsia="Arial" w:hAnsi="Arial"/>
                <w:color w:val="FFFFFF"/>
                <w:sz w:val="18"/>
                <w:szCs w:val="18"/>
              </w:rPr>
              <w:t xml:space="preserve">• Live chat only — no named consultant relationships</w:t>
            </w:r>
          </w:p>
          <w:p>
            <w:r>
              <w:rPr>
                <w:rFonts w:ascii="Arial" w:cs="Arial" w:eastAsia="Arial" w:hAnsi="Arial"/>
                <w:color w:val="FFFFFF"/>
                <w:sz w:val="18"/>
                <w:szCs w:val="18"/>
              </w:rPr>
              <w:t xml:space="preserve">• No automated compliance expiry alerts</w:t>
            </w:r>
          </w:p>
          <w:p>
            <w:r>
              <w:rPr>
                <w:rFonts w:ascii="Arial" w:cs="Arial" w:eastAsia="Arial" w:hAnsi="Arial"/>
                <w:color w:val="FFFFFF"/>
                <w:sz w:val="18"/>
                <w:szCs w:val="18"/>
              </w:rPr>
              <w:t xml:space="preserve">• No video educator profiles</w:t>
            </w:r>
          </w:p>
          <w:p>
            <w:r>
              <w:rPr>
                <w:rFonts w:ascii="Arial" w:cs="Arial" w:eastAsia="Arial" w:hAnsi="Arial"/>
                <w:color w:val="FFFFFF"/>
                <w:sz w:val="18"/>
                <w:szCs w:val="18"/>
              </w:rPr>
              <w:t xml:space="preserve">• No international or regional educator pipeline</w:t>
            </w:r>
          </w:p>
          <w:p>
            <w:r>
              <w:rPr>
                <w:rFonts w:ascii="Arial" w:cs="Arial" w:eastAsia="Arial" w:hAnsi="Arial"/>
                <w:color w:val="FFFFFF"/>
                <w:sz w:val="18"/>
                <w:szCs w:val="18"/>
              </w:rPr>
              <w:t xml:space="preserve">• Not eligible for Worker Retention Payment under current model</w:t>
            </w:r>
          </w:p>
        </w:tc>
      </w:tr>
      <w:tr>
        <w:tc>
          <w:tcPr>
            <w:tcW w:type="dxa" w:w="4680"/>
            <w:tcBorders>
              <w:top w:val="single" w:color="CCCCCC" w:sz="1"/>
              <w:left w:val="single" w:color="CCCCCC" w:sz="1"/>
              <w:bottom w:val="single" w:color="CCCCCC" w:sz="1"/>
              <w:right w:val="single" w:color="CCCCCC" w:sz="1"/>
            </w:tcBorders>
            <w:shd w:fill="0D47A1" w:val="clear"/>
            <w:tcMar>
              <w:top w:type="dxa" w:w="120"/>
              <w:left w:type="dxa" w:w="160"/>
              <w:bottom w:type="dxa" w:w="80"/>
              <w:right w:type="dxa" w:w="160"/>
            </w:tcMar>
          </w:tcPr>
          <w:p>
            <w:r>
              <w:rPr>
                <w:rFonts w:ascii="Arial" w:cs="Arial" w:eastAsia="Arial" w:hAnsi="Arial"/>
                <w:b/>
                <w:bCs/>
                <w:color w:val="FFFFFF"/>
                <w:sz w:val="22"/>
                <w:szCs w:val="22"/>
              </w:rPr>
              <w:t xml:space="preserve">OPPORTUNITIES</w:t>
            </w:r>
          </w:p>
          <w:p>
            <w:pPr>
              <w:spacing w:before="80"/>
            </w:pPr>
            <w:r>
              <w:rPr>
                <w:rFonts w:ascii="Arial" w:cs="Arial" w:eastAsia="Arial" w:hAnsi="Arial"/>
                <w:color w:val="FFFFFF"/>
                <w:sz w:val="18"/>
                <w:szCs w:val="18"/>
              </w:rPr>
              <w:t xml:space="preserve">• $23.6B market growing 7.8% CAGR (IBISWorld)</w:t>
            </w:r>
          </w:p>
          <w:p>
            <w:r>
              <w:rPr>
                <w:rFonts w:ascii="Arial" w:cs="Arial" w:eastAsia="Arial" w:hAnsi="Arial"/>
                <w:color w:val="FFFFFF"/>
                <w:sz w:val="18"/>
                <w:szCs w:val="18"/>
              </w:rPr>
              <w:t xml:space="preserve">• 3-day childcare guarantee from 2026 driving demand</w:t>
            </w:r>
          </w:p>
          <w:p>
            <w:r>
              <w:rPr>
                <w:rFonts w:ascii="Arial" w:cs="Arial" w:eastAsia="Arial" w:hAnsi="Arial"/>
                <w:color w:val="FFFFFF"/>
                <w:sz w:val="18"/>
                <w:szCs w:val="18"/>
              </w:rPr>
              <w:t xml:space="preserve">• Worker Retention Payment Scheme eligibility via new model</w:t>
            </w:r>
          </w:p>
          <w:p>
            <w:r>
              <w:rPr>
                <w:rFonts w:ascii="Arial" w:cs="Arial" w:eastAsia="Arial" w:hAnsi="Arial"/>
                <w:color w:val="FFFFFF"/>
                <w:sz w:val="18"/>
                <w:szCs w:val="18"/>
              </w:rPr>
              <w:t xml:space="preserve">• Employment Hero / Xero / MYOB integration</w:t>
            </w:r>
          </w:p>
          <w:p>
            <w:r>
              <w:rPr>
                <w:rFonts w:ascii="Arial" w:cs="Arial" w:eastAsia="Arial" w:hAnsi="Arial"/>
                <w:color w:val="FFFFFF"/>
                <w:sz w:val="18"/>
                <w:szCs w:val="18"/>
              </w:rPr>
              <w:t xml:space="preserve">• Two-tier pricing model launch</w:t>
            </w:r>
          </w:p>
          <w:p>
            <w:r>
              <w:rPr>
                <w:rFonts w:ascii="Arial" w:cs="Arial" w:eastAsia="Arial" w:hAnsi="Arial"/>
                <w:color w:val="FFFFFF"/>
                <w:sz w:val="18"/>
                <w:szCs w:val="18"/>
              </w:rPr>
              <w:t xml:space="preserve">• Video educator profiles</w:t>
            </w:r>
          </w:p>
          <w:p>
            <w:r>
              <w:rPr>
                <w:rFonts w:ascii="Arial" w:cs="Arial" w:eastAsia="Arial" w:hAnsi="Arial"/>
                <w:color w:val="FFFFFF"/>
                <w:sz w:val="18"/>
                <w:szCs w:val="18"/>
              </w:rPr>
              <w:t xml:space="preserve">• Account Manager program for top centres</w:t>
            </w:r>
          </w:p>
          <w:p>
            <w:r>
              <w:rPr>
                <w:rFonts w:ascii="Arial" w:cs="Arial" w:eastAsia="Arial" w:hAnsi="Arial"/>
                <w:color w:val="FFFFFF"/>
                <w:sz w:val="18"/>
                <w:szCs w:val="18"/>
              </w:rPr>
              <w:t xml:space="preserve">• 2026 child safety reform compliance tools</w:t>
            </w:r>
          </w:p>
          <w:p>
            <w:r>
              <w:rPr>
                <w:rFonts w:ascii="Arial" w:cs="Arial" w:eastAsia="Arial" w:hAnsi="Arial"/>
                <w:color w:val="FFFFFF"/>
                <w:sz w:val="18"/>
                <w:szCs w:val="18"/>
              </w:rPr>
              <w:t xml:space="preserve">• Regional educator incentive programs</w:t>
            </w:r>
          </w:p>
        </w:tc>
        <w:tc>
          <w:tcPr>
            <w:tcW w:type="dxa" w:w="4680"/>
            <w:tcBorders>
              <w:top w:val="single" w:color="CCCCCC" w:sz="1"/>
              <w:left w:val="single" w:color="CCCCCC" w:sz="1"/>
              <w:bottom w:val="single" w:color="CCCCCC" w:sz="1"/>
              <w:right w:val="single" w:color="CCCCCC" w:sz="1"/>
            </w:tcBorders>
            <w:shd w:fill="E65100" w:val="clear"/>
            <w:tcMar>
              <w:top w:type="dxa" w:w="120"/>
              <w:left w:type="dxa" w:w="160"/>
              <w:bottom w:type="dxa" w:w="80"/>
              <w:right w:type="dxa" w:w="160"/>
            </w:tcMar>
          </w:tcPr>
          <w:p>
            <w:r>
              <w:rPr>
                <w:rFonts w:ascii="Arial" w:cs="Arial" w:eastAsia="Arial" w:hAnsi="Arial"/>
                <w:b/>
                <w:bCs/>
                <w:color w:val="FFFFFF"/>
                <w:sz w:val="22"/>
                <w:szCs w:val="22"/>
              </w:rPr>
              <w:t xml:space="preserve">THREATS</w:t>
            </w:r>
          </w:p>
          <w:p>
            <w:pPr>
              <w:spacing w:before="80"/>
            </w:pPr>
            <w:r>
              <w:rPr>
                <w:rFonts w:ascii="Arial" w:cs="Arial" w:eastAsia="Arial" w:hAnsi="Arial"/>
                <w:color w:val="FFFFFF"/>
                <w:sz w:val="18"/>
                <w:szCs w:val="18"/>
              </w:rPr>
              <w:t xml:space="preserve">• Talent Now's Casual Connect undercuts on price</w:t>
            </w:r>
          </w:p>
          <w:p>
            <w:r>
              <w:rPr>
                <w:rFonts w:ascii="Arial" w:cs="Arial" w:eastAsia="Arial" w:hAnsi="Arial"/>
                <w:color w:val="FFFFFF"/>
                <w:sz w:val="18"/>
                <w:szCs w:val="18"/>
              </w:rPr>
              <w:t xml:space="preserve">• ANZUK's 9 AU offices &amp; consultant relationships</w:t>
            </w:r>
          </w:p>
          <w:p>
            <w:r>
              <w:rPr>
                <w:rFonts w:ascii="Arial" w:cs="Arial" w:eastAsia="Arial" w:hAnsi="Arial"/>
                <w:color w:val="FFFFFF"/>
                <w:sz w:val="18"/>
                <w:szCs w:val="18"/>
              </w:rPr>
              <w:t xml:space="preserve">• QuickCare's Compliance Passport innovation</w:t>
            </w:r>
          </w:p>
          <w:p>
            <w:r>
              <w:rPr>
                <w:rFonts w:ascii="Arial" w:cs="Arial" w:eastAsia="Arial" w:hAnsi="Arial"/>
                <w:color w:val="FFFFFF"/>
                <w:sz w:val="18"/>
                <w:szCs w:val="18"/>
              </w:rPr>
              <w:t xml:space="preserve">• QuickCare's $35-42/hr pay attracting educator supply</w:t>
            </w:r>
          </w:p>
          <w:p>
            <w:r>
              <w:rPr>
                <w:rFonts w:ascii="Arial" w:cs="Arial" w:eastAsia="Arial" w:hAnsi="Arial"/>
                <w:color w:val="FFFFFF"/>
                <w:sz w:val="18"/>
                <w:szCs w:val="18"/>
              </w:rPr>
              <w:t xml:space="preserve">• 2026 regulatory reforms intensifying compliance burden</w:t>
            </w:r>
          </w:p>
          <w:p>
            <w:r>
              <w:rPr>
                <w:rFonts w:ascii="Arial" w:cs="Arial" w:eastAsia="Arial" w:hAnsi="Arial"/>
                <w:color w:val="FFFFFF"/>
                <w:sz w:val="18"/>
                <w:szCs w:val="18"/>
              </w:rPr>
              <w:t xml:space="preserve">• ECEC labour shortage limiting educator supply growth</w:t>
            </w:r>
          </w:p>
          <w:p>
            <w:r>
              <w:rPr>
                <w:rFonts w:ascii="Arial" w:cs="Arial" w:eastAsia="Arial" w:hAnsi="Arial"/>
                <w:color w:val="FFFFFF"/>
                <w:sz w:val="18"/>
                <w:szCs w:val="18"/>
              </w:rPr>
              <w:t xml:space="preserve">• Centre consolidation favouring single-supplier deals</w:t>
            </w:r>
          </w:p>
          <w:p>
            <w:r>
              <w:rPr>
                <w:rFonts w:ascii="Arial" w:cs="Arial" w:eastAsia="Arial" w:hAnsi="Arial"/>
                <w:color w:val="FFFFFF"/>
                <w:sz w:val="18"/>
                <w:szCs w:val="18"/>
              </w:rPr>
              <w:t xml:space="preserve">• Market commoditisation pressure on margins</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8. Strategic Recommendations</w:t>
      </w:r>
    </w:p>
    <w:p>
      <w:pPr>
        <w:spacing w:after="60" w:before="60"/>
      </w:pPr>
      <w:r>
        <w:rPr>
          <w:rFonts w:ascii="Arial" w:cs="Arial" w:eastAsia="Arial" w:hAnsi="Arial"/>
          <w:color w:val="1A1A1A"/>
          <w:sz w:val="20"/>
          <w:szCs w:val="20"/>
        </w:rPr>
        <w:t xml:space="preserve">Based on this competitive analysis, the following prioritised recommendations are made for Raw Talent to defend its existing centre base and grow market share.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500"/>
        <w:gridCol w:w="220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Addresses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Launch two-tier pricing — add booking-fee-only tier eligible for Worker Retention Payment Scheme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Talent Now threat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Build payroll integration (Employment Hero, Xero, or MYOB)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Admin burden, retention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Launch Account Manager program for centres booking 20+ shifts/month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ANZUK &amp; Expect A Star threat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4</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Build automated compliance expiry alerts (WWCC, qualifications, first aid)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QuickCare threat, 2026 reforms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Introduce optional 60-second educator video profiles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QuickCare threat, quality signal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6</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Develop regional educator incentive program for underserved markets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ANZUK/Expect A Star regional gap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Publish 2026 child safety reform guidance for centres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Trust-building, retention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8</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Evaluate international educator sourcing pathway (VETASSESS partnership)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Long-term supply diversification</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9. Data Sources &amp; Methodology Notes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9.1 Source Hierarchy</w:t>
      </w:r>
    </w:p>
    <w:p>
      <w:pPr>
        <w:spacing w:after="60" w:before="60"/>
      </w:pPr>
      <w:r>
        <w:rPr>
          <w:rFonts w:ascii="Arial" w:cs="Arial" w:eastAsia="Arial" w:hAnsi="Arial"/>
          <w:color w:val="1A1A1A"/>
          <w:sz w:val="20"/>
          <w:szCs w:val="20"/>
        </w:rPr>
        <w:t xml:space="preserve">This report prioritises sources in the following order:</w:t>
      </w:r>
    </w:p>
    <w:p>
      <w:pPr>
        <w:pStyle w:val="ListParagraph"/>
        <w:numPr>
          <w:ilvl w:val="0"/>
          <w:numId w:val="2"/>
        </w:numPr>
        <w:spacing w:after="40" w:before="40"/>
      </w:pPr>
      <w:r>
        <w:rPr>
          <w:rFonts w:ascii="Arial" w:cs="Arial" w:eastAsia="Arial" w:hAnsi="Arial"/>
          <w:color w:val="1A1A1A"/>
          <w:sz w:val="20"/>
          <w:szCs w:val="20"/>
        </w:rPr>
        <w:t xml:space="preserve">Government statistics (Australian Government Department of Education, Productivity Commission, Jobs and Skills Australia, ABS)</w:t>
      </w:r>
    </w:p>
    <w:p>
      <w:pPr>
        <w:pStyle w:val="ListParagraph"/>
        <w:numPr>
          <w:ilvl w:val="0"/>
          <w:numId w:val="2"/>
        </w:numPr>
        <w:spacing w:after="40" w:before="40"/>
      </w:pPr>
      <w:r>
        <w:rPr>
          <w:rFonts w:ascii="Arial" w:cs="Arial" w:eastAsia="Arial" w:hAnsi="Arial"/>
          <w:color w:val="1A1A1A"/>
          <w:sz w:val="20"/>
          <w:szCs w:val="20"/>
        </w:rPr>
        <w:t xml:space="preserve">Independent industry research (IBISWorld, IMARC Group, Grand View Research, Morgan Business Sales)</w:t>
      </w:r>
    </w:p>
    <w:p>
      <w:pPr>
        <w:pStyle w:val="ListParagraph"/>
        <w:numPr>
          <w:ilvl w:val="0"/>
          <w:numId w:val="2"/>
        </w:numPr>
        <w:spacing w:after="40" w:before="40"/>
      </w:pPr>
      <w:r>
        <w:rPr>
          <w:rFonts w:ascii="Arial" w:cs="Arial" w:eastAsia="Arial" w:hAnsi="Arial"/>
          <w:color w:val="1A1A1A"/>
          <w:sz w:val="20"/>
          <w:szCs w:val="20"/>
        </w:rPr>
        <w:t xml:space="preserve">Sector publications (The Sector, ECEC Workforce Census)</w:t>
      </w:r>
    </w:p>
    <w:p>
      <w:pPr>
        <w:pStyle w:val="ListParagraph"/>
        <w:numPr>
          <w:ilvl w:val="0"/>
          <w:numId w:val="2"/>
        </w:numPr>
        <w:spacing w:after="40" w:before="40"/>
      </w:pPr>
      <w:r>
        <w:rPr>
          <w:rFonts w:ascii="Arial" w:cs="Arial" w:eastAsia="Arial" w:hAnsi="Arial"/>
          <w:color w:val="1A1A1A"/>
          <w:sz w:val="20"/>
          <w:szCs w:val="20"/>
        </w:rPr>
        <w:t xml:space="preserve">Each competitor's official websites and press releases</w:t>
      </w:r>
    </w:p>
    <w:p>
      <w:pPr>
        <w:pStyle w:val="ListParagraph"/>
        <w:numPr>
          <w:ilvl w:val="0"/>
          <w:numId w:val="2"/>
        </w:numPr>
        <w:spacing w:after="40" w:before="40"/>
      </w:pPr>
      <w:r>
        <w:rPr>
          <w:rFonts w:ascii="Arial" w:cs="Arial" w:eastAsia="Arial" w:hAnsi="Arial"/>
          <w:color w:val="1A1A1A"/>
          <w:sz w:val="20"/>
          <w:szCs w:val="20"/>
        </w:rPr>
        <w:t xml:space="preserve">Verified third-party databases (ZoomInfo, Indeed, LinkedIn)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9.2 Confidence Levels</w:t>
      </w:r>
    </w:p>
    <w:p>
      <w:pPr>
        <w:spacing w:after="60" w:before="60"/>
      </w:pPr>
      <w:r>
        <w:rPr>
          <w:rFonts w:ascii="Arial" w:cs="Arial" w:eastAsia="Arial" w:hAnsi="Arial"/>
          <w:color w:val="1A1A1A"/>
          <w:sz w:val="20"/>
          <w:szCs w:val="20"/>
        </w:rPr>
        <w:t xml:space="preserve">Statistics in this report carry the following confidence ratings:</w:t>
      </w:r>
    </w:p>
    <w:p>
      <w:pPr>
        <w:pStyle w:val="ListParagraph"/>
        <w:numPr>
          <w:ilvl w:val="0"/>
          <w:numId w:val="2"/>
        </w:numPr>
        <w:spacing w:after="40" w:before="40"/>
      </w:pPr>
      <w:r>
        <w:rPr>
          <w:rFonts w:ascii="Arial" w:cs="Arial" w:eastAsia="Arial" w:hAnsi="Arial"/>
          <w:color w:val="1A1A1A"/>
          <w:sz w:val="20"/>
          <w:szCs w:val="20"/>
        </w:rPr>
        <w:t xml:space="preserve">HIGH: Government statistics, IBISWorld market sizing, verified financial disclosures</w:t>
      </w:r>
    </w:p>
    <w:p>
      <w:pPr>
        <w:pStyle w:val="ListParagraph"/>
        <w:numPr>
          <w:ilvl w:val="0"/>
          <w:numId w:val="2"/>
        </w:numPr>
        <w:spacing w:after="40" w:before="40"/>
      </w:pPr>
      <w:r>
        <w:rPr>
          <w:rFonts w:ascii="Arial" w:cs="Arial" w:eastAsia="Arial" w:hAnsi="Arial"/>
          <w:color w:val="1A1A1A"/>
          <w:sz w:val="20"/>
          <w:szCs w:val="20"/>
        </w:rPr>
        <w:t xml:space="preserve">MEDIUM: Self-reported company numbers (educator pools, centre counts, fill rates)</w:t>
      </w:r>
    </w:p>
    <w:p>
      <w:pPr>
        <w:pStyle w:val="ListParagraph"/>
        <w:numPr>
          <w:ilvl w:val="0"/>
          <w:numId w:val="2"/>
        </w:numPr>
        <w:spacing w:after="40" w:before="40"/>
      </w:pPr>
      <w:r>
        <w:rPr>
          <w:rFonts w:ascii="Arial" w:cs="Arial" w:eastAsia="Arial" w:hAnsi="Arial"/>
          <w:color w:val="1A1A1A"/>
          <w:sz w:val="20"/>
          <w:szCs w:val="20"/>
        </w:rPr>
        <w:t xml:space="preserve">LOW: Marketing language and unverifiable testimonial claims (used only descriptively)</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9.3 Limitations</w:t>
      </w:r>
    </w:p>
    <w:p>
      <w:pPr>
        <w:pStyle w:val="ListParagraph"/>
        <w:numPr>
          <w:ilvl w:val="0"/>
          <w:numId w:val="2"/>
        </w:numPr>
        <w:spacing w:after="40" w:before="40"/>
      </w:pPr>
      <w:r>
        <w:rPr>
          <w:rFonts w:ascii="Arial" w:cs="Arial" w:eastAsia="Arial" w:hAnsi="Arial"/>
          <w:color w:val="1A1A1A"/>
          <w:sz w:val="20"/>
          <w:szCs w:val="20"/>
        </w:rPr>
        <w:t xml:space="preserve">Several competitors are private and do not publish audited financial statements</w:t>
      </w:r>
    </w:p>
    <w:p>
      <w:pPr>
        <w:pStyle w:val="ListParagraph"/>
        <w:numPr>
          <w:ilvl w:val="0"/>
          <w:numId w:val="2"/>
        </w:numPr>
        <w:spacing w:after="40" w:before="40"/>
      </w:pPr>
      <w:r>
        <w:rPr>
          <w:rFonts w:ascii="Arial" w:cs="Arial" w:eastAsia="Arial" w:hAnsi="Arial"/>
          <w:color w:val="1A1A1A"/>
          <w:sz w:val="20"/>
          <w:szCs w:val="20"/>
        </w:rPr>
        <w:t xml:space="preserve">Self-reported fill rates, educator pool sizes, and centre counts have not been independently verified</w:t>
      </w:r>
    </w:p>
    <w:p>
      <w:pPr>
        <w:pStyle w:val="ListParagraph"/>
        <w:numPr>
          <w:ilvl w:val="0"/>
          <w:numId w:val="2"/>
        </w:numPr>
        <w:spacing w:after="40" w:before="40"/>
      </w:pPr>
      <w:r>
        <w:rPr>
          <w:rFonts w:ascii="Arial" w:cs="Arial" w:eastAsia="Arial" w:hAnsi="Arial"/>
          <w:color w:val="1A1A1A"/>
          <w:sz w:val="20"/>
          <w:szCs w:val="20"/>
        </w:rPr>
        <w:t xml:space="preserve">Pay rates for some competitors are public but may have changed since publication</w:t>
      </w:r>
    </w:p>
    <w:p>
      <w:pPr>
        <w:pStyle w:val="ListParagraph"/>
        <w:numPr>
          <w:ilvl w:val="0"/>
          <w:numId w:val="2"/>
        </w:numPr>
        <w:spacing w:after="40" w:before="40"/>
      </w:pPr>
      <w:r>
        <w:rPr>
          <w:rFonts w:ascii="Arial" w:cs="Arial" w:eastAsia="Arial" w:hAnsi="Arial"/>
          <w:color w:val="1A1A1A"/>
          <w:sz w:val="20"/>
          <w:szCs w:val="20"/>
        </w:rPr>
        <w:t xml:space="preserve">Raw Talent's actual internal data may differ from the public-facing numbers cited</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10. References</w:t>
      </w:r>
    </w:p>
    <w:p>
      <w:pPr>
        <w:spacing w:after="60" w:before="60"/>
      </w:pPr>
      <w:r>
        <w:rPr>
          <w:rFonts w:ascii="Arial" w:cs="Arial" w:eastAsia="Arial" w:hAnsi="Arial"/>
          <w:i/>
          <w:iCs/>
          <w:color w:val="555555"/>
          <w:sz w:val="20"/>
          <w:szCs w:val="20"/>
        </w:rPr>
        <w:t xml:space="preserve">All citations were accessed in June 2026. URLs are provided for verification.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Government &amp; Industry Sources</w:t>
      </w:r>
    </w:p>
    <w:p>
      <w:pPr>
        <w:pStyle w:val="ListParagraph"/>
        <w:numPr>
          <w:ilvl w:val="0"/>
          <w:numId w:val="2"/>
        </w:numPr>
        <w:spacing w:after="40" w:before="40"/>
      </w:pPr>
      <w:r>
        <w:rPr>
          <w:rFonts w:ascii="Arial" w:cs="Arial" w:eastAsia="Arial" w:hAnsi="Arial"/>
          <w:color w:val="1A1A1A"/>
          <w:sz w:val="20"/>
          <w:szCs w:val="20"/>
        </w:rPr>
        <w:t xml:space="preserve">[1] IBISWorld (2025). </w:t>
      </w:r>
      <w:r>
        <w:rPr>
          <w:rFonts w:ascii="Arial" w:cs="Arial" w:eastAsia="Arial" w:hAnsi="Arial"/>
          <w:i/>
          <w:iCs/>
          <w:color w:val="1A1A1A"/>
          <w:sz w:val="20"/>
          <w:szCs w:val="20"/>
        </w:rPr>
        <w:t xml:space="preserve">Child Care Services in Australia — Market Size 2008–2032</w:t>
      </w:r>
      <w:r>
        <w:rPr>
          <w:rFonts w:ascii="Arial" w:cs="Arial" w:eastAsia="Arial" w:hAnsi="Arial"/>
          <w:color w:val="1A1A1A"/>
          <w:sz w:val="20"/>
          <w:szCs w:val="20"/>
        </w:rPr>
        <w:t xml:space="preserve">. ibisworld.com/australia/market-size/child-care-services/626</w:t>
      </w:r>
    </w:p>
    <w:p>
      <w:pPr>
        <w:pStyle w:val="ListParagraph"/>
        <w:numPr>
          <w:ilvl w:val="0"/>
          <w:numId w:val="2"/>
        </w:numPr>
        <w:spacing w:after="40" w:before="40"/>
      </w:pPr>
      <w:r>
        <w:rPr>
          <w:rFonts w:ascii="Arial" w:cs="Arial" w:eastAsia="Arial" w:hAnsi="Arial"/>
          <w:color w:val="1A1A1A"/>
          <w:sz w:val="20"/>
          <w:szCs w:val="20"/>
        </w:rPr>
        <w:t xml:space="preserve">[2] Australian Children's Education and Care Quality Authority. </w:t>
      </w:r>
      <w:r>
        <w:rPr>
          <w:rFonts w:ascii="Arial" w:cs="Arial" w:eastAsia="Arial" w:hAnsi="Arial"/>
          <w:i/>
          <w:iCs/>
          <w:color w:val="1A1A1A"/>
          <w:sz w:val="20"/>
          <w:szCs w:val="20"/>
        </w:rPr>
        <w:t xml:space="preserve">National Quality Framework &amp; 2026 Child Safety Reforms</w:t>
      </w:r>
      <w:r>
        <w:rPr>
          <w:rFonts w:ascii="Arial" w:cs="Arial" w:eastAsia="Arial" w:hAnsi="Arial"/>
          <w:color w:val="1A1A1A"/>
          <w:sz w:val="20"/>
          <w:szCs w:val="20"/>
        </w:rPr>
        <w:t xml:space="preserve">. acecqa.gov.au</w:t>
      </w:r>
    </w:p>
    <w:p>
      <w:pPr>
        <w:pStyle w:val="ListParagraph"/>
        <w:numPr>
          <w:ilvl w:val="0"/>
          <w:numId w:val="2"/>
        </w:numPr>
        <w:spacing w:after="40" w:before="40"/>
      </w:pPr>
      <w:r>
        <w:rPr>
          <w:rFonts w:ascii="Arial" w:cs="Arial" w:eastAsia="Arial" w:hAnsi="Arial"/>
          <w:color w:val="1A1A1A"/>
          <w:sz w:val="20"/>
          <w:szCs w:val="20"/>
        </w:rPr>
        <w:t xml:space="preserve">[3] Productivity Commission (2026). </w:t>
      </w:r>
      <w:r>
        <w:rPr>
          <w:rFonts w:ascii="Arial" w:cs="Arial" w:eastAsia="Arial" w:hAnsi="Arial"/>
          <w:i/>
          <w:iCs/>
          <w:color w:val="1A1A1A"/>
          <w:sz w:val="20"/>
          <w:szCs w:val="20"/>
        </w:rPr>
        <w:t xml:space="preserve">Report on Government Services 2026 — Child Care, Education and Training</w:t>
      </w:r>
      <w:r>
        <w:rPr>
          <w:rFonts w:ascii="Arial" w:cs="Arial" w:eastAsia="Arial" w:hAnsi="Arial"/>
          <w:color w:val="1A1A1A"/>
          <w:sz w:val="20"/>
          <w:szCs w:val="20"/>
        </w:rPr>
        <w:t xml:space="preserve">. pc.gov.au/ongoing/report-on-government-services/child-care-education-and-training</w:t>
      </w:r>
    </w:p>
    <w:p>
      <w:pPr>
        <w:pStyle w:val="ListParagraph"/>
        <w:numPr>
          <w:ilvl w:val="0"/>
          <w:numId w:val="2"/>
        </w:numPr>
        <w:spacing w:after="40" w:before="40"/>
      </w:pPr>
      <w:r>
        <w:rPr>
          <w:rFonts w:ascii="Arial" w:cs="Arial" w:eastAsia="Arial" w:hAnsi="Arial"/>
          <w:color w:val="1A1A1A"/>
          <w:sz w:val="20"/>
          <w:szCs w:val="20"/>
        </w:rPr>
        <w:t xml:space="preserve">[4] IBISWorld (2025). </w:t>
      </w:r>
      <w:r>
        <w:rPr>
          <w:rFonts w:ascii="Arial" w:cs="Arial" w:eastAsia="Arial" w:hAnsi="Arial"/>
          <w:i/>
          <w:iCs/>
          <w:color w:val="1A1A1A"/>
          <w:sz w:val="20"/>
          <w:szCs w:val="20"/>
        </w:rPr>
        <w:t xml:space="preserve">Child Care Services in Australia — Employment Statistics</w:t>
      </w:r>
      <w:r>
        <w:rPr>
          <w:rFonts w:ascii="Arial" w:cs="Arial" w:eastAsia="Arial" w:hAnsi="Arial"/>
          <w:color w:val="1A1A1A"/>
          <w:sz w:val="20"/>
          <w:szCs w:val="20"/>
        </w:rPr>
        <w:t xml:space="preserve">. ibisworld.com/australia/employment/child-care-services/626</w:t>
      </w:r>
    </w:p>
    <w:p>
      <w:pPr>
        <w:pStyle w:val="ListParagraph"/>
        <w:numPr>
          <w:ilvl w:val="0"/>
          <w:numId w:val="2"/>
        </w:numPr>
        <w:spacing w:after="40" w:before="40"/>
      </w:pPr>
      <w:r>
        <w:rPr>
          <w:rFonts w:ascii="Arial" w:cs="Arial" w:eastAsia="Arial" w:hAnsi="Arial"/>
          <w:color w:val="1A1A1A"/>
          <w:sz w:val="20"/>
          <w:szCs w:val="20"/>
        </w:rPr>
        <w:t xml:space="preserve">[5] The Sector (Feb 2026). </w:t>
      </w:r>
      <w:r>
        <w:rPr>
          <w:rFonts w:ascii="Arial" w:cs="Arial" w:eastAsia="Arial" w:hAnsi="Arial"/>
          <w:i/>
          <w:iCs/>
          <w:color w:val="1A1A1A"/>
          <w:sz w:val="20"/>
          <w:szCs w:val="20"/>
        </w:rPr>
        <w:t xml:space="preserve">Report on Government Services 2026: Education &amp; Training Snapshot</w:t>
      </w:r>
      <w:r>
        <w:rPr>
          <w:rFonts w:ascii="Arial" w:cs="Arial" w:eastAsia="Arial" w:hAnsi="Arial"/>
          <w:color w:val="1A1A1A"/>
          <w:sz w:val="20"/>
          <w:szCs w:val="20"/>
        </w:rPr>
        <w:t xml:space="preserve">. thesector.com.au</w:t>
      </w:r>
    </w:p>
    <w:p>
      <w:pPr>
        <w:pStyle w:val="ListParagraph"/>
        <w:numPr>
          <w:ilvl w:val="0"/>
          <w:numId w:val="2"/>
        </w:numPr>
        <w:spacing w:after="40" w:before="40"/>
      </w:pPr>
      <w:r>
        <w:rPr>
          <w:rFonts w:ascii="Arial" w:cs="Arial" w:eastAsia="Arial" w:hAnsi="Arial"/>
          <w:color w:val="1A1A1A"/>
          <w:sz w:val="20"/>
          <w:szCs w:val="20"/>
        </w:rPr>
        <w:t xml:space="preserve">[6] Jobs and Skills Australia (2025). </w:t>
      </w:r>
      <w:r>
        <w:rPr>
          <w:rFonts w:ascii="Arial" w:cs="Arial" w:eastAsia="Arial" w:hAnsi="Arial"/>
          <w:i/>
          <w:iCs/>
          <w:color w:val="1A1A1A"/>
          <w:sz w:val="20"/>
          <w:szCs w:val="20"/>
        </w:rPr>
        <w:t xml:space="preserve">Early Childhood Education and Care Workforce Capacity Study</w:t>
      </w:r>
      <w:r>
        <w:rPr>
          <w:rFonts w:ascii="Arial" w:cs="Arial" w:eastAsia="Arial" w:hAnsi="Arial"/>
          <w:color w:val="1A1A1A"/>
          <w:sz w:val="20"/>
          <w:szCs w:val="20"/>
        </w:rPr>
        <w:t xml:space="preserve">. jobsandskills.gov.au</w:t>
      </w:r>
    </w:p>
    <w:p>
      <w:pPr>
        <w:pStyle w:val="ListParagraph"/>
        <w:numPr>
          <w:ilvl w:val="0"/>
          <w:numId w:val="2"/>
        </w:numPr>
        <w:spacing w:after="40" w:before="40"/>
      </w:pPr>
      <w:r>
        <w:rPr>
          <w:rFonts w:ascii="Arial" w:cs="Arial" w:eastAsia="Arial" w:hAnsi="Arial"/>
          <w:color w:val="1A1A1A"/>
          <w:sz w:val="20"/>
          <w:szCs w:val="20"/>
        </w:rPr>
        <w:t xml:space="preserve">[7] Morgan Business Sales (2025). </w:t>
      </w:r>
      <w:r>
        <w:rPr>
          <w:rFonts w:ascii="Arial" w:cs="Arial" w:eastAsia="Arial" w:hAnsi="Arial"/>
          <w:i/>
          <w:iCs/>
          <w:color w:val="1A1A1A"/>
          <w:sz w:val="20"/>
          <w:szCs w:val="20"/>
        </w:rPr>
        <w:t xml:space="preserve">2025 Mid-Year Childcare Services Sector M&amp;A Report</w:t>
      </w:r>
      <w:r>
        <w:rPr>
          <w:rFonts w:ascii="Arial" w:cs="Arial" w:eastAsia="Arial" w:hAnsi="Arial"/>
          <w:color w:val="1A1A1A"/>
          <w:sz w:val="20"/>
          <w:szCs w:val="20"/>
        </w:rPr>
        <w:t xml:space="preserve">. morganbusinesssales.com/2025-mid-year-childcare-sector-ma-overview</w:t>
      </w:r>
    </w:p>
    <w:p>
      <w:pPr>
        <w:pStyle w:val="ListParagraph"/>
        <w:numPr>
          <w:ilvl w:val="0"/>
          <w:numId w:val="2"/>
        </w:numPr>
        <w:spacing w:after="40" w:before="40"/>
      </w:pPr>
      <w:r>
        <w:rPr>
          <w:rFonts w:ascii="Arial" w:cs="Arial" w:eastAsia="Arial" w:hAnsi="Arial"/>
          <w:color w:val="1A1A1A"/>
          <w:sz w:val="20"/>
          <w:szCs w:val="20"/>
        </w:rPr>
        <w:t xml:space="preserve">[8] The Sector (2025). </w:t>
      </w:r>
      <w:r>
        <w:rPr>
          <w:rFonts w:ascii="Arial" w:cs="Arial" w:eastAsia="Arial" w:hAnsi="Arial"/>
          <w:i/>
          <w:iCs/>
          <w:color w:val="1A1A1A"/>
          <w:sz w:val="20"/>
          <w:szCs w:val="20"/>
        </w:rPr>
        <w:t xml:space="preserve">Unpacking Workforce Pressures: What the 2025 OSD Report Reveals about ECEC Shortages</w:t>
      </w:r>
      <w:r>
        <w:rPr>
          <w:rFonts w:ascii="Arial" w:cs="Arial" w:eastAsia="Arial" w:hAnsi="Arial"/>
          <w:color w:val="1A1A1A"/>
          <w:sz w:val="20"/>
          <w:szCs w:val="20"/>
        </w:rPr>
        <w:t xml:space="preserve">. thesector.com.au</w:t>
      </w:r>
    </w:p>
    <w:p>
      <w:pPr>
        <w:pStyle w:val="ListParagraph"/>
        <w:numPr>
          <w:ilvl w:val="0"/>
          <w:numId w:val="2"/>
        </w:numPr>
        <w:spacing w:after="40" w:before="40"/>
      </w:pPr>
      <w:r>
        <w:rPr>
          <w:rFonts w:ascii="Arial" w:cs="Arial" w:eastAsia="Arial" w:hAnsi="Arial"/>
          <w:color w:val="1A1A1A"/>
          <w:sz w:val="20"/>
          <w:szCs w:val="20"/>
        </w:rPr>
        <w:t xml:space="preserve">[12] HumanAbility (2025). </w:t>
      </w:r>
      <w:r>
        <w:rPr>
          <w:rFonts w:ascii="Arial" w:cs="Arial" w:eastAsia="Arial" w:hAnsi="Arial"/>
          <w:i/>
          <w:iCs/>
          <w:color w:val="1A1A1A"/>
          <w:sz w:val="20"/>
          <w:szCs w:val="20"/>
        </w:rPr>
        <w:t xml:space="preserve">Workforce Plan 2025 — Children's Education and Care Sector Profile</w:t>
      </w:r>
      <w:r>
        <w:rPr>
          <w:rFonts w:ascii="Arial" w:cs="Arial" w:eastAsia="Arial" w:hAnsi="Arial"/>
          <w:color w:val="1A1A1A"/>
          <w:sz w:val="20"/>
          <w:szCs w:val="20"/>
        </w:rPr>
        <w:t xml:space="preserve">. humanability.com.au</w:t>
      </w:r>
    </w:p>
    <w:p>
      <w:pPr>
        <w:pStyle w:val="ListParagraph"/>
        <w:numPr>
          <w:ilvl w:val="0"/>
          <w:numId w:val="2"/>
        </w:numPr>
        <w:spacing w:after="40" w:before="40"/>
      </w:pPr>
      <w:r>
        <w:rPr>
          <w:rFonts w:ascii="Arial" w:cs="Arial" w:eastAsia="Arial" w:hAnsi="Arial"/>
          <w:color w:val="1A1A1A"/>
          <w:sz w:val="20"/>
          <w:szCs w:val="20"/>
        </w:rPr>
        <w:t xml:space="preserve">[24] Department of Education (2024). </w:t>
      </w:r>
      <w:r>
        <w:rPr>
          <w:rFonts w:ascii="Arial" w:cs="Arial" w:eastAsia="Arial" w:hAnsi="Arial"/>
          <w:i/>
          <w:iCs/>
          <w:color w:val="1A1A1A"/>
          <w:sz w:val="20"/>
          <w:szCs w:val="20"/>
        </w:rPr>
        <w:t xml:space="preserve">National Early Childhood Education and Care Workforce Census 2024</w:t>
      </w:r>
      <w:r>
        <w:rPr>
          <w:rFonts w:ascii="Arial" w:cs="Arial" w:eastAsia="Arial" w:hAnsi="Arial"/>
          <w:color w:val="1A1A1A"/>
          <w:sz w:val="20"/>
          <w:szCs w:val="20"/>
        </w:rPr>
        <w:t xml:space="preserve">. education.gov.au/early-childhood/about/data-and-reports/national-workforce-census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Raw Talent</w:t>
      </w:r>
    </w:p>
    <w:p>
      <w:pPr>
        <w:pStyle w:val="ListParagraph"/>
        <w:numPr>
          <w:ilvl w:val="0"/>
          <w:numId w:val="2"/>
        </w:numPr>
        <w:spacing w:after="40" w:before="40"/>
      </w:pPr>
      <w:r>
        <w:rPr>
          <w:rFonts w:ascii="Arial" w:cs="Arial" w:eastAsia="Arial" w:hAnsi="Arial"/>
          <w:color w:val="1A1A1A"/>
          <w:sz w:val="20"/>
          <w:szCs w:val="20"/>
        </w:rPr>
        <w:t xml:space="preserve">[13] Indeed Australia. </w:t>
      </w:r>
      <w:r>
        <w:rPr>
          <w:rFonts w:ascii="Arial" w:cs="Arial" w:eastAsia="Arial" w:hAnsi="Arial"/>
          <w:i/>
          <w:iCs/>
          <w:color w:val="1A1A1A"/>
          <w:sz w:val="20"/>
          <w:szCs w:val="20"/>
        </w:rPr>
        <w:t xml:space="preserve">Raw Talent Recruitment Careers and Employment</w:t>
      </w:r>
      <w:r>
        <w:rPr>
          <w:rFonts w:ascii="Arial" w:cs="Arial" w:eastAsia="Arial" w:hAnsi="Arial"/>
          <w:color w:val="1A1A1A"/>
          <w:sz w:val="20"/>
          <w:szCs w:val="20"/>
        </w:rPr>
        <w:t xml:space="preserve">. au.indeed.com/cmp/Raw-Talent-Recruitment</w:t>
      </w:r>
    </w:p>
    <w:p>
      <w:pPr>
        <w:pStyle w:val="ListParagraph"/>
        <w:numPr>
          <w:ilvl w:val="0"/>
          <w:numId w:val="2"/>
        </w:numPr>
        <w:spacing w:after="40" w:before="40"/>
      </w:pPr>
      <w:r>
        <w:rPr>
          <w:rFonts w:ascii="Arial" w:cs="Arial" w:eastAsia="Arial" w:hAnsi="Arial"/>
          <w:color w:val="1A1A1A"/>
          <w:sz w:val="20"/>
          <w:szCs w:val="20"/>
        </w:rPr>
        <w:t xml:space="preserve">rawtalent.com.au — Company homepage, book-educators, find-shifts, FAQ</w:t>
      </w:r>
    </w:p>
    <w:p>
      <w:pPr>
        <w:pStyle w:val="ListParagraph"/>
        <w:numPr>
          <w:ilvl w:val="0"/>
          <w:numId w:val="2"/>
        </w:numPr>
        <w:spacing w:after="40" w:before="40"/>
      </w:pPr>
      <w:r>
        <w:rPr>
          <w:rFonts w:ascii="Arial" w:cs="Arial" w:eastAsia="Arial" w:hAnsi="Arial"/>
          <w:color w:val="1A1A1A"/>
          <w:sz w:val="20"/>
          <w:szCs w:val="20"/>
        </w:rPr>
        <w:t xml:space="preserve">ZoomInfo. Raw Talent Recruitment Company Profile. zoominfo.com/c/raw-talent-recruitment/372401295</w:t>
      </w:r>
    </w:p>
    <w:p>
      <w:pPr>
        <w:pStyle w:val="ListParagraph"/>
        <w:numPr>
          <w:ilvl w:val="0"/>
          <w:numId w:val="2"/>
        </w:numPr>
        <w:spacing w:after="40" w:before="40"/>
      </w:pPr>
      <w:r>
        <w:rPr>
          <w:rFonts w:ascii="Arial" w:cs="Arial" w:eastAsia="Arial" w:hAnsi="Arial"/>
          <w:color w:val="1A1A1A"/>
          <w:sz w:val="20"/>
          <w:szCs w:val="20"/>
        </w:rPr>
        <w:t xml:space="preserve">Apple App Store. Raw Talent app listing. apps.apple.com/au/app/raw-talent/id1556179215</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ANZUK Education</w:t>
      </w:r>
    </w:p>
    <w:p>
      <w:pPr>
        <w:pStyle w:val="ListParagraph"/>
        <w:numPr>
          <w:ilvl w:val="0"/>
          <w:numId w:val="2"/>
        </w:numPr>
        <w:spacing w:after="40" w:before="40"/>
      </w:pPr>
      <w:r>
        <w:rPr>
          <w:rFonts w:ascii="Arial" w:cs="Arial" w:eastAsia="Arial" w:hAnsi="Arial"/>
          <w:color w:val="1A1A1A"/>
          <w:sz w:val="20"/>
          <w:szCs w:val="20"/>
        </w:rPr>
        <w:t xml:space="preserve">[14] ANZUK Education. </w:t>
      </w:r>
      <w:r>
        <w:rPr>
          <w:rFonts w:ascii="Arial" w:cs="Arial" w:eastAsia="Arial" w:hAnsi="Arial"/>
          <w:i/>
          <w:iCs/>
          <w:color w:val="1A1A1A"/>
          <w:sz w:val="20"/>
          <w:szCs w:val="20"/>
        </w:rPr>
        <w:t xml:space="preserve">Company About Page — 20th Anniversary</w:t>
      </w:r>
      <w:r>
        <w:rPr>
          <w:rFonts w:ascii="Arial" w:cs="Arial" w:eastAsia="Arial" w:hAnsi="Arial"/>
          <w:color w:val="1A1A1A"/>
          <w:sz w:val="20"/>
          <w:szCs w:val="20"/>
        </w:rPr>
        <w:t xml:space="preserve">. anzuk.education/au</w:t>
      </w:r>
    </w:p>
    <w:p>
      <w:pPr>
        <w:pStyle w:val="ListParagraph"/>
        <w:numPr>
          <w:ilvl w:val="0"/>
          <w:numId w:val="2"/>
        </w:numPr>
        <w:spacing w:after="40" w:before="40"/>
      </w:pPr>
      <w:r>
        <w:rPr>
          <w:rFonts w:ascii="Arial" w:cs="Arial" w:eastAsia="Arial" w:hAnsi="Arial"/>
          <w:color w:val="1A1A1A"/>
          <w:sz w:val="20"/>
          <w:szCs w:val="20"/>
        </w:rPr>
        <w:t xml:space="preserve">[15] ANZUK Education (2025). </w:t>
      </w:r>
      <w:r>
        <w:rPr>
          <w:rFonts w:ascii="Arial" w:cs="Arial" w:eastAsia="Arial" w:hAnsi="Arial"/>
          <w:i/>
          <w:iCs/>
          <w:color w:val="1A1A1A"/>
          <w:sz w:val="20"/>
          <w:szCs w:val="20"/>
        </w:rPr>
        <w:t xml:space="preserve">Flexible Casual Work in Childcare — Pay Rates</w:t>
      </w:r>
      <w:r>
        <w:rPr>
          <w:rFonts w:ascii="Arial" w:cs="Arial" w:eastAsia="Arial" w:hAnsi="Arial"/>
          <w:color w:val="1A1A1A"/>
          <w:sz w:val="20"/>
          <w:szCs w:val="20"/>
        </w:rPr>
        <w:t xml:space="preserve">. anzuk.education/au/browse-jobs</w:t>
      </w:r>
    </w:p>
    <w:p>
      <w:pPr>
        <w:pStyle w:val="ListParagraph"/>
        <w:numPr>
          <w:ilvl w:val="0"/>
          <w:numId w:val="2"/>
        </w:numPr>
        <w:spacing w:after="40" w:before="40"/>
      </w:pPr>
      <w:r>
        <w:rPr>
          <w:rFonts w:ascii="Arial" w:cs="Arial" w:eastAsia="Arial" w:hAnsi="Arial"/>
          <w:color w:val="1A1A1A"/>
          <w:sz w:val="20"/>
          <w:szCs w:val="20"/>
        </w:rPr>
        <w:t xml:space="preserve">[16] ANZUK Education. </w:t>
      </w:r>
      <w:r>
        <w:rPr>
          <w:rFonts w:ascii="Arial" w:cs="Arial" w:eastAsia="Arial" w:hAnsi="Arial"/>
          <w:i/>
          <w:iCs/>
          <w:color w:val="1A1A1A"/>
          <w:sz w:val="20"/>
          <w:szCs w:val="20"/>
        </w:rPr>
        <w:t xml:space="preserve">OSHC Staffing Solutions — Ready2Book Platform &amp; Screening</w:t>
      </w:r>
      <w:r>
        <w:rPr>
          <w:rFonts w:ascii="Arial" w:cs="Arial" w:eastAsia="Arial" w:hAnsi="Arial"/>
          <w:color w:val="1A1A1A"/>
          <w:sz w:val="20"/>
          <w:szCs w:val="20"/>
        </w:rPr>
        <w:t xml:space="preserve">. anzuk.education/au/oshc-staffing-solutions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Talent Now</w:t>
      </w:r>
    </w:p>
    <w:p>
      <w:pPr>
        <w:pStyle w:val="ListParagraph"/>
        <w:numPr>
          <w:ilvl w:val="0"/>
          <w:numId w:val="2"/>
        </w:numPr>
        <w:spacing w:after="40" w:before="40"/>
      </w:pPr>
      <w:r>
        <w:rPr>
          <w:rFonts w:ascii="Arial" w:cs="Arial" w:eastAsia="Arial" w:hAnsi="Arial"/>
          <w:color w:val="1A1A1A"/>
          <w:sz w:val="20"/>
          <w:szCs w:val="20"/>
        </w:rPr>
        <w:t xml:space="preserve">[10] Talent Now. </w:t>
      </w:r>
      <w:r>
        <w:rPr>
          <w:rFonts w:ascii="Arial" w:cs="Arial" w:eastAsia="Arial" w:hAnsi="Arial"/>
          <w:i/>
          <w:iCs/>
          <w:color w:val="1A1A1A"/>
          <w:sz w:val="20"/>
          <w:szCs w:val="20"/>
        </w:rPr>
        <w:t xml:space="preserve">Centres Page — Casual Pool &amp; Compliance Features</w:t>
      </w:r>
      <w:r>
        <w:rPr>
          <w:rFonts w:ascii="Arial" w:cs="Arial" w:eastAsia="Arial" w:hAnsi="Arial"/>
          <w:color w:val="1A1A1A"/>
          <w:sz w:val="20"/>
          <w:szCs w:val="20"/>
        </w:rPr>
        <w:t xml:space="preserve">. talentnow.com.au/centres</w:t>
      </w:r>
    </w:p>
    <w:p>
      <w:pPr>
        <w:pStyle w:val="ListParagraph"/>
        <w:numPr>
          <w:ilvl w:val="0"/>
          <w:numId w:val="2"/>
        </w:numPr>
        <w:spacing w:after="40" w:before="40"/>
      </w:pPr>
      <w:r>
        <w:rPr>
          <w:rFonts w:ascii="Arial" w:cs="Arial" w:eastAsia="Arial" w:hAnsi="Arial"/>
          <w:color w:val="1A1A1A"/>
          <w:sz w:val="20"/>
          <w:szCs w:val="20"/>
        </w:rPr>
        <w:t xml:space="preserve">[11] The Sector (Feb 2025). </w:t>
      </w:r>
      <w:r>
        <w:rPr>
          <w:rFonts w:ascii="Arial" w:cs="Arial" w:eastAsia="Arial" w:hAnsi="Arial"/>
          <w:i/>
          <w:iCs/>
          <w:color w:val="1A1A1A"/>
          <w:sz w:val="20"/>
          <w:szCs w:val="20"/>
        </w:rPr>
        <w:t xml:space="preserve">Talent Now Utilises Employment Hero Integration to Better Serve ECEC Services</w:t>
      </w:r>
      <w:r>
        <w:rPr>
          <w:rFonts w:ascii="Arial" w:cs="Arial" w:eastAsia="Arial" w:hAnsi="Arial"/>
          <w:color w:val="1A1A1A"/>
          <w:sz w:val="20"/>
          <w:szCs w:val="20"/>
        </w:rPr>
        <w:t xml:space="preserve">. thesector.com.au/2025/02/04/talent-now-utilises-employment-hero-integration-to-better-serve-ecec-services</w:t>
      </w:r>
    </w:p>
    <w:p>
      <w:pPr>
        <w:pStyle w:val="ListParagraph"/>
        <w:numPr>
          <w:ilvl w:val="0"/>
          <w:numId w:val="2"/>
        </w:numPr>
        <w:spacing w:after="40" w:before="40"/>
      </w:pPr>
      <w:r>
        <w:rPr>
          <w:rFonts w:ascii="Arial" w:cs="Arial" w:eastAsia="Arial" w:hAnsi="Arial"/>
          <w:color w:val="1A1A1A"/>
          <w:sz w:val="20"/>
          <w:szCs w:val="20"/>
        </w:rPr>
        <w:t xml:space="preserve">[17] Talent Now Blog. </w:t>
      </w:r>
      <w:r>
        <w:rPr>
          <w:rFonts w:ascii="Arial" w:cs="Arial" w:eastAsia="Arial" w:hAnsi="Arial"/>
          <w:i/>
          <w:iCs/>
          <w:color w:val="1A1A1A"/>
          <w:sz w:val="20"/>
          <w:szCs w:val="20"/>
        </w:rPr>
        <w:t xml:space="preserve">About Talent Now Founder Liddy Korner</w:t>
      </w:r>
      <w:r>
        <w:rPr>
          <w:rFonts w:ascii="Arial" w:cs="Arial" w:eastAsia="Arial" w:hAnsi="Arial"/>
          <w:color w:val="1A1A1A"/>
          <w:sz w:val="20"/>
          <w:szCs w:val="20"/>
        </w:rPr>
        <w:t xml:space="preserve">. talentnow.com.au/blog/about-talent-now-founder-liddy-korner</w:t>
      </w:r>
    </w:p>
    <w:p>
      <w:pPr>
        <w:pStyle w:val="ListParagraph"/>
        <w:numPr>
          <w:ilvl w:val="0"/>
          <w:numId w:val="2"/>
        </w:numPr>
        <w:spacing w:after="40" w:before="40"/>
      </w:pPr>
      <w:r>
        <w:rPr>
          <w:rFonts w:ascii="Arial" w:cs="Arial" w:eastAsia="Arial" w:hAnsi="Arial"/>
          <w:color w:val="1A1A1A"/>
          <w:sz w:val="20"/>
          <w:szCs w:val="20"/>
        </w:rPr>
        <w:t xml:space="preserve">The Sector (Oct 2024). Talent Now Shaping the Future of ECEC Staffing. thesector.com.au</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Expect A Star</w:t>
      </w:r>
    </w:p>
    <w:p>
      <w:pPr>
        <w:pStyle w:val="ListParagraph"/>
        <w:numPr>
          <w:ilvl w:val="0"/>
          <w:numId w:val="2"/>
        </w:numPr>
        <w:spacing w:after="40" w:before="40"/>
      </w:pPr>
      <w:r>
        <w:rPr>
          <w:rFonts w:ascii="Arial" w:cs="Arial" w:eastAsia="Arial" w:hAnsi="Arial"/>
          <w:color w:val="1A1A1A"/>
          <w:sz w:val="20"/>
          <w:szCs w:val="20"/>
        </w:rPr>
        <w:t xml:space="preserve">[9] Expect A Star. </w:t>
      </w:r>
      <w:r>
        <w:rPr>
          <w:rFonts w:ascii="Arial" w:cs="Arial" w:eastAsia="Arial" w:hAnsi="Arial"/>
          <w:i/>
          <w:iCs/>
          <w:color w:val="1A1A1A"/>
          <w:sz w:val="20"/>
          <w:szCs w:val="20"/>
        </w:rPr>
        <w:t xml:space="preserve">Client Portal — App Features for Centres</w:t>
      </w:r>
      <w:r>
        <w:rPr>
          <w:rFonts w:ascii="Arial" w:cs="Arial" w:eastAsia="Arial" w:hAnsi="Arial"/>
          <w:color w:val="1A1A1A"/>
          <w:sz w:val="20"/>
          <w:szCs w:val="20"/>
        </w:rPr>
        <w:t xml:space="preserve">. expectastar.com.au/client-portal</w:t>
      </w:r>
    </w:p>
    <w:p>
      <w:pPr>
        <w:pStyle w:val="ListParagraph"/>
        <w:numPr>
          <w:ilvl w:val="0"/>
          <w:numId w:val="2"/>
        </w:numPr>
        <w:spacing w:after="40" w:before="40"/>
      </w:pPr>
      <w:r>
        <w:rPr>
          <w:rFonts w:ascii="Arial" w:cs="Arial" w:eastAsia="Arial" w:hAnsi="Arial"/>
          <w:color w:val="1A1A1A"/>
          <w:sz w:val="20"/>
          <w:szCs w:val="20"/>
        </w:rPr>
        <w:t xml:space="preserve">[18] Expect A Star. </w:t>
      </w:r>
      <w:r>
        <w:rPr>
          <w:rFonts w:ascii="Arial" w:cs="Arial" w:eastAsia="Arial" w:hAnsi="Arial"/>
          <w:i/>
          <w:iCs/>
          <w:color w:val="1A1A1A"/>
          <w:sz w:val="20"/>
          <w:szCs w:val="20"/>
        </w:rPr>
        <w:t xml:space="preserve">About Us — Australian-Owned Since 2004</w:t>
      </w:r>
      <w:r>
        <w:rPr>
          <w:rFonts w:ascii="Arial" w:cs="Arial" w:eastAsia="Arial" w:hAnsi="Arial"/>
          <w:color w:val="1A1A1A"/>
          <w:sz w:val="20"/>
          <w:szCs w:val="20"/>
        </w:rPr>
        <w:t xml:space="preserve">. expectastar.com.au/about-us</w:t>
      </w:r>
    </w:p>
    <w:p>
      <w:pPr>
        <w:pStyle w:val="ListParagraph"/>
        <w:numPr>
          <w:ilvl w:val="0"/>
          <w:numId w:val="2"/>
        </w:numPr>
        <w:spacing w:after="40" w:before="40"/>
      </w:pPr>
      <w:r>
        <w:rPr>
          <w:rFonts w:ascii="Arial" w:cs="Arial" w:eastAsia="Arial" w:hAnsi="Arial"/>
          <w:color w:val="1A1A1A"/>
          <w:sz w:val="20"/>
          <w:szCs w:val="20"/>
        </w:rPr>
        <w:t xml:space="preserve">[19] Expect A Star. </w:t>
      </w:r>
      <w:r>
        <w:rPr>
          <w:rFonts w:ascii="Arial" w:cs="Arial" w:eastAsia="Arial" w:hAnsi="Arial"/>
          <w:i/>
          <w:iCs/>
          <w:color w:val="1A1A1A"/>
          <w:sz w:val="20"/>
          <w:szCs w:val="20"/>
        </w:rPr>
        <w:t xml:space="preserve">Find Staff — Recruitment Services &amp; Travelling Educator</w:t>
      </w:r>
      <w:r>
        <w:rPr>
          <w:rFonts w:ascii="Arial" w:cs="Arial" w:eastAsia="Arial" w:hAnsi="Arial"/>
          <w:color w:val="1A1A1A"/>
          <w:sz w:val="20"/>
          <w:szCs w:val="20"/>
        </w:rPr>
        <w:t xml:space="preserve">. expectastar.com.au/find-staff</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QuickCare</w:t>
      </w:r>
    </w:p>
    <w:p>
      <w:pPr>
        <w:pStyle w:val="ListParagraph"/>
        <w:numPr>
          <w:ilvl w:val="0"/>
          <w:numId w:val="2"/>
        </w:numPr>
        <w:spacing w:after="40" w:before="40"/>
      </w:pPr>
      <w:r>
        <w:rPr>
          <w:rFonts w:ascii="Arial" w:cs="Arial" w:eastAsia="Arial" w:hAnsi="Arial"/>
          <w:color w:val="1A1A1A"/>
          <w:sz w:val="20"/>
          <w:szCs w:val="20"/>
        </w:rPr>
        <w:t xml:space="preserve">[20] QuickCare. </w:t>
      </w:r>
      <w:r>
        <w:rPr>
          <w:rFonts w:ascii="Arial" w:cs="Arial" w:eastAsia="Arial" w:hAnsi="Arial"/>
          <w:i/>
          <w:iCs/>
          <w:color w:val="1A1A1A"/>
          <w:sz w:val="20"/>
          <w:szCs w:val="20"/>
        </w:rPr>
        <w:t xml:space="preserve">About QuickCare — Founded 2022</w:t>
      </w:r>
      <w:r>
        <w:rPr>
          <w:rFonts w:ascii="Arial" w:cs="Arial" w:eastAsia="Arial" w:hAnsi="Arial"/>
          <w:color w:val="1A1A1A"/>
          <w:sz w:val="20"/>
          <w:szCs w:val="20"/>
        </w:rPr>
        <w:t xml:space="preserve">. quickcarehr.com/about</w:t>
      </w:r>
    </w:p>
    <w:p>
      <w:pPr>
        <w:pStyle w:val="ListParagraph"/>
        <w:numPr>
          <w:ilvl w:val="0"/>
          <w:numId w:val="2"/>
        </w:numPr>
        <w:spacing w:after="40" w:before="40"/>
      </w:pPr>
      <w:r>
        <w:rPr>
          <w:rFonts w:ascii="Arial" w:cs="Arial" w:eastAsia="Arial" w:hAnsi="Arial"/>
          <w:color w:val="1A1A1A"/>
          <w:sz w:val="20"/>
          <w:szCs w:val="20"/>
        </w:rPr>
        <w:t xml:space="preserve">[21] The Sector (Sept 2025). </w:t>
      </w:r>
      <w:r>
        <w:rPr>
          <w:rFonts w:ascii="Arial" w:cs="Arial" w:eastAsia="Arial" w:hAnsi="Arial"/>
          <w:i/>
          <w:iCs/>
          <w:color w:val="1A1A1A"/>
          <w:sz w:val="20"/>
          <w:szCs w:val="20"/>
        </w:rPr>
        <w:t xml:space="preserve">From Vetting to Visibility: How QuickCare is Reshaping ECEC Staffing</w:t>
      </w:r>
      <w:r>
        <w:rPr>
          <w:rFonts w:ascii="Arial" w:cs="Arial" w:eastAsia="Arial" w:hAnsi="Arial"/>
          <w:color w:val="1A1A1A"/>
          <w:sz w:val="20"/>
          <w:szCs w:val="20"/>
        </w:rPr>
        <w:t xml:space="preserve">. thesector.com.au/2025/09/02/from-vetting-to-visibility-how-quickcare-is-reshaping-ecec-staffing</w:t>
      </w:r>
    </w:p>
    <w:p>
      <w:pPr>
        <w:pStyle w:val="ListParagraph"/>
        <w:numPr>
          <w:ilvl w:val="0"/>
          <w:numId w:val="2"/>
        </w:numPr>
        <w:spacing w:after="40" w:before="40"/>
      </w:pPr>
      <w:r>
        <w:rPr>
          <w:rFonts w:ascii="Arial" w:cs="Arial" w:eastAsia="Arial" w:hAnsi="Arial"/>
          <w:color w:val="1A1A1A"/>
          <w:sz w:val="20"/>
          <w:szCs w:val="20"/>
        </w:rPr>
        <w:t xml:space="preserve">[23] QuickCare. </w:t>
      </w:r>
      <w:r>
        <w:rPr>
          <w:rFonts w:ascii="Arial" w:cs="Arial" w:eastAsia="Arial" w:hAnsi="Arial"/>
          <w:i/>
          <w:iCs/>
          <w:color w:val="1A1A1A"/>
          <w:sz w:val="20"/>
          <w:szCs w:val="20"/>
        </w:rPr>
        <w:t xml:space="preserve">Educators Page — Pay Rates, Video Profiles, Reliability Scores</w:t>
      </w:r>
      <w:r>
        <w:rPr>
          <w:rFonts w:ascii="Arial" w:cs="Arial" w:eastAsia="Arial" w:hAnsi="Arial"/>
          <w:color w:val="1A1A1A"/>
          <w:sz w:val="20"/>
          <w:szCs w:val="20"/>
        </w:rPr>
        <w:t xml:space="preserve">. quickcarehr.com/educators</w:t>
      </w:r>
    </w:p>
    <w:p>
      <w:pPr>
        <w:pStyle w:val="ListParagraph"/>
        <w:numPr>
          <w:ilvl w:val="0"/>
          <w:numId w:val="2"/>
        </w:numPr>
        <w:spacing w:after="40" w:before="40"/>
      </w:pPr>
      <w:r>
        <w:rPr>
          <w:rFonts w:ascii="Arial" w:cs="Arial" w:eastAsia="Arial" w:hAnsi="Arial"/>
          <w:color w:val="1A1A1A"/>
          <w:sz w:val="20"/>
          <w:szCs w:val="20"/>
        </w:rPr>
        <w:t xml:space="preserve">QuickCare. Contact and FAQ. quickcarehr.com/contact-us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Z Staffing</w:t>
      </w:r>
    </w:p>
    <w:p>
      <w:pPr>
        <w:pStyle w:val="ListParagraph"/>
        <w:numPr>
          <w:ilvl w:val="0"/>
          <w:numId w:val="2"/>
        </w:numPr>
        <w:spacing w:after="40" w:before="40"/>
      </w:pPr>
      <w:r>
        <w:rPr>
          <w:rFonts w:ascii="Arial" w:cs="Arial" w:eastAsia="Arial" w:hAnsi="Arial"/>
          <w:color w:val="1A1A1A"/>
          <w:sz w:val="20"/>
          <w:szCs w:val="20"/>
        </w:rPr>
        <w:t xml:space="preserve">[22] Z Staffing. </w:t>
      </w:r>
      <w:r>
        <w:rPr>
          <w:rFonts w:ascii="Arial" w:cs="Arial" w:eastAsia="Arial" w:hAnsi="Arial"/>
          <w:i/>
          <w:iCs/>
          <w:color w:val="1A1A1A"/>
          <w:sz w:val="20"/>
          <w:szCs w:val="20"/>
        </w:rPr>
        <w:t xml:space="preserve">Company Homepage — App-Based Casual Staffing</w:t>
      </w:r>
      <w:r>
        <w:rPr>
          <w:rFonts w:ascii="Arial" w:cs="Arial" w:eastAsia="Arial" w:hAnsi="Arial"/>
          <w:color w:val="1A1A1A"/>
          <w:sz w:val="20"/>
          <w:szCs w:val="20"/>
        </w:rPr>
        <w:t xml:space="preserve">. zstaffing.com.au</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Additional Market Sources</w:t>
      </w:r>
    </w:p>
    <w:p>
      <w:pPr>
        <w:pStyle w:val="ListParagraph"/>
        <w:numPr>
          <w:ilvl w:val="0"/>
          <w:numId w:val="2"/>
        </w:numPr>
        <w:spacing w:after="40" w:before="40"/>
      </w:pPr>
      <w:r>
        <w:rPr>
          <w:rFonts w:ascii="Arial" w:cs="Arial" w:eastAsia="Arial" w:hAnsi="Arial"/>
          <w:color w:val="1A1A1A"/>
          <w:sz w:val="20"/>
          <w:szCs w:val="20"/>
        </w:rPr>
        <w:t xml:space="preserve">IMARC Group (2025). Australia Child Care Services Market Demand Report 2034. imarcgroup.com/australia-child-care-services-market</w:t>
      </w:r>
    </w:p>
    <w:p>
      <w:pPr>
        <w:pStyle w:val="ListParagraph"/>
        <w:numPr>
          <w:ilvl w:val="0"/>
          <w:numId w:val="2"/>
        </w:numPr>
        <w:spacing w:after="40" w:before="40"/>
      </w:pPr>
      <w:r>
        <w:rPr>
          <w:rFonts w:ascii="Arial" w:cs="Arial" w:eastAsia="Arial" w:hAnsi="Arial"/>
          <w:color w:val="1A1A1A"/>
          <w:sz w:val="20"/>
          <w:szCs w:val="20"/>
        </w:rPr>
        <w:t xml:space="preserve">Grand View Research (2025). Australia Child Care Services Market Size &amp; Outlook 2030. grandviewresearch.com</w:t>
      </w:r>
    </w:p>
    <w:p>
      <w:pPr>
        <w:pStyle w:val="ListParagraph"/>
        <w:numPr>
          <w:ilvl w:val="0"/>
          <w:numId w:val="2"/>
        </w:numPr>
        <w:spacing w:after="40" w:before="40"/>
      </w:pPr>
      <w:r>
        <w:rPr>
          <w:rFonts w:ascii="Arial" w:cs="Arial" w:eastAsia="Arial" w:hAnsi="Arial"/>
          <w:color w:val="1A1A1A"/>
          <w:sz w:val="20"/>
          <w:szCs w:val="20"/>
        </w:rPr>
        <w:t xml:space="preserve">Mordor Intelligence (2026). Child Care Market Size, Outlook &amp; Global Report 2031. mordorintelligence.com/industry-reports/child-care-market</w:t>
      </w:r>
    </w:p>
    <w:p>
      <w:pPr>
        <w:pStyle w:val="ListParagraph"/>
        <w:numPr>
          <w:ilvl w:val="0"/>
          <w:numId w:val="2"/>
        </w:numPr>
        <w:spacing w:after="40" w:before="40"/>
      </w:pPr>
      <w:r>
        <w:rPr>
          <w:rFonts w:ascii="Arial" w:cs="Arial" w:eastAsia="Arial" w:hAnsi="Arial"/>
          <w:color w:val="1A1A1A"/>
          <w:sz w:val="20"/>
          <w:szCs w:val="20"/>
        </w:rPr>
        <w:t xml:space="preserve">Kirana Colleges (2026). Early Childhood Education Workforce Trends 2026. kiranacolleges.edu.au</w:t>
      </w:r>
    </w:p>
    <w:p>
      <w:pPr>
        <w:pStyle w:val="ListParagraph"/>
        <w:numPr>
          <w:ilvl w:val="0"/>
          <w:numId w:val="2"/>
        </w:numPr>
        <w:spacing w:after="40" w:before="40"/>
      </w:pPr>
      <w:r>
        <w:rPr>
          <w:rFonts w:ascii="Arial" w:cs="Arial" w:eastAsia="Arial" w:hAnsi="Arial"/>
          <w:color w:val="1A1A1A"/>
          <w:sz w:val="20"/>
          <w:szCs w:val="20"/>
        </w:rPr>
        <w:t xml:space="preserve">VETASSESS. Private Tutors and Teachers Skills Assessment ANZSCO 249299. vetassess.com.au</w:t>
      </w:r>
    </w:p>
    <w:p>
      <w:pPr>
        <w:spacing w:after="80" w:before="80"/>
      </w:pPr>
      <w:r>
        <w:t xml:space="preserve"/>
      </w:r>
    </w:p>
    <w:p>
      <w:pPr>
        <w:pBdr>
          <w:bottom w:val="single" w:color="CCCCCC" w:sz="3" w:space="1"/>
        </w:pBdr>
        <w:spacing w:after="120" w:before="120"/>
      </w:pPr>
      <w:r>
        <w:t xml:space="preserve"/>
      </w:r>
    </w:p>
    <w:p>
      <w:pPr>
        <w:spacing w:before="120"/>
        <w:jc w:val="center"/>
      </w:pPr>
      <w:r>
        <w:rPr>
          <w:rFonts w:ascii="Arial" w:cs="Arial" w:eastAsia="Arial" w:hAnsi="Arial"/>
          <w:i/>
          <w:iCs/>
          <w:color w:val="999999"/>
          <w:sz w:val="16"/>
          <w:szCs w:val="16"/>
        </w:rPr>
        <w:t xml:space="preserve">Raw Talent Recruitment — Competitive Intelligence Report v2.0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360"/>
      </w:tabs>
    </w:pPr>
    <w:r>
      <w:rPr>
        <w:rFonts w:ascii="Arial" w:cs="Arial" w:eastAsia="Arial" w:hAnsi="Arial"/>
        <w:color w:val="888888"/>
        <w:sz w:val="16"/>
        <w:szCs w:val="16"/>
      </w:rPr>
      <w:t xml:space="preserve">Raw Talent Recruitment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888888"/>
        <w:sz w:val="16"/>
        <w:szCs w:val="16"/>
      </w:rPr>
      <w:t xml:space="preserve">CONFIDENTIAL  |  Raw Talent Recruitment — Competitive Intelligence Report</w:t>
    </w:r>
    <w:r>
      <w:rPr>
        <w:rFonts w:ascii="Arial" w:cs="Arial" w:eastAsia="Arial" w:hAnsi="Arial"/>
        <w:color w:val="888888"/>
        <w:sz w:val="16"/>
        <w:szCs w:val="16"/>
      </w:rPr>
      <w:t xml:space="preserve">  |  v2.0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D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2026-06-02T13:27:01.528Z</dcterms:created>
  <dcterms:modified xsi:type="dcterms:W3CDTF">2026-06-02T13:27:01.539Z</dcterms:modified>
</cp:coreProperties>
</file>

<file path=docProps/custom.xml><?xml version="1.0" encoding="utf-8"?>
<Properties xmlns="http://schemas.openxmlformats.org/officeDocument/2006/custom-properties" xmlns:vt="http://schemas.openxmlformats.org/officeDocument/2006/docPropsVTypes"/>
</file>