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P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>
        <w:rPr>
          <w:rFonts w:ascii="Calibri" w:hAnsi="Calibri" w:cs="Calibri"/>
          <w:szCs w:val="22"/>
        </w:rPr>
        <w:t xml:space="preserve"> for Sprint 1:</w:t>
      </w:r>
    </w:p>
    <w:p w:rsidR="005D5AD8" w:rsidRDefault="005D5AD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/>
    <w:p w:rsidR="00440E48" w:rsidRDefault="00440E48">
      <w:r>
        <w:br w:type="page"/>
      </w:r>
    </w:p>
    <w:p w:rsidR="00440E48" w:rsidRPr="00440E48" w:rsidRDefault="00440E48">
      <w:pPr>
        <w:rPr>
          <w:rFonts w:asciiTheme="minorHAnsi" w:hAnsiTheme="minorHAnsi" w:cstheme="minorHAnsi"/>
        </w:rPr>
      </w:pPr>
      <w:r w:rsidRPr="00440E48">
        <w:rPr>
          <w:rFonts w:asciiTheme="minorHAnsi" w:hAnsiTheme="minorHAnsi" w:cstheme="minorHAnsi"/>
        </w:rPr>
        <w:lastRenderedPageBreak/>
        <w:t>CDP Inventory:</w:t>
      </w:r>
    </w:p>
    <w:p w:rsidR="00440E48" w:rsidRDefault="00440E48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4320"/>
        <w:gridCol w:w="1240"/>
        <w:gridCol w:w="1160"/>
        <w:gridCol w:w="3880"/>
        <w:gridCol w:w="3500"/>
      </w:tblGrid>
      <w:tr w:rsidR="00A054B3" w:rsidRPr="00A054B3" w:rsidTr="00A054B3">
        <w:trPr>
          <w:trHeight w:val="28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IEMHV_Sprint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1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Screenshot.docx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DG_53_903_V1.KID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IEMHV_UNIT_TEST_CAPTURE_V1.doc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This enhancement is not a standalone or distinct system requiring administration; there are no system administration functions/instructions to provide.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h)     Technical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IEMHV_TECHNICAL_MANUAL_V1.doc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IEMHV_Testing_Manual_v1.1.docx</w:t>
            </w:r>
          </w:p>
        </w:tc>
      </w:tr>
      <w:tr w:rsidR="00A054B3" w:rsidRPr="00A054B3" w:rsidTr="00A054B3">
        <w:trPr>
          <w:trHeight w:val="1142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IEMHV_DEV</w:t>
            </w:r>
            <w:bookmarkStart w:id="0" w:name="_GoBack"/>
            <w:bookmarkEnd w:id="0"/>
            <w:r w:rsidRPr="00A054B3">
              <w:rPr>
                <w:rFonts w:ascii="Calibri" w:hAnsi="Calibri" w:cs="Calibri"/>
                <w:sz w:val="20"/>
              </w:rPr>
              <w:t>ELOPER_GUIDE_V1.doc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k)     User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IEMHV_dg_5_3_p858_reg_um Change Pages v.1.doc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l)      Release Notes including a detailed description of changes since the previous release, bug fixes, known issues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IEMHV_RELEASE_NOTES_V1.doc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IEMHV_PROJECT_MANIFEST_V1.doc</w:t>
            </w:r>
          </w:p>
        </w:tc>
      </w:tr>
    </w:tbl>
    <w:p w:rsidR="00440E48" w:rsidRDefault="00440E48"/>
    <w:sectPr w:rsidR="00440E48" w:rsidSect="00440E48">
      <w:pgSz w:w="15840" w:h="12240" w:orient="landscape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364</Words>
  <Characters>2077</Characters>
  <Application>Microsoft Office Word</Application>
  <DocSecurity>0</DocSecurity>
  <Lines>17</Lines>
  <Paragraphs>4</Paragraphs>
  <ScaleCrop>false</ScaleCrop>
  <Company>HP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4</cp:revision>
  <dcterms:created xsi:type="dcterms:W3CDTF">2014-10-08T13:48:00Z</dcterms:created>
  <dcterms:modified xsi:type="dcterms:W3CDTF">2014-10-08T13:55:00Z</dcterms:modified>
</cp:coreProperties>
</file>