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/>
      </w:pPr>
      <w:r>
        <w:rPr>
          <w:rFonts w:ascii="Arial Unicode MS" w:hAnsi="Arial Unicode MS" w:eastAsia="Arial Unicode MS"/>
          <w:b/>
          <w:color w:val="172033"/>
          <w:sz w:val="60"/>
        </w:rPr>
        <w:t>百度智能云伙伴产品方案</w:t>
      </w:r>
    </w:p>
    <w:p>
      <w:pPr>
        <w:spacing w:after="480"/>
      </w:pPr>
      <w:r>
        <w:rPr>
          <w:rFonts w:ascii="Arial Unicode MS" w:hAnsi="Arial Unicode MS" w:eastAsia="Arial Unicode MS"/>
          <w:b w:val="0"/>
          <w:color w:val="2F6FEB"/>
          <w:sz w:val="32"/>
        </w:rPr>
        <w:t>SAEE Agent Readiness Platform / SAEE 智能体上线准备平台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合作方向：千帆 Agent 上线前执行证据评估与应用场景共建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文档状态：千帆伙伴咨询已提交；更高阶合作资质字段仍待负责人补全</w:t>
      </w:r>
    </w:p>
    <w:p>
      <w:r>
        <w:rPr>
          <w:rFonts w:ascii="Arial Unicode MS" w:hAnsi="Arial Unicode MS" w:eastAsia="Arial Unicode MS"/>
          <w:b w:val="0"/>
          <w:color w:val="536078"/>
          <w:sz w:val="22"/>
        </w:rPr>
        <w:t>版本：v1.0 · 2026-07-13</w:t>
      </w:r>
    </w:p>
    <w:p>
      <w:pPr>
        <w:spacing w:before="960"/>
      </w:pPr>
      <w:r>
        <w:rPr>
          <w:rFonts w:ascii="Arial Unicode MS" w:hAnsi="Arial Unicode MS" w:eastAsia="Arial Unicode MS"/>
          <w:b/>
          <w:color w:val="9B1C1C"/>
          <w:sz w:val="24"/>
        </w:rPr>
        <w:t>重要边界</w:t>
      </w:r>
    </w:p>
    <w:p>
      <w:r>
        <w:rPr>
          <w:rFonts w:ascii="Arial Unicode MS" w:hAnsi="Arial Unicode MS" w:eastAsia="Arial Unicode MS"/>
          <w:b w:val="0"/>
          <w:color w:val="9B1C1C"/>
          <w:sz w:val="22"/>
        </w:rPr>
        <w:t>本方案不声明百度官方集成、产品认证、云市场入驻、客户验证或生产就绪。</w:t>
      </w:r>
    </w:p>
    <w:p>
      <w:r>
        <w:br w:type="page"/>
      </w:r>
    </w:p>
    <w:p>
      <w:pPr>
        <w:pStyle w:val="Heading1"/>
      </w:pPr>
      <w:r>
        <w:t>1. 后续合作主体信息（负责人必填）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72033"/>
          <w:sz w:val="21"/>
        </w:rPr>
        <w:t>法定主体中文名：</w:t>
      </w:r>
      <w:r>
        <w:rPr>
          <w:rFonts w:ascii="Arial Unicode MS" w:hAnsi="Arial Unicode MS" w:eastAsia="Arial Unicode MS"/>
          <w:b w:val="0"/>
          <w:color w:val="9B1C1C"/>
          <w:sz w:val="21"/>
        </w:rPr>
        <w:t>TBD_OWNER_INPUT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72033"/>
          <w:sz w:val="21"/>
        </w:rPr>
        <w:t>统一社会信用代码：</w:t>
      </w:r>
      <w:r>
        <w:rPr>
          <w:rFonts w:ascii="Arial Unicode MS" w:hAnsi="Arial Unicode MS" w:eastAsia="Arial Unicode MS"/>
          <w:b w:val="0"/>
          <w:color w:val="9B1C1C"/>
          <w:sz w:val="21"/>
        </w:rPr>
        <w:t>TBD_OWNER_INPUT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72033"/>
          <w:sz w:val="21"/>
        </w:rPr>
        <w:t>单位性质：</w:t>
      </w:r>
      <w:r>
        <w:rPr>
          <w:rFonts w:ascii="Arial Unicode MS" w:hAnsi="Arial Unicode MS" w:eastAsia="Arial Unicode MS"/>
          <w:b w:val="0"/>
          <w:color w:val="9B1C1C"/>
          <w:sz w:val="21"/>
        </w:rPr>
        <w:t>TBD_OWNER_INPUT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72033"/>
          <w:sz w:val="21"/>
        </w:rPr>
        <w:t>单位官网：</w:t>
      </w:r>
      <w:r>
        <w:rPr>
          <w:rFonts w:ascii="Arial Unicode MS" w:hAnsi="Arial Unicode MS" w:eastAsia="Arial Unicode MS"/>
          <w:b w:val="0"/>
          <w:color w:val="9B1C1C"/>
          <w:sz w:val="21"/>
        </w:rPr>
        <w:t>TBD_OWNER_INPUT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72033"/>
          <w:sz w:val="21"/>
        </w:rPr>
        <w:t>单位地址：</w:t>
      </w:r>
      <w:r>
        <w:rPr>
          <w:rFonts w:ascii="Arial Unicode MS" w:hAnsi="Arial Unicode MS" w:eastAsia="Arial Unicode MS"/>
          <w:b w:val="0"/>
          <w:color w:val="9B1C1C"/>
          <w:sz w:val="21"/>
        </w:rPr>
        <w:t>TBD_OWNER_INPUT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72033"/>
          <w:sz w:val="21"/>
        </w:rPr>
        <w:t>联系人姓名：</w:t>
      </w:r>
      <w:r>
        <w:rPr>
          <w:rFonts w:ascii="Arial Unicode MS" w:hAnsi="Arial Unicode MS" w:eastAsia="Arial Unicode MS"/>
          <w:b w:val="0"/>
          <w:color w:val="9B1C1C"/>
          <w:sz w:val="21"/>
        </w:rPr>
        <w:t>TBD_OWNER_INPUT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72033"/>
          <w:sz w:val="21"/>
        </w:rPr>
        <w:t>联系人职位：</w:t>
      </w:r>
      <w:r>
        <w:rPr>
          <w:rFonts w:ascii="Arial Unicode MS" w:hAnsi="Arial Unicode MS" w:eastAsia="Arial Unicode MS"/>
          <w:b w:val="0"/>
          <w:color w:val="9B1C1C"/>
          <w:sz w:val="21"/>
        </w:rPr>
        <w:t>TBD_OWNER_INPUT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72033"/>
          <w:sz w:val="21"/>
        </w:rPr>
        <w:t>联系人手机号：</w:t>
      </w:r>
      <w:r>
        <w:rPr>
          <w:rFonts w:ascii="Arial Unicode MS" w:hAnsi="Arial Unicode MS" w:eastAsia="Arial Unicode MS"/>
          <w:b w:val="0"/>
          <w:color w:val="9B1C1C"/>
          <w:sz w:val="21"/>
        </w:rPr>
        <w:t>TBD_OWNER_INPUT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72033"/>
          <w:sz w:val="21"/>
        </w:rPr>
        <w:t>联系人邮箱：</w:t>
      </w:r>
      <w:r>
        <w:rPr>
          <w:rFonts w:ascii="Arial Unicode MS" w:hAnsi="Arial Unicode MS" w:eastAsia="Arial Unicode MS"/>
          <w:b w:val="0"/>
          <w:color w:val="9B1C1C"/>
          <w:sz w:val="21"/>
        </w:rPr>
        <w:t>TBD_OWNER_INPUT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72033"/>
          <w:sz w:val="21"/>
        </w:rPr>
        <w:t>支持热线及服务时间：</w:t>
      </w:r>
      <w:r>
        <w:rPr>
          <w:rFonts w:ascii="Arial Unicode MS" w:hAnsi="Arial Unicode MS" w:eastAsia="Arial Unicode MS"/>
          <w:b w:val="0"/>
          <w:color w:val="9B1C1C"/>
          <w:sz w:val="21"/>
        </w:rPr>
        <w:t>TBD_OWNER_INPUT</w:t>
      </w:r>
    </w:p>
    <w:p>
      <w:pPr>
        <w:pStyle w:val="Heading2"/>
      </w:pPr>
      <w:r>
        <w:t>建议表单选择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产品形态：服务；是否同时选择 SaaS 由负责人根据真实交付形态决定。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服务能力：产品集成。合作权益：应用场景共建、技术赋能提升。</w:t>
      </w:r>
    </w:p>
    <w:p>
      <w:r>
        <w:rPr>
          <w:rFonts w:ascii="Arial Unicode MS" w:hAnsi="Arial Unicode MS" w:eastAsia="Arial Unicode MS"/>
          <w:b w:val="0"/>
          <w:color w:val="9B1C1C"/>
          <w:sz w:val="22"/>
        </w:rPr>
        <w:t>不得将未核验字段自动补全或从个人资料中推断。</w:t>
      </w:r>
    </w:p>
    <w:p>
      <w:r>
        <w:br w:type="page"/>
      </w:r>
    </w:p>
    <w:p>
      <w:pPr>
        <w:pStyle w:val="Heading1"/>
      </w:pPr>
      <w:r>
        <w:t>2. 产品介绍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SAEE 是用于评估 AI Agent 在真实部署前是否具备充分执行证据的智能体就绪基础设施。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首个产品是 SAEE Agent Readiness Assessment：客户提供 Agent 配置、Tool 调用记录、Execution Trace 与 Evidence Bundle，系统返回证据覆盖、缺失证据、风险信号和有边界的上线准备建议。</w:t>
      </w:r>
    </w:p>
    <w:p>
      <w:pPr>
        <w:pStyle w:val="Heading2"/>
      </w:pPr>
      <w:r>
        <w:t>两个公共操作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saee.evaluate_agent_run：评估一次 Agent 运行的执行证据覆盖与缺口。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saee.evaluate_evidence：评估 Evidence Bundle 的质量、覆盖和限制。</w:t>
      </w:r>
    </w:p>
    <w:p>
      <w:pPr>
        <w:pStyle w:val="Heading2"/>
      </w:pPr>
      <w:r>
        <w:t>客户价值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把“这次跑通”与“具备上线所需证据”分开，帮助企业在退款、支付、代码发布等高影响场景中识别缺少的回滚、权限和人工审批证据。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评估结果不授权部署、付款、权限扩大或任何外部动作。</w:t>
      </w:r>
    </w:p>
    <w:p>
      <w:r>
        <w:br w:type="page"/>
      </w:r>
    </w:p>
    <w:p>
      <w:pPr>
        <w:pStyle w:val="Heading1"/>
      </w:pPr>
      <w:r>
        <w:t>3. 百度智能云目标组合架构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目标路径：BOS 脱敏对象引用 → 百度千帆 → Agent 应用 → SAEE Connector → Evaluation Engine → Evidence Analysis → Readiness Report。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当前 Alpha 已完成两个只读 MCP 工具、Qianfan-style 离线 host simulation，以及两个合成业务场景的真实 Qianfan 产品 roundtrip；尚未访问 BOS，也不构成官方千帆集成。</w:t>
      </w:r>
    </w:p>
    <w:p>
      <w:r>
        <w:br w:type="page"/>
      </w:r>
    </w:p>
    <w:p>
      <w:pPr>
        <w:pStyle w:val="Heading1"/>
      </w:pPr>
      <w:r>
        <w:t>4. Demo、交付与合作建议</w:t>
      </w:r>
    </w:p>
    <w:p>
      <w:pPr>
        <w:pStyle w:val="Heading2"/>
      </w:pPr>
      <w:r>
        <w:t>本地可核验 Demo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智能客服退款 Agent：证据覆盖 75%，缺失 HUMAN_APPROVAL，建议 HUMAN_REVIEW_REQUIRED；不执行退款。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代码发布 Agent：证据覆盖 50%，缺失 ROLLBACK_PLAN 与 HUMAN_APPROVAL，建议 REPLAN；不执行部署。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证据包评估：检查 evidence quality；不认证 trace 真实性。</w:t>
      </w:r>
    </w:p>
    <w:p>
      <w:pPr>
        <w:pStyle w:val="Heading2"/>
      </w:pPr>
      <w:r>
        <w:t>本地材料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30 分钟 Cloud Entry Package、10 页技术白皮书、3 分钟 Demo 视频、OpenAPI、MCP、Capability Card、架构图、截图与离线 validator 已准备。</w:t>
      </w:r>
    </w:p>
    <w:p>
      <w:pPr>
        <w:pStyle w:val="Heading2"/>
      </w:pPr>
      <w:r>
        <w:t>建议合作路径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第一步：千帆伙伴咨询已按授权提交，方向为产品集成与应用场景共建；等待并记录百度反馈。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第二步：两个真实 Qianfan 合成场景 roundtrip 已完成；下一项是百度工程审阅，不把 provider 调用升级为官方集成。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第三步：在资质、软著、支持、企业账号和协议条件满足后，再评估产品认证或云市场入驻。</w:t>
      </w:r>
    </w:p>
    <w:p>
      <w:pPr>
        <w:pStyle w:val="Heading2"/>
      </w:pPr>
      <w:r>
        <w:t>当前真值</w:t>
      </w:r>
    </w:p>
    <w:p>
      <w:r>
        <w:rPr>
          <w:rFonts w:ascii="Arial Unicode MS" w:hAnsi="Arial Unicode MS" w:eastAsia="Arial Unicode MS"/>
          <w:b w:val="0"/>
          <w:color w:val="9B1C1C"/>
          <w:sz w:val="22"/>
        </w:rPr>
        <w:t>official_qianfan_integration=false · customer_validated=false · marketplace_submission=false · production_ready=false</w:t>
      </w:r>
    </w:p>
    <w:p>
      <w:r>
        <w:br w:type="page"/>
      </w:r>
    </w:p>
    <w:p>
      <w:pPr>
        <w:pStyle w:val="Heading1"/>
      </w:pPr>
      <w:r>
        <w:t>5. 官方入口与附件清单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千帆伙伴咨询：https://cloud.baidu.com/survey/qianfanpartnerconsultation.html?track=C841333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合作伙伴申请：https://cloud.baidu.com/partner/apply.html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产品认证：https://cloud.baidu.com/partner/product-certification.html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云市场条件：https://cloud.baidu.com/doc/Market/s/ojy6wl8sd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云市场流程：https://cloud.baidu.com/doc/Market/s/9jy6y1c8f</w:t>
      </w:r>
    </w:p>
    <w:p>
      <w:pPr>
        <w:pStyle w:val="Heading2"/>
      </w:pPr>
      <w:r>
        <w:t>建议随附文件（人工确认后）</w:t>
      </w:r>
    </w:p>
    <w:p>
      <w:r>
        <w:rPr>
          <w:rFonts w:ascii="Arial Unicode MS" w:hAnsi="Arial Unicode MS" w:eastAsia="Arial Unicode MS"/>
          <w:b w:val="0"/>
          <w:color w:val="172033"/>
          <w:sz w:val="22"/>
        </w:rPr>
        <w:t>本 Word 产品方案、技术白皮书 PDF、Demo 视频或受控地址、GitHub Release 地址、营业执照/资质材料。</w:t>
      </w:r>
    </w:p>
    <w:p>
      <w:r>
        <w:rPr>
          <w:rFonts w:ascii="Arial Unicode MS" w:hAnsi="Arial Unicode MS" w:eastAsia="Arial Unicode MS"/>
          <w:b w:val="0"/>
          <w:color w:val="9B1C1C"/>
          <w:sz w:val="22"/>
        </w:rPr>
        <w:t>千帆伙伴咨询已按授权提交；后续上传附件、接受协议或向其他入口复用联系人数据仍需单独授权。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536078"/>
        <w:sz w:val="16"/>
      </w:rPr>
      <w:t>partner consultation submitted · marketplace submission=false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 w:val="0"/>
        <w:color w:val="536078"/>
        <w:sz w:val="18"/>
      </w:rPr>
      <w:t>SAEE × 百度智能云 | 伙伴产品方案包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SAEE 百度智能云伙伴产品方案 v1.0</dc:title>
  <dc:subject>Qianfan partner consultation submitted; broader partner qualification handoff</dc:subject>
  <dc:creator>SAEE</dc:creator>
  <cp:keywords>SAEE, Baidu Qianfan, Agent Readiness, local draft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