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140" w:line="240" w:lineRule="auto"/>
      </w:pPr>
      <w:r>
        <w:rPr>
          <w:rFonts w:ascii="Menlo" w:hAnsi="Menlo" w:eastAsia="Microsoft YaHei"/>
          <w:b/>
          <w:color w:val="0B6E52"/>
          <w:sz w:val="17"/>
        </w:rPr>
        <w:t>SAEE / 客户能力介绍</w:t>
      </w:r>
    </w:p>
    <w:p>
      <w:pPr>
        <w:keepNext/>
        <w:widowControl/>
        <w:spacing w:before="240" w:after="160" w:line="230" w:lineRule="auto"/>
      </w:pPr>
      <w:r>
        <w:rPr>
          <w:rFonts w:ascii="Arial" w:hAnsi="Arial" w:eastAsia="Microsoft YaHei"/>
          <w:b/>
          <w:color w:val="0A1714"/>
          <w:sz w:val="58"/>
        </w:rPr>
        <w:t>AI智能体会行动，</w:t>
        <w:br/>
        <w:t>但谁判断它是否应该行动？</w:t>
      </w:r>
    </w:p>
    <w:p>
      <w:pPr>
        <w:keepNext/>
        <w:widowControl/>
        <w:spacing w:before="0" w:after="320" w:line="252" w:lineRule="auto"/>
      </w:pPr>
      <w:r>
        <w:rPr>
          <w:rFonts w:ascii="Arial" w:hAnsi="Arial" w:eastAsia="Microsoft YaHei"/>
          <w:b/>
          <w:color w:val="0B6E52"/>
          <w:sz w:val="32"/>
        </w:rPr>
        <w:t>SAEE —— AI智能体上线前可靠性评估能力</w:t>
      </w:r>
    </w:p>
    <w:p>
      <w:pPr>
        <w:keepNext w:val="0"/>
        <w:widowControl/>
        <w:spacing w:before="0" w:after="340" w:line="324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4"/>
        </w:rPr>
        <w:t>在真实任务执行前，检查证据是否充分、识别风险缺口，并给出继续评估、补充证据或请求人工确认的有边界建议。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22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80" w:type="dxa"/>
              <w:bottom w:w="180" w:type="dxa"/>
              <w:start w:w="220" w:type="dxa"/>
              <w:end w:w="220" w:type="dxa"/>
            </w:tcMar>
            <w:shd w:fill="0A1714"/>
            <w:tcBorders>
              <w:top w:val="single" w:sz="4" w:color="0A1714"/>
              <w:left w:val="single" w:sz="4" w:color="0A1714"/>
              <w:bottom w:val="single" w:sz="4" w:color="0A1714"/>
              <w:right w:val="single" w:sz="4" w:color="0A1714"/>
              <w:insideH w:val="single" w:sz="4" w:color="0A1714"/>
              <w:insideV w:val="single" w:sz="4" w:color="0A1714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6"/>
              </w:rPr>
              <w:t>把“感觉能用”变成“有证据、可解释、有边界的上线准备判断”。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DDE9E3"/>
                <w:sz w:val="20"/>
              </w:rPr>
              <w:t>SAEE不是新的智能体平台，也不替代安全、权限或监控系统。它是一层可被云平台、智能体框架和企业工作流调用的只读判断能力。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行动前评估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在真实操作发生前发现缺口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只读判断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读取证据，不修改业务系统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不替代授权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最终行动由获授权主体决定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适合谁</w:t>
      </w:r>
    </w:p>
    <w:p>
      <w:pPr>
        <w:keepNext w:val="0"/>
        <w:widowControl/>
        <w:spacing w:before="0" w:after="280" w:line="283" w:lineRule="auto"/>
        <w:jc w:val="left"/>
      </w:pPr>
      <w:r>
        <w:rPr>
          <w:rFonts w:ascii="Arial" w:hAnsi="Arial" w:eastAsia="Microsoft YaHei"/>
          <w:b/>
          <w:i w:val="0"/>
          <w:color w:val="0A1714"/>
          <w:sz w:val="21"/>
        </w:rPr>
        <w:t>企业AI负责人  ·  云厂商产品团队  ·  智能体平台与生态伙伴  ·  高风险业务流程建设团队</w:t>
      </w:r>
    </w:p>
    <w:p>
      <w:pPr>
        <w:keepNext w:val="0"/>
        <w:widowControl/>
        <w:spacing w:before="60" w:after="0" w:line="300" w:lineRule="auto"/>
      </w:pPr>
      <w:r>
        <w:rPr>
          <w:rFonts w:ascii="Arial" w:hAnsi="Arial" w:eastAsia="Microsoft YaHei"/>
          <w:color w:val="6E7A75"/>
          <w:sz w:val="19"/>
        </w:rPr>
        <w:t>山西游骑兵电子商务有限公司</w:t>
        <w:br/>
        <w:t>联系人：张斌  ·  18518485118</w:t>
        <w:br/>
      </w:r>
      <w:hyperlink r:id="rId11">
        <w:r>
          <w:rPr>
            <w:color w:val="0B6E52"/>
            <w:u w:val="single"/>
            <w:rFonts w:ascii="Arial" w:hAnsi="Arial" w:eastAsia="Microsoft YaHei"/>
          </w:rPr>
          <w:t>redcrag.cn</w:t>
        </w:r>
      </w:hyperlink>
    </w:p>
    <w:p>
      <w:r>
        <w:br w:type="page"/>
      </w:r>
    </w:p>
    <w:p>
      <w:pPr>
        <w:keepNext/>
        <w:widowControl/>
        <w:spacing w:before="0" w:after="140" w:line="240" w:lineRule="auto"/>
      </w:pPr>
      <w:r>
        <w:rPr>
          <w:rFonts w:ascii="Menlo" w:hAnsi="Menlo" w:eastAsia="Microsoft YaHei"/>
          <w:b/>
          <w:color w:val="0B6E52"/>
          <w:sz w:val="17"/>
        </w:rPr>
        <w:t>01 / 为什么需要SAEE</w:t>
      </w:r>
    </w:p>
    <w:p>
      <w:pPr>
        <w:pStyle w:val="Heading1"/>
        <w:keepNext/>
        <w:widowControl/>
        <w:spacing w:before="0" w:after="240" w:line="252" w:lineRule="auto"/>
      </w:pPr>
      <w:r>
        <w:rPr>
          <w:rFonts w:ascii="Arial" w:hAnsi="Arial" w:eastAsia="Microsoft YaHei"/>
          <w:b/>
          <w:color w:val="0A1714"/>
          <w:sz w:val="40"/>
        </w:rPr>
        <w:t>企业为什么需要行动前判断</w:t>
      </w:r>
    </w:p>
    <w:p>
      <w:pPr>
        <w:keepNext w:val="0"/>
        <w:widowControl/>
        <w:spacing w:before="0" w:after="200" w:line="317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2"/>
        </w:rPr>
        <w:t>AI智能体已经可以搜索信息、编写代码、调用工具和执行业务流程。企业真正担心的不是它会不会做，而是它在证据不足、权限过大或无法恢复时仍然继续行动。</w:t>
      </w:r>
    </w:p>
    <w:p>
      <w:pPr>
        <w:keepNext w:val="0"/>
        <w:widowControl/>
        <w:spacing w:before="0" w:after="100" w:line="280" w:lineRule="auto"/>
        <w:numPr>
          <w:ilvl w:val="0"/>
          <w:numId w:val="10"/>
        </w:numPr>
      </w:pPr>
      <w:r>
        <w:rPr>
          <w:rFonts w:ascii="Arial" w:hAnsi="Arial" w:eastAsia="Microsoft YaHei"/>
          <w:color w:val="31413C"/>
          <w:sz w:val="21"/>
        </w:rPr>
        <w:t>如果智能体做错了，能否在行动前发现？</w:t>
      </w:r>
    </w:p>
    <w:p>
      <w:pPr>
        <w:keepNext w:val="0"/>
        <w:widowControl/>
        <w:spacing w:before="0" w:after="100" w:line="280" w:lineRule="auto"/>
        <w:numPr>
          <w:ilvl w:val="0"/>
          <w:numId w:val="10"/>
        </w:numPr>
      </w:pPr>
      <w:r>
        <w:rPr>
          <w:rFonts w:ascii="Arial" w:hAnsi="Arial" w:eastAsia="Microsoft YaHei"/>
          <w:color w:val="31413C"/>
          <w:sz w:val="21"/>
        </w:rPr>
        <w:t>如果权限或审批记录缺失，谁来提示暂停？</w:t>
      </w:r>
    </w:p>
    <w:p>
      <w:pPr>
        <w:keepNext w:val="0"/>
        <w:widowControl/>
        <w:spacing w:before="0" w:after="100" w:line="280" w:lineRule="auto"/>
        <w:numPr>
          <w:ilvl w:val="0"/>
          <w:numId w:val="10"/>
        </w:numPr>
      </w:pPr>
      <w:r>
        <w:rPr>
          <w:rFonts w:ascii="Arial" w:hAnsi="Arial" w:eastAsia="Microsoft YaHei"/>
          <w:color w:val="31413C"/>
          <w:sz w:val="21"/>
        </w:rPr>
        <w:t>如果任务失败，是否具备可验证的回退和恢复方案？</w:t>
      </w:r>
    </w:p>
    <w:p>
      <w:pPr>
        <w:keepNext w:val="0"/>
        <w:widowControl/>
        <w:spacing w:before="0" w:after="100" w:line="280" w:lineRule="auto"/>
        <w:numPr>
          <w:ilvl w:val="0"/>
          <w:numId w:val="10"/>
        </w:numPr>
      </w:pPr>
      <w:r>
        <w:rPr>
          <w:rFonts w:ascii="Arial" w:hAnsi="Arial" w:eastAsia="Microsoft YaHei"/>
          <w:color w:val="31413C"/>
          <w:sz w:val="21"/>
        </w:rPr>
        <w:t>一次运行成功，是否足以支持真实业务上线？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从事后发现，转为事前判断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EAE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C95D52"/>
                <w:sz w:val="23"/>
              </w:rPr>
              <w:t>传统路径</w:t>
            </w:r>
          </w:p>
        </w:tc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DCFFAD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3"/>
              </w:rPr>
              <w:t>SAEE路径</w:t>
            </w:r>
          </w:p>
        </w:tc>
      </w:tr>
      <w:tr>
        <w:trPr/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智能体 → 直接执行 → 问题发生 → 人工事后发现</w:t>
            </w:r>
          </w:p>
        </w:tc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智能体 → 准备行动 → 调用SAEE → 检查证据</w:t>
            </w:r>
          </w:p>
        </w:tc>
      </w:tr>
      <w:tr>
        <w:trPr/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错误、越权和恢复困难发生在行动之后。</w:t>
            </w:r>
          </w:p>
        </w:tc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继续评估 / 补充证据 / 请求人工确认。</w:t>
            </w:r>
          </w:p>
        </w:tc>
      </w:tr>
    </w:tbl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一次评估如何完成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明确智能体准备执行的任务和授权边界。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提交测试、权限、审批、回退和运行轨迹等已有材料。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SAEE检查证据覆盖、缺失项和风险信号。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获得继续评估、补充证据或请求人工确认的建议。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由客户自己的获授权主体决定是否进入下一阶段。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22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80" w:type="dxa"/>
              <w:bottom w:w="180" w:type="dxa"/>
              <w:start w:w="220" w:type="dxa"/>
              <w:end w:w="220" w:type="dxa"/>
            </w:tcMar>
            <w:shd w:fill="DCFFAD"/>
            <w:tcBorders>
              <w:top w:val="single" w:sz="4" w:color="DCFFAD"/>
              <w:left w:val="single" w:sz="4" w:color="DCFFAD"/>
              <w:bottom w:val="single" w:sz="4" w:color="DCFFAD"/>
              <w:right w:val="single" w:sz="4" w:color="DCFFAD"/>
              <w:insideH w:val="single" w:sz="4" w:color="DCFFAD"/>
              <w:insideV w:val="single" w:sz="4" w:color="DCFFAD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0A1714"/>
                <w:sz w:val="26"/>
              </w:rPr>
              <w:t>关键原则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31413C"/>
                <w:sz w:val="20"/>
              </w:rPr>
              <w:t>评估结果不是执行命令。SAEE观察证据、给出判断，但不替代客户自己的授权体系。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widowControl/>
        <w:spacing w:before="0" w:after="140" w:line="240" w:lineRule="auto"/>
      </w:pPr>
      <w:r>
        <w:rPr>
          <w:rFonts w:ascii="Menlo" w:hAnsi="Menlo" w:eastAsia="Microsoft YaHei"/>
          <w:b/>
          <w:color w:val="0B6E52"/>
          <w:sz w:val="17"/>
        </w:rPr>
        <w:t>02 / 产品能力</w:t>
      </w:r>
    </w:p>
    <w:p>
      <w:pPr>
        <w:pStyle w:val="Heading1"/>
        <w:keepNext/>
        <w:widowControl/>
        <w:spacing w:before="0" w:after="240" w:line="252" w:lineRule="auto"/>
      </w:pPr>
      <w:r>
        <w:rPr>
          <w:rFonts w:ascii="Arial" w:hAnsi="Arial" w:eastAsia="Microsoft YaHei"/>
          <w:b/>
          <w:color w:val="0A1714"/>
          <w:sz w:val="40"/>
        </w:rPr>
        <w:t>核心产品能力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证据完整性检查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0"/>
        </w:rPr>
        <w:t>检查测试结果、回退方案、权限边界、人工审批和运行轨迹是否齐全，并区分已提供与缺失材料。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风险与缺口识别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0"/>
        </w:rPr>
        <w:t>识别权限过大、审批缺失、恢复能力不足、长期稳定性不明和证据链不完整等问题。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有边界的上线准备建议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0"/>
        </w:rPr>
        <w:t>给出继续评估、补充材料、进入受控复测或请求人工确认的下一步建议，不输出无条件“批准上线”。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长期可靠性与可组合评估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0"/>
        </w:rPr>
        <w:t>关注任务变化、工具失败和资源压力下的稳定性与退化路径，并通过固定只读接口嵌入现有工作流。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三个典型场景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500"/>
        <w:gridCol w:w="2520"/>
        <w:gridCol w:w="2640"/>
        <w:gridCol w:w="2700"/>
      </w:tblGrid>
      <w:tr>
        <w:trPr>
          <w:tblHeader/>
        </w:trPr>
        <w:tc>
          <w:tcPr>
            <w:tcW w:type="dxa" w:w="1500"/>
            <w:tcMar>
              <w:top w:w="120" w:type="dxa"/>
              <w:bottom w:w="120" w:type="dxa"/>
              <w:start w:w="130" w:type="dxa"/>
              <w:end w:w="13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520"/>
            <w:tcMar>
              <w:top w:w="120" w:type="dxa"/>
              <w:bottom w:w="120" w:type="dxa"/>
              <w:start w:w="130" w:type="dxa"/>
              <w:end w:w="13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准备行动</w:t>
            </w:r>
          </w:p>
        </w:tc>
        <w:tc>
          <w:tcPr>
            <w:tcW w:type="dxa" w:w="2640"/>
            <w:tcMar>
              <w:top w:w="120" w:type="dxa"/>
              <w:bottom w:w="120" w:type="dxa"/>
              <w:start w:w="130" w:type="dxa"/>
              <w:end w:w="13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主要风险</w:t>
            </w:r>
          </w:p>
        </w:tc>
        <w:tc>
          <w:tcPr>
            <w:tcW w:type="dxa" w:w="2700"/>
            <w:tcMar>
              <w:top w:w="120" w:type="dxa"/>
              <w:bottom w:w="120" w:type="dxa"/>
              <w:start w:w="130" w:type="dxa"/>
              <w:end w:w="13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SAEE建议与边界</w:t>
            </w:r>
          </w:p>
        </w:tc>
      </w:tr>
      <w:tr>
        <w:trPr/>
        <w:tc>
          <w:tcPr>
            <w:tcW w:type="dxa" w:w="150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0A1714"/>
                <w:sz w:val="18"/>
              </w:rPr>
              <w:t>代码智能体</w:t>
            </w:r>
          </w:p>
        </w:tc>
        <w:tc>
          <w:tcPr>
            <w:tcW w:type="dxa" w:w="252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修改生产系统代码</w:t>
            </w:r>
          </w:p>
        </w:tc>
        <w:tc>
          <w:tcPr>
            <w:tcW w:type="dxa" w:w="264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缺少测试、审批或回滚方案</w:t>
            </w:r>
          </w:p>
        </w:tc>
        <w:tc>
          <w:tcPr>
            <w:tcW w:type="dxa" w:w="270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补齐证据后复评；不执行部署</w:t>
            </w:r>
          </w:p>
        </w:tc>
      </w:tr>
      <w:tr>
        <w:trPr/>
        <w:tc>
          <w:tcPr>
            <w:tcW w:type="dxa" w:w="1500"/>
            <w:tcMar>
              <w:top w:w="120" w:type="dxa"/>
              <w:bottom w:w="120" w:type="dxa"/>
              <w:start w:w="130" w:type="dxa"/>
              <w:end w:w="130" w:type="dxa"/>
            </w:tcMar>
            <w:shd w:fill="F4F1E9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0A1714"/>
                <w:sz w:val="18"/>
              </w:rPr>
              <w:t>企业流程</w:t>
            </w:r>
          </w:p>
        </w:tc>
        <w:tc>
          <w:tcPr>
            <w:tcW w:type="dxa" w:w="2520"/>
            <w:tcMar>
              <w:top w:w="120" w:type="dxa"/>
              <w:bottom w:w="120" w:type="dxa"/>
              <w:start w:w="130" w:type="dxa"/>
              <w:end w:w="130" w:type="dxa"/>
            </w:tcMar>
            <w:shd w:fill="F4F1E9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审批付款或修改关键数据</w:t>
            </w:r>
          </w:p>
        </w:tc>
        <w:tc>
          <w:tcPr>
            <w:tcW w:type="dxa" w:w="2640"/>
            <w:tcMar>
              <w:top w:w="120" w:type="dxa"/>
              <w:bottom w:w="120" w:type="dxa"/>
              <w:start w:w="130" w:type="dxa"/>
              <w:end w:w="130" w:type="dxa"/>
            </w:tcMar>
            <w:shd w:fill="F4F1E9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权限过大、人工确认缺失</w:t>
            </w:r>
          </w:p>
        </w:tc>
        <w:tc>
          <w:tcPr>
            <w:tcW w:type="dxa" w:w="2700"/>
            <w:tcMar>
              <w:top w:w="120" w:type="dxa"/>
              <w:bottom w:w="120" w:type="dxa"/>
              <w:start w:w="130" w:type="dxa"/>
              <w:end w:w="130" w:type="dxa"/>
            </w:tcMar>
            <w:shd w:fill="F4F1E9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标记权限风险；不批准付款</w:t>
            </w:r>
          </w:p>
        </w:tc>
      </w:tr>
      <w:tr>
        <w:trPr/>
        <w:tc>
          <w:tcPr>
            <w:tcW w:type="dxa" w:w="150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0A1714"/>
                <w:sz w:val="18"/>
              </w:rPr>
              <w:t>医疗辅助</w:t>
            </w:r>
          </w:p>
        </w:tc>
        <w:tc>
          <w:tcPr>
            <w:tcW w:type="dxa" w:w="252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生成辅助分析或建议</w:t>
            </w:r>
          </w:p>
        </w:tc>
        <w:tc>
          <w:tcPr>
            <w:tcW w:type="dxa" w:w="264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依据来源和证据链不足</w:t>
            </w:r>
          </w:p>
        </w:tc>
        <w:tc>
          <w:tcPr>
            <w:tcW w:type="dxa" w:w="2700"/>
            <w:tcMar>
              <w:top w:w="120" w:type="dxa"/>
              <w:bottom w:w="120" w:type="dxa"/>
              <w:start w:w="130" w:type="dxa"/>
              <w:end w:w="13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8"/>
              </w:rPr>
              <w:t>提示补证并专业复核；不替代医生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22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80" w:type="dxa"/>
              <w:bottom w:w="180" w:type="dxa"/>
              <w:start w:w="220" w:type="dxa"/>
              <w:end w:w="220" w:type="dxa"/>
            </w:tcMar>
            <w:shd w:fill="FBEAE6"/>
            <w:tcBorders>
              <w:top w:val="single" w:sz="4" w:color="FBEAE6"/>
              <w:left w:val="single" w:sz="4" w:color="FBEAE6"/>
              <w:bottom w:val="single" w:sz="4" w:color="FBEAE6"/>
              <w:right w:val="single" w:sz="4" w:color="FBEAE6"/>
              <w:insideH w:val="single" w:sz="4" w:color="FBEAE6"/>
              <w:insideV w:val="single" w:sz="4" w:color="FBEAE6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C95D52"/>
                <w:sz w:val="26"/>
              </w:rPr>
              <w:t>统一边界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31413C"/>
                <w:sz w:val="20"/>
              </w:rPr>
              <w:t>SAEE不执行代码发布、付款或医疗决策；评估意见必须进入客户自己的授权与复核流程。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widowControl/>
        <w:spacing w:before="0" w:after="140" w:line="240" w:lineRule="auto"/>
      </w:pPr>
      <w:r>
        <w:rPr>
          <w:rFonts w:ascii="Menlo" w:hAnsi="Menlo" w:eastAsia="Microsoft YaHei"/>
          <w:b/>
          <w:color w:val="0B6E52"/>
          <w:sz w:val="17"/>
        </w:rPr>
        <w:t>03 / 接入与下一步</w:t>
      </w:r>
    </w:p>
    <w:p>
      <w:pPr>
        <w:pStyle w:val="Heading1"/>
        <w:keepNext/>
        <w:widowControl/>
        <w:spacing w:before="0" w:after="240" w:line="252" w:lineRule="auto"/>
      </w:pPr>
      <w:r>
        <w:rPr>
          <w:rFonts w:ascii="Arial" w:hAnsi="Arial" w:eastAsia="Microsoft YaHei"/>
          <w:b/>
          <w:color w:val="0A1714"/>
          <w:sz w:val="40"/>
        </w:rPr>
        <w:t>接入方式与合作路径</w:t>
      </w:r>
    </w:p>
    <w:p>
      <w:pPr>
        <w:keepNext w:val="0"/>
        <w:widowControl/>
        <w:spacing w:before="0" w:after="160" w:line="307" w:lineRule="auto"/>
        <w:jc w:val="left"/>
      </w:pPr>
      <w:r>
        <w:rPr>
          <w:rFonts w:ascii="Arial" w:hAnsi="Arial" w:eastAsia="Microsoft YaHei"/>
          <w:b w:val="0"/>
          <w:i w:val="0"/>
          <w:color w:val="31413C"/>
          <w:sz w:val="22"/>
        </w:rPr>
        <w:t>SAEE通过固定、文件化契约提供两个只读操作。技术资料与示例回执可供开发团队和智能体直接发现、理解和调用。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Mar>
              <w:top w:w="130" w:type="dxa"/>
              <w:bottom w:w="130" w:type="dxa"/>
              <w:start w:w="160" w:type="dxa"/>
              <w:end w:w="16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6460"/>
            <w:tcMar>
              <w:top w:w="130" w:type="dxa"/>
              <w:bottom w:w="130" w:type="dxa"/>
              <w:start w:w="160" w:type="dxa"/>
              <w:end w:w="160" w:type="dxa"/>
            </w:tcMar>
            <w:shd w:fill="0A1714"/>
            <w:tcBorders>
              <w:top w:val="single" w:sz="7" w:color="0A1714"/>
              <w:left w:val="single" w:sz="7" w:color="0A1714"/>
              <w:bottom w:val="single" w:sz="7" w:color="0A1714"/>
              <w:right w:val="single" w:sz="7" w:color="0A1714"/>
              <w:insideH w:val="single" w:sz="7" w:color="0A1714"/>
              <w:insideV w:val="single" w:sz="7" w:color="0A1714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/>
        <w:tc>
          <w:tcPr>
            <w:tcW w:type="dxa" w:w="2900"/>
            <w:tcMar>
              <w:top w:w="130" w:type="dxa"/>
              <w:bottom w:w="130" w:type="dxa"/>
              <w:start w:w="160" w:type="dxa"/>
              <w:end w:w="16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0B6E52"/>
                <w:sz w:val="19"/>
              </w:rPr>
              <w:t>saee.evaluate_agent_run</w:t>
            </w:r>
          </w:p>
        </w:tc>
        <w:tc>
          <w:tcPr>
            <w:tcW w:type="dxa" w:w="6460"/>
            <w:tcMar>
              <w:top w:w="130" w:type="dxa"/>
              <w:bottom w:w="130" w:type="dxa"/>
              <w:start w:w="160" w:type="dxa"/>
              <w:end w:w="16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评估一次智能体运行的证据覆盖、缺口和风险信号。</w:t>
            </w:r>
          </w:p>
        </w:tc>
      </w:tr>
      <w:tr>
        <w:trPr/>
        <w:tc>
          <w:tcPr>
            <w:tcW w:type="dxa" w:w="2900"/>
            <w:tcMar>
              <w:top w:w="130" w:type="dxa"/>
              <w:bottom w:w="130" w:type="dxa"/>
              <w:start w:w="160" w:type="dxa"/>
              <w:end w:w="16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0B6E52"/>
                <w:sz w:val="19"/>
              </w:rPr>
              <w:t>saee.evaluate_evidence</w:t>
            </w:r>
          </w:p>
        </w:tc>
        <w:tc>
          <w:tcPr>
            <w:tcW w:type="dxa" w:w="6460"/>
            <w:tcMar>
              <w:top w:w="130" w:type="dxa"/>
              <w:bottom w:w="130" w:type="dxa"/>
              <w:start w:w="160" w:type="dxa"/>
              <w:end w:w="16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31413C"/>
                <w:sz w:val="19"/>
              </w:rPr>
              <w:t>根据文件化评估配置检查一组证据的充分性。</w:t>
            </w:r>
          </w:p>
        </w:tc>
      </w:tr>
    </w:tbl>
    <w:p>
      <w:pPr>
        <w:keepNext w:val="0"/>
        <w:widowControl/>
        <w:spacing w:before="100" w:after="180" w:line="293" w:lineRule="auto"/>
        <w:jc w:val="left"/>
      </w:pPr>
      <w:r>
        <w:rPr>
          <w:rFonts w:ascii="Arial" w:hAnsi="Arial" w:eastAsia="Microsoft YaHei"/>
          <w:b w:val="0"/>
          <w:i w:val="0"/>
          <w:color w:val="6E7A75"/>
          <w:sz w:val="19"/>
        </w:rPr>
        <w:t>可组合方向包括Qoder、百度千帆、Claude、LangChain、CrewAI及企业自建智能体工作流。平台名称仅用于说明组合方向，不代表已经完成官方集成、认证或合作。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技术与研究支撑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8条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与SAEE直接相关的精选研究线路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7条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运行时、证据和可信上下文专利记录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40" w:type="dxa"/>
              <w:end w:w="140" w:type="dxa"/>
            </w:tcMar>
            <w:shd w:fill="FBFAF6"/>
            <w:tcBorders>
              <w:top w:val="single" w:sz="7" w:color="D6D9D2"/>
              <w:left w:val="single" w:sz="7" w:color="D6D9D2"/>
              <w:bottom w:val="single" w:sz="7" w:color="D6D9D2"/>
              <w:right w:val="single" w:sz="7" w:color="D6D9D2"/>
              <w:insideH w:val="single" w:sz="7" w:color="D6D9D2"/>
              <w:insideV w:val="single" w:sz="7" w:color="D6D9D2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center"/>
            </w:pPr>
            <w:r>
              <w:rPr>
                <w:rFonts w:ascii="Arial" w:hAnsi="Arial" w:eastAsia="Microsoft YaHei"/>
                <w:b/>
                <w:color w:val="0B6E52"/>
                <w:sz w:val="24"/>
              </w:rPr>
              <w:t>1篇</w:t>
            </w:r>
          </w:p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31413C"/>
                <w:sz w:val="17"/>
              </w:rPr>
              <w:t>相关应用研究已在线发表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60" w:line="283" w:lineRule="auto"/>
        <w:jc w:val="left"/>
      </w:pPr>
      <w:r>
        <w:rPr>
          <w:rFonts w:ascii="Arial" w:hAnsi="Arial" w:eastAsia="Microsoft YaHei"/>
          <w:b w:val="0"/>
          <w:i w:val="0"/>
          <w:color w:val="6E7A75"/>
          <w:sz w:val="18"/>
        </w:rPr>
        <w:t>完整论文和专利台账保留用于来源与状态核验。投稿不等于发表，撰写或修改不等于正式申请或授权。</w:t>
      </w:r>
    </w:p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当前真实边界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DCFFAD"/>
            <w:tcBorders>
              <w:top w:val="single" w:sz="5" w:color="DCFFAD"/>
              <w:left w:val="single" w:sz="5" w:color="DCFFAD"/>
              <w:bottom w:val="single" w:sz="5" w:color="DCFFAD"/>
              <w:right w:val="single" w:sz="5" w:color="DCFFAD"/>
              <w:insideH w:val="single" w:sz="5" w:color="DCFFAD"/>
              <w:insideV w:val="single" w:sz="5" w:color="DCFFAD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0B6E52"/>
                <w:sz w:val="22"/>
              </w:rPr>
              <w:t>适合当前使用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31413C"/>
                <w:sz w:val="18"/>
              </w:rPr>
              <w:t>上线前证据检查、本地只读组合、合成或脱敏文件包评估、受控适配与内部复测。</w:t>
            </w:r>
          </w:p>
        </w:tc>
        <w:tc>
          <w:tcPr>
            <w:tcW w:type="dxa" w:w="4680"/>
            <w:tcMar>
              <w:top w:w="150" w:type="dxa"/>
              <w:bottom w:w="150" w:type="dxa"/>
              <w:start w:w="180" w:type="dxa"/>
              <w:end w:w="180" w:type="dxa"/>
            </w:tcMar>
            <w:shd w:fill="FBEAE6"/>
            <w:tcBorders>
              <w:top w:val="single" w:sz="5" w:color="FBEAE6"/>
              <w:left w:val="single" w:sz="5" w:color="FBEAE6"/>
              <w:bottom w:val="single" w:sz="5" w:color="FBEAE6"/>
              <w:right w:val="single" w:sz="5" w:color="FBEAE6"/>
              <w:insideH w:val="single" w:sz="5" w:color="FBEAE6"/>
              <w:insideV w:val="single" w:sz="5" w:color="FBEAE6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C95D52"/>
                <w:sz w:val="22"/>
              </w:rPr>
              <w:t>不应过度描述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31413C"/>
                <w:sz w:val="18"/>
              </w:rPr>
              <w:t>自动执行、正式认证、官方平台集成、客户验证或生产就绪。</w:t>
            </w:r>
          </w:p>
        </w:tc>
      </w:tr>
    </w:tbl>
    <w:p>
      <w:pPr>
        <w:pStyle w:val="Heading2"/>
        <w:keepNext/>
        <w:widowControl/>
        <w:spacing w:before="200" w:after="100" w:line="252" w:lineRule="auto"/>
      </w:pPr>
      <w:r>
        <w:rPr>
          <w:rFonts w:ascii="Arial" w:hAnsi="Arial" w:eastAsia="Microsoft YaHei"/>
          <w:b/>
          <w:color w:val="0B6E52"/>
          <w:sz w:val="27"/>
        </w:rPr>
        <w:t>建议下一步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确认一个具体智能体场景及其行动边界。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整理一组合成或脱敏证据材料。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在本地或受控环境完成首次只读评估。</w:t>
      </w:r>
    </w:p>
    <w:p>
      <w:pPr>
        <w:keepNext w:val="0"/>
        <w:widowControl/>
        <w:spacing w:before="0" w:after="100" w:line="280" w:lineRule="auto"/>
        <w:numPr>
          <w:ilvl w:val="0"/>
          <w:numId w:val="11"/>
        </w:numPr>
      </w:pPr>
      <w:r>
        <w:rPr>
          <w:rFonts w:ascii="Arial" w:hAnsi="Arial" w:eastAsia="Microsoft YaHei"/>
          <w:color w:val="31413C"/>
          <w:sz w:val="21"/>
        </w:rPr>
        <w:t>根据缺口补证、复测，并由获授权主体决定后续动作。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22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80" w:type="dxa"/>
              <w:bottom w:w="180" w:type="dxa"/>
              <w:start w:w="220" w:type="dxa"/>
              <w:end w:w="220" w:type="dxa"/>
            </w:tcMar>
            <w:shd w:fill="0A1714"/>
            <w:tcBorders>
              <w:top w:val="single" w:sz="4" w:color="0A1714"/>
              <w:left w:val="single" w:sz="4" w:color="0A1714"/>
              <w:bottom w:val="single" w:sz="4" w:color="0A1714"/>
              <w:right w:val="single" w:sz="4" w:color="0A1714"/>
              <w:insideH w:val="single" w:sz="4" w:color="0A1714"/>
              <w:insideV w:val="single" w:sz="4" w:color="0A1714"/>
            </w:tcBorders>
            <w:vAlign w:val="center"/>
          </w:tcPr>
          <w:p>
            <w:pPr>
              <w:keepNext/>
              <w:widowControl/>
              <w:spacing w:before="0" w:after="6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6"/>
              </w:rPr>
              <w:t>山西游骑兵电子商务有限公司</w:t>
            </w:r>
          </w:p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DDE9E3"/>
                <w:sz w:val="20"/>
              </w:rPr>
              <w:t>联系人：张斌  ·  18518485118  ·  官网：https://redcrag.cn/  ·  公开仓库：https://github.com/joy7758/SAEE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rial" w:hAnsi="Arial" w:eastAsia="Microsoft YaHei"/>
        <w:color w:val="6E7A75"/>
        <w:sz w:val="16"/>
      </w:rPr>
      <w:t xml:space="preserve">山西游骑兵电子商务有限公司   ·   </w:t>
    </w:r>
    <w:r>
      <w:rPr>
        <w:rFonts w:ascii="Arial" w:hAnsi="Arial" w:eastAsia="Microsoft YaHei"/>
        <w:color w:val="6E7A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Menlo" w:hAnsi="Menlo" w:eastAsia="Microsoft YaHei"/>
        <w:b/>
        <w:color w:val="6E7A75"/>
        <w:sz w:val="16"/>
      </w:rPr>
      <w:t>SAEE  /  AI智能体上线前可靠性评估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00" w:line="280" w:lineRule="auto"/>
      </w:pPr>
      <w:rPr>
        <w:color w:val="0B6E52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  <w:rPr>
        <w:color w:val="0B6E52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314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52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A17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B6E5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A17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dcrag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 通用产品能力介绍</dc:title>
  <dc:subject>AI智能体上线前可靠性评估能力</dc:subject>
  <dc:creator>山西游骑兵电子商务有限公司</dc:creator>
  <cp:keywords>SAEE, AI智能体, 上线准备, 可靠性评估, 执行证据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