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Deterministic execution IR maps OpenAI-style and LangChain-style traces.</w:t>
      </w:r>
    </w:p>
    <w:p>
      <w:pPr>
        <w:pStyle w:val="Compact"/>
        <w:numPr>
          <w:ilvl w:val="0"/>
          <w:numId w:val="1001"/>
        </w:numPr>
      </w:pPr>
      <w:r>
        <w:t xml:space="preserve">Replay emits hash-stable trace, evidence, and result artifacts.</w:t>
      </w:r>
    </w:p>
    <w:p>
      <w:pPr>
        <w:pStyle w:val="Compact"/>
        <w:numPr>
          <w:ilvl w:val="0"/>
          <w:numId w:val="1001"/>
        </w:numPr>
      </w:pPr>
      <w:r>
        <w:t xml:space="preserve">Loss-aware mapping records incomplete preservation instead of hiding it.</w:t>
      </w:r>
    </w:p>
    <w:p>
      <w:pPr>
        <w:pStyle w:val="Compact"/>
        <w:numPr>
          <w:ilvl w:val="0"/>
          <w:numId w:val="1001"/>
        </w:numPr>
      </w:pPr>
      <w:r>
        <w:t xml:space="preserve">SDK and dependency APIs expose ECL without modifying host runtimes.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2026-06-28T12:20:42Z</dcterms:created>
  <dcterms:modified xsi:type="dcterms:W3CDTF">2026-06-28T12:20:42Z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