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972FD3" w:rsidP="00972FD3">
      <w:pPr>
        <w:pStyle w:val="Title"/>
      </w:pPr>
      <w:r>
        <w:t>Chen, Multimodal Multi-task Learning for Dimensional and Continuous Emotion Recognition</w:t>
      </w:r>
    </w:p>
    <w:p w:rsidR="00972FD3" w:rsidRDefault="00972FD3" w:rsidP="00972FD3"/>
    <w:p w:rsidR="00972FD3" w:rsidRDefault="00972FD3" w:rsidP="00972FD3">
      <w:r>
        <w:t xml:space="preserve">Dimensional emotion theory considers an emotion state as a point in a continuous space described by arousal (measure of affective activation), valence (measure of pleasure), and dominance (measure of control). </w:t>
      </w:r>
    </w:p>
    <w:p w:rsidR="00972FD3" w:rsidRDefault="00972FD3" w:rsidP="00972FD3"/>
    <w:p w:rsidR="00972FD3" w:rsidRPr="001E658A" w:rsidRDefault="00972FD3" w:rsidP="00972FD3">
      <w:pPr>
        <w:rPr>
          <w:b/>
        </w:rPr>
      </w:pPr>
      <w:r>
        <w:t>These guys found the temporal LSTM model significantly outperformed the non-temporal SVR model for arousal and valence dimensions.</w:t>
      </w:r>
      <w:r w:rsidR="001E658A">
        <w:t xml:space="preserve"> (</w:t>
      </w:r>
      <w:r w:rsidR="001E658A">
        <w:rPr>
          <w:b/>
        </w:rPr>
        <w:t>conclusion)</w:t>
      </w:r>
      <w:bookmarkStart w:id="0" w:name="_GoBack"/>
      <w:bookmarkEnd w:id="0"/>
    </w:p>
    <w:p w:rsidR="00972FD3" w:rsidRPr="00972FD3" w:rsidRDefault="00972FD3" w:rsidP="00972FD3"/>
    <w:sectPr w:rsidR="00972FD3" w:rsidRPr="009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D3"/>
    <w:rsid w:val="001E658A"/>
    <w:rsid w:val="002056BA"/>
    <w:rsid w:val="00807C1E"/>
    <w:rsid w:val="00972FD3"/>
    <w:rsid w:val="009E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097"/>
  <w15:chartTrackingRefBased/>
  <w15:docId w15:val="{FA522223-B8F1-4CBA-904E-0D53455C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2</cp:revision>
  <dcterms:created xsi:type="dcterms:W3CDTF">2019-10-24T13:59:00Z</dcterms:created>
  <dcterms:modified xsi:type="dcterms:W3CDTF">2019-10-26T21:32:00Z</dcterms:modified>
</cp:coreProperties>
</file>