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4BC99">
      <w:pPr>
        <w:spacing w:before="400" w:after="80"/>
        <w:jc w:val="center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  <w:color w:val="1F3864"/>
          <w:sz w:val="28"/>
          <w:szCs w:val="28"/>
        </w:rPr>
        <w:t>RÉPUBLIQUE TOGOLAISE</w:t>
      </w:r>
    </w:p>
    <w:p w14:paraId="1D497608">
      <w:pPr>
        <w:spacing w:before="0" w:after="400"/>
        <w:jc w:val="center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i/>
          <w:iCs/>
          <w:color w:val="595959"/>
          <w:sz w:val="22"/>
          <w:szCs w:val="22"/>
        </w:rPr>
        <w:t>Travail — Liberté — Patrie</w:t>
      </w:r>
    </w:p>
    <w:p w14:paraId="16E358E2">
      <w:pPr>
        <w:spacing w:before="0" w:after="80"/>
        <w:jc w:val="center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  <w:color w:val="1F3864"/>
          <w:sz w:val="30"/>
          <w:szCs w:val="30"/>
        </w:rPr>
        <w:t>ÉCOLE NATIONALE POLYTECHNIQUE (ENP)</w:t>
      </w:r>
    </w:p>
    <w:p w14:paraId="78A464E5">
      <w:pPr>
        <w:spacing w:before="0" w:after="1200"/>
        <w:jc w:val="center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color w:val="595959"/>
          <w:sz w:val="22"/>
          <w:szCs w:val="22"/>
        </w:rPr>
        <w:t>Service Scolarité et Gestion Académique</w:t>
      </w:r>
    </w:p>
    <w:p w14:paraId="1BDE0AE8">
      <w:pPr>
        <w:pBdr>
          <w:top w:val="single" w:color="1F3864" w:sz="12" w:space="14"/>
        </w:pBdr>
        <w:spacing w:after="120"/>
        <w:jc w:val="center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  <w:color w:val="1F3864"/>
          <w:spacing w:val="60"/>
          <w:sz w:val="56"/>
          <w:szCs w:val="56"/>
        </w:rPr>
        <w:t>CAHIER DES CHARGES</w:t>
      </w:r>
    </w:p>
    <w:p w14:paraId="2B1A7456">
      <w:pPr>
        <w:spacing w:before="0" w:after="80"/>
        <w:jc w:val="center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  <w:color w:val="2E5395"/>
          <w:sz w:val="34"/>
          <w:szCs w:val="34"/>
        </w:rPr>
        <w:t>Plateforme numérique d’évaluation des enseignements</w:t>
      </w:r>
    </w:p>
    <w:p w14:paraId="3E06AB6D">
      <w:pPr>
        <w:spacing w:before="0" w:after="300"/>
        <w:jc w:val="center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  <w:color w:val="2E5395"/>
          <w:sz w:val="34"/>
          <w:szCs w:val="34"/>
        </w:rPr>
        <w:t>par les étudiants et de gestion du cahier de texte</w:t>
      </w:r>
    </w:p>
    <w:p w14:paraId="546CCB0F">
      <w:pPr>
        <w:pBdr>
          <w:bottom w:val="single" w:color="1F3864" w:sz="12" w:space="14"/>
        </w:pBdr>
        <w:spacing w:after="500"/>
        <w:jc w:val="center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i/>
          <w:iCs/>
          <w:color w:val="595959"/>
          <w:sz w:val="24"/>
          <w:szCs w:val="24"/>
        </w:rPr>
        <w:t>Spécifications fonctionnelles, architecture technique, déploiement et planification</w:t>
      </w:r>
    </w:p>
    <w:p w14:paraId="047ED260">
      <w:pPr>
        <w:spacing w:before="0" w:after="120"/>
        <w:jc w:val="center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i/>
          <w:iCs/>
          <w:color w:val="595959"/>
          <w:sz w:val="22"/>
          <w:szCs w:val="22"/>
        </w:rPr>
        <w:t>Établi en application de l’article 77 du Règlement des Études de l’ENP</w:t>
      </w:r>
    </w:p>
    <w:p w14:paraId="136B6FB4">
      <w:pPr>
        <w:spacing w:before="0" w:after="900"/>
        <w:jc w:val="center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i/>
          <w:iCs/>
          <w:color w:val="595959"/>
          <w:sz w:val="22"/>
          <w:szCs w:val="22"/>
        </w:rPr>
        <w:t>« Évaluation des enseignements »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306"/>
      </w:tblGrid>
      <w:tr w14:paraId="1F891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F519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7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2A15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Informations</w:t>
            </w:r>
          </w:p>
        </w:tc>
      </w:tr>
      <w:tr w14:paraId="3507F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176B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Version</w:t>
            </w:r>
          </w:p>
        </w:tc>
        <w:tc>
          <w:tcPr>
            <w:tcW w:w="7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3A46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1.0 — Projet soumis à validation</w:t>
            </w:r>
          </w:p>
        </w:tc>
      </w:tr>
      <w:tr w14:paraId="0AF1C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3AD5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Statut</w:t>
            </w:r>
          </w:p>
        </w:tc>
        <w:tc>
          <w:tcPr>
            <w:tcW w:w="7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83B8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Proposition d’architecture et de cadrage</w:t>
            </w:r>
          </w:p>
        </w:tc>
      </w:tr>
      <w:tr w14:paraId="2C707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50DF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Destinataires</w:t>
            </w:r>
          </w:p>
        </w:tc>
        <w:tc>
          <w:tcPr>
            <w:tcW w:w="7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C349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Direction de l’ENP, Service Scolarité et Gestion Académique, Chefs de Département, équipe projet</w:t>
            </w:r>
          </w:p>
        </w:tc>
      </w:tr>
      <w:tr w14:paraId="356CF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D69D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Document de référence</w:t>
            </w:r>
          </w:p>
        </w:tc>
        <w:tc>
          <w:tcPr>
            <w:tcW w:w="7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339D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Grille d’évaluation des enseignements par les étudiants (questionnaire par UE et grille de synthèse par semestre)</w:t>
            </w:r>
          </w:p>
        </w:tc>
      </w:tr>
      <w:tr w14:paraId="6543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DDD8F">
            <w:pPr>
              <w:jc w:val="left"/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  <w:lang w:val="fr-FR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  <w:lang w:val="fr-FR"/>
              </w:rPr>
              <w:t>Proposé par</w:t>
            </w:r>
          </w:p>
        </w:tc>
        <w:tc>
          <w:tcPr>
            <w:tcW w:w="7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59BBB">
            <w:pPr>
              <w:jc w:val="left"/>
              <w:rPr>
                <w:rFonts w:hint="default" w:ascii="Palatino Linotype" w:hAnsi="Palatino Linotype" w:cs="Palatino Linotype"/>
                <w:sz w:val="18"/>
                <w:szCs w:val="18"/>
                <w:lang w:val="fr-FR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  <w:lang w:val="fr-FR"/>
              </w:rPr>
              <w:t>KOUDASSE Joy Amos - Etudiant en LF-IS L3 à l’ENP</w:t>
            </w:r>
          </w:p>
        </w:tc>
      </w:tr>
    </w:tbl>
    <w:p w14:paraId="700F5F4E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0A00017F">
      <w:pPr>
        <w:jc w:val="both"/>
        <w:rPr>
          <w:rFonts w:hint="default" w:ascii="Palatino Linotype" w:hAnsi="Palatino Linotype" w:cs="Palatino Linotype"/>
          <w:lang w:val="fr-FR"/>
        </w:rPr>
      </w:pPr>
      <w:r>
        <w:rPr>
          <w:rFonts w:hint="default" w:ascii="Palatino Linotype" w:hAnsi="Palatino Linotype" w:cs="Palatino Linotype"/>
        </w:rPr>
        <w:br w:type="page"/>
      </w:r>
    </w:p>
    <w:p w14:paraId="0133323B">
      <w:pPr>
        <w:rPr>
          <w:rFonts w:hint="default" w:ascii="Palatino Linotype" w:hAnsi="Palatino Linotype" w:cs="Palatino Linotype"/>
        </w:rPr>
      </w:pPr>
    </w:p>
    <w:p w14:paraId="37242039">
      <w:pPr>
        <w:pStyle w:val="2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Sommaire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700"/>
        <w:gridCol w:w="5106"/>
      </w:tblGrid>
      <w:tr w14:paraId="7AE33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84EF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ADAB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5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E440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Contenu</w:t>
            </w:r>
          </w:p>
        </w:tc>
      </w:tr>
      <w:tr w14:paraId="089C7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09B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</w:t>
            </w:r>
          </w:p>
        </w:tc>
        <w:tc>
          <w:tcPr>
            <w:tcW w:w="3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DEA9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Présentation du projet</w:t>
            </w:r>
          </w:p>
        </w:tc>
        <w:tc>
          <w:tcPr>
            <w:tcW w:w="5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0E73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Contexte, objectifs, périmètre, définitions</w:t>
            </w:r>
          </w:p>
        </w:tc>
      </w:tr>
      <w:tr w14:paraId="2F905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073D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2</w:t>
            </w:r>
          </w:p>
        </w:tc>
        <w:tc>
          <w:tcPr>
            <w:tcW w:w="3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BEC9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Acteurs et droits d’accès</w:t>
            </w:r>
          </w:p>
        </w:tc>
        <w:tc>
          <w:tcPr>
            <w:tcW w:w="5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5409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Rôles, matrice des droits</w:t>
            </w:r>
          </w:p>
        </w:tc>
      </w:tr>
      <w:tr w14:paraId="5C483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8A6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3</w:t>
            </w:r>
          </w:p>
        </w:tc>
        <w:tc>
          <w:tcPr>
            <w:tcW w:w="3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1EAF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Besoins fonctionnels</w:t>
            </w:r>
          </w:p>
        </w:tc>
        <w:tc>
          <w:tcPr>
            <w:tcW w:w="5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FFCF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Huit modules avec exigences numérotées et priorisées</w:t>
            </w:r>
          </w:p>
        </w:tc>
      </w:tr>
      <w:tr w14:paraId="5055B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093A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4</w:t>
            </w:r>
          </w:p>
        </w:tc>
        <w:tc>
          <w:tcPr>
            <w:tcW w:w="3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75E6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Règles de gestion</w:t>
            </w:r>
          </w:p>
        </w:tc>
        <w:tc>
          <w:tcPr>
            <w:tcW w:w="5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27AC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Anonymat, calculs, seuils, visas, conservation</w:t>
            </w:r>
          </w:p>
        </w:tc>
      </w:tr>
      <w:tr w14:paraId="2E642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3D3B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5</w:t>
            </w:r>
          </w:p>
        </w:tc>
        <w:tc>
          <w:tcPr>
            <w:tcW w:w="3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A222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Architecture technique</w:t>
            </w:r>
          </w:p>
        </w:tc>
        <w:tc>
          <w:tcPr>
            <w:tcW w:w="5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5B6B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Vue d’ensemble, stack, anonymat par conception, données, API, sécurité, infrastructure</w:t>
            </w:r>
          </w:p>
        </w:tc>
      </w:tr>
      <w:tr w14:paraId="77613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3E4D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6</w:t>
            </w:r>
          </w:p>
        </w:tc>
        <w:tc>
          <w:tcPr>
            <w:tcW w:w="3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858E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Exigences non fonctionnelles</w:t>
            </w:r>
          </w:p>
        </w:tc>
        <w:tc>
          <w:tcPr>
            <w:tcW w:w="5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E4F6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Performance, disponibilité, accessibilité, conformité</w:t>
            </w:r>
          </w:p>
        </w:tc>
      </w:tr>
      <w:tr w14:paraId="47ABE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A838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7</w:t>
            </w:r>
          </w:p>
        </w:tc>
        <w:tc>
          <w:tcPr>
            <w:tcW w:w="3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851F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Interfaces et charte graphique</w:t>
            </w:r>
          </w:p>
        </w:tc>
        <w:tc>
          <w:tcPr>
            <w:tcW w:w="5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FE90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Palette ENP, écrans par rôle, parcours clés</w:t>
            </w:r>
          </w:p>
        </w:tc>
      </w:tr>
      <w:tr w14:paraId="7F4F1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B408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8</w:t>
            </w:r>
          </w:p>
        </w:tc>
        <w:tc>
          <w:tcPr>
            <w:tcW w:w="3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70D8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Planification</w:t>
            </w:r>
          </w:p>
        </w:tc>
        <w:tc>
          <w:tcPr>
            <w:tcW w:w="5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82F2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Lots, calendrier (16 semaines), équipe</w:t>
            </w:r>
          </w:p>
        </w:tc>
      </w:tr>
      <w:tr w14:paraId="7E652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3053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9</w:t>
            </w:r>
          </w:p>
        </w:tc>
        <w:tc>
          <w:tcPr>
            <w:tcW w:w="3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4B56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Risques et mesures</w:t>
            </w:r>
          </w:p>
        </w:tc>
        <w:tc>
          <w:tcPr>
            <w:tcW w:w="5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0907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Registre des risques</w:t>
            </w:r>
          </w:p>
        </w:tc>
      </w:tr>
      <w:tr w14:paraId="24FDB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9630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10</w:t>
            </w:r>
          </w:p>
        </w:tc>
        <w:tc>
          <w:tcPr>
            <w:tcW w:w="3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77AD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Recette et livrables</w:t>
            </w:r>
          </w:p>
        </w:tc>
        <w:tc>
          <w:tcPr>
            <w:tcW w:w="5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76DE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Critères d’acceptation, livrables, formation</w:t>
            </w:r>
          </w:p>
        </w:tc>
      </w:tr>
      <w:tr w14:paraId="15572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0008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11</w:t>
            </w:r>
          </w:p>
        </w:tc>
        <w:tc>
          <w:tcPr>
            <w:tcW w:w="3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E0D4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Points à valider</w:t>
            </w:r>
          </w:p>
        </w:tc>
        <w:tc>
          <w:tcPr>
            <w:tcW w:w="5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B0D8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Décisions attendues de l’ENP</w:t>
            </w:r>
          </w:p>
        </w:tc>
      </w:tr>
      <w:tr w14:paraId="150E4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3570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</w:t>
            </w:r>
          </w:p>
        </w:tc>
        <w:tc>
          <w:tcPr>
            <w:tcW w:w="3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BB04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Annexe A — Questionnaire d’évaluation</w:t>
            </w:r>
          </w:p>
        </w:tc>
        <w:tc>
          <w:tcPr>
            <w:tcW w:w="5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B64D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19 critères en 5 sections (A à E)</w:t>
            </w:r>
          </w:p>
        </w:tc>
      </w:tr>
      <w:tr w14:paraId="07CFB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FCCE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</w:t>
            </w:r>
          </w:p>
        </w:tc>
        <w:tc>
          <w:tcPr>
            <w:tcW w:w="3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6D29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Annexe B — Fiche de séance du cahier de texte</w:t>
            </w:r>
          </w:p>
        </w:tc>
        <w:tc>
          <w:tcPr>
            <w:tcW w:w="5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D516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Champs, types et règles de saisie</w:t>
            </w:r>
          </w:p>
        </w:tc>
      </w:tr>
    </w:tbl>
    <w:p w14:paraId="7F9CF4B7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0633CD03">
      <w:pPr>
        <w:pStyle w:val="2"/>
        <w:pageBreakBefore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1. Présentation du projet</w:t>
      </w:r>
    </w:p>
    <w:p w14:paraId="17B37F35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1.1 Contexte</w:t>
      </w:r>
    </w:p>
    <w:p w14:paraId="71DE5F03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Le Règlement des Études de l’ENP prévoit, à l’article 77, que chaque unité d’enseignement (UE) fasse l’objet d’une évaluation anonyme par les étudiants à l’issue du semestre. Aujourd’hui, cette évaluation repose sur une </w:t>
      </w:r>
      <w:r>
        <w:rPr>
          <w:rFonts w:hint="default" w:ascii="Palatino Linotype" w:hAnsi="Palatino Linotype" w:cs="Palatino Linotype"/>
          <w:b/>
          <w:bCs/>
        </w:rPr>
        <w:t>grille papier</w:t>
      </w:r>
      <w:r>
        <w:rPr>
          <w:rFonts w:hint="default" w:ascii="Palatino Linotype" w:hAnsi="Palatino Linotype" w:cs="Palatino Linotype"/>
        </w:rPr>
        <w:t xml:space="preserve"> (questionnaire par UE et grille de synthèse par semestre) dont la collecte, la saisie, la consolidation et la restitution sont longues et difficilement traçables.</w:t>
      </w:r>
    </w:p>
    <w:p w14:paraId="265AA9EF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En parallèle, le suivi de l’avancement des enseignements (séances effectivement tenues, contenus traités, travaux demandés) repose sur un </w:t>
      </w:r>
      <w:r>
        <w:rPr>
          <w:rFonts w:hint="default" w:ascii="Palatino Linotype" w:hAnsi="Palatino Linotype" w:cs="Palatino Linotype"/>
          <w:b/>
          <w:bCs/>
        </w:rPr>
        <w:t>cahier de texte</w:t>
      </w:r>
      <w:r>
        <w:rPr>
          <w:rFonts w:hint="default" w:ascii="Palatino Linotype" w:hAnsi="Palatino Linotype" w:cs="Palatino Linotype"/>
        </w:rPr>
        <w:t xml:space="preserve"> tenu par le délégué de chaque classe, sans consolidation numérique permettant de mesurer le taux de réalisation des volumes horaires.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06"/>
      </w:tblGrid>
      <w:tr w14:paraId="0517A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06" w:type="dxa"/>
            <w:tcBorders>
              <w:top w:val="nil"/>
              <w:left w:val="single" w:color="8B5A2B" w:sz="24" w:space="0"/>
              <w:bottom w:val="nil"/>
              <w:right w:val="nil"/>
            </w:tcBorders>
            <w:shd w:val="clear" w:color="auto" w:fill="FDF0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11EAB3">
            <w:pPr>
              <w:spacing w:after="60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i/>
                <w:iCs/>
                <w:color w:val="8B5A2B"/>
              </w:rPr>
              <w:t>Cadre réglementaire (Article 77, Règlement des Études de l’ENP)</w:t>
            </w:r>
          </w:p>
          <w:p w14:paraId="06D36B63">
            <w:pPr>
              <w:spacing w:after="40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i/>
                <w:iCs/>
                <w:color w:val="8B5A2B"/>
                <w:sz w:val="20"/>
                <w:szCs w:val="20"/>
              </w:rPr>
              <w:t>Évaluation anonyme de chaque UE par les étudiants à l’issue du semestre ; résultats communiqués à l’enseignant concerné et au Chef de Département ; exploitation à des fins d’amélioration pédagogique ; résultats ne pouvant constituer, à eux seuls, un élément d’appréciation individuelle des enseignants ; restitution aux étudiants des principaux résultats et des suites données.</w:t>
            </w:r>
          </w:p>
        </w:tc>
      </w:tr>
    </w:tbl>
    <w:p w14:paraId="179172F2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15964EEC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1.2 Objectifs du projet</w:t>
      </w:r>
    </w:p>
    <w:p w14:paraId="74513DDF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La plateforme numérique poursuit trois objectifs principaux, auxquels s’ajoutent des objectifs de pilotage.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5806"/>
        <w:gridCol w:w="1600"/>
      </w:tblGrid>
      <w:tr w14:paraId="47D72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6241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Pilier</w:t>
            </w:r>
          </w:p>
        </w:tc>
        <w:tc>
          <w:tcPr>
            <w:tcW w:w="5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3C55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EBA9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Acteur principal</w:t>
            </w:r>
          </w:p>
        </w:tc>
      </w:tr>
      <w:tr w14:paraId="7C6E9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430C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1. Évaluation anonyme</w:t>
            </w:r>
          </w:p>
        </w:tc>
        <w:tc>
          <w:tcPr>
            <w:tcW w:w="5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401A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étudiants notent chaque UE suivie au moyen du questionnaire officiel de l’ENP (5 sections, 19 critères, 2 champs de commentaires), dans des conditions garantissant leur anonymat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3C47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Étudiants</w:t>
            </w:r>
          </w:p>
        </w:tc>
      </w:tr>
      <w:tr w14:paraId="1CAF4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88FA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2. Cahier de texte numérique</w:t>
            </w:r>
          </w:p>
        </w:tc>
        <w:tc>
          <w:tcPr>
            <w:tcW w:w="5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C631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 délégué renseigne chaque séance (date, contenu, travail demandé, statut), l’enseignant vise l’entrée, la hiérarchie suit la réalisation des volumes horaires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F589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Délégué</w:t>
            </w:r>
          </w:p>
        </w:tc>
      </w:tr>
      <w:tr w14:paraId="0421D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F1F8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3. Consultation des résultats</w:t>
            </w:r>
          </w:p>
        </w:tc>
        <w:tc>
          <w:tcPr>
            <w:tcW w:w="5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7B3D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Chaque enseignant consulte les résultats de ses UE (moyennes, distributions, commentaires modérés) à l’issue de la campagne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2031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Enseignants</w:t>
            </w:r>
          </w:p>
        </w:tc>
      </w:tr>
      <w:tr w14:paraId="1C225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17CA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Pilotage et restitution</w:t>
            </w:r>
          </w:p>
        </w:tc>
        <w:tc>
          <w:tcPr>
            <w:tcW w:w="5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578E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Consolidation automatique de la grille de synthèse par semestre, suivi des suites données, restitution aux étudiants conformément à l’article 77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0638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Chef de Département, Scolarité</w:t>
            </w:r>
          </w:p>
        </w:tc>
      </w:tr>
    </w:tbl>
    <w:p w14:paraId="71255A68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52F58853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1.3 Bénéfices attendus</w:t>
      </w:r>
    </w:p>
    <w:p w14:paraId="75AE1F92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Gain de temps</w:t>
      </w:r>
      <w:r>
        <w:rPr>
          <w:rFonts w:hint="default" w:ascii="Palatino Linotype" w:hAnsi="Palatino Linotype" w:cs="Palatino Linotype"/>
        </w:rPr>
        <w:t xml:space="preserve"> : suppression de la saisie manuelle et du calcul des moyennes ; la grille de synthèse est générée automatiquement.</w:t>
      </w:r>
    </w:p>
    <w:p w14:paraId="38F154BB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Fiabilité et traçabilité</w:t>
      </w:r>
      <w:r>
        <w:rPr>
          <w:rFonts w:hint="default" w:ascii="Palatino Linotype" w:hAnsi="Palatino Linotype" w:cs="Palatino Linotype"/>
        </w:rPr>
        <w:t xml:space="preserve"> : une seule participation par étudiant et par UE, journal d’audit des consultations et modifications.</w:t>
      </w:r>
    </w:p>
    <w:p w14:paraId="2541EBF2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Confiance des étudiants</w:t>
      </w:r>
      <w:r>
        <w:rPr>
          <w:rFonts w:hint="default" w:ascii="Palatino Linotype" w:hAnsi="Palatino Linotype" w:cs="Palatino Linotype"/>
        </w:rPr>
        <w:t xml:space="preserve"> : anonymat garanti par conception technique et non par simple engagement.</w:t>
      </w:r>
    </w:p>
    <w:p w14:paraId="32C41361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Amélioration pédagogique</w:t>
      </w:r>
      <w:r>
        <w:rPr>
          <w:rFonts w:hint="default" w:ascii="Palatino Linotype" w:hAnsi="Palatino Linotype" w:cs="Palatino Linotype"/>
        </w:rPr>
        <w:t xml:space="preserve"> : suivi des évolutions semestre après semestre, identification précoce des UE à surveiller.</w:t>
      </w:r>
    </w:p>
    <w:p w14:paraId="76028B8F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Transparence</w:t>
      </w:r>
      <w:r>
        <w:rPr>
          <w:rFonts w:hint="default" w:ascii="Palatino Linotype" w:hAnsi="Palatino Linotype" w:cs="Palatino Linotype"/>
        </w:rPr>
        <w:t xml:space="preserve"> : suivi objectif des heures réalisées, restitution systématique aux étudiants.</w:t>
      </w:r>
    </w:p>
    <w:p w14:paraId="4339A751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1.4 Périmètre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53"/>
        <w:gridCol w:w="4853"/>
      </w:tblGrid>
      <w:tr w14:paraId="6FBF6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85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03B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Inclus dans le projet</w:t>
            </w:r>
          </w:p>
        </w:tc>
        <w:tc>
          <w:tcPr>
            <w:tcW w:w="485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B5F1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Exclu du périmètre initial</w:t>
            </w:r>
          </w:p>
        </w:tc>
      </w:tr>
      <w:tr w14:paraId="394CF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5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41AD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Authentification et gestion des comptes</w:t>
            </w:r>
          </w:p>
        </w:tc>
        <w:tc>
          <w:tcPr>
            <w:tcW w:w="485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215B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Gestion des notes des étudiants et des jurys</w:t>
            </w:r>
          </w:p>
        </w:tc>
      </w:tr>
      <w:tr w14:paraId="1C716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5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4840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Référentiels (campus, départements, formations, semestres, UE, affectations, inscriptions)</w:t>
            </w:r>
          </w:p>
        </w:tc>
        <w:tc>
          <w:tcPr>
            <w:tcW w:w="485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8996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Emplois du temps et réservation de salles</w:t>
            </w:r>
          </w:p>
        </w:tc>
      </w:tr>
      <w:tr w14:paraId="69B69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5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3EF4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Campagnes d’évaluation et questionnaire de l’Annexe A</w:t>
            </w:r>
          </w:p>
        </w:tc>
        <w:tc>
          <w:tcPr>
            <w:tcW w:w="485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01E5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Plateforme d’enseignement en ligne (e-learning)</w:t>
            </w:r>
          </w:p>
        </w:tc>
      </w:tr>
      <w:tr w14:paraId="7049E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5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99B7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Cahier de texte numérique avec visa de l’enseignant</w:t>
            </w:r>
          </w:p>
        </w:tc>
        <w:tc>
          <w:tcPr>
            <w:tcW w:w="485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FE12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Paie, vacations et gestion financière des enseignants</w:t>
            </w:r>
          </w:p>
        </w:tc>
      </w:tr>
      <w:tr w14:paraId="55D09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5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3C2F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Résultats par enseignant, tableaux de bord, grille de synthèse</w:t>
            </w:r>
          </w:p>
        </w:tc>
        <w:tc>
          <w:tcPr>
            <w:tcW w:w="485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E6A3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Évaluation des enseignements par les pairs ou l’administration</w:t>
            </w:r>
          </w:p>
        </w:tc>
      </w:tr>
      <w:tr w14:paraId="5B90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85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6FEC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Notifications, exports, journal d’audit</w:t>
            </w:r>
          </w:p>
        </w:tc>
        <w:tc>
          <w:tcPr>
            <w:tcW w:w="485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EE5E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Application mobile native (la version web responsive couvre le besoin)</w:t>
            </w:r>
          </w:p>
        </w:tc>
      </w:tr>
    </w:tbl>
    <w:p w14:paraId="1E401365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4F4387FB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Les éléments exclus pourront faire l’objet d’évolutions ultérieures grâce à l’architecture modulaire retenue.</w:t>
      </w:r>
    </w:p>
    <w:p w14:paraId="59B58385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1.5 Définitions et abréviations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406"/>
      </w:tblGrid>
      <w:tr w14:paraId="7BD08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5455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Terme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15E6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Définition</w:t>
            </w:r>
          </w:p>
        </w:tc>
      </w:tr>
      <w:tr w14:paraId="12110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AD55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UE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1B70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Unité d’enseignement, identifiée par un code, un intitulé, un nombre de crédits et un volume horaire</w:t>
            </w:r>
          </w:p>
        </w:tc>
      </w:tr>
      <w:tr w14:paraId="02A84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F714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CM / TD / TP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C432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Cours magistral / Travaux dirigés / Travaux pratiques</w:t>
            </w:r>
          </w:p>
        </w:tc>
      </w:tr>
      <w:tr w14:paraId="4E9FE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8825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Campagne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3C4C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Période pendant laquelle les étudiants d’un département peuvent évaluer les UE d’un semestre</w:t>
            </w:r>
          </w:p>
        </w:tc>
      </w:tr>
      <w:tr w14:paraId="0DE2B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D419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Urne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DD9E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Espace de stockage des réponses d’évaluation, strictement séparé de toute information d’identité</w:t>
            </w:r>
          </w:p>
        </w:tc>
      </w:tr>
      <w:tr w14:paraId="33244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AB33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Jeton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0319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Autorisation à usage unique, sans information d’identité, permettant de déposer un questionnaire dans l’urne</w:t>
            </w:r>
          </w:p>
        </w:tc>
      </w:tr>
      <w:tr w14:paraId="16925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EF4B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Registre de participation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774B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Liste indiquant qui a participé (et non ce qui a été répondu)</w:t>
            </w:r>
          </w:p>
        </w:tc>
      </w:tr>
      <w:tr w14:paraId="21EB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3FD6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Visa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771F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Validation par l’enseignant d’une séance saisie par le délégué</w:t>
            </w:r>
          </w:p>
        </w:tc>
      </w:tr>
      <w:tr w14:paraId="077E9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C0A5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RBAC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CDC7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Contrôle d’accès fondé sur les rôles</w:t>
            </w:r>
          </w:p>
        </w:tc>
      </w:tr>
      <w:tr w14:paraId="671F4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FD1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PWA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3517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Application web installable sur téléphone, utilisable avec une connexion instable</w:t>
            </w:r>
          </w:p>
        </w:tc>
      </w:tr>
      <w:tr w14:paraId="08FE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F626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API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E9C4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Interface de programmation permettant au frontend de dialoguer avec le serveur</w:t>
            </w:r>
          </w:p>
        </w:tc>
      </w:tr>
    </w:tbl>
    <w:p w14:paraId="475C2E8E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43C49A57">
      <w:pPr>
        <w:pStyle w:val="2"/>
        <w:pageBreakBefore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2. Acteurs et droits d’accès</w:t>
      </w:r>
    </w:p>
    <w:p w14:paraId="3561191E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2.1 Description des acteurs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500"/>
        <w:gridCol w:w="3806"/>
      </w:tblGrid>
      <w:tr w14:paraId="7A3C2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C0D8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Acteur</w:t>
            </w:r>
          </w:p>
        </w:tc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9CD8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BD2D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Usage de la plateforme</w:t>
            </w:r>
          </w:p>
        </w:tc>
      </w:tr>
      <w:tr w14:paraId="5B7BA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A0BC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Étudiant</w:t>
            </w:r>
          </w:p>
        </w:tc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3B47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Étudiant régulièrement inscrit à l’ENP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B93D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Évalue les UE auxquelles il est inscrit ; consulte la restitution</w:t>
            </w:r>
          </w:p>
        </w:tc>
      </w:tr>
      <w:tr w14:paraId="2306F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853F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Délégué (et suppléant)</w:t>
            </w:r>
          </w:p>
        </w:tc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65B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Étudiant désigné pour représenter sa classe ; il garde tous les droits d’un étudiant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E0A1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Renseigne le cahier de texte de sa classe</w:t>
            </w:r>
          </w:p>
        </w:tc>
      </w:tr>
      <w:tr w14:paraId="4528F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139C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Enseignant</w:t>
            </w:r>
          </w:p>
        </w:tc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9DA2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Enseignant permanent ou vacataire affecté à une ou plusieurs UE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0492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Consulte ses résultats ; vise les séances du cahier de texte</w:t>
            </w:r>
          </w:p>
        </w:tc>
      </w:tr>
      <w:tr w14:paraId="7DBFF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E09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Chef de Département</w:t>
            </w:r>
          </w:p>
        </w:tc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FC27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Responsable pédagogique d’un département d’un campus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6F36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Suit la participation, les résultats et les cahiers de texte de son département ; valide la synthèse et les suites données</w:t>
            </w:r>
          </w:p>
        </w:tc>
      </w:tr>
      <w:tr w14:paraId="5F22C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0B69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Service Scolarité et Gestion Académique</w:t>
            </w:r>
          </w:p>
        </w:tc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02C1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Service administratif chargé de la gestion académique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6316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Gère référentiels, campagnes, modération et consolidation ; publie la restitution</w:t>
            </w:r>
          </w:p>
        </w:tc>
      </w:tr>
      <w:tr w14:paraId="1ED3C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BD4C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Administrateur technique</w:t>
            </w:r>
          </w:p>
        </w:tc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52DF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Personne chargée de l’exploitation de la plateforme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E364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Gère infrastructure, paramétrage technique, sauvegardes et audit</w:t>
            </w:r>
          </w:p>
        </w:tc>
      </w:tr>
      <w:tr w14:paraId="005CD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16DD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Conseil de perfectionnement (lecture)</w:t>
            </w:r>
          </w:p>
        </w:tc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60D4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Instance recevant la synthèse par semestre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D78C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Reçoit la synthèse sous forme de document exporté (pas de compte requis dans la version 1)</w:t>
            </w:r>
          </w:p>
        </w:tc>
      </w:tr>
    </w:tbl>
    <w:p w14:paraId="71E0B988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123C0F29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Un même utilisateur peut cumuler plusieurs rôles (par exemple un enseignant également Chef de Département). Il choisit son profil actif à la connexion.</w:t>
      </w:r>
    </w:p>
    <w:p w14:paraId="75E28603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2.2 Matrice des droits</w:t>
      </w:r>
    </w:p>
    <w:p w14:paraId="3D9DB33C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i/>
          <w:iCs/>
          <w:color w:val="595959"/>
          <w:sz w:val="19"/>
          <w:szCs w:val="19"/>
        </w:rPr>
        <w:t>✔ = autorisé · — = interdit · le périmètre est précisé lorsque l’accès est limité.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6"/>
        <w:gridCol w:w="1100"/>
        <w:gridCol w:w="1050"/>
        <w:gridCol w:w="1250"/>
        <w:gridCol w:w="1150"/>
        <w:gridCol w:w="1250"/>
        <w:gridCol w:w="1200"/>
      </w:tblGrid>
      <w:tr w14:paraId="592B7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C181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Fonctionnalité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B498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Étudiant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A451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Délégué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84FC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Enseignant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8A3D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Chef Dépt.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BDFB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Scolarité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6965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Admin tech.</w:t>
            </w:r>
          </w:p>
        </w:tc>
      </w:tr>
      <w:tr w14:paraId="45F48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4122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Se connecter, gérer son profil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F1D7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9388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50B1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2F87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343E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C08D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</w:tr>
      <w:tr w14:paraId="45A3E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985F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Répondre au questionnaire d’évaluation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5B4F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FC31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AAA3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4733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78AA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47E9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14:paraId="14017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CB2E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Saisir le cahier de texte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FB1F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C2B0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Sa classe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4268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24A6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89C8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CDEE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14:paraId="5CA5B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B155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Consulter le cahier de texte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9140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Lecture (option)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6566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Sa classe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9210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Ses UE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6392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Son dépt.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D6CD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B200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14:paraId="7ECA6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07EE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Viser une séance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A699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629A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5F44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Ses UE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4846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2E02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F0FF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14:paraId="3A94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5EE8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Consulter les résultats d’une UE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A73E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079B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9B67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Ses UE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9E3C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Son dépt.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53F6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6613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14:paraId="65E4D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B93C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Lire les commentaires libres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35FB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FD30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C49F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Ses UE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7D9B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Son dépt.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D0D2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D8AD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14:paraId="778B4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DD07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Modérer les commentaires libres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1FDA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8961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EE13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2800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2522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6A91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14:paraId="27451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4C0B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Ouvrir / clore une campagne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105A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58F7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251B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CC0E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1FFA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7EBD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14:paraId="59319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B033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Gérer les référentiels (UE, affectations…)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F2BB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0A70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9E26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1EF4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947C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F409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</w:tr>
      <w:tr w14:paraId="489F2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46F4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Générer la grille de synthèse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0455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9B9C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17CF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B877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1C1D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89DF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14:paraId="4278C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B5AD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Valider les suites données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DAC0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FBC9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D41D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6522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1679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0C06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14:paraId="6F205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05A2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Publier la restitution aux étudiants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95AC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574D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E626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B64F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Valide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E51C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8BA2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14:paraId="28C5D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04CF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Gérer comptes et rôles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DE73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92D6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587F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4A49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82BF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Comptes acad.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EB97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</w:tr>
      <w:tr w14:paraId="76C3B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4A05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Consulter le journal d’audit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7928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7083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2899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AE0B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615F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Partiel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8FB9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</w:tr>
      <w:tr w14:paraId="51F36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AE12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Paramétrage technique et sauvegardes</w:t>
            </w:r>
          </w:p>
        </w:tc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1802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0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98D6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98E2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F791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4C06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D826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✔</w:t>
            </w:r>
          </w:p>
        </w:tc>
      </w:tr>
    </w:tbl>
    <w:p w14:paraId="6D702457">
      <w:pPr>
        <w:spacing w:after="160" w:line="20" w:lineRule="exact"/>
        <w:rPr>
          <w:rFonts w:hint="default" w:ascii="Palatino Linotype" w:hAnsi="Palatino Linotype" w:cs="Palatino Linotype"/>
        </w:rPr>
      </w:pP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06"/>
      </w:tblGrid>
      <w:tr w14:paraId="21CE6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06" w:type="dxa"/>
            <w:tcBorders>
              <w:top w:val="nil"/>
              <w:left w:val="single" w:color="8B5A2B" w:sz="24" w:space="0"/>
              <w:bottom w:val="nil"/>
              <w:right w:val="nil"/>
            </w:tcBorders>
            <w:shd w:val="clear" w:color="auto" w:fill="FDF0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7A0E7A">
            <w:pPr>
              <w:spacing w:after="60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i/>
                <w:iCs/>
                <w:color w:val="8B5A2B"/>
              </w:rPr>
              <w:t>Principe d’étanchéité</w:t>
            </w:r>
          </w:p>
          <w:p w14:paraId="494097F8">
            <w:pPr>
              <w:spacing w:after="40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i/>
                <w:iCs/>
                <w:color w:val="8B5A2B"/>
                <w:sz w:val="20"/>
                <w:szCs w:val="20"/>
              </w:rPr>
              <w:t>Aucun rôle, y compris l’administrateur technique, ne dispose d’une fonction permettant de relier une réponse d’évaluation à un étudiant. Cette garantie est assurée par l’architecture (section 5.4) et non par une simple règle d’accès.</w:t>
            </w:r>
          </w:p>
        </w:tc>
      </w:tr>
    </w:tbl>
    <w:p w14:paraId="5CB16886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6661E87B">
      <w:pPr>
        <w:pStyle w:val="2"/>
        <w:pageBreakBefore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3. Besoins fonctionnels</w:t>
      </w:r>
    </w:p>
    <w:p w14:paraId="6F910F01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Les exigences sont numérotées par module et classées par priorité : </w:t>
      </w:r>
      <w:r>
        <w:rPr>
          <w:rFonts w:hint="default" w:ascii="Palatino Linotype" w:hAnsi="Palatino Linotype" w:cs="Palatino Linotype"/>
          <w:b/>
          <w:bCs/>
        </w:rPr>
        <w:t>Essentielle</w:t>
      </w:r>
      <w:r>
        <w:rPr>
          <w:rFonts w:hint="default" w:ascii="Palatino Linotype" w:hAnsi="Palatino Linotype" w:cs="Palatino Linotype"/>
        </w:rPr>
        <w:t xml:space="preserve"> (indispensable à la mise en service), </w:t>
      </w:r>
      <w:r>
        <w:rPr>
          <w:rFonts w:hint="default" w:ascii="Palatino Linotype" w:hAnsi="Palatino Linotype" w:cs="Palatino Linotype"/>
          <w:b/>
          <w:bCs/>
        </w:rPr>
        <w:t>Importante</w:t>
      </w:r>
      <w:r>
        <w:rPr>
          <w:rFonts w:hint="default" w:ascii="Palatino Linotype" w:hAnsi="Palatino Linotype" w:cs="Palatino Linotype"/>
        </w:rPr>
        <w:t xml:space="preserve"> (attendue dans la version 1), </w:t>
      </w:r>
      <w:r>
        <w:rPr>
          <w:rFonts w:hint="default" w:ascii="Palatino Linotype" w:hAnsi="Palatino Linotype" w:cs="Palatino Linotype"/>
          <w:b/>
          <w:bCs/>
        </w:rPr>
        <w:t>Souhaitable</w:t>
      </w:r>
      <w:r>
        <w:rPr>
          <w:rFonts w:hint="default" w:ascii="Palatino Linotype" w:hAnsi="Palatino Linotype" w:cs="Palatino Linotype"/>
        </w:rPr>
        <w:t xml:space="preserve"> (peut être reportée en version 2). Les modules 3 et 4 constituent le cœur du projet.</w:t>
      </w:r>
    </w:p>
    <w:p w14:paraId="1C1CD866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3.1 Module AUT — Authentification et comptes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106"/>
        <w:gridCol w:w="1400"/>
      </w:tblGrid>
      <w:tr w14:paraId="7EB6C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5A6F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2884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8A3F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14:paraId="6C8C0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3027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AUT-01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F539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Connexion par identifiant (matricule pour les étudiants, adresse e-mail institutionnelle pour le personnel) et mot de passe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1B97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4C20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AB63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AUT-02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9FA5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Activation du compte à la première connexion (lien envoyé par e-mail ou code remis par la Scolarité) avec choix d’un mot de passe robuste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33C1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13F2F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BB71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AUT-03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CA9C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Réinitialisation du mot de passe par lien à durée limitée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195C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6CBF1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51AD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AUT-04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162C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Verrouillage temporaire après plusieurs échecs ; expiration de session après 30 minutes d’inactivité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10EF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24E05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7AF4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AUT-05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32FD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Rôles multiples par utilisateur avec choix du profil actif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8189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14:paraId="72409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AB53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AUT-06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2BB7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Double authentification (code par e-mail ou application) pour Scolarité, Chef de Département et administrateurs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D740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14:paraId="79285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1ABB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AUT-07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5CF6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 en masse des comptes depuis un fichier CSV fourni par la Scolarité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86A8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</w:tbl>
    <w:p w14:paraId="31143474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34CF23B7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3.2 Module REF — Référentiels académiques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106"/>
        <w:gridCol w:w="1400"/>
      </w:tblGrid>
      <w:tr w14:paraId="499D0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2504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A784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3312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14:paraId="71057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8828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REF-01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F7CF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Gestion des campus, départements, formations/cursus (Cycle Préparatoire, Cycle Ingénieur, Master…), années universitaires et semestres S1 à S10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63D6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162C9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54E6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REF-02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E00A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Gestion des UE : code, intitulé, crédits, semestre, formation, volumes horaires CM/TD/TP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BA0A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418A9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C1C5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REF-03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7B95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Affectation d’un ou plusieurs enseignants par UE et par année universitaire (identification de l’enseignant assurée par la Scolarité, comme dans la grille papier)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10E9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7BFFE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2B89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REF-04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47A6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Inscription des étudiants aux UE par import CSV ou saisie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C9E4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13E42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933B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REF-05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D8DD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Désignation du délégué et du suppléant de chaque classe, avec dates de mandat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344E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32508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5B02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REF-06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0C54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Archivage annuel : les données d’une année clôturée deviennent non modifiables mais restent consultables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EC64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14:paraId="2A097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0C69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REF-07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C57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Gestion des enseignants vacataires (comptes externes à durée limitée)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191F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</w:tbl>
    <w:p w14:paraId="77F8195C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66B3FDC1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3.3 Module EVA — Évaluation anonyme des enseignements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106"/>
        <w:gridCol w:w="1400"/>
      </w:tblGrid>
      <w:tr w14:paraId="586F2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3194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7A41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EF74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14:paraId="19DBB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1795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EVA-01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8CB6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Ouverture et clôture de campagnes d’évaluation par semestre et par département, avec dates de début et de fin situées avant la période d’examens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35D7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22138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F4BE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EVA-02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61A5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Questionnaire conforme à la grille ENP : 5 sections (A à E), 19 critères, échelle de 1 à 5 avec option « Sans avis », deux champs de commentaires libres (points forts, points à améliorer)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F8E6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0FB2F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B51A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EVA-03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BBB3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L’étudiant voit la liste des UE à évaluer (celles de son semestre) et l’état de chacune (à faire / terminée)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5A7B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6571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B5E3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EVA-04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0B40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Une seule participation par étudiant, par UE et par campagne ; l’envoi est définitif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858E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0302B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813B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EVA-05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4A4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Anonymat garanti par conception : aucun lien technique entre l’identité de l’étudiant et ses réponses (section 5.4)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8AA5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2403C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618A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EVA-06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9A70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Aucune information démographique collectée, conformément à la grille (seuls campus, département, cursus, semestre et UE sont connus par contexte)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61CB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7CFAD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992F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EVA-07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C426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Questionnaire paramétrable et versionné : ajout ou modification de critères sans développement, sans altérer les campagnes passées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FAA9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14:paraId="4838E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07B9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EVA-08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BAB2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Rappels automatiques envoyés aux étudiants n’ayant pas terminé, sans que l’enseignant puisse savoir qui a répondu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177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14:paraId="19D9D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523C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EVA-09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D04B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Suivi agrégé du taux de participation par UE, formation et département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E7D7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06FB7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4168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EVA-10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FDBE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Modération des commentaires libres par la Scolarité (masquage des propos injurieux ou identifiants) avec traçabilité de la décision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7D45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14:paraId="0A4BC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834B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EVA-11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5011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Fonctionnement sur connexion lente, avec brouillon conservé sur l’appareil de l’étudiant et reprise après coupure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6CA1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51992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DFCA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EVA-12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7216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Avertissement affiché à l’étudiant sur le contenu des commentaires libres (éviter tout élément permettant de l’identifier)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2A11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</w:tbl>
    <w:p w14:paraId="5344304D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4915FCFC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3.4 Module CDT — Cahier de texte numérique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106"/>
        <w:gridCol w:w="1400"/>
      </w:tblGrid>
      <w:tr w14:paraId="3D80F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8C9C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59EA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FFFA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14:paraId="564B3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95D8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CDT-01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8871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 délégué (ou son suppléant) crée une entrée par séance : date, heures de début et de fin, UE, enseignant, type de séance (CM, TD, TP) et groupe éventuel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17AB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2C0B6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AB4E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CDT-02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7B26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Saisie du contenu : intitulé de la séance, contenu traité, travail à faire et références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E7DA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638AF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809B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CDT-03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999A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Statut de la séance : tenue, reportée, annulée, enseignant absent (avec motif si connu)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9173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53C92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42E4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CDT-04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2EA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 délégué peut modifier une entrée tant que l’enseignant ne l’a pas visée ; ensuite l’entrée est verrouillée et toute correction est tracée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5AC9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299C6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28F0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CDT-05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45CE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Visa de l’enseignant : valider ou signaler un désaccord commenté, dans un délai paramétrable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63E6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60099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8504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CDT-06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19F5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Calcul automatique du volume horaire effectué par rapport au volume prévu, par UE et par type de séance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7688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64F58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B3FB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CDT-07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B173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Consultation par le Chef de Département et la Scolarité : chronologie, filtres, taux de réalisation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ACC6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6C70B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28D7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CDT-08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9DF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Saisie optimisée pour téléphone (formulaire court, listes pré-remplies)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5277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4C5D8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F388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CDT-09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175A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Rappel au délégué lorsqu’une séance attendue n’est pas renseignée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C44F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14:paraId="0ABD5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2E6E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CDT-10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BDD5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Export PDF imprimable du cahier de texte d’une UE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036A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14:paraId="308A8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DBAC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CDT-11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6134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Consultation en lecture seule du cahier de texte par les étudiants de la classe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B8F8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Souhaitable</w:t>
            </w:r>
          </w:p>
        </w:tc>
      </w:tr>
      <w:tr w14:paraId="4FE72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B4DD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CDT-12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09CE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Pièces jointes légères (liens, PDF ou images de 5 Mo maximum)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C535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Souhaitable</w:t>
            </w:r>
          </w:p>
        </w:tc>
      </w:tr>
    </w:tbl>
    <w:p w14:paraId="497532E6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03895781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3.5 Module ENS — Espace enseignant (consultation des résultats)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106"/>
        <w:gridCol w:w="1400"/>
      </w:tblGrid>
      <w:tr w14:paraId="2A054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1AD1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9F50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7A5B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14:paraId="713D5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4546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ENS-01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8B73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Résultats de chacune de ses UE par campagne : moyenne par section (A à D), satisfaction globale (E), moyenne par critère, distribution des réponses, nombre de répondants sur inscrits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2284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74E70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2301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ENS-02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640F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Lecture des commentaires libres modérés, présentés dans un ordre aléatoire et sans horodatage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584F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7C577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9D1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ENS-03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660B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Seuil minimal de répondants (5 par défaut) en dessous duquel seule la participation est affichée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29AF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5C5A5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D9AB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ENS-04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9F0E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Évolution des résultats d’une même UE entre semestres et années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0F9F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14:paraId="346C8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68AA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ENS-05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204E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Positionnement par rapport à la moyenne du département (données agrégées, sans nom de collègue)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5519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Souhaitable</w:t>
            </w:r>
          </w:p>
        </w:tc>
      </w:tr>
      <w:tr w14:paraId="577ED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3B52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ENS-06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C444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Export PDF de sa fiche de résultats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9C66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14:paraId="47D64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57E9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ENS-07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EEEE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Consultation de son cahier de texte et traitement des visas en attente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203A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3EDF5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57CE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ENS-08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61C4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Mention permanente rappelant l’article 77 : résultats à visée d’amélioration pédagogique, non exclusifs d’une appréciation individuelle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02EB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17BE5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0309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ENS-09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085C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Zone de réponse de l’enseignant (analyse et actions envisagées), visible du Chef de Département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75AF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Souhaitable</w:t>
            </w:r>
          </w:p>
        </w:tc>
      </w:tr>
    </w:tbl>
    <w:p w14:paraId="72CB5F7A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60F9E1E5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3.6 Module PIL — Pilotage (Chef de Département et Scolarité)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106"/>
        <w:gridCol w:w="1400"/>
      </w:tblGrid>
      <w:tr w14:paraId="5B7C8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B294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C106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C596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14:paraId="37136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2315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PIL-01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BFDE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Tableau de bord de campagne : taux de participation par UE, formation et département, mis à jour en continu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E5B9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14E98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35D5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PIL-02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1C4E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Génération automatique de la grille de synthèse par semestre (code UE, intitulé, enseignant, nombre de réponses, moyennes A à D, satisfaction E) au format de la grille ENP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EC40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52F42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D632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PIL-03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C2B8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Mise en évidence de l’UE aux meilleures appréciations et des UE nécessitant une attention particulière (seuils paramétrables)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7FAF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14:paraId="38F10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AEB6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PIL-04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28D3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Saisie des actions correctives et suites données, puis validation par le Chef de Département (établi par, date, visa)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3DF4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28B41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B815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PIL-05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109E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Publication de la restitution aux étudiants : principaux résultats agrégés et suites données (article 77)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EDF2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3D5BE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98F2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PIL-06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ADA0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Exports PDF, Excel et Word de la synthèse, pour présentation au conseil de perfectionnement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C764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3215F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F104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PIL-07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5615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Comparaisons entre semestres, années et départements (Scolarité)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429C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14:paraId="14607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6C4E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PIL-08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3247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Suivi des taux de réalisation des volumes horaires issus du cahier de texte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5618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</w:tbl>
    <w:p w14:paraId="6922DDC5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5AEA38A9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3.7 Module NOT — Notifications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106"/>
        <w:gridCol w:w="1400"/>
      </w:tblGrid>
      <w:tr w14:paraId="003D7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F682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C8A7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1FF5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14:paraId="0BBC2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4FF8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NOT-01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84C6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E-mails : ouverture et clôture de campagne, rappels, séance à viser, résultats disponibles, restitution publiée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8EBB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6C651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98A4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NOT-02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2F7D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Notifications dans l’application (cloche) avec marquage lu / non lu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FB84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14:paraId="318DF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DDB2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NOT-03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03ED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Canal SMS ou messagerie instantanée en option, sous réserve d’un prestataire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EE9F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Souhaitable</w:t>
            </w:r>
          </w:p>
        </w:tc>
      </w:tr>
      <w:tr w14:paraId="761ED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84F4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NOT-04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CBCC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Préférences de notification par utilisateur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2AAB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Souhaitable</w:t>
            </w:r>
          </w:p>
        </w:tc>
      </w:tr>
    </w:tbl>
    <w:p w14:paraId="6F280559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34891F94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3.8 Module ADM — Administration et audit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106"/>
        <w:gridCol w:w="1400"/>
      </w:tblGrid>
      <w:tr w14:paraId="17C67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9A31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10E0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7CBD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14:paraId="7D8FD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B9FB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ADM-01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269A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Gestion des utilisateurs, rôles et mandats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7C55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32B4E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42E1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ADM-02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9A64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Journal d’audit : connexions, consultations de résultats, exports, modifications du cahier de texte, paramétrage. Les dépôts de réponses d’évaluation ne sont jamais journalisés avec une identité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4138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397BA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40DA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ADM-03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7A36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Paramétrage : seuil d’anonymat, durée de validité du jeton, délai de visa, périodes de campagne, durées de conservation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81F6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Importante</w:t>
            </w:r>
          </w:p>
        </w:tc>
      </w:tr>
      <w:tr w14:paraId="01EE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8DD4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ADM-04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E63D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Sauvegardes automatiques et procédure de restauration testée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A573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Essentielle</w:t>
            </w:r>
          </w:p>
        </w:tc>
      </w:tr>
      <w:tr w14:paraId="1CAE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37C6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ADM-05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DB6F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Statistiques d’usage (connexions, temps de réponse, erreurs)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AE41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Souhaitable</w:t>
            </w:r>
          </w:p>
        </w:tc>
      </w:tr>
      <w:tr w14:paraId="2E09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1115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ADM-06</w:t>
            </w:r>
          </w:p>
        </w:tc>
        <w:tc>
          <w:tcPr>
            <w:tcW w:w="7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EE03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Mode maintenance avec message d’information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F1AE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Souhaitable</w:t>
            </w:r>
          </w:p>
        </w:tc>
      </w:tr>
    </w:tbl>
    <w:p w14:paraId="69165FE0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2DD36141">
      <w:pPr>
        <w:pStyle w:val="2"/>
        <w:pageBreakBefore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4. Règles de gestion</w:t>
      </w:r>
    </w:p>
    <w:p w14:paraId="3925FF46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Les règles ci-dessous s’appliquent à l’ensemble de la plateforme. Les valeurs chiffrées sont des valeurs par défaut paramétrables (module ADM-03).</w:t>
      </w:r>
    </w:p>
    <w:p w14:paraId="1ACC3580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4.1 Évaluation et anonymat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8606"/>
      </w:tblGrid>
      <w:tr w14:paraId="28DBD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457D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D14F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Règle</w:t>
            </w:r>
          </w:p>
        </w:tc>
      </w:tr>
      <w:tr w14:paraId="7555E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3786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RG-01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02E1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Un étudiant ne peut évaluer que les UE auxquelles il est inscrit pour le semestre de la campagne en cours</w:t>
            </w:r>
          </w:p>
        </w:tc>
      </w:tr>
      <w:tr w14:paraId="66B2F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5678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RG-02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C569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Une seule participation par couple (étudiant, UE) et par campagne. L’envoi est définitif : aucune modification ni suppression ultérieure, car elle exigerait de relier la réponse à l’étudiant</w:t>
            </w:r>
          </w:p>
        </w:tc>
      </w:tr>
      <w:tr w14:paraId="1DF29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D005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RG-03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6756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Une campagne est ouverte uniquement pendant ses dates ; elle est close avant la période d’examens. Sa réouverture exige une décision de la Scolarité, tracée</w:t>
            </w:r>
          </w:p>
        </w:tc>
      </w:tr>
      <w:tr w14:paraId="649EC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750C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RG-04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ABB6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réponses « Sans avis » sont exclues de tous les calculs de moyenne</w:t>
            </w:r>
          </w:p>
        </w:tc>
      </w:tr>
      <w:tr w14:paraId="20E12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B758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RG-05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D33E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La moyenne d’une section (A à D) est la moyenne arithmétique de toutes les notes (1 à 5) données par l’ensemble des répondants aux critères de la section. La satisfaction globale (E) est la moyenne des deux critères de la section E</w:t>
            </w:r>
          </w:p>
        </w:tc>
      </w:tr>
      <w:tr w14:paraId="42AA0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F257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RG-06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0677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résultats détaillés d’une UE ne sont affichés qu’à partir de 5 répondants. En dessous, seul le nombre de réponses est visible, afin d’éviter l’identification par déduction</w:t>
            </w:r>
          </w:p>
        </w:tc>
      </w:tr>
      <w:tr w14:paraId="6684C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FD32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RG-07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052C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résultats ne sont communiqués qu’après la clôture de la campagne (jamais en temps réel)</w:t>
            </w:r>
          </w:p>
        </w:tc>
      </w:tr>
      <w:tr w14:paraId="74FD0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2787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RG-08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F04F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résultats d’une UE sont communiqués uniquement à l’enseignant concerné, au Chef de Département de la formation et à la Scolarité (consolidation), conformément à l’article 77</w:t>
            </w:r>
          </w:p>
        </w:tc>
      </w:tr>
      <w:tr w14:paraId="58AD0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608A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RG-09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82E7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Aucune donnée démographique des répondants n’est collectée ni croisée avec les résultats</w:t>
            </w:r>
          </w:p>
        </w:tc>
      </w:tr>
      <w:tr w14:paraId="0F900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C574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RG-10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7073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commentaires libres sont modérés avant transmission à l’enseignant. Un commentaire masqué reste signalé comme tel dans la synthèse, sans reprise de son contenu</w:t>
            </w:r>
          </w:p>
        </w:tc>
      </w:tr>
      <w:tr w14:paraId="3C380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E35E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RG-11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6BFE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Toute vue de résultats affiche la mention : « Résultats à visée d’amélioration pédagogique ; ils ne peuvent constituer, à eux seuls, un élément d’appréciation individuelle »</w:t>
            </w:r>
          </w:p>
        </w:tc>
      </w:tr>
    </w:tbl>
    <w:p w14:paraId="59D8B0D0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5976815D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4.2 Cahier de texte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8606"/>
      </w:tblGrid>
      <w:tr w14:paraId="37BB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7A47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1ACE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Règle</w:t>
            </w:r>
          </w:p>
        </w:tc>
      </w:tr>
      <w:tr w14:paraId="6912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B3B3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RG-20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78F4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Seuls le délégué et le suppléant de la classe concernée peuvent créer ou modifier les entrées de son cahier de texte, pendant la durée de leur mandat</w:t>
            </w:r>
          </w:p>
        </w:tc>
      </w:tr>
      <w:tr w14:paraId="2E83D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7FF8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RG-21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EA5D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Une entrée correspond à une séance unique ; deux entrées ne peuvent pas se chevaucher pour une même UE et un même groupe</w:t>
            </w:r>
          </w:p>
        </w:tc>
      </w:tr>
      <w:tr w14:paraId="6FD51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1F4D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RG-22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5BF7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La date d’une séance ne peut pas être postérieure à la date du jour. La fin de séance doit être postérieure au début</w:t>
            </w:r>
          </w:p>
        </w:tc>
      </w:tr>
      <w:tr w14:paraId="7DA65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D98B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RG-23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B19C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Après le visa de l’enseignant, l’entrée est verrouillée. Toute correction crée une nouvelle version, l’historique complet étant conservé</w:t>
            </w:r>
          </w:p>
        </w:tc>
      </w:tr>
      <w:tr w14:paraId="3E0D1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BD53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RG-24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2E94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En cas de désaccord de l’enseignant, l’entrée passe au statut « contestée » et le Chef de Département est informé. Les deux versions restent visibles pour arbitrage</w:t>
            </w:r>
          </w:p>
        </w:tc>
      </w:tr>
      <w:tr w14:paraId="5EF66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0BBE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RG-25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0A49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 délai de visa est de 7 jours (paramétrable). Passé ce délai, l’entrée est signalée « non visée » et relancée ; elle n’est pas validée tacitement sauf décision de l’ENP (point 11)</w:t>
            </w:r>
          </w:p>
        </w:tc>
      </w:tr>
      <w:tr w14:paraId="086F7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7FF6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RG-26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40FA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 volume horaire effectué est la somme des durées des séances au statut « tenue » ; les séances reportées ou annulées n’y sont pas comptées</w:t>
            </w:r>
          </w:p>
        </w:tc>
      </w:tr>
    </w:tbl>
    <w:p w14:paraId="6A5B0764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43792A25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4.3 Conservation et protection des données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8606"/>
      </w:tblGrid>
      <w:tr w14:paraId="56D01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6D9F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1BC5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Règle</w:t>
            </w:r>
          </w:p>
        </w:tc>
      </w:tr>
      <w:tr w14:paraId="4FB2F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12E3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RG-30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A07F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réponses individuelles d’évaluation sont conservées 5 ans (proposition), puis seuls les agrégats par UE sont gardés</w:t>
            </w:r>
          </w:p>
        </w:tc>
      </w:tr>
      <w:tr w14:paraId="158D2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7134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RG-31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9075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cahiers de texte sont conservés pendant la durée de la formation puis archivés selon la politique de l’ENP</w:t>
            </w:r>
          </w:p>
        </w:tc>
      </w:tr>
      <w:tr w14:paraId="32835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75F0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RG-32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A821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journaux d’audit sont conservés 12 mois</w:t>
            </w:r>
          </w:p>
        </w:tc>
      </w:tr>
      <w:tr w14:paraId="6F8C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2919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RG-33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EF5F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comptes des étudiants diplômés ou sortis sont désactivés ; les données les concernant sont anonymisées ou supprimées selon la politique de l’ENP et la réglementation en vigueur</w:t>
            </w:r>
          </w:p>
        </w:tc>
      </w:tr>
      <w:tr w14:paraId="1305E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0BD8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RG-34</w:t>
            </w:r>
          </w:p>
        </w:tc>
        <w:tc>
          <w:tcPr>
            <w:tcW w:w="86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669A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traitements de données à caractère personnel respectent la réglementation togolaise sur la protection des données (loi n° 2019-014 du 29 octobre 2019, à confirmer par le conseil juridique de l’ENP) : finalité déterminée, minimisation, sécurité, information des personnes</w:t>
            </w:r>
          </w:p>
        </w:tc>
      </w:tr>
    </w:tbl>
    <w:p w14:paraId="705AFDCD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4C7A217B">
      <w:pPr>
        <w:pStyle w:val="2"/>
        <w:pageBreakBefore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5. Architecture technique</w:t>
      </w:r>
    </w:p>
    <w:p w14:paraId="03237287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5.1 Principes directeurs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906"/>
      </w:tblGrid>
      <w:tr w14:paraId="49B92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E4CA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Principe</w:t>
            </w:r>
          </w:p>
        </w:tc>
        <w:tc>
          <w:tcPr>
            <w:tcW w:w="6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D00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Traduction concrète</w:t>
            </w:r>
          </w:p>
        </w:tc>
      </w:tr>
      <w:tr w14:paraId="7AD16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56B9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Anonymat par conception</w:t>
            </w:r>
          </w:p>
        </w:tc>
        <w:tc>
          <w:tcPr>
            <w:tcW w:w="6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A7AF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Séparation physique et logique entre « qui a voté » et « ce qui a été voté », sans clé commune</w:t>
            </w:r>
          </w:p>
        </w:tc>
      </w:tr>
      <w:tr w14:paraId="63693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808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Simplicité d’exploitation</w:t>
            </w:r>
          </w:p>
        </w:tc>
        <w:tc>
          <w:tcPr>
            <w:tcW w:w="6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C2BC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Monolithe modulaire : un seul service applicatif, une base de données, déploiement par conteneurs</w:t>
            </w:r>
          </w:p>
        </w:tc>
      </w:tr>
      <w:tr w14:paraId="42578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2DE9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Web responsive, mobile d’abord</w:t>
            </w:r>
          </w:p>
        </w:tc>
        <w:tc>
          <w:tcPr>
            <w:tcW w:w="6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F15C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étudiants et délégués utilisent surtout leur téléphone ; application installable (PWA)</w:t>
            </w:r>
          </w:p>
        </w:tc>
      </w:tr>
      <w:tr w14:paraId="72C5F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08AA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Sobriété réseau</w:t>
            </w:r>
          </w:p>
        </w:tc>
        <w:tc>
          <w:tcPr>
            <w:tcW w:w="6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51AE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Pages légères, mise en cache, compression, brouillons locaux et reprise après coupure</w:t>
            </w:r>
          </w:p>
        </w:tc>
      </w:tr>
      <w:tr w14:paraId="4F2F5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31F1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Sécurité par défaut</w:t>
            </w:r>
          </w:p>
        </w:tc>
        <w:tc>
          <w:tcPr>
            <w:tcW w:w="6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1F90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HTTPS partout, moindre privilège, aucun port de base de données exposé, audit</w:t>
            </w:r>
          </w:p>
        </w:tc>
      </w:tr>
      <w:tr w14:paraId="6A23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9C2B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Technologies ouvertes</w:t>
            </w:r>
          </w:p>
        </w:tc>
        <w:tc>
          <w:tcPr>
            <w:tcW w:w="6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F405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Logiciels libres, sans licence, avec large communauté et compétences faciles à recruter</w:t>
            </w:r>
          </w:p>
        </w:tc>
      </w:tr>
      <w:tr w14:paraId="03B5F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AF3B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Évolutivité</w:t>
            </w:r>
          </w:p>
        </w:tc>
        <w:tc>
          <w:tcPr>
            <w:tcW w:w="6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5CDE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Modules découplés ; extraction possible en services indépendants si le besoin apparaît</w:t>
            </w:r>
          </w:p>
        </w:tc>
      </w:tr>
    </w:tbl>
    <w:p w14:paraId="325CECE0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6CF6EA93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Un </w:t>
      </w:r>
      <w:r>
        <w:rPr>
          <w:rFonts w:hint="default" w:ascii="Palatino Linotype" w:hAnsi="Palatino Linotype" w:cs="Palatino Linotype"/>
          <w:b/>
          <w:bCs/>
        </w:rPr>
        <w:t>monolithe modulaire</w:t>
      </w:r>
      <w:r>
        <w:rPr>
          <w:rFonts w:hint="default" w:ascii="Palatino Linotype" w:hAnsi="Palatino Linotype" w:cs="Palatino Linotype"/>
        </w:rPr>
        <w:t xml:space="preserve"> est préféré aux microservices : l’échelle du projet (quelques milliers d’utilisateurs, charge concentrée sur quelques semaines par semestre) ne justifie pas la complexité d’une architecture distribuée, tout en gardant un code strictement découpé en modules.</w:t>
      </w:r>
    </w:p>
    <w:p w14:paraId="2BE765E4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5.2 Vue d’ensemble</w:t>
      </w:r>
    </w:p>
    <w:p w14:paraId="46BC10BD">
      <w:pPr>
        <w:keepNext/>
        <w:spacing w:before="120" w:after="80"/>
        <w:jc w:val="center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drawing>
          <wp:inline distT="0" distB="0" distL="0" distR="0">
            <wp:extent cx="4477385" cy="4924425"/>
            <wp:effectExtent l="0" t="0" r="5715" b="3175"/>
            <wp:docPr id="1" name="Figure 1 — Architecture logique de la plateforme" descr="Schéma des couches : utilisateurs, reverse proxy, frontend React, backend NestJS, données et services externes" title="Figure 1 — Architecture logique de la platefor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1 — Architecture logique de la plateforme" descr="Schéma des couches : utilisateurs, reverse proxy, frontend React, backend NestJS, données et services externes" title="Figure 1 — Architecture logique de la plateform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D076">
      <w:pPr>
        <w:spacing w:after="200"/>
        <w:jc w:val="center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i/>
          <w:iCs/>
          <w:color w:val="595959"/>
          <w:sz w:val="18"/>
          <w:szCs w:val="18"/>
        </w:rPr>
        <w:t>Figure 1 — Architecture logique de la plateforme</w:t>
      </w:r>
    </w:p>
    <w:p w14:paraId="3FC0080C">
      <w:pPr>
        <w:pStyle w:val="4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Description des couches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5306"/>
        <w:gridCol w:w="2600"/>
      </w:tblGrid>
      <w:tr w14:paraId="6C631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79E3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5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D5B5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ABA9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Technologies</w:t>
            </w:r>
          </w:p>
        </w:tc>
      </w:tr>
      <w:tr w14:paraId="22750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2A2A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Utilisateurs</w:t>
            </w:r>
          </w:p>
        </w:tc>
        <w:tc>
          <w:tcPr>
            <w:tcW w:w="5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63B8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Accès depuis navigateur (PC, tablette, mobile) ; installation possible comme application (PWA)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45BB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Navigateurs récents</w:t>
            </w:r>
          </w:p>
        </w:tc>
      </w:tr>
      <w:tr w14:paraId="30C8D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B303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Reverse proxy</w:t>
            </w:r>
          </w:p>
        </w:tc>
        <w:tc>
          <w:tcPr>
            <w:tcW w:w="5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FEC1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Point d’entrée unique : HTTPS, redirection, limitation de débit, compression, service des fichiers statiques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17CE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Nginx, certificat TLS</w:t>
            </w:r>
          </w:p>
        </w:tc>
      </w:tr>
      <w:tr w14:paraId="00ED4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22E6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Frontend</w:t>
            </w:r>
          </w:p>
        </w:tc>
        <w:tc>
          <w:tcPr>
            <w:tcW w:w="5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355B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Cinq espaces (étudiant, délégué, enseignant, Chef de Département, administration) en application monopage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8700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React, TypeScript, Vite</w:t>
            </w:r>
          </w:p>
        </w:tc>
      </w:tr>
      <w:tr w14:paraId="42179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F3C9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Backend</w:t>
            </w:r>
          </w:p>
        </w:tc>
        <w:tc>
          <w:tcPr>
            <w:tcW w:w="5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FC47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API REST regroupant les modules AUT, REF, EVA, CDT, résultats, notifications et audit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3723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Node.js, NestJS</w:t>
            </w:r>
          </w:p>
        </w:tc>
      </w:tr>
      <w:tr w14:paraId="59488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15B2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Données</w:t>
            </w:r>
          </w:p>
        </w:tc>
        <w:tc>
          <w:tcPr>
            <w:tcW w:w="5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50FE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Base relationnelle à schémas séparés dont l’urne anonyme ; Redis pour sessions, anti-rejeu et limites ; fichiers d’export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9BF8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PostgreSQL, Redis</w:t>
            </w:r>
          </w:p>
        </w:tc>
      </w:tr>
      <w:tr w14:paraId="07E62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C15A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Services externes</w:t>
            </w:r>
          </w:p>
        </w:tc>
        <w:tc>
          <w:tcPr>
            <w:tcW w:w="5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600F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Envoi d’e-mails, import depuis le système de scolarité, sauvegardes, supervision, intégration continue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8F9A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SMTP, CSV, GitHub Actions</w:t>
            </w:r>
          </w:p>
        </w:tc>
      </w:tr>
    </w:tbl>
    <w:p w14:paraId="601BA8CE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521144B1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5.3 Stack technique recommandée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0"/>
        <w:gridCol w:w="2776"/>
        <w:gridCol w:w="3274"/>
        <w:gridCol w:w="2086"/>
      </w:tblGrid>
      <w:tr w14:paraId="6C145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A27E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Composant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4DC6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Choix recommandé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FB78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42B2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Alternative</w:t>
            </w:r>
          </w:p>
        </w:tc>
      </w:tr>
      <w:tr w14:paraId="04AC4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A98E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Frontend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00AE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React 18 + TypeScript + Vite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0505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Écosystème étendu, typage fort, build rapide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89C6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Vue 3, Next.js</w:t>
            </w:r>
          </w:p>
        </w:tc>
      </w:tr>
      <w:tr w14:paraId="3CABB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8919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Interface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6706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Tailwind CSS + composants accessibles (Radix UI) + Recharts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415A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Cohérence visuelle, accessibilité, graphiques pour les résultats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954A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Material UI</w:t>
            </w:r>
          </w:p>
        </w:tc>
      </w:tr>
      <w:tr w14:paraId="1A6A7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495C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PWA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B729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Service worker, manifeste, cache hors ligne partiel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1E70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Installation sur téléphone, brouillons locaux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3419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14:paraId="460A6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3420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Backend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1CD2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Node.js 20 LTS + NestJS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C46E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Architecture modulaire native, un seul langage avec le frontend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1AB9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Django REST, Laravel, Spring Boot</w:t>
            </w:r>
          </w:p>
        </w:tc>
      </w:tr>
      <w:tr w14:paraId="09C62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2938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API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B630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REST/JSON, documentation OpenAPI (Swagger)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3418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Simple, universel, testable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9C3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GraphQL</w:t>
            </w:r>
          </w:p>
        </w:tc>
      </w:tr>
      <w:tr w14:paraId="00A5A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D4BB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Base de données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0B57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PostgreSQL 16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EB2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Robustesse, transactions, schémas et rôles séparés, vues matérialisées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5A6E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MySQL / MariaDB</w:t>
            </w:r>
          </w:p>
        </w:tc>
      </w:tr>
      <w:tr w14:paraId="342BC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460E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Accès aux données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AF6A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Prisma (ou TypeORM) + migrations versionnées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55C2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Typage, migrations reproductibles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23C9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SQLAlchemy, Eloquent</w:t>
            </w:r>
          </w:p>
        </w:tc>
      </w:tr>
      <w:tr w14:paraId="09BBE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3845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Cache et sessions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3A4E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Redis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8F3B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Sessions courtes, anti-rejeu des jetons, limitation de débit, files de tâches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BE1F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Mémoire applicative (instance unique)</w:t>
            </w:r>
          </w:p>
        </w:tc>
      </w:tr>
      <w:tr w14:paraId="19EBF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557B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Authentification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0FF2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Jeton d’accès court (15 min) + jeton de rafraîchissement en cookie HttpOnly ; mots de passe hachés en argon2id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8161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Sécurité, compatible web et mobile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5B9D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Sessions serveur, Keycloak</w:t>
            </w:r>
          </w:p>
        </w:tc>
      </w:tr>
      <w:tr w14:paraId="72C7B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49A1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Exports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A97E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PDF (Puppeteer ou pdfmake), Excel (ExcelJS), Word (docx)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D8D4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Grille de synthèse aux formats attendus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9464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14:paraId="145F4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A840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E-mail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FAD8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SMTP via prestataire transactionnel ou serveur de l’ENP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1ABF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Délivrabilité, suivi des envois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F290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Mailgun, Brevo, Postfix</w:t>
            </w:r>
          </w:p>
        </w:tc>
      </w:tr>
      <w:tr w14:paraId="5E174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9DE4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Proxy et TLS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5A08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Nginx + Let’s Encrypt (ou certificat de l’ENP)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8D1F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Standard, léger, renouvellement automatique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32F0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Caddy, Traefik</w:t>
            </w:r>
          </w:p>
        </w:tc>
      </w:tr>
      <w:tr w14:paraId="1F7F3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93B1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Conteneurs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B83B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Docker + Docker Compose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0BB7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Environnements identiques, déploiement reproductible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413C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Kubernetes (non nécessaire)</w:t>
            </w:r>
          </w:p>
        </w:tc>
      </w:tr>
      <w:tr w14:paraId="4AE32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51EC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CI/CD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1C6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GitHub Actions ou GitLab CI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14FA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Tests et déploiement automatiques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A066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Jenkins</w:t>
            </w:r>
          </w:p>
        </w:tc>
      </w:tr>
      <w:tr w14:paraId="75BDD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A451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Qualité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B072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Jest/Vitest, Playwright, ESLint, Prettier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4F8F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Tests unitaires, API et bout en bout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B7EC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Cypress</w:t>
            </w:r>
          </w:p>
        </w:tc>
      </w:tr>
      <w:tr w14:paraId="2FF87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6CD7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Supervision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CC0C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Uptime Kuma, Sentry, Prometheus + Grafana (option)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7A82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Disponibilité, erreurs, métriques</w:t>
            </w:r>
          </w:p>
        </w:tc>
        <w:tc>
          <w:tcPr>
            <w:tcW w:w="2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D82D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Datadog</w:t>
            </w:r>
          </w:p>
        </w:tc>
      </w:tr>
    </w:tbl>
    <w:p w14:paraId="7DFE59FA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2BB438AE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5.4 Architecture de l’anonymat</w:t>
      </w:r>
    </w:p>
    <w:p w14:paraId="56D74A9B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C’est la pièce maîtresse du projet. Pour qu’un étudiant ose noter honnêtement, l’anonymat doit être </w:t>
      </w:r>
      <w:r>
        <w:rPr>
          <w:rFonts w:hint="default" w:ascii="Palatino Linotype" w:hAnsi="Palatino Linotype" w:cs="Palatino Linotype"/>
          <w:b/>
          <w:bCs/>
        </w:rPr>
        <w:t>démontrable</w:t>
      </w:r>
      <w:r>
        <w:rPr>
          <w:rFonts w:hint="default" w:ascii="Palatino Linotype" w:hAnsi="Palatino Linotype" w:cs="Palatino Linotype"/>
        </w:rPr>
        <w:t xml:space="preserve"> et pas seulement promis. Il faut pourtant à la fois (a) savoir que l’étudiant est bien inscrit à l’UE, et (b) empêcher qu’il vote plusieurs fois. Ces deux contrôles exigent de connaître son identité ; la solution consiste à les réaliser </w:t>
      </w:r>
      <w:r>
        <w:rPr>
          <w:rFonts w:hint="default" w:ascii="Palatino Linotype" w:hAnsi="Palatino Linotype" w:cs="Palatino Linotype"/>
          <w:b/>
          <w:bCs/>
        </w:rPr>
        <w:t>avant</w:t>
      </w:r>
      <w:r>
        <w:rPr>
          <w:rFonts w:hint="default" w:ascii="Palatino Linotype" w:hAnsi="Palatino Linotype" w:cs="Palatino Linotype"/>
        </w:rPr>
        <w:t xml:space="preserve"> le dépôt de la réponse, puis à couper tout lien.</w:t>
      </w:r>
    </w:p>
    <w:p w14:paraId="1EDA94EC">
      <w:pPr>
        <w:keepNext/>
        <w:spacing w:before="120" w:after="80"/>
        <w:jc w:val="center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drawing>
          <wp:inline distT="0" distB="0" distL="0" distR="0">
            <wp:extent cx="5143500" cy="3867150"/>
            <wp:effectExtent l="0" t="0" r="0" b="0"/>
            <wp:docPr id="2" name="Figure 2 — Circuit de dépôt d’une évaluation (séparation identité / réponses)" descr="Schéma du circuit : authentification, vérification, émission d’un jeton sans identité, dépôt dans une urne séparée" title="Figure 2 — Circuit de dépôt d’une évaluation (séparation identité / répons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2 — Circuit de dépôt d’une évaluation (séparation identité / réponses)" descr="Schéma du circuit : authentification, vérification, émission d’un jeton sans identité, dépôt dans une urne séparée" title="Figure 2 — Circuit de dépôt d’une évaluation (séparation identité / réponses)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2ACE">
      <w:pPr>
        <w:spacing w:after="200"/>
        <w:jc w:val="center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i/>
          <w:iCs/>
          <w:color w:val="595959"/>
          <w:sz w:val="18"/>
          <w:szCs w:val="18"/>
        </w:rPr>
        <w:t>Figure 2 — Circuit de dépôt d’une évaluation (séparation identité / réponses)</w:t>
      </w:r>
    </w:p>
    <w:p w14:paraId="5E803FCB">
      <w:pPr>
        <w:pStyle w:val="4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Déroulement</w:t>
      </w:r>
    </w:p>
    <w:p w14:paraId="2FBFC73A">
      <w:pPr>
        <w:pStyle w:val="17"/>
        <w:numPr>
          <w:ilvl w:val="0"/>
          <w:numId w:val="2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Connexion</w:t>
      </w:r>
      <w:r>
        <w:rPr>
          <w:rFonts w:hint="default" w:ascii="Palatino Linotype" w:hAnsi="Palatino Linotype" w:cs="Palatino Linotype"/>
        </w:rPr>
        <w:t xml:space="preserve"> : l’étudiant s’authentifie avec son matricule et son mot de passe.</w:t>
      </w:r>
    </w:p>
    <w:p w14:paraId="347C1532">
      <w:pPr>
        <w:pStyle w:val="17"/>
        <w:numPr>
          <w:ilvl w:val="0"/>
          <w:numId w:val="2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Vérification d’éligibilité</w:t>
      </w:r>
      <w:r>
        <w:rPr>
          <w:rFonts w:hint="default" w:ascii="Palatino Linotype" w:hAnsi="Palatino Linotype" w:cs="Palatino Linotype"/>
        </w:rPr>
        <w:t xml:space="preserve"> : le serveur contrôle l’inscription à l’UE, l’ouverture de la campagne et l’absence de participation antérieure.</w:t>
      </w:r>
    </w:p>
    <w:p w14:paraId="7B7C86B2">
      <w:pPr>
        <w:pStyle w:val="17"/>
        <w:numPr>
          <w:ilvl w:val="0"/>
          <w:numId w:val="2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Émission du jeton</w:t>
      </w:r>
      <w:r>
        <w:rPr>
          <w:rFonts w:hint="default" w:ascii="Palatino Linotype" w:hAnsi="Palatino Linotype" w:cs="Palatino Linotype"/>
        </w:rPr>
        <w:t xml:space="preserve"> : le serveur écrit une ligne dans le </w:t>
      </w:r>
      <w:r>
        <w:rPr>
          <w:rFonts w:hint="default" w:ascii="Palatino Linotype" w:hAnsi="Palatino Linotype" w:cs="Palatino Linotype"/>
          <w:b/>
          <w:bCs/>
        </w:rPr>
        <w:t>registre de participation</w:t>
      </w:r>
      <w:r>
        <w:rPr>
          <w:rFonts w:hint="default" w:ascii="Palatino Linotype" w:hAnsi="Palatino Linotype" w:cs="Palatino Linotype"/>
        </w:rPr>
        <w:t xml:space="preserve"> (étudiant, UE, campagne, date sans heure), protégée par une contrainte d’unicité qui garantit un seul vote. Il remet à l’étudiant un jeton signé, valable 60 minutes, qui contient uniquement l’UE, la campagne et une valeur aléatoire, </w:t>
      </w:r>
      <w:r>
        <w:rPr>
          <w:rFonts w:hint="default" w:ascii="Palatino Linotype" w:hAnsi="Palatino Linotype" w:cs="Palatino Linotype"/>
          <w:b/>
          <w:bCs/>
        </w:rPr>
        <w:t>jamais l’identité</w:t>
      </w:r>
      <w:r>
        <w:rPr>
          <w:rFonts w:hint="default" w:ascii="Palatino Linotype" w:hAnsi="Palatino Linotype" w:cs="Palatino Linotype"/>
        </w:rPr>
        <w:t>.</w:t>
      </w:r>
    </w:p>
    <w:p w14:paraId="41F18D49">
      <w:pPr>
        <w:pStyle w:val="17"/>
        <w:numPr>
          <w:ilvl w:val="0"/>
          <w:numId w:val="2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Dépôt</w:t>
      </w:r>
      <w:r>
        <w:rPr>
          <w:rFonts w:hint="default" w:ascii="Palatino Linotype" w:hAnsi="Palatino Linotype" w:cs="Palatino Linotype"/>
        </w:rPr>
        <w:t xml:space="preserve"> : l’étudiant envoie ses réponses avec le jeton. Le serveur vérifie la signature, consomme le jeton (anti-rejeu) et écrit dans l’</w:t>
      </w:r>
      <w:r>
        <w:rPr>
          <w:rFonts w:hint="default" w:ascii="Palatino Linotype" w:hAnsi="Palatino Linotype" w:cs="Palatino Linotype"/>
          <w:b/>
          <w:bCs/>
        </w:rPr>
        <w:t>urne</w:t>
      </w:r>
      <w:r>
        <w:rPr>
          <w:rFonts w:hint="default" w:ascii="Palatino Linotype" w:hAnsi="Palatino Linotype" w:cs="Palatino Linotype"/>
        </w:rPr>
        <w:t xml:space="preserve"> sous un identifiant aléatoire, sans horodatage précis, sans adresse IP et sans lien avec l’étudiant.</w:t>
      </w:r>
    </w:p>
    <w:p w14:paraId="03BE751F">
      <w:pPr>
        <w:pStyle w:val="4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Garanties techniques</w:t>
      </w:r>
    </w:p>
    <w:p w14:paraId="751D08C0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Deux espaces de stockage étanches</w:t>
      </w:r>
      <w:r>
        <w:rPr>
          <w:rFonts w:hint="default" w:ascii="Palatino Linotype" w:hAnsi="Palatino Linotype" w:cs="Palatino Linotype"/>
        </w:rPr>
        <w:t xml:space="preserve"> : le registre de participation et l’urne ne partagent aucune clé étrangère ni identifiant commun.</w:t>
      </w:r>
    </w:p>
    <w:p w14:paraId="3F8268BE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Rôles de base de données distincts</w:t>
      </w:r>
      <w:r>
        <w:rPr>
          <w:rFonts w:hint="default" w:ascii="Palatino Linotype" w:hAnsi="Palatino Linotype" w:cs="Palatino Linotype"/>
        </w:rPr>
        <w:t xml:space="preserve"> : le service qui écrit dans l’urne n’a aucun droit de lecture sur le registre, et inversement.</w:t>
      </w:r>
    </w:p>
    <w:p w14:paraId="66AD85C3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Aucune donnée corrélable dans l’urne</w:t>
      </w:r>
      <w:r>
        <w:rPr>
          <w:rFonts w:hint="default" w:ascii="Palatino Linotype" w:hAnsi="Palatino Linotype" w:cs="Palatino Linotype"/>
        </w:rPr>
        <w:t xml:space="preserve"> : identifiants aléatoires (UUID v4, non séquentiels), pas de date-heure fine, pas d’IP.</w:t>
      </w:r>
    </w:p>
    <w:p w14:paraId="1BCF96FD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Journaux d’accès purgés</w:t>
      </w:r>
      <w:r>
        <w:rPr>
          <w:rFonts w:hint="default" w:ascii="Palatino Linotype" w:hAnsi="Palatino Linotype" w:cs="Palatino Linotype"/>
        </w:rPr>
        <w:t xml:space="preserve"> sur le point d’entrée de dépôt (ni IP, ni jeton, ni corps de requête).</w:t>
      </w:r>
    </w:p>
    <w:p w14:paraId="5394A5C8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Anti-rejeu</w:t>
      </w:r>
      <w:r>
        <w:rPr>
          <w:rFonts w:hint="default" w:ascii="Palatino Linotype" w:hAnsi="Palatino Linotype" w:cs="Palatino Linotype"/>
        </w:rPr>
        <w:t xml:space="preserve"> : le jeton ne peut servir qu’une fois (Redis avec expiration), en plus de la contrainte du registre.</w:t>
      </w:r>
    </w:p>
    <w:p w14:paraId="1D8F0340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Résultats uniquement agrégés</w:t>
      </w:r>
      <w:r>
        <w:rPr>
          <w:rFonts w:hint="default" w:ascii="Palatino Linotype" w:hAnsi="Palatino Linotype" w:cs="Palatino Linotype"/>
        </w:rPr>
        <w:t xml:space="preserve"> : l’API ne renvoie jamais une réponse individuelle, seulement des moyennes, distributions et commentaires mélangés.</w:t>
      </w:r>
    </w:p>
    <w:p w14:paraId="27BE9EC6">
      <w:pPr>
        <w:pStyle w:val="4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Limites reconnues et mesures complémentaires</w:t>
      </w:r>
    </w:p>
    <w:p w14:paraId="0AED593E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Aucune architecture ne peut protéger absolument contre une personne disposant de tous les accès techniques et capable de recouper plusieurs sources. Les risques résiduels sont donc identifiés et réduits.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6306"/>
      </w:tblGrid>
      <w:tr w14:paraId="796EE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3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27B9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Risque résiduel</w:t>
            </w:r>
          </w:p>
        </w:tc>
        <w:tc>
          <w:tcPr>
            <w:tcW w:w="6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B1A4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Mesure</w:t>
            </w:r>
          </w:p>
        </w:tc>
      </w:tr>
      <w:tr w14:paraId="70D0B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824E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Corrélation temporelle entre l’émission du jeton et le dépôt</w:t>
            </w:r>
          </w:p>
        </w:tc>
        <w:tc>
          <w:tcPr>
            <w:tcW w:w="6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B0B3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Pas d’horodatage fin dans l’urne ; délai non journalisé ; nombreux dépôts simultanés en période de pointe</w:t>
            </w:r>
          </w:p>
        </w:tc>
      </w:tr>
      <w:tr w14:paraId="1C76B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6B49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Petites promotions (peu de répondants)</w:t>
            </w:r>
          </w:p>
        </w:tc>
        <w:tc>
          <w:tcPr>
            <w:tcW w:w="6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563E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Seuil de 5 répondants avant affichage ; regroupement ou masquage des UE à très faible effectif</w:t>
            </w:r>
          </w:p>
        </w:tc>
      </w:tr>
      <w:tr w14:paraId="2DD12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461D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Identification par le style des commentaires libres</w:t>
            </w:r>
          </w:p>
        </w:tc>
        <w:tc>
          <w:tcPr>
            <w:tcW w:w="6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B387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Avertissement à l’étudiant, modération, affichage aléatoire, publication après clôture</w:t>
            </w:r>
          </w:p>
        </w:tc>
      </w:tr>
      <w:tr w14:paraId="1FCC9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EAE8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Accès d’un administrateur à la base de données</w:t>
            </w:r>
          </w:p>
        </w:tc>
        <w:tc>
          <w:tcPr>
            <w:tcW w:w="6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1B22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Rôles distincts, journal d’audit des accès, sauvegardes chiffrées, procédure à double autorisation pour tout accès direct</w:t>
            </w:r>
          </w:p>
        </w:tc>
      </w:tr>
      <w:tr w14:paraId="2C438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A0DC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Vote multiple ou rejeu</w:t>
            </w:r>
          </w:p>
        </w:tc>
        <w:tc>
          <w:tcPr>
            <w:tcW w:w="6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3825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Contrainte d’unicité du registre + jeton à usage unique signé et expirant</w:t>
            </w:r>
          </w:p>
        </w:tc>
      </w:tr>
      <w:tr w14:paraId="05CDC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A4B4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Divulgation des résultats détaillés avant clôture</w:t>
            </w:r>
          </w:p>
        </w:tc>
        <w:tc>
          <w:tcPr>
            <w:tcW w:w="6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05F6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Résultats inaccessibles tant que la campagne est ouverte</w:t>
            </w:r>
          </w:p>
        </w:tc>
      </w:tr>
    </w:tbl>
    <w:p w14:paraId="45A41709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794D3825">
      <w:pPr>
        <w:pStyle w:val="4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Variante renforcée (option)</w:t>
      </w:r>
    </w:p>
    <w:p w14:paraId="22042BE2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Si l’ENP souhaite un anonymat encore plus visible pour les étudiants, une variante consiste à remplacer l’étape de connexion par des </w:t>
      </w:r>
      <w:r>
        <w:rPr>
          <w:rFonts w:hint="default" w:ascii="Palatino Linotype" w:hAnsi="Palatino Linotype" w:cs="Palatino Linotype"/>
          <w:b/>
          <w:bCs/>
        </w:rPr>
        <w:t>codes d’accès à usage unique</w:t>
      </w:r>
      <w:r>
        <w:rPr>
          <w:rFonts w:hint="default" w:ascii="Palatino Linotype" w:hAnsi="Palatino Linotype" w:cs="Palatino Linotype"/>
        </w:rPr>
        <w:t xml:space="preserve"> générés par UE et distribués en séance par la Scolarité. Le serveur ne connaît alors jamais l’identité du votant. Contrepartie : moins de contrôle sur l’éligibilité et le taux de participation, et logistique de distribution des codes. La variante principale (jeton après connexion) est recommandée ; le choix final est à valider (section 11).</w:t>
      </w:r>
    </w:p>
    <w:p w14:paraId="55817AA1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5.5 Modèle de données</w:t>
      </w:r>
    </w:p>
    <w:p w14:paraId="115290E5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La base PostgreSQL est organisée en </w:t>
      </w:r>
      <w:r>
        <w:rPr>
          <w:rFonts w:hint="default" w:ascii="Palatino Linotype" w:hAnsi="Palatino Linotype" w:cs="Palatino Linotype"/>
          <w:b/>
          <w:bCs/>
        </w:rPr>
        <w:t>schémas</w:t>
      </w:r>
      <w:r>
        <w:rPr>
          <w:rFonts w:hint="default" w:ascii="Palatino Linotype" w:hAnsi="Palatino Linotype" w:cs="Palatino Linotype"/>
        </w:rPr>
        <w:t xml:space="preserve"> correspondant aux modules. Le schéma </w:t>
      </w:r>
      <w:r>
        <w:rPr>
          <w:rFonts w:hint="default" w:ascii="Palatino Linotype" w:hAnsi="Palatino Linotype" w:eastAsia="Consolas" w:cs="Palatino Linotype"/>
          <w:color w:val="2E5395"/>
          <w:sz w:val="19"/>
          <w:szCs w:val="19"/>
        </w:rPr>
        <w:t>ballot</w:t>
      </w:r>
      <w:r>
        <w:rPr>
          <w:rFonts w:hint="default" w:ascii="Palatino Linotype" w:hAnsi="Palatino Linotype" w:cs="Palatino Linotype"/>
        </w:rPr>
        <w:t xml:space="preserve"> (urne) est isolé et accessible par un rôle de base de données dédié.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048"/>
        <w:gridCol w:w="3679"/>
        <w:gridCol w:w="2879"/>
      </w:tblGrid>
      <w:tr w14:paraId="7BF4A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CF4E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Schéma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79A2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Entité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7EB5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Attributs principaux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8353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Relations / remarques</w:t>
            </w:r>
          </w:p>
        </w:tc>
      </w:tr>
      <w:tr w14:paraId="1E8CE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76F6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identity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A03E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users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9B19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id, matricule, email, mot_de_passe_hash, nom, prénom, actif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4382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Un utilisateur, plusieurs rôles</w:t>
            </w:r>
          </w:p>
        </w:tc>
      </w:tr>
      <w:tr w14:paraId="72274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10F0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identity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D9CA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user_roles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EE8D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user_id, rôle, périmètre (département, classe), début, fin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8BF2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Rôles : étudiant, délégué, enseignant, chef, scolarité, admin</w:t>
            </w:r>
          </w:p>
        </w:tc>
      </w:tr>
      <w:tr w14:paraId="5CE03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F9F7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academic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4A28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campuses, departments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AEB3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id, nom, code, campus_id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DD11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Un campus compte plusieurs départements</w:t>
            </w:r>
          </w:p>
        </w:tc>
      </w:tr>
      <w:tr w14:paraId="06FE0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9E90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academic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CE1D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programs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5277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id, nom (cycle), department_id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C4D5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Cycle Préparatoire, Ingénieur, Master…</w:t>
            </w:r>
          </w:p>
        </w:tc>
      </w:tr>
      <w:tr w14:paraId="58990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8C36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academic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64DB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academic_years, semesters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26F3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id, libellé, début, fin, rang (S1 à S10)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3E80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Semestre rattaché à une année universitaire</w:t>
            </w:r>
          </w:p>
        </w:tc>
      </w:tr>
      <w:tr w14:paraId="6312E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1619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academic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DF48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courses (UE)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4F21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id, code, intitulé, crédits, program_id, semester_id, heures CM/TD/TP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73C6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Code unique par année</w:t>
            </w:r>
          </w:p>
        </w:tc>
      </w:tr>
      <w:tr w14:paraId="5082C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66C9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academic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C527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course_assignments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915C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course_id, teacher_id, année, rôle (responsable / intervenant)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4C45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Identification de l’enseignant par la Scolarité</w:t>
            </w:r>
          </w:p>
        </w:tc>
      </w:tr>
      <w:tr w14:paraId="5D3B9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9994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academic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31DD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enrollments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9795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student_id, course_id, année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98FA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Condition d’éligibilité à l’évaluation</w:t>
            </w:r>
          </w:p>
        </w:tc>
      </w:tr>
      <w:tr w14:paraId="24121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EE43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academic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F772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class_groups, delegates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3652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id, program_id, semester_id ; delegate_id, suppléant_id, début, fin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4EA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Délégué et suppléant par classe</w:t>
            </w:r>
          </w:p>
        </w:tc>
      </w:tr>
      <w:tr w14:paraId="32259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4F3E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evaluation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ED12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questionnaire_versions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354A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id, libellé, date de validité, actif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9E4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Versionnement du questionnaire</w:t>
            </w:r>
          </w:p>
        </w:tc>
      </w:tr>
      <w:tr w14:paraId="3F572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7DF3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evaluation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963B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sections, criteria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C86C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id, code (A à E, A1…), libellé, ordre, version_id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47C5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19 critères initiaux (Annexe A)</w:t>
            </w:r>
          </w:p>
        </w:tc>
      </w:tr>
      <w:tr w14:paraId="4E1EB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D5A9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evaluation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0782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campaigns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3476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id, department_id, semester_id, début, fin, statut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A08E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Ouverte, close, restituée</w:t>
            </w:r>
          </w:p>
        </w:tc>
      </w:tr>
      <w:tr w14:paraId="19533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BE1B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evaluation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2017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participation_ledger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38B8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campaign_id, course_id, student_id, jour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AC27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UNIQUE (campaign, course, student). Aucun lien avec l’urne</w:t>
            </w:r>
          </w:p>
        </w:tc>
      </w:tr>
      <w:tr w14:paraId="3B9BE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21A2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ballot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B0ED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ballots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9D85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id (UUID aléatoire), campaign_id, course_id, version_id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1B21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Aucune référence à l’étudiant, aucun horodatage fin</w:t>
            </w:r>
          </w:p>
        </w:tc>
      </w:tr>
      <w:tr w14:paraId="05EC6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6F01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ballot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0BA0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ballot_answers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11DA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ballot_id, criterion_id, valeur (1 à 5, vide = sans avis)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239C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Une ligne par critère</w:t>
            </w:r>
          </w:p>
        </w:tc>
      </w:tr>
      <w:tr w14:paraId="2A242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00E4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ballot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8B85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ballot_comments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498A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ballot_id, type (point fort / amélioration), texte, statut de modération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3C6D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Modération par la Scolarité</w:t>
            </w:r>
          </w:p>
        </w:tc>
      </w:tr>
      <w:tr w14:paraId="0BBAE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95B9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evaluation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0699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results_by_course (vue matérialisée)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A592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course_id, campaign_id, moyennes A à E, effectif, distributions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823E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Calculée à la clôture ; seule source des écrans de résultats</w:t>
            </w:r>
          </w:p>
        </w:tc>
      </w:tr>
      <w:tr w14:paraId="67821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DF9A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evaluation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4EA6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followups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38B1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campaign_id, UE concernée, action, responsable, échéance, statut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E554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Suites données, restituées aux étudiants</w:t>
            </w:r>
          </w:p>
        </w:tc>
      </w:tr>
      <w:tr w14:paraId="5D8D4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E5A0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logbook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9D69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sessions_log (séances)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E39A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id, class_group_id, course_id, teacher_id, date, début, fin, type, statut, intitulé, contenu, travail à faire, saisi par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43E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Une entrée par séance</w:t>
            </w:r>
          </w:p>
        </w:tc>
      </w:tr>
      <w:tr w14:paraId="4BDDC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DD34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logbook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073F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session_revisions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68B9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session_id, version, contenu, auteur, date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6563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Historique après visa</w:t>
            </w:r>
          </w:p>
        </w:tc>
      </w:tr>
      <w:tr w14:paraId="59C79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A105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logbook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FA1F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session_visas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D546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session_id, enseignant_id, statut (en attente, visé, contesté), commentaire, date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21F5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Un visa par entrée et par enseignant</w:t>
            </w:r>
          </w:p>
        </w:tc>
      </w:tr>
      <w:tr w14:paraId="30FC9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26D1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logbook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A02B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attachments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505F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session_id, nom, type, taille, chemin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021E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Option, 5 Mo maximum</w:t>
            </w:r>
          </w:p>
        </w:tc>
      </w:tr>
      <w:tr w14:paraId="7C87F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7E18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system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AA53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audit_log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971D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id, date, utilisateur, action, objet, adresse IP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E4CE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Aucune écriture pour les dépôts d’urne</w:t>
            </w:r>
          </w:p>
        </w:tc>
      </w:tr>
      <w:tr w14:paraId="22B7E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A23A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system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D704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notifications, settings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AC76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destinataire, type, état ; clé, valeur</w:t>
            </w:r>
          </w:p>
        </w:tc>
        <w:tc>
          <w:tcPr>
            <w:tcW w:w="2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61E8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Paramétrage du seuil, des délais, des durées</w:t>
            </w:r>
          </w:p>
        </w:tc>
      </w:tr>
    </w:tbl>
    <w:p w14:paraId="490F7CF1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6D0E9C6B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5.6 Interface de programmation (API)</w:t>
      </w:r>
    </w:p>
    <w:p w14:paraId="3275B9F3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L’API suit le style REST sous le préfixe </w:t>
      </w:r>
      <w:r>
        <w:rPr>
          <w:rFonts w:hint="default" w:ascii="Palatino Linotype" w:hAnsi="Palatino Linotype" w:eastAsia="Consolas" w:cs="Palatino Linotype"/>
          <w:color w:val="2E5395"/>
          <w:sz w:val="19"/>
          <w:szCs w:val="19"/>
        </w:rPr>
        <w:t>/api/v1</w:t>
      </w:r>
      <w:r>
        <w:rPr>
          <w:rFonts w:hint="default" w:ascii="Palatino Linotype" w:hAnsi="Palatino Linotype" w:cs="Palatino Linotype"/>
        </w:rPr>
        <w:t>. Les échanges sont en JSON, les listes sont paginées, les erreurs suivent un format unique (</w:t>
      </w:r>
      <w:r>
        <w:rPr>
          <w:rFonts w:hint="default" w:ascii="Palatino Linotype" w:hAnsi="Palatino Linotype" w:eastAsia="Consolas" w:cs="Palatino Linotype"/>
          <w:color w:val="2E5395"/>
          <w:sz w:val="19"/>
          <w:szCs w:val="19"/>
        </w:rPr>
        <w:t>{ "erreur": { "code": "...", "message": "..." } }</w:t>
      </w:r>
      <w:r>
        <w:rPr>
          <w:rFonts w:hint="default" w:ascii="Palatino Linotype" w:hAnsi="Palatino Linotype" w:cs="Palatino Linotype"/>
        </w:rPr>
        <w:t>). La documentation OpenAPI est générée automatiquement. Chaque route vérifie le rôle et le périmètre de l’utilisateur côté serveur.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3100"/>
        <w:gridCol w:w="2300"/>
        <w:gridCol w:w="3306"/>
      </w:tblGrid>
      <w:tr w14:paraId="429A5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F45D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Méthode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3781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752E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A75D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33736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69E2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F5BD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/auth/login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B28E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Public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2ADB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Connexion, retourne le jeton d’accès</w:t>
            </w:r>
          </w:p>
        </w:tc>
      </w:tr>
      <w:tr w14:paraId="63738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EEAE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851E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/auth/refresh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7434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Connecté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655D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Renouvelle le jeton d’accès</w:t>
            </w:r>
          </w:p>
        </w:tc>
      </w:tr>
      <w:tr w14:paraId="42144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9C75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9916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/auth/password/reset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FAF2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Public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FCEB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Demande de réinitialisation</w:t>
            </w:r>
          </w:p>
        </w:tc>
      </w:tr>
      <w:tr w14:paraId="2F72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246D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A6BA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/me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5D11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Connecté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C302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Profil, rôles, profil actif</w:t>
            </w:r>
          </w:p>
        </w:tc>
      </w:tr>
      <w:tr w14:paraId="54FE0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5942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2F02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/evaluations/pending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6572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Étudiant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4FF6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UE à évaluer et leur état</w:t>
            </w:r>
          </w:p>
        </w:tc>
      </w:tr>
      <w:tr w14:paraId="5CEFE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D617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80C4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/evaluations/{courseId}/token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406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Étudiant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E4B8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Contrôle l’éligibilité, inscrit la participation, remet le jeton</w:t>
            </w:r>
          </w:p>
        </w:tc>
      </w:tr>
      <w:tr w14:paraId="1EE7B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BB0C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5BC5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/evaluations/questionnaire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FAA7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Étudiant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863B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Questionnaire de la campagne (version active)</w:t>
            </w:r>
          </w:p>
        </w:tc>
      </w:tr>
      <w:tr w14:paraId="59639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764E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C27C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/ballots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AB3A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Jeton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EAE0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Dépose le questionnaire dans l’urne (sans identité)</w:t>
            </w:r>
          </w:p>
        </w:tc>
      </w:tr>
      <w:tr w14:paraId="260A3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7575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502D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/logbook/sessions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080F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Délégué, Enseignant, Chef, Scolarité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9C32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Liste filtrée des séances</w:t>
            </w:r>
          </w:p>
        </w:tc>
      </w:tr>
      <w:tr w14:paraId="5C523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E5DD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AEE9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/logbook/sessions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D0E8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Délégué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290D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Crée une séance</w:t>
            </w:r>
          </w:p>
        </w:tc>
      </w:tr>
      <w:tr w14:paraId="0CFF2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7A32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PATCH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8D07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/logbook/sessions/{id}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8DD6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Délégué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31E7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Modifie une séance non visée</w:t>
            </w:r>
          </w:p>
        </w:tc>
      </w:tr>
      <w:tr w14:paraId="6EEEC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B9AB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9C64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/logbook/sessions/{id}/visa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3E11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Enseignant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2218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Vise ou conteste la séance</w:t>
            </w:r>
          </w:p>
        </w:tc>
      </w:tr>
      <w:tr w14:paraId="2AAD0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F5B3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6EC4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/logbook/courses/{id}/progress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84A5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Enseignant, Chef, Scolarité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7F78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Volume horaire effectué et prévu</w:t>
            </w:r>
          </w:p>
        </w:tc>
      </w:tr>
      <w:tr w14:paraId="15B5C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4C51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A0DE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/results/courses/{id}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9994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Enseignant, Chef, Scolarité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DA0E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Résultats d’une UE (si campagne close et seuil atteint)</w:t>
            </w:r>
          </w:p>
        </w:tc>
      </w:tr>
      <w:tr w14:paraId="1081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464E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F403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/results/courses/{id}/comments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A02C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Enseignant, Chef, Scolarité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C3E0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Commentaires modérés, ordre aléatoire</w:t>
            </w:r>
          </w:p>
        </w:tc>
      </w:tr>
      <w:tr w14:paraId="54E01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13AB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A456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/results/teachers/me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754F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Enseignant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11BA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Résultats de toutes ses UE</w:t>
            </w:r>
          </w:p>
        </w:tc>
      </w:tr>
      <w:tr w14:paraId="73966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9FD3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8B37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/campaigns/{id}/participation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F674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Chef, Scolarité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98C5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Taux de participation agrégés</w:t>
            </w:r>
          </w:p>
        </w:tc>
      </w:tr>
      <w:tr w14:paraId="3CD8A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84DA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B2D1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/campaigns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043C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Scolarité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4BEE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Crée une campagne</w:t>
            </w:r>
          </w:p>
        </w:tc>
      </w:tr>
      <w:tr w14:paraId="0CE83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5583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7F78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/campaigns/{id}/close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D21A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Scolarité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72A1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Clôture et calcule les résultats</w:t>
            </w:r>
          </w:p>
        </w:tc>
      </w:tr>
      <w:tr w14:paraId="70D66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46D7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3284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/campaigns/{id}/summary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B31D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Chef, Scolarité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0A57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Grille de synthèse du semestre</w:t>
            </w:r>
          </w:p>
        </w:tc>
      </w:tr>
      <w:tr w14:paraId="111AD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6BB3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3C48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/campaigns/{id}/followups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55D5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Chef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D38A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Enregistre les suites données</w:t>
            </w:r>
          </w:p>
        </w:tc>
      </w:tr>
      <w:tr w14:paraId="2CCBA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0D5C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702D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/campaigns/{id}/restitution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B0E9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Scolarité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26B0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Publie la restitution aux étudiants</w:t>
            </w:r>
          </w:p>
        </w:tc>
      </w:tr>
      <w:tr w14:paraId="6409E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F452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PATCH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18A8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/moderation/comments/{id}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757B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Scolarité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0B02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Masque ou valide un commentaire</w:t>
            </w:r>
          </w:p>
        </w:tc>
      </w:tr>
      <w:tr w14:paraId="05647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99BD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DE2A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/imports/{type}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F0FA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Scolarité, Admin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340F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 CSV (utilisateurs, UE, inscriptions)</w:t>
            </w:r>
          </w:p>
        </w:tc>
      </w:tr>
      <w:tr w14:paraId="13E7E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5175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321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/exports/{type}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8F3E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Selon rôle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AB52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Exports PDF, Excel, Word</w:t>
            </w:r>
          </w:p>
        </w:tc>
      </w:tr>
      <w:tr w14:paraId="669D1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E0E3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8E10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/audit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2078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Admin</w:t>
            </w:r>
          </w:p>
        </w:tc>
        <w:tc>
          <w:tcPr>
            <w:tcW w:w="33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6E3D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Consultation du journal d’audit</w:t>
            </w:r>
          </w:p>
        </w:tc>
      </w:tr>
    </w:tbl>
    <w:p w14:paraId="22C685DB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1A641FA1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5.7 Sécurité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506"/>
      </w:tblGrid>
      <w:tr w14:paraId="561F4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E9DF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Menace</w:t>
            </w:r>
          </w:p>
        </w:tc>
        <w:tc>
          <w:tcPr>
            <w:tcW w:w="6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9E9E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Mesure</w:t>
            </w:r>
          </w:p>
        </w:tc>
      </w:tr>
      <w:tr w14:paraId="4B213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7E72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Interception des échanges</w:t>
            </w:r>
          </w:p>
        </w:tc>
        <w:tc>
          <w:tcPr>
            <w:tcW w:w="6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B403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HTTPS obligatoire (TLS), en-tête HSTS, redirection du port 80 vers 443</w:t>
            </w:r>
          </w:p>
        </w:tc>
      </w:tr>
      <w:tr w14:paraId="3F65C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134E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Vol ou devinette de mot de passe</w:t>
            </w:r>
          </w:p>
        </w:tc>
        <w:tc>
          <w:tcPr>
            <w:tcW w:w="6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270E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Hachage argon2id, politique de mot de passe, limitation d’essais, double authentification pour les rôles sensibles</w:t>
            </w:r>
          </w:p>
        </w:tc>
      </w:tr>
      <w:tr w14:paraId="2E94E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EC84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Accès à des données d’autrui (IDOR)</w:t>
            </w:r>
          </w:p>
        </w:tc>
        <w:tc>
          <w:tcPr>
            <w:tcW w:w="6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8313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Contrôle du rôle et du périmètre à chaque requête côté serveur, tests dédiés</w:t>
            </w:r>
          </w:p>
        </w:tc>
      </w:tr>
      <w:tr w14:paraId="1D2A9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4FB7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Injection SQL</w:t>
            </w:r>
          </w:p>
        </w:tc>
        <w:tc>
          <w:tcPr>
            <w:tcW w:w="6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0B58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Requêtes paramétrées via l’ORM, validation stricte des entrées</w:t>
            </w:r>
          </w:p>
        </w:tc>
      </w:tr>
      <w:tr w14:paraId="4BC0F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6122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Cross-Site Scripting (XSS)</w:t>
            </w:r>
          </w:p>
        </w:tc>
        <w:tc>
          <w:tcPr>
            <w:tcW w:w="6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4132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Échappement par défaut, politique CSP, nettoyage des commentaires libres</w:t>
            </w:r>
          </w:p>
        </w:tc>
      </w:tr>
      <w:tr w14:paraId="3A5CF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90E0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CSRF</w:t>
            </w:r>
          </w:p>
        </w:tc>
        <w:tc>
          <w:tcPr>
            <w:tcW w:w="6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56C4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Cookies SameSite, jetons anti-CSRF sur les routes à cookie</w:t>
            </w:r>
          </w:p>
        </w:tc>
      </w:tr>
      <w:tr w14:paraId="19FF2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DC83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Déni de service, automates</w:t>
            </w:r>
          </w:p>
        </w:tc>
        <w:tc>
          <w:tcPr>
            <w:tcW w:w="6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C535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Limitation de débit (Nginx et application), CAPTCHA discret en option sur la connexion</w:t>
            </w:r>
          </w:p>
        </w:tc>
      </w:tr>
      <w:tr w14:paraId="1E203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96CB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Fuite de secrets</w:t>
            </w:r>
          </w:p>
        </w:tc>
        <w:tc>
          <w:tcPr>
            <w:tcW w:w="6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4E8A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Variables d’environnement, gestionnaire de secrets, aucun secret dans Git</w:t>
            </w:r>
          </w:p>
        </w:tc>
      </w:tr>
      <w:tr w14:paraId="75C46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7DCB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Dépendances vulnérables</w:t>
            </w:r>
          </w:p>
        </w:tc>
        <w:tc>
          <w:tcPr>
            <w:tcW w:w="6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C914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Audit automatique (npm audit, Dependabot) et mises à jour régulières</w:t>
            </w:r>
          </w:p>
        </w:tc>
      </w:tr>
      <w:tr w14:paraId="6F6FE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4976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Perte de données</w:t>
            </w:r>
          </w:p>
        </w:tc>
        <w:tc>
          <w:tcPr>
            <w:tcW w:w="6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7E25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Sauvegardes quotidiennes chiffrées, copie hors site, test de restauration mensuel</w:t>
            </w:r>
          </w:p>
        </w:tc>
      </w:tr>
      <w:tr w14:paraId="134C3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2C62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Compromission du serveur</w:t>
            </w:r>
          </w:p>
        </w:tc>
        <w:tc>
          <w:tcPr>
            <w:tcW w:w="6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976C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Pare-feu, accès SSH par clé et restreint, mises à jour automatiques, utilisateur non-root, conteneurs en moindre privilège</w:t>
            </w:r>
          </w:p>
        </w:tc>
      </w:tr>
      <w:tr w14:paraId="357EB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DBEB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Abus interne</w:t>
            </w:r>
          </w:p>
        </w:tc>
        <w:tc>
          <w:tcPr>
            <w:tcW w:w="6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202A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Journal d’audit, séparation des rôles, revue périodique des accès</w:t>
            </w:r>
          </w:p>
        </w:tc>
      </w:tr>
    </w:tbl>
    <w:p w14:paraId="15A5436C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63FDB52B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5.8 Infrastructure et déploiement</w:t>
      </w:r>
    </w:p>
    <w:p w14:paraId="5938C507">
      <w:pPr>
        <w:pStyle w:val="4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Environnements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5206"/>
        <w:gridCol w:w="2300"/>
      </w:tblGrid>
      <w:tr w14:paraId="30944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1F84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Environnement</w:t>
            </w:r>
          </w:p>
        </w:tc>
        <w:tc>
          <w:tcPr>
            <w:tcW w:w="5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7031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Usage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1372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Données</w:t>
            </w:r>
          </w:p>
        </w:tc>
      </w:tr>
      <w:tr w14:paraId="401EF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9F23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Local</w:t>
            </w:r>
          </w:p>
        </w:tc>
        <w:tc>
          <w:tcPr>
            <w:tcW w:w="5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FBC5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Développement sur le poste des développeurs (Docker Compose)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1469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Données fictives</w:t>
            </w:r>
          </w:p>
        </w:tc>
      </w:tr>
      <w:tr w14:paraId="76024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B147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Recette (staging)</w:t>
            </w:r>
          </w:p>
        </w:tc>
        <w:tc>
          <w:tcPr>
            <w:tcW w:w="5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7935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Validation par la Scolarité et un groupe pilote avant mise en production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960C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Données de test ou anonymisées</w:t>
            </w:r>
          </w:p>
        </w:tc>
      </w:tr>
      <w:tr w14:paraId="41A61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91B9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Production</w:t>
            </w:r>
          </w:p>
        </w:tc>
        <w:tc>
          <w:tcPr>
            <w:tcW w:w="5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1CF9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Utilisation réelle par l’ENP</w:t>
            </w:r>
          </w:p>
        </w:tc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F946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Données réelles, sauvegardées</w:t>
            </w:r>
          </w:p>
        </w:tc>
      </w:tr>
    </w:tbl>
    <w:p w14:paraId="33F90C3F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7030C576">
      <w:pPr>
        <w:pStyle w:val="4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Options d’hébergement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500"/>
        <w:gridCol w:w="3406"/>
      </w:tblGrid>
      <w:tr w14:paraId="57A3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F5CC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F6DD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Avantages</w:t>
            </w:r>
          </w:p>
        </w:tc>
        <w:tc>
          <w:tcPr>
            <w:tcW w:w="3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CF72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Inconvénients</w:t>
            </w:r>
          </w:p>
        </w:tc>
      </w:tr>
      <w:tr w14:paraId="5EA7D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7535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Serveur de l’ENP (sur site)</w:t>
            </w:r>
          </w:p>
        </w:tc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04B5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Données sous contrôle direct, pas de coût récurrent d’hébergement</w:t>
            </w:r>
          </w:p>
        </w:tc>
        <w:tc>
          <w:tcPr>
            <w:tcW w:w="3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F041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Électricité, connectivité, sauvegardes et sécurité à la charge de l’ENP</w:t>
            </w:r>
          </w:p>
        </w:tc>
      </w:tr>
      <w:tr w14:paraId="1CF07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68B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VPS chez un hébergeur (recommandé au démarrage)</w:t>
            </w:r>
          </w:p>
        </w:tc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F4D1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Mise en œuvre rapide, coût maîtrisé, bonne disponibilité, sauvegardes externes faciles</w:t>
            </w:r>
          </w:p>
        </w:tc>
        <w:tc>
          <w:tcPr>
            <w:tcW w:w="3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963C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Données hors site ; localisation du datacenter à valider avec la réglementation</w:t>
            </w:r>
          </w:p>
        </w:tc>
      </w:tr>
      <w:tr w14:paraId="08EA0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8B71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Hébergement hybride</w:t>
            </w:r>
          </w:p>
        </w:tc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D17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Application hébergée, sauvegardes copiées sur un serveur de l’ENP</w:t>
            </w:r>
          </w:p>
        </w:tc>
        <w:tc>
          <w:tcPr>
            <w:tcW w:w="3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D28A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Plus de configuration</w:t>
            </w:r>
          </w:p>
        </w:tc>
      </w:tr>
    </w:tbl>
    <w:p w14:paraId="48FC4A58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0AF923BB">
      <w:pPr>
        <w:pStyle w:val="4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Dimensionnement initial et hypothèses</w:t>
      </w:r>
    </w:p>
    <w:p w14:paraId="44FCF4EA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Hypothèses à confirmer : environ 2 000 étudiants, 8 UE par semestre, soit près de 16 000 questionnaires par semestre ; environ 150 UE avec 15 séances saisies par UE, soit près de 2 300 entrées de cahier de texte par semestre. La charge est faible en moyenne, avec un </w:t>
      </w:r>
      <w:r>
        <w:rPr>
          <w:rFonts w:hint="default" w:ascii="Palatino Linotype" w:hAnsi="Palatino Linotype" w:cs="Palatino Linotype"/>
          <w:b/>
          <w:bCs/>
        </w:rPr>
        <w:t>pic en fin de campagne</w:t>
      </w:r>
      <w:r>
        <w:rPr>
          <w:rFonts w:hint="default" w:ascii="Palatino Linotype" w:hAnsi="Palatino Linotype" w:cs="Palatino Linotype"/>
        </w:rPr>
        <w:t xml:space="preserve"> (jusqu’à plusieurs centaines d’utilisateurs simultanés).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706"/>
      </w:tblGrid>
      <w:tr w14:paraId="365F5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7EA1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Ressource</w:t>
            </w:r>
          </w:p>
        </w:tc>
        <w:tc>
          <w:tcPr>
            <w:tcW w:w="6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D218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Dimensionnement de départ</w:t>
            </w:r>
          </w:p>
        </w:tc>
      </w:tr>
      <w:tr w14:paraId="03543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37DD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Serveur applicatif et base</w:t>
            </w:r>
          </w:p>
        </w:tc>
        <w:tc>
          <w:tcPr>
            <w:tcW w:w="6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2389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2 à 4 vCPU, 4 à 8 Go de RAM, 60 Go SSD</w:t>
            </w:r>
          </w:p>
        </w:tc>
      </w:tr>
      <w:tr w14:paraId="6B46E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A497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Réseau</w:t>
            </w:r>
          </w:p>
        </w:tc>
        <w:tc>
          <w:tcPr>
            <w:tcW w:w="6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1D49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Adresse IP publique fixe, nom de domaine (par exemple evaluation.enp…), HTTPS</w:t>
            </w:r>
          </w:p>
        </w:tc>
      </w:tr>
      <w:tr w14:paraId="1ED9E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E131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Montée en charge</w:t>
            </w:r>
          </w:p>
        </w:tc>
        <w:tc>
          <w:tcPr>
            <w:tcW w:w="6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2CF1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Augmentation de la machine ; séparation base / application si nécessaire</w:t>
            </w:r>
          </w:p>
        </w:tc>
      </w:tr>
    </w:tbl>
    <w:p w14:paraId="0BD1A739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7ECB576B">
      <w:pPr>
        <w:pStyle w:val="4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Ports et exposition réseau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500"/>
        <w:gridCol w:w="2800"/>
        <w:gridCol w:w="2706"/>
      </w:tblGrid>
      <w:tr w14:paraId="31F2F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9A57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2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1102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4783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Exposition</w:t>
            </w:r>
          </w:p>
        </w:tc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D8F9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Remarque</w:t>
            </w:r>
          </w:p>
        </w:tc>
      </w:tr>
      <w:tr w14:paraId="3C988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FAFF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443 (TCP)</w:t>
            </w:r>
          </w:p>
        </w:tc>
        <w:tc>
          <w:tcPr>
            <w:tcW w:w="2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C046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HTTPS — Nginx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754F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Public</w:t>
            </w:r>
          </w:p>
        </w:tc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A14A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Seul point d’entrée applicatif</w:t>
            </w:r>
          </w:p>
        </w:tc>
      </w:tr>
      <w:tr w14:paraId="021F1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C287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80 (TCP)</w:t>
            </w:r>
          </w:p>
        </w:tc>
        <w:tc>
          <w:tcPr>
            <w:tcW w:w="2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3251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HTTP — Nginx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4D38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Public</w:t>
            </w:r>
          </w:p>
        </w:tc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A9DF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Redirige vers 443 et sert la validation du certificat</w:t>
            </w:r>
          </w:p>
        </w:tc>
      </w:tr>
      <w:tr w14:paraId="79677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D439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22 (TCP)</w:t>
            </w:r>
          </w:p>
        </w:tc>
        <w:tc>
          <w:tcPr>
            <w:tcW w:w="2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216B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SSH — administration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24A8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Restreint (adresses autorisées, clé uniquement)</w:t>
            </w:r>
          </w:p>
        </w:tc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9DCF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Mot de passe désactivé</w:t>
            </w:r>
          </w:p>
        </w:tc>
      </w:tr>
      <w:tr w14:paraId="6CD9A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9E47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3000 (TCP)</w:t>
            </w:r>
          </w:p>
        </w:tc>
        <w:tc>
          <w:tcPr>
            <w:tcW w:w="2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4F59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Application NestJS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424B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Interne (127.0.0.1)</w:t>
            </w:r>
          </w:p>
        </w:tc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38E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Joignable uniquement via Nginx</w:t>
            </w:r>
          </w:p>
        </w:tc>
      </w:tr>
      <w:tr w14:paraId="6DC85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A994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5432 (TCP)</w:t>
            </w:r>
          </w:p>
        </w:tc>
        <w:tc>
          <w:tcPr>
            <w:tcW w:w="2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1C05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PostgreSQL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287A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Interne (réseau privé)</w:t>
            </w:r>
          </w:p>
        </w:tc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F8A6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Jamais exposé à Internet</w:t>
            </w:r>
          </w:p>
        </w:tc>
      </w:tr>
      <w:tr w14:paraId="0BA87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BE96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6379 (TCP)</w:t>
            </w:r>
          </w:p>
        </w:tc>
        <w:tc>
          <w:tcPr>
            <w:tcW w:w="2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EAAE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Redis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12C7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Interne (réseau privé)</w:t>
            </w:r>
          </w:p>
        </w:tc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84B9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Mot de passe obligatoire</w:t>
            </w:r>
          </w:p>
        </w:tc>
      </w:tr>
      <w:tr w14:paraId="5D669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B076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587 (TCP, sortant)</w:t>
            </w:r>
          </w:p>
        </w:tc>
        <w:tc>
          <w:tcPr>
            <w:tcW w:w="2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82AD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SMTP sécurisé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5991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Sortant</w:t>
            </w:r>
          </w:p>
        </w:tc>
        <w:tc>
          <w:tcPr>
            <w:tcW w:w="2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60FB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Envoi des notifications</w:t>
            </w:r>
          </w:p>
        </w:tc>
      </w:tr>
    </w:tbl>
    <w:p w14:paraId="34E7A356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6C6A8090">
      <w:pPr>
        <w:pStyle w:val="4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Chaîne de livraison</w:t>
      </w:r>
    </w:p>
    <w:p w14:paraId="061ECA8C">
      <w:pPr>
        <w:pStyle w:val="17"/>
        <w:numPr>
          <w:ilvl w:val="0"/>
          <w:numId w:val="3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Le code est versionné dans Git (branches </w:t>
      </w:r>
      <w:r>
        <w:rPr>
          <w:rFonts w:hint="default" w:ascii="Palatino Linotype" w:hAnsi="Palatino Linotype" w:eastAsia="Consolas" w:cs="Palatino Linotype"/>
          <w:color w:val="2E5395"/>
          <w:sz w:val="19"/>
          <w:szCs w:val="19"/>
        </w:rPr>
        <w:t>main</w:t>
      </w:r>
      <w:r>
        <w:rPr>
          <w:rFonts w:hint="default" w:ascii="Palatino Linotype" w:hAnsi="Palatino Linotype" w:cs="Palatino Linotype"/>
        </w:rPr>
        <w:t xml:space="preserve"> stable, </w:t>
      </w:r>
      <w:r>
        <w:rPr>
          <w:rFonts w:hint="default" w:ascii="Palatino Linotype" w:hAnsi="Palatino Linotype" w:eastAsia="Consolas" w:cs="Palatino Linotype"/>
          <w:color w:val="2E5395"/>
          <w:sz w:val="19"/>
          <w:szCs w:val="19"/>
        </w:rPr>
        <w:t>develop</w:t>
      </w:r>
      <w:r>
        <w:rPr>
          <w:rFonts w:hint="default" w:ascii="Palatino Linotype" w:hAnsi="Palatino Linotype" w:cs="Palatino Linotype"/>
        </w:rPr>
        <w:t>, branches de fonctionnalités avec revue de code).</w:t>
      </w:r>
    </w:p>
    <w:p w14:paraId="4206AA5B">
      <w:pPr>
        <w:pStyle w:val="17"/>
        <w:numPr>
          <w:ilvl w:val="0"/>
          <w:numId w:val="3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À chaque envoi, l’intégration continue exécute l’analyse statique, les tests unitaires et d’API, puis construit les images Docker.</w:t>
      </w:r>
    </w:p>
    <w:p w14:paraId="2BD0CE4F">
      <w:pPr>
        <w:pStyle w:val="17"/>
        <w:numPr>
          <w:ilvl w:val="0"/>
          <w:numId w:val="3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Le déploiement en recette est automatique ; la mise en production est déclenchée après validation manuelle.</w:t>
      </w:r>
    </w:p>
    <w:p w14:paraId="34D12B79">
      <w:pPr>
        <w:pStyle w:val="17"/>
        <w:numPr>
          <w:ilvl w:val="0"/>
          <w:numId w:val="3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Les migrations de base de données sont appliquées avant le démarrage de la nouvelle version, après sauvegarde.</w:t>
      </w:r>
    </w:p>
    <w:p w14:paraId="406BA8ED">
      <w:pPr>
        <w:pStyle w:val="17"/>
        <w:numPr>
          <w:ilvl w:val="0"/>
          <w:numId w:val="3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Un retour arrière (rollback) vers l’image précédente est possible en quelques minutes ; la supervision alerte l’administrateur par e-mail.</w:t>
      </w:r>
    </w:p>
    <w:p w14:paraId="4AAD051A">
      <w:pPr>
        <w:pStyle w:val="2"/>
        <w:pageBreakBefore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6. Exigences non fonctionnelles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906"/>
        <w:gridCol w:w="2800"/>
      </w:tblGrid>
      <w:tr w14:paraId="2B835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C375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Catégorie</w:t>
            </w:r>
          </w:p>
        </w:tc>
        <w:tc>
          <w:tcPr>
            <w:tcW w:w="4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1115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1234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Cible</w:t>
            </w:r>
          </w:p>
        </w:tc>
      </w:tr>
      <w:tr w14:paraId="54EC1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D254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Performance</w:t>
            </w:r>
          </w:p>
        </w:tc>
        <w:tc>
          <w:tcPr>
            <w:tcW w:w="4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CEE7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Temps de chargement d’une page courante sur connexion mobile 4G ; temps de réponse de l’API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B05C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&lt; 3 s ; 95 % des requêtes &lt; 500 ms</w:t>
            </w:r>
          </w:p>
        </w:tc>
      </w:tr>
      <w:tr w14:paraId="44967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1500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Poids des pages</w:t>
            </w:r>
          </w:p>
        </w:tc>
        <w:tc>
          <w:tcPr>
            <w:tcW w:w="4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71B3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Poids initial du frontend compressé, afin de rester utilisable sur connexion lente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DBA1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&lt; 300 Ko</w:t>
            </w:r>
          </w:p>
        </w:tc>
      </w:tr>
      <w:tr w14:paraId="23F6E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B5CA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Capacité</w:t>
            </w:r>
          </w:p>
        </w:tc>
        <w:tc>
          <w:tcPr>
            <w:tcW w:w="4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779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Utilisateurs simultanés en période de pointe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C079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≥ 500</w:t>
            </w:r>
          </w:p>
        </w:tc>
      </w:tr>
      <w:tr w14:paraId="4A468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D5E9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Disponibilité</w:t>
            </w:r>
          </w:p>
        </w:tc>
        <w:tc>
          <w:tcPr>
            <w:tcW w:w="4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F2DD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Disponibilité mensuelle hors maintenance planifiée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6DC0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99 % (99,5 % pendant les campagnes)</w:t>
            </w:r>
          </w:p>
        </w:tc>
      </w:tr>
      <w:tr w14:paraId="7EB45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EC52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Sauvegarde et reprise</w:t>
            </w:r>
          </w:p>
        </w:tc>
        <w:tc>
          <w:tcPr>
            <w:tcW w:w="4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D781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Perte de données maximale (RPO) ; durée de rétablissement (RTO)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90EB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24 h ; 4 h</w:t>
            </w:r>
          </w:p>
        </w:tc>
      </w:tr>
      <w:tr w14:paraId="10590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6537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Sécurité</w:t>
            </w:r>
          </w:p>
        </w:tc>
        <w:tc>
          <w:tcPr>
            <w:tcW w:w="4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5B9B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Conformité aux recommandations OWASP Top 10, audit de sécurité avant mise en production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4CD0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Aucune vulnérabilité critique ou élevée</w:t>
            </w:r>
          </w:p>
        </w:tc>
      </w:tr>
      <w:tr w14:paraId="7C271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57E6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Accessibilité</w:t>
            </w:r>
          </w:p>
        </w:tc>
        <w:tc>
          <w:tcPr>
            <w:tcW w:w="4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E9C9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Respect des recommandations WCAG 2.1 niveau AA (contrastes, navigation clavier, libellés)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6075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Niveau AA</w:t>
            </w:r>
          </w:p>
        </w:tc>
      </w:tr>
      <w:tr w14:paraId="409B5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9968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Compatibilité</w:t>
            </w:r>
          </w:p>
        </w:tc>
        <w:tc>
          <w:tcPr>
            <w:tcW w:w="4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FD4F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Navigateurs récents (Chrome, Firefox, Edge, Safari) ; Android 8+ et iOS 14+ ; écrans à partir de 360 px de large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472C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Conforme</w:t>
            </w:r>
          </w:p>
        </w:tc>
      </w:tr>
      <w:tr w14:paraId="2D756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AED5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Faible connectivité</w:t>
            </w:r>
          </w:p>
        </w:tc>
        <w:tc>
          <w:tcPr>
            <w:tcW w:w="4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8E12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Brouillons locaux, reprise après coupure, compression, cache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5B5B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Questionnaire de 19 critères terminé sans perte en cas de coupure</w:t>
            </w:r>
          </w:p>
        </w:tc>
      </w:tr>
      <w:tr w14:paraId="78720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8857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Langue</w:t>
            </w:r>
          </w:p>
        </w:tc>
        <w:tc>
          <w:tcPr>
            <w:tcW w:w="4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22E6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Interface en français, structure prête pour d’autres langues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6FF1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Français</w:t>
            </w:r>
          </w:p>
        </w:tc>
      </w:tr>
      <w:tr w14:paraId="07CB1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73E9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Maintenabilité</w:t>
            </w:r>
          </w:p>
        </w:tc>
        <w:tc>
          <w:tcPr>
            <w:tcW w:w="4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58B0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Code versionné, documenté, tests automatisés sur la logique métier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A8EC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Couverture ≥ 70 % des règles de gestion</w:t>
            </w:r>
          </w:p>
        </w:tc>
      </w:tr>
      <w:tr w14:paraId="339D4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7901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Traçabilité</w:t>
            </w:r>
          </w:p>
        </w:tc>
        <w:tc>
          <w:tcPr>
            <w:tcW w:w="4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BAA8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Journal d’audit des actions sensibles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1D07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100 % des actions listées en ADM-02</w:t>
            </w:r>
          </w:p>
        </w:tc>
      </w:tr>
      <w:tr w14:paraId="5E11D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E54D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Conformité</w:t>
            </w:r>
          </w:p>
        </w:tc>
        <w:tc>
          <w:tcPr>
            <w:tcW w:w="4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A427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Article 77 du Règlement des Études ; réglementation sur la protection des données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A4AC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Conforme</w:t>
            </w:r>
          </w:p>
        </w:tc>
      </w:tr>
      <w:tr w14:paraId="14C1A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3ADD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Sobriété et coût</w:t>
            </w:r>
          </w:p>
        </w:tc>
        <w:tc>
          <w:tcPr>
            <w:tcW w:w="49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50D7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Technologies libres, aucun coût de licence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9DEE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Coût récurrent limité à l’hébergement et au nom de domaine</w:t>
            </w:r>
          </w:p>
        </w:tc>
      </w:tr>
    </w:tbl>
    <w:p w14:paraId="4110ACAD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6497C25F">
      <w:pPr>
        <w:pStyle w:val="2"/>
        <w:pageBreakBefore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7. Interfaces et charte graphique</w:t>
      </w:r>
    </w:p>
    <w:p w14:paraId="294B68B0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7.1 Charte graphique</w:t>
      </w:r>
    </w:p>
    <w:p w14:paraId="4B7BE79B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L’interface reprend </w:t>
      </w:r>
      <w:r>
        <w:rPr>
          <w:rFonts w:hint="default" w:ascii="Palatino Linotype" w:hAnsi="Palatino Linotype" w:cs="Palatino Linotype"/>
          <w:b/>
          <w:bCs/>
        </w:rPr>
        <w:t>la même échelle de couleurs que la grille d’évaluation de l’ENP</w:t>
      </w:r>
      <w:r>
        <w:rPr>
          <w:rFonts w:hint="default" w:ascii="Palatino Linotype" w:hAnsi="Palatino Linotype" w:cs="Palatino Linotype"/>
        </w:rPr>
        <w:t xml:space="preserve">, afin que les documents exportés et l’application forment un ensemble cohérent. La police de référence est </w:t>
      </w:r>
      <w:r>
        <w:rPr>
          <w:rFonts w:hint="default" w:ascii="Palatino Linotype" w:hAnsi="Palatino Linotype" w:cs="Palatino Linotype"/>
          <w:lang w:val="fr-FR"/>
        </w:rPr>
        <w:t>Palatino</w:t>
      </w:r>
      <w:bookmarkStart w:id="0" w:name="_GoBack"/>
      <w:bookmarkEnd w:id="0"/>
      <w:r>
        <w:rPr>
          <w:rFonts w:hint="default" w:ascii="Palatino Linotype" w:hAnsi="Palatino Linotype" w:cs="Palatino Linotype"/>
        </w:rPr>
        <w:t xml:space="preserve"> (ou, à défaut sur le web, Carlito ou une police sans empattement équivalente).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3000"/>
        <w:gridCol w:w="3706"/>
      </w:tblGrid>
      <w:tr w14:paraId="37CAE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F6F8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Aperçu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50FD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504C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Nom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7094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Usage dans l’interface</w:t>
            </w:r>
          </w:p>
        </w:tc>
      </w:tr>
      <w:tr w14:paraId="31AD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C764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Aa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5705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color w:val="000000"/>
                <w:sz w:val="18"/>
                <w:szCs w:val="18"/>
              </w:rPr>
              <w:t>#1F3864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153B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Bleu marine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7100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color w:val="000000"/>
                <w:sz w:val="18"/>
                <w:szCs w:val="18"/>
              </w:rPr>
              <w:t>En-têtes de tableaux, boutons principaux, barre de navigation, titres de premier niveau</w:t>
            </w:r>
          </w:p>
        </w:tc>
      </w:tr>
      <w:tr w14:paraId="0DE9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0E7D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Aa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624C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color w:val="000000"/>
                <w:sz w:val="18"/>
                <w:szCs w:val="18"/>
              </w:rPr>
              <w:t>#2E5395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A2BF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Bleu ENP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684A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color w:val="000000"/>
                <w:sz w:val="18"/>
                <w:szCs w:val="18"/>
              </w:rPr>
              <w:t>Sous-titres, liens, éléments actifs, courbes et barres de graphiques</w:t>
            </w:r>
          </w:p>
        </w:tc>
      </w:tr>
      <w:tr w14:paraId="21CB6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5B20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Aa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801B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color w:val="000000"/>
                <w:sz w:val="18"/>
                <w:szCs w:val="18"/>
              </w:rPr>
              <w:t>#DCE6F1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8F9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Bleu clair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40E7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color w:val="000000"/>
                <w:sz w:val="18"/>
                <w:szCs w:val="18"/>
              </w:rPr>
              <w:t>Fonds de cellules, de cartes et de critères, survol de lignes</w:t>
            </w:r>
          </w:p>
        </w:tc>
      </w:tr>
      <w:tr w14:paraId="42988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D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06A6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8B5A2B"/>
                <w:sz w:val="18"/>
                <w:szCs w:val="18"/>
              </w:rPr>
              <w:t>Aa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16A1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color w:val="000000"/>
                <w:sz w:val="18"/>
                <w:szCs w:val="18"/>
              </w:rPr>
              <w:t>#FDF0DA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9908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Crème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3853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color w:val="000000"/>
                <w:sz w:val="18"/>
                <w:szCs w:val="18"/>
              </w:rPr>
              <w:t>Encarts d’information et cadre réglementaire (article 77), messages d’avertissement</w:t>
            </w:r>
          </w:p>
        </w:tc>
      </w:tr>
      <w:tr w14:paraId="20170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8B5A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6060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Aa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A8DD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color w:val="000000"/>
                <w:sz w:val="18"/>
                <w:szCs w:val="18"/>
              </w:rPr>
              <w:t>#8B5A2B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D018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Brun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D85B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color w:val="000000"/>
                <w:sz w:val="18"/>
                <w:szCs w:val="18"/>
              </w:rPr>
              <w:t>Texte et filet des encarts crème</w:t>
            </w:r>
          </w:p>
        </w:tc>
      </w:tr>
      <w:tr w14:paraId="43E5D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2A50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Aa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0383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color w:val="000000"/>
                <w:sz w:val="18"/>
                <w:szCs w:val="18"/>
              </w:rPr>
              <w:t>#595959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EAAD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Gris foncé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7103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color w:val="000000"/>
                <w:sz w:val="18"/>
                <w:szCs w:val="18"/>
              </w:rPr>
              <w:t>Sous-titres, textes secondaires, aides à la saisie</w:t>
            </w:r>
          </w:p>
        </w:tc>
      </w:tr>
      <w:tr w14:paraId="0E911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AAAA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6109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000000"/>
                <w:sz w:val="18"/>
                <w:szCs w:val="18"/>
              </w:rPr>
              <w:t>Aa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6E56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color w:val="000000"/>
                <w:sz w:val="18"/>
                <w:szCs w:val="18"/>
              </w:rPr>
              <w:t>#AAAAAA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44B4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Gris de bordure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8866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color w:val="000000"/>
                <w:sz w:val="18"/>
                <w:szCs w:val="18"/>
              </w:rPr>
              <w:t>Bordures de tableaux, séparateurs, champs de formulaire</w:t>
            </w:r>
          </w:p>
        </w:tc>
      </w:tr>
      <w:tr w14:paraId="41946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A5B3B">
            <w:pPr>
              <w:jc w:val="center"/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C534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color w:val="000000"/>
                <w:sz w:val="18"/>
                <w:szCs w:val="18"/>
              </w:rPr>
              <w:t>#FFFFFF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0D97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Blanc</w:t>
            </w:r>
          </w:p>
        </w:tc>
        <w:tc>
          <w:tcPr>
            <w:tcW w:w="3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ADF1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color w:val="000000"/>
                <w:sz w:val="18"/>
                <w:szCs w:val="18"/>
              </w:rPr>
              <w:t>Fond des pages, texte sur fond marine ou bleu</w:t>
            </w:r>
          </w:p>
        </w:tc>
      </w:tr>
    </w:tbl>
    <w:p w14:paraId="7A2564AC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3ABE0ADF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Hiérarchie</w:t>
      </w:r>
      <w:r>
        <w:rPr>
          <w:rFonts w:hint="default" w:ascii="Palatino Linotype" w:hAnsi="Palatino Linotype" w:cs="Palatino Linotype"/>
        </w:rPr>
        <w:t xml:space="preserve"> : bleu marine pour les actions principales, bleu pour l’information active, crème pour tout ce qui relève de la règle ou de l’avertissement.</w:t>
      </w:r>
    </w:p>
    <w:p w14:paraId="42E173AF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Tableaux</w:t>
      </w:r>
      <w:r>
        <w:rPr>
          <w:rFonts w:hint="default" w:ascii="Palatino Linotype" w:hAnsi="Palatino Linotype" w:cs="Palatino Linotype"/>
        </w:rPr>
        <w:t xml:space="preserve"> : en-tête bleu marine à texte blanc, première colonne ou cellules d’étiquettes en bleu clair, bordures grises fines, comme dans la grille.</w:t>
      </w:r>
    </w:p>
    <w:p w14:paraId="35BE48EB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Échelle de notation 1 à 5</w:t>
      </w:r>
      <w:r>
        <w:rPr>
          <w:rFonts w:hint="default" w:ascii="Palatino Linotype" w:hAnsi="Palatino Linotype" w:cs="Palatino Linotype"/>
        </w:rPr>
        <w:t xml:space="preserve"> : cases à cocher et libellés identiques à la grille (Pas du tout d’accord, Plutôt pas d’accord, Neutre, Plutôt d’accord, Tout à fait d’accord, Sans avis), sans code couleur « feu tricolore » afin de ne pas influencer les réponses.</w:t>
      </w:r>
    </w:p>
    <w:p w14:paraId="30DA84D7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Graphiques de résultats</w:t>
      </w:r>
      <w:r>
        <w:rPr>
          <w:rFonts w:hint="default" w:ascii="Palatino Linotype" w:hAnsi="Palatino Linotype" w:cs="Palatino Linotype"/>
        </w:rPr>
        <w:t xml:space="preserve"> : nuances de bleu uniquement (marine, bleu, bleu clair) ; le crème sert à signaler un seuil non atteint.</w:t>
      </w:r>
    </w:p>
    <w:p w14:paraId="2F5DE649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Contraste</w:t>
      </w:r>
      <w:r>
        <w:rPr>
          <w:rFonts w:hint="default" w:ascii="Palatino Linotype" w:hAnsi="Palatino Linotype" w:cs="Palatino Linotype"/>
        </w:rPr>
        <w:t xml:space="preserve"> : texte blanc sur marine ou bleu (rapport supérieur à 7:1 sur le marine), texte marine sur bleu clair, conformes au niveau AA.</w:t>
      </w:r>
    </w:p>
    <w:p w14:paraId="4A9AAB0A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</w:rPr>
        <w:t>En-tête officiel</w:t>
      </w:r>
      <w:r>
        <w:rPr>
          <w:rFonts w:hint="default" w:ascii="Palatino Linotype" w:hAnsi="Palatino Linotype" w:cs="Palatino Linotype"/>
        </w:rPr>
        <w:t xml:space="preserve"> : mention « République Togolaise — Travail — Liberté — Patrie » et logo de l’ENP sur la page de connexion et les exports.</w:t>
      </w:r>
    </w:p>
    <w:p w14:paraId="6D9C692A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7.2 Écrans principaux par rôle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406"/>
      </w:tblGrid>
      <w:tr w14:paraId="3B2C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50F2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96B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Écrans clés</w:t>
            </w:r>
          </w:p>
        </w:tc>
      </w:tr>
      <w:tr w14:paraId="46E4F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412A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Tous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6E98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Connexion, activation du compte, mot de passe oublié, profil, choix du profil actif, notifications</w:t>
            </w:r>
          </w:p>
        </w:tc>
      </w:tr>
      <w:tr w14:paraId="071E4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370B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Étudiant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CE70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Liste des UE à évaluer avec état · Questionnaire en 5 sections (une section par écran sur mobile) · Confirmation d’envoi · Restitution des résultats et suites données</w:t>
            </w:r>
          </w:p>
        </w:tc>
      </w:tr>
      <w:tr w14:paraId="3C8E0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5B6F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Délégué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D16F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Calendrier des séances de la classe · Formulaire de séance (saisie rapide) · Séances en attente de visa ou contestées · Taux de réalisation des UE</w:t>
            </w:r>
          </w:p>
        </w:tc>
      </w:tr>
      <w:tr w14:paraId="4A908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FB8D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Enseignant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D6C5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Mes UE · Fiche de résultats (moyennes par section, distribution, commentaires) · Évolution entre semestres · Visas à traiter · Cahier de texte de mes UE</w:t>
            </w:r>
          </w:p>
        </w:tc>
      </w:tr>
      <w:tr w14:paraId="1E689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1287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Chef de Département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A618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Tableau de bord de campagne · Résultats par UE · Grille de synthèse du semestre · Saisie des suites données · Suivi des cahiers de texte et volumes horaires</w:t>
            </w:r>
          </w:p>
        </w:tc>
      </w:tr>
      <w:tr w14:paraId="2818D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8E79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Scolarité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1F8D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Campagnes (création, suivi, clôture) · Référentiels et imports · Modération des commentaires · Publication de la restitution · Exports</w:t>
            </w:r>
          </w:p>
        </w:tc>
      </w:tr>
      <w:tr w14:paraId="051FF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0D87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Administrateur technique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FB6F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Utilisateurs et rôles · Paramétrage · Journal d’audit · Santé du système et sauvegardes</w:t>
            </w:r>
          </w:p>
        </w:tc>
      </w:tr>
    </w:tbl>
    <w:p w14:paraId="7F848454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649168DB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7.3 Parcours clés</w:t>
      </w:r>
    </w:p>
    <w:p w14:paraId="5CF48739">
      <w:pPr>
        <w:pStyle w:val="4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Parcours 1 — Un étudiant évalue une UE</w:t>
      </w:r>
    </w:p>
    <w:p w14:paraId="1E508B73">
      <w:pPr>
        <w:pStyle w:val="17"/>
        <w:numPr>
          <w:ilvl w:val="0"/>
          <w:numId w:val="4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Il se connecte et voit « 7 UE à évaluer, 2 terminées ».</w:t>
      </w:r>
    </w:p>
    <w:p w14:paraId="16BA8C4C">
      <w:pPr>
        <w:pStyle w:val="17"/>
        <w:numPr>
          <w:ilvl w:val="0"/>
          <w:numId w:val="4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Il choisit une UE ; un message lui rappelle l’anonymat et la consigne sur les commentaires libres.</w:t>
      </w:r>
    </w:p>
    <w:p w14:paraId="3B9DD35E">
      <w:pPr>
        <w:pStyle w:val="17"/>
        <w:numPr>
          <w:ilvl w:val="0"/>
          <w:numId w:val="4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Il répond aux sections A à E (cases 1 à 5 ou Sans avis) ; un brouillon est conservé sur son appareil.</w:t>
      </w:r>
    </w:p>
    <w:p w14:paraId="48D8908F">
      <w:pPr>
        <w:pStyle w:val="17"/>
        <w:numPr>
          <w:ilvl w:val="0"/>
          <w:numId w:val="4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Il envoie. Le système dépose les réponses dans l’urne et marque l’UE comme terminée, sans possibilité de retour.</w:t>
      </w:r>
    </w:p>
    <w:p w14:paraId="6D659E30">
      <w:pPr>
        <w:pStyle w:val="4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Parcours 2 — Le délégué renseigne une séance</w:t>
      </w:r>
    </w:p>
    <w:p w14:paraId="20CB8FF4">
      <w:pPr>
        <w:pStyle w:val="17"/>
        <w:numPr>
          <w:ilvl w:val="0"/>
          <w:numId w:val="5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À la fin du cours, il ouvre « Nouvelle séance » ; la date et la classe sont pré-remplies.</w:t>
      </w:r>
    </w:p>
    <w:p w14:paraId="6DF86E9C">
      <w:pPr>
        <w:pStyle w:val="17"/>
        <w:numPr>
          <w:ilvl w:val="0"/>
          <w:numId w:val="5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Il choisit l’UE (l’enseignant est proposé), le type (CM/TD/TP), les heures et le statut.</w:t>
      </w:r>
    </w:p>
    <w:p w14:paraId="04129305">
      <w:pPr>
        <w:pStyle w:val="17"/>
        <w:numPr>
          <w:ilvl w:val="0"/>
          <w:numId w:val="5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Il saisit l’intitulé, le contenu traité et le travail à faire, puis enregistre.</w:t>
      </w:r>
    </w:p>
    <w:p w14:paraId="307252CF">
      <w:pPr>
        <w:pStyle w:val="17"/>
        <w:numPr>
          <w:ilvl w:val="0"/>
          <w:numId w:val="5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L’enseignant reçoit une notification, consulte l’entrée et la vise ou formule un désaccord.</w:t>
      </w:r>
    </w:p>
    <w:p w14:paraId="20613834">
      <w:pPr>
        <w:pStyle w:val="4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Parcours 3 — Un enseignant consulte ses résultats</w:t>
      </w:r>
    </w:p>
    <w:p w14:paraId="045477E2">
      <w:pPr>
        <w:pStyle w:val="17"/>
        <w:numPr>
          <w:ilvl w:val="0"/>
          <w:numId w:val="6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La campagne est close et les résultats sont calculés ; l’enseignant reçoit une notification.</w:t>
      </w:r>
    </w:p>
    <w:p w14:paraId="404ACB39">
      <w:pPr>
        <w:pStyle w:val="17"/>
        <w:numPr>
          <w:ilvl w:val="0"/>
          <w:numId w:val="6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Il ouvre la fiche d’une UE : moyennes par section, distribution des notes, nombre de répondants sur inscrits.</w:t>
      </w:r>
    </w:p>
    <w:p w14:paraId="47DF9CFB">
      <w:pPr>
        <w:pStyle w:val="17"/>
        <w:numPr>
          <w:ilvl w:val="0"/>
          <w:numId w:val="6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Si moins de 5 répondants, un encart crème explique pourquoi le détail n’est pas affiché.</w:t>
      </w:r>
    </w:p>
    <w:p w14:paraId="1AD5FD92">
      <w:pPr>
        <w:pStyle w:val="17"/>
        <w:numPr>
          <w:ilvl w:val="0"/>
          <w:numId w:val="6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Il lit les commentaires modérés, consigne éventuellement ses actions et peut exporter sa fiche en PDF.</w:t>
      </w:r>
    </w:p>
    <w:p w14:paraId="1D4C75E9">
      <w:pPr>
        <w:pStyle w:val="4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Parcours 4 — Consolidation de la synthèse du semestre</w:t>
      </w:r>
    </w:p>
    <w:p w14:paraId="3417DC7C">
      <w:pPr>
        <w:pStyle w:val="17"/>
        <w:numPr>
          <w:ilvl w:val="0"/>
          <w:numId w:val="7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La Scolarité clôt la campagne ; la grille de synthèse est générée automatiquement.</w:t>
      </w:r>
    </w:p>
    <w:p w14:paraId="403BFA8F">
      <w:pPr>
        <w:pStyle w:val="17"/>
        <w:numPr>
          <w:ilvl w:val="0"/>
          <w:numId w:val="7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Le Chef de Département consulte les UE mises en évidence, saisit les actions correctives et valide (établi par, date, visa).</w:t>
      </w:r>
    </w:p>
    <w:p w14:paraId="2E707E35">
      <w:pPr>
        <w:pStyle w:val="17"/>
        <w:numPr>
          <w:ilvl w:val="0"/>
          <w:numId w:val="7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La synthèse est exportée pour le conseil de perfectionnement.</w:t>
      </w:r>
    </w:p>
    <w:p w14:paraId="2A095662">
      <w:pPr>
        <w:pStyle w:val="17"/>
        <w:numPr>
          <w:ilvl w:val="0"/>
          <w:numId w:val="7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La Scolarité publie la restitution aux étudiants avec les principaux résultats et les suites données.</w:t>
      </w:r>
    </w:p>
    <w:p w14:paraId="724611FB">
      <w:pPr>
        <w:pStyle w:val="2"/>
        <w:pageBreakBefore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8. Planification</w:t>
      </w:r>
    </w:p>
    <w:p w14:paraId="29014147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8.1 Lots et livrables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600"/>
        <w:gridCol w:w="2506"/>
        <w:gridCol w:w="1300"/>
      </w:tblGrid>
      <w:tr w14:paraId="7FC9C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DFC0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Lot</w:t>
            </w:r>
          </w:p>
        </w:tc>
        <w:tc>
          <w:tcPr>
            <w:tcW w:w="3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3701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Contenu</w:t>
            </w:r>
          </w:p>
        </w:tc>
        <w:tc>
          <w:tcPr>
            <w:tcW w:w="2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7E43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Livrables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CDE3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Durée</w:t>
            </w:r>
          </w:p>
        </w:tc>
      </w:tr>
      <w:tr w14:paraId="1CD3B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6270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0 — Cadrage et conception</w:t>
            </w:r>
          </w:p>
        </w:tc>
        <w:tc>
          <w:tcPr>
            <w:tcW w:w="3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DEE7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Ateliers avec Scolarité, Chefs de Département, enseignants, délégués ; maquettes ; choix finaux</w:t>
            </w:r>
          </w:p>
        </w:tc>
        <w:tc>
          <w:tcPr>
            <w:tcW w:w="2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DF51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Spécifications validées, maquettes, charte UI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6DA4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2 semaines</w:t>
            </w:r>
          </w:p>
        </w:tc>
      </w:tr>
      <w:tr w14:paraId="2A34C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5F3D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 — Socle technique</w:t>
            </w:r>
          </w:p>
        </w:tc>
        <w:tc>
          <w:tcPr>
            <w:tcW w:w="3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EDBF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Dépôt, CI/CD, environnements, authentification, rôles, journal d’audit</w:t>
            </w:r>
          </w:p>
        </w:tc>
        <w:tc>
          <w:tcPr>
            <w:tcW w:w="2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321F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Plateforme de base déployée en recette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1408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3 semaines</w:t>
            </w:r>
          </w:p>
        </w:tc>
      </w:tr>
      <w:tr w14:paraId="21BF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E47E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2 — Référentiels et imports</w:t>
            </w:r>
          </w:p>
        </w:tc>
        <w:tc>
          <w:tcPr>
            <w:tcW w:w="3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47C9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Campus, départements, UE, affectations, inscriptions, délégués, imports CSV</w:t>
            </w:r>
          </w:p>
        </w:tc>
        <w:tc>
          <w:tcPr>
            <w:tcW w:w="2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4F2F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Module REF complet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64BA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3 semaines</w:t>
            </w:r>
          </w:p>
        </w:tc>
      </w:tr>
      <w:tr w14:paraId="499F9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B942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3 — Évaluation anonyme</w:t>
            </w:r>
          </w:p>
        </w:tc>
        <w:tc>
          <w:tcPr>
            <w:tcW w:w="3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3930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Campagnes, questionnaire, jeton, urne, participation, modération</w:t>
            </w:r>
          </w:p>
        </w:tc>
        <w:tc>
          <w:tcPr>
            <w:tcW w:w="2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25F9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Module EVA complet et revue de l’anonymat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0916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5 semaines</w:t>
            </w:r>
          </w:p>
        </w:tc>
      </w:tr>
      <w:tr w14:paraId="08E24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DEBD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4 — Cahier de texte</w:t>
            </w:r>
          </w:p>
        </w:tc>
        <w:tc>
          <w:tcPr>
            <w:tcW w:w="3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1441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Saisie, visa, verrouillage, volumes horaires, rappels</w:t>
            </w:r>
          </w:p>
        </w:tc>
        <w:tc>
          <w:tcPr>
            <w:tcW w:w="2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A00C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Module CDT complet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8F3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4 semaines</w:t>
            </w:r>
          </w:p>
        </w:tc>
      </w:tr>
      <w:tr w14:paraId="06570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3601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5 — Résultats, pilotage et exports</w:t>
            </w:r>
          </w:p>
        </w:tc>
        <w:tc>
          <w:tcPr>
            <w:tcW w:w="3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B1CA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Fiche enseignant, tableaux de bord, synthèse, restitution, exports PDF/Excel/Word</w:t>
            </w:r>
          </w:p>
        </w:tc>
        <w:tc>
          <w:tcPr>
            <w:tcW w:w="2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D733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Modules ENS et PIL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D6E4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4 semaines</w:t>
            </w:r>
          </w:p>
        </w:tc>
      </w:tr>
      <w:tr w14:paraId="69091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BDC1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6 — Recette et sécurité</w:t>
            </w:r>
          </w:p>
        </w:tc>
        <w:tc>
          <w:tcPr>
            <w:tcW w:w="3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C9D9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Tests de charge, audit de sécurité, recette utilisateurs, formation</w:t>
            </w:r>
          </w:p>
        </w:tc>
        <w:tc>
          <w:tcPr>
            <w:tcW w:w="2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A34F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Rapport de recette, guides, supports de formation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8A96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3 semaines</w:t>
            </w:r>
          </w:p>
        </w:tc>
      </w:tr>
      <w:tr w14:paraId="04502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BA15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7 — Mise en production</w:t>
            </w:r>
          </w:p>
        </w:tc>
        <w:tc>
          <w:tcPr>
            <w:tcW w:w="3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14DB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Déploiement, migration des référentiels, suivi renforcé de la première campagne</w:t>
            </w:r>
          </w:p>
        </w:tc>
        <w:tc>
          <w:tcPr>
            <w:tcW w:w="2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DE4E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Plateforme en production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036D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2 semaines</w:t>
            </w:r>
          </w:p>
        </w:tc>
      </w:tr>
    </w:tbl>
    <w:p w14:paraId="4C0DBA01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6FAB83D0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8.2 Calendrier prévisionnel (16 semaines)</w:t>
      </w:r>
    </w:p>
    <w:tbl>
      <w:tblPr>
        <w:tblStyle w:val="16"/>
        <w:tblW w:w="97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14:paraId="319C3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67FCED3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Lot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48A0FC8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S1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3F78531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S2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555EF53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S3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21BCC6A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S4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6EB1246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S5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61B4B4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S6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3CFFC6E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S7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108559A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S8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5F0DCFB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S9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6FE3536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S10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43BFD7A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S11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7BB770C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S12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1D8E75E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S13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323F347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S14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18B7884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S15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1EEEAC3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5"/>
                <w:szCs w:val="15"/>
              </w:rPr>
              <w:t>S16</w:t>
            </w:r>
          </w:p>
        </w:tc>
      </w:tr>
      <w:tr w14:paraId="2481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21172A6">
            <w:pPr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7"/>
                <w:szCs w:val="17"/>
              </w:rPr>
              <w:t>0 — Cadrage et conception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5971B056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6D298646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6B944FEB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18528830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29E41347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3A8A4073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15F1A389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726BF2ED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6474A7C6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6DC15A3A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72DF6244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59067E94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6134D94C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27A5C15C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6A791999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09397CD2">
            <w:pPr>
              <w:rPr>
                <w:rFonts w:hint="default" w:ascii="Palatino Linotype" w:hAnsi="Palatino Linotype" w:cs="Palatino Linotype"/>
              </w:rPr>
            </w:pPr>
          </w:p>
        </w:tc>
      </w:tr>
      <w:tr w14:paraId="08F1C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70E5A9C">
            <w:pPr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7"/>
                <w:szCs w:val="17"/>
              </w:rPr>
              <w:t>1 — Socle technique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199AACF5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396ECD13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009401D4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0117F7CD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48643B59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310CA557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46E9E502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3D48F3DE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2205D5A1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066E1229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7F54A2C4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4CCADC25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7864332A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16846E89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25C7F9C3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0165E137">
            <w:pPr>
              <w:rPr>
                <w:rFonts w:hint="default" w:ascii="Palatino Linotype" w:hAnsi="Palatino Linotype" w:cs="Palatino Linotype"/>
              </w:rPr>
            </w:pPr>
          </w:p>
        </w:tc>
      </w:tr>
      <w:tr w14:paraId="6050B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429CD50">
            <w:pPr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7"/>
                <w:szCs w:val="17"/>
              </w:rPr>
              <w:t>2 — Référentiels et imports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67E7DAB3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37CAB14C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348F8C0E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034E3C8C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597690F7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4FD77734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74F95CB9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3E12D8CA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0A1FFF14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74F30E17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294A3D03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1DD2E6C0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7D94C8FA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6268FC7B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156E4E7F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3523B294">
            <w:pPr>
              <w:rPr>
                <w:rFonts w:hint="default" w:ascii="Palatino Linotype" w:hAnsi="Palatino Linotype" w:cs="Palatino Linotype"/>
              </w:rPr>
            </w:pPr>
          </w:p>
        </w:tc>
      </w:tr>
      <w:tr w14:paraId="28296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62C05C8">
            <w:pPr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7"/>
                <w:szCs w:val="17"/>
              </w:rPr>
              <w:t>3 — Évaluation anonyme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71911966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5034FF44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3C41E438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199079D4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395"/>
          </w:tcPr>
          <w:p w14:paraId="1FFE98FC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395"/>
          </w:tcPr>
          <w:p w14:paraId="58C40CB5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395"/>
          </w:tcPr>
          <w:p w14:paraId="61BA8C6F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395"/>
          </w:tcPr>
          <w:p w14:paraId="4D6E8205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395"/>
          </w:tcPr>
          <w:p w14:paraId="17C90A7D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3FF31DE5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5F94EC1D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543512C9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475D4333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3DF4406A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0A72E2C6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41EA5607">
            <w:pPr>
              <w:rPr>
                <w:rFonts w:hint="default" w:ascii="Palatino Linotype" w:hAnsi="Palatino Linotype" w:cs="Palatino Linotype"/>
              </w:rPr>
            </w:pPr>
          </w:p>
        </w:tc>
      </w:tr>
      <w:tr w14:paraId="1F32E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7D97966">
            <w:pPr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7"/>
                <w:szCs w:val="17"/>
              </w:rPr>
              <w:t>4 — Cahier de texte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77A307BC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3B88CB66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3D045CEA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10E6E57E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45C40CEC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51BD390D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0D473E81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395"/>
          </w:tcPr>
          <w:p w14:paraId="4718643D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395"/>
          </w:tcPr>
          <w:p w14:paraId="16C66794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395"/>
          </w:tcPr>
          <w:p w14:paraId="6C9F8B61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395"/>
          </w:tcPr>
          <w:p w14:paraId="2A421D39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44712F36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58E2E0B8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0D124A8D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63A6909F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2D8E83D3">
            <w:pPr>
              <w:rPr>
                <w:rFonts w:hint="default" w:ascii="Palatino Linotype" w:hAnsi="Palatino Linotype" w:cs="Palatino Linotype"/>
              </w:rPr>
            </w:pPr>
          </w:p>
        </w:tc>
      </w:tr>
      <w:tr w14:paraId="54361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9B48A6D">
            <w:pPr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7"/>
                <w:szCs w:val="17"/>
              </w:rPr>
              <w:t>5 — Résultats, pilotage, exports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7C9D26B1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223E2D15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1E41E40D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75008A9A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58D76A38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24D0641F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4825DB61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00BC088D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7F23A6CA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7E1BB0B7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0D59450F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5F3757A5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2815F653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30A7CBB3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46A8CB57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0642E64B">
            <w:pPr>
              <w:rPr>
                <w:rFonts w:hint="default" w:ascii="Palatino Linotype" w:hAnsi="Palatino Linotype" w:cs="Palatino Linotype"/>
              </w:rPr>
            </w:pPr>
          </w:p>
        </w:tc>
      </w:tr>
      <w:tr w14:paraId="166DD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690CBBA">
            <w:pPr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7"/>
                <w:szCs w:val="17"/>
              </w:rPr>
              <w:t>6 — Recette et sécurité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4DD4A405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1824DFBD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48A1CF4B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41A1E6EA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0E098EF0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37D87EC0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2981B98B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5A5DF675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70D28BF9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700FA6D6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02875B01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65523A7F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55E84038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6ADAD395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1C502FB1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2A60DE58">
            <w:pPr>
              <w:rPr>
                <w:rFonts w:hint="default" w:ascii="Palatino Linotype" w:hAnsi="Palatino Linotype" w:cs="Palatino Linotype"/>
              </w:rPr>
            </w:pPr>
          </w:p>
        </w:tc>
      </w:tr>
      <w:tr w14:paraId="56145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22A6D78">
            <w:pPr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7"/>
                <w:szCs w:val="17"/>
              </w:rPr>
              <w:t>7 — Mise en production</w:t>
            </w: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3E87FE55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71DABE38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17327F20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249EED72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50B8C1CF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24319507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7B824795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145EBE1F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6CEBE68A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0710D431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01EC5059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516261B6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0A6EFD5D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</w:tcPr>
          <w:p w14:paraId="2A953B2E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6DC130CE">
            <w:pPr>
              <w:rPr>
                <w:rFonts w:hint="default" w:ascii="Palatino Linotype" w:hAnsi="Palatino Linotype" w:cs="Palatino Linotype"/>
              </w:rPr>
            </w:pPr>
          </w:p>
        </w:tc>
        <w:tc>
          <w:tcPr>
            <w:tcW w:w="41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</w:tcPr>
          <w:p w14:paraId="6DFE553E">
            <w:pPr>
              <w:rPr>
                <w:rFonts w:hint="default" w:ascii="Palatino Linotype" w:hAnsi="Palatino Linotype" w:cs="Palatino Linotype"/>
              </w:rPr>
            </w:pPr>
          </w:p>
        </w:tc>
      </w:tr>
    </w:tbl>
    <w:p w14:paraId="02848447">
      <w:pPr>
        <w:spacing w:after="100" w:line="20" w:lineRule="exact"/>
        <w:rPr>
          <w:rFonts w:hint="default" w:ascii="Palatino Linotype" w:hAnsi="Palatino Linotype" w:cs="Palatino Linotype"/>
        </w:rPr>
      </w:pPr>
    </w:p>
    <w:p w14:paraId="453B5990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sz w:val="20"/>
          <w:szCs w:val="20"/>
        </w:rPr>
        <w:t xml:space="preserve">Les lots en bleu (3 et 4) constituent le cœur du projet. Les lots peuvent se chevaucher grâce à une équipe de plusieurs développeurs. Une </w:t>
      </w:r>
      <w:r>
        <w:rPr>
          <w:rFonts w:hint="default" w:ascii="Palatino Linotype" w:hAnsi="Palatino Linotype" w:cs="Palatino Linotype"/>
          <w:b/>
          <w:bCs/>
          <w:sz w:val="20"/>
          <w:szCs w:val="20"/>
        </w:rPr>
        <w:t>version pilote</w:t>
      </w:r>
      <w:r>
        <w:rPr>
          <w:rFonts w:hint="default" w:ascii="Palatino Linotype" w:hAnsi="Palatino Linotype" w:cs="Palatino Linotype"/>
          <w:sz w:val="20"/>
          <w:szCs w:val="20"/>
        </w:rPr>
        <w:t xml:space="preserve"> (évaluation + cahier de texte + résultats élémentaires) peut être mise à disposition d’un département dès la fin de la semaine 11 si l’ENP souhaite tester avant le déploiement général.</w:t>
      </w:r>
    </w:p>
    <w:p w14:paraId="35491D28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8.3 Équipe projet proposée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700"/>
        <w:gridCol w:w="4806"/>
      </w:tblGrid>
      <w:tr w14:paraId="2B098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0BCA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Profil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8F19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Effectif</w:t>
            </w:r>
          </w:p>
        </w:tc>
        <w:tc>
          <w:tcPr>
            <w:tcW w:w="4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F93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Responsabilités</w:t>
            </w:r>
          </w:p>
        </w:tc>
      </w:tr>
      <w:tr w14:paraId="0A42F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BBA0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Chef de projet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37C8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1</w:t>
            </w:r>
          </w:p>
        </w:tc>
        <w:tc>
          <w:tcPr>
            <w:tcW w:w="4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A666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Coordination, relation avec la Scolarité, suivi du planning et des risques</w:t>
            </w:r>
          </w:p>
        </w:tc>
      </w:tr>
      <w:tr w14:paraId="4E470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DFA5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Développeurs full-stack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FEF7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2</w:t>
            </w:r>
          </w:p>
        </w:tc>
        <w:tc>
          <w:tcPr>
            <w:tcW w:w="4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46DF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Frontend, backend, base de données, tests</w:t>
            </w:r>
          </w:p>
        </w:tc>
      </w:tr>
      <w:tr w14:paraId="1D2D7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9DDB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Designer UX/UI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A146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1 (mi-temps)</w:t>
            </w:r>
          </w:p>
        </w:tc>
        <w:tc>
          <w:tcPr>
            <w:tcW w:w="4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00BD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Maquettes, charte graphique, tests d’utilisabilité</w:t>
            </w:r>
          </w:p>
        </w:tc>
      </w:tr>
      <w:tr w14:paraId="0BF89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7B79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Responsable infrastructure / sécurité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0C87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1 (partiel)</w:t>
            </w:r>
          </w:p>
        </w:tc>
        <w:tc>
          <w:tcPr>
            <w:tcW w:w="4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960C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Serveur, CI/CD, sauvegardes, durcissement, audit</w:t>
            </w:r>
          </w:p>
        </w:tc>
      </w:tr>
      <w:tr w14:paraId="1F1EC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47E8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Référent métier ENP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20F2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1</w:t>
            </w:r>
          </w:p>
        </w:tc>
        <w:tc>
          <w:tcPr>
            <w:tcW w:w="4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9192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Validation des spécifications et de la recette (Scolarité)</w:t>
            </w:r>
          </w:p>
        </w:tc>
      </w:tr>
      <w:tr w14:paraId="3058E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E109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Groupe pilote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1B70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10 à 20 personnes</w:t>
            </w:r>
          </w:p>
        </w:tc>
        <w:tc>
          <w:tcPr>
            <w:tcW w:w="4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7E46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Étudiants, délégués, enseignants et Chef de Département pour la recette</w:t>
            </w:r>
          </w:p>
        </w:tc>
      </w:tr>
    </w:tbl>
    <w:p w14:paraId="76BE5EC4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64F76A99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8.4 Jalons de validation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1400"/>
        <w:gridCol w:w="4106"/>
      </w:tblGrid>
      <w:tr w14:paraId="41B9F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4FC6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Jalon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1C14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Semaine</w:t>
            </w:r>
          </w:p>
        </w:tc>
        <w:tc>
          <w:tcPr>
            <w:tcW w:w="4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639B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Décision attendue</w:t>
            </w:r>
          </w:p>
        </w:tc>
      </w:tr>
      <w:tr w14:paraId="25EE3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972D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J1 — Spécifications et maquettes validées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96F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S2</w:t>
            </w:r>
          </w:p>
        </w:tc>
        <w:tc>
          <w:tcPr>
            <w:tcW w:w="4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4DA2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Feu vert pour le développement</w:t>
            </w:r>
          </w:p>
        </w:tc>
      </w:tr>
      <w:tr w14:paraId="09E56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0205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J2 — Revue d’architecture de l’anonymat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C1AB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S9</w:t>
            </w:r>
          </w:p>
        </w:tc>
        <w:tc>
          <w:tcPr>
            <w:tcW w:w="4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AE81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Validation du circuit jeton / urne par la Direction</w:t>
            </w:r>
          </w:p>
        </w:tc>
      </w:tr>
      <w:tr w14:paraId="7DCC4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F498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J3 — Version pilote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CC08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S11</w:t>
            </w:r>
          </w:p>
        </w:tc>
        <w:tc>
          <w:tcPr>
            <w:tcW w:w="4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6700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Test avec un département</w:t>
            </w:r>
          </w:p>
        </w:tc>
      </w:tr>
      <w:tr w14:paraId="093BB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60E4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J4 — Recette générale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E624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S15</w:t>
            </w:r>
          </w:p>
        </w:tc>
        <w:tc>
          <w:tcPr>
            <w:tcW w:w="4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0DAD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Autorisation de mise en production</w:t>
            </w:r>
          </w:p>
        </w:tc>
      </w:tr>
      <w:tr w14:paraId="6004A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B29D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J5 — Bilan de la première campagne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0473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Après S16</w:t>
            </w:r>
          </w:p>
        </w:tc>
        <w:tc>
          <w:tcPr>
            <w:tcW w:w="41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336F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Ajustements et feuille de route de la version 2</w:t>
            </w:r>
          </w:p>
        </w:tc>
      </w:tr>
    </w:tbl>
    <w:p w14:paraId="2D2043A3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4594F798">
      <w:pPr>
        <w:pStyle w:val="2"/>
        <w:pageBreakBefore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9. Risques et mesures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200"/>
        <w:gridCol w:w="1000"/>
        <w:gridCol w:w="4706"/>
      </w:tblGrid>
      <w:tr w14:paraId="0936B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DC10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Risque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ECE5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Probabilité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ABB8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4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DA6C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Mesure</w:t>
            </w:r>
          </w:p>
        </w:tc>
      </w:tr>
      <w:tr w14:paraId="2FC6C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F127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Faible taux de participation des étudiants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17E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Moyenne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BA78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Élevé</w:t>
            </w:r>
          </w:p>
        </w:tc>
        <w:tc>
          <w:tcPr>
            <w:tcW w:w="4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AB7A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Rappels, temps dédié en séance, communication sur l’anonymat et sur la restitution, interface très courte et mobile</w:t>
            </w:r>
          </w:p>
        </w:tc>
      </w:tr>
      <w:tr w14:paraId="433EE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92DB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Doute des étudiants sur l’anonymat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6038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Moyenne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3EDC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Élevé</w:t>
            </w:r>
          </w:p>
        </w:tc>
        <w:tc>
          <w:tcPr>
            <w:tcW w:w="4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47E1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Page d’explication claire, circuit audité, rapport de revue d’architecture accessible, aucune donnée démographique</w:t>
            </w:r>
          </w:p>
        </w:tc>
      </w:tr>
      <w:tr w14:paraId="5A81B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A14B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Résultats utilisés à des fins punitives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8375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Moyenne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9ADD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Élevé</w:t>
            </w:r>
          </w:p>
        </w:tc>
        <w:tc>
          <w:tcPr>
            <w:tcW w:w="4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984D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Mention de l’article 77, seuil de répondants, accès limité par rôle, charte d’utilisation signée</w:t>
            </w:r>
          </w:p>
        </w:tc>
      </w:tr>
      <w:tr w14:paraId="39577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0891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Connexion Internet instable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4152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Élevée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A499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Moyen</w:t>
            </w:r>
          </w:p>
        </w:tc>
        <w:tc>
          <w:tcPr>
            <w:tcW w:w="4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7A2B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PWA, brouillons locaux, compression, pages légères</w:t>
            </w:r>
          </w:p>
        </w:tc>
      </w:tr>
      <w:tr w14:paraId="45B9C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9E80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Données de référence incomplètes (UE, inscriptions, affectations)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02FB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Élevée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DF97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Élevé</w:t>
            </w:r>
          </w:p>
        </w:tc>
        <w:tc>
          <w:tcPr>
            <w:tcW w:w="4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B4AF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Imports CSV avec rapport d’erreurs, référent Scolarité, contrôle avant ouverture de campagne</w:t>
            </w:r>
          </w:p>
        </w:tc>
      </w:tr>
      <w:tr w14:paraId="5918F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1664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Résistance au changement (cahier de texte)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0106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Moyenne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85B7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Moyen</w:t>
            </w:r>
          </w:p>
        </w:tc>
        <w:tc>
          <w:tcPr>
            <w:tcW w:w="4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6CCB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Formation, saisie en moins de 2 minutes, accompagnement des délégués</w:t>
            </w:r>
          </w:p>
        </w:tc>
      </w:tr>
      <w:tr w14:paraId="305F1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2B7D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Panne ou perte de données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8919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Faible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5A4E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Élevé</w:t>
            </w:r>
          </w:p>
        </w:tc>
        <w:tc>
          <w:tcPr>
            <w:tcW w:w="4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9E6A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Sauvegardes testées, supervision, plan de reprise</w:t>
            </w:r>
          </w:p>
        </w:tc>
      </w:tr>
      <w:tr w14:paraId="51CB9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342A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Cyberattaque ou fuite de comptes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2682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Moyenne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50CE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Élevé</w:t>
            </w:r>
          </w:p>
        </w:tc>
        <w:tc>
          <w:tcPr>
            <w:tcW w:w="4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FC7E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Mesures de la section 5.7, audit avant mise en production, 2FA pour les rôles sensibles</w:t>
            </w:r>
          </w:p>
        </w:tc>
      </w:tr>
      <w:tr w14:paraId="068AB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14F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Dépassement du planning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37A1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Moyenne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FFA0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Moyen</w:t>
            </w:r>
          </w:p>
        </w:tc>
        <w:tc>
          <w:tcPr>
            <w:tcW w:w="4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DF09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Version pilote en S11, périmètre priorisé (Essentielle / Importante / Souhaitable)</w:t>
            </w:r>
          </w:p>
        </w:tc>
      </w:tr>
      <w:tr w14:paraId="72655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875D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Dépendance à une personne clé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0252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Moyenne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FF06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Moyen</w:t>
            </w:r>
          </w:p>
        </w:tc>
        <w:tc>
          <w:tcPr>
            <w:tcW w:w="4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49BF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Documentation, revues de code, binômes</w:t>
            </w:r>
          </w:p>
        </w:tc>
      </w:tr>
      <w:tr w14:paraId="60E60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225B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Petits effectifs rendant l’anonymat fragile</w:t>
            </w:r>
          </w:p>
        </w:tc>
        <w:tc>
          <w:tcPr>
            <w:tcW w:w="1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196A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Élevée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304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Moyen</w:t>
            </w:r>
          </w:p>
        </w:tc>
        <w:tc>
          <w:tcPr>
            <w:tcW w:w="47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5685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Seuil de 5 répondants, regroupement des petites UE</w:t>
            </w:r>
          </w:p>
        </w:tc>
      </w:tr>
    </w:tbl>
    <w:p w14:paraId="18376CE9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79B812B7">
      <w:pPr>
        <w:pStyle w:val="2"/>
        <w:pageBreakBefore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10. Recette et livrables</w:t>
      </w:r>
    </w:p>
    <w:p w14:paraId="738CD60A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10.1 Critères d’acceptation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406"/>
      </w:tblGrid>
      <w:tr w14:paraId="35338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3CE0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Domaine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4AE7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Critère d’acceptation</w:t>
            </w:r>
          </w:p>
        </w:tc>
      </w:tr>
      <w:tr w14:paraId="34EE6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E9FF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Anonymat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036E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Aucune requête ni vue de la base ne permet de relier une réponse à un étudiant ; un test d’intrusion interne le confirme ; un étudiant ne peut déposer qu’un seul questionnaire par UE</w:t>
            </w:r>
          </w:p>
        </w:tc>
      </w:tr>
      <w:tr w14:paraId="787B7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2A31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Questionnaire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E453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19 critères, les 5 sections, l’échelle de 1 à 5, « Sans avis » et les deux commentaires libres sont identiques à la grille ENP</w:t>
            </w:r>
          </w:p>
        </w:tc>
      </w:tr>
      <w:tr w14:paraId="4DD24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07A4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Calculs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E3E4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moyennes par section et la satisfaction globale correspondent aux calculs manuels sur un jeu de test ; « Sans avis » exclu</w:t>
            </w:r>
          </w:p>
        </w:tc>
      </w:tr>
      <w:tr w14:paraId="1B776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755B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Seuil d’anonymat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55C6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Aucun détail n’est affiché sous 5 répondants ; aucun résultat n’est visible avant la clôture</w:t>
            </w:r>
          </w:p>
        </w:tc>
      </w:tr>
      <w:tr w14:paraId="5F0B4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C68F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Droits d’accès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1D6F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Chaque rôle n’accède qu’à son périmètre ; tests négatifs réussis (accès interdit refusé)</w:t>
            </w:r>
          </w:p>
        </w:tc>
      </w:tr>
      <w:tr w14:paraId="4ECD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765A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Cahier de texte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18BD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Création, visa, verrouillage, versions et calcul du volume horaire conformes aux règles RG-20 à RG-26</w:t>
            </w:r>
          </w:p>
        </w:tc>
      </w:tr>
      <w:tr w14:paraId="7FD25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34D2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Synthèse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B6E9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La grille de synthèse générée a la même structure que le modèle ENP et se télécharge en PDF, Excel et Word</w:t>
            </w:r>
          </w:p>
        </w:tc>
      </w:tr>
      <w:tr w14:paraId="36F3D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3D9E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Performance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80EE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Test de charge de 500 utilisateurs simultanés réussi avec les temps de réponse cibles</w:t>
            </w:r>
          </w:p>
        </w:tc>
      </w:tr>
      <w:tr w14:paraId="0E464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9C6B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Mobile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774A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Parcours étudiant et délégué utilisables sur écran de 360 px et connexion lente simulée</w:t>
            </w:r>
          </w:p>
        </w:tc>
      </w:tr>
      <w:tr w14:paraId="1FF1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86B2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Sécurité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28DC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Audit sans vulnérabilité critique ou élevée ; sauvegarde restaurée avec succès</w:t>
            </w:r>
          </w:p>
        </w:tc>
      </w:tr>
      <w:tr w14:paraId="5BA1E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6436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Accessibilité</w:t>
            </w:r>
          </w:p>
        </w:tc>
        <w:tc>
          <w:tcPr>
            <w:tcW w:w="74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6EAD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Navigation au clavier et contrastes conformes au niveau AA sur les parcours principaux</w:t>
            </w:r>
          </w:p>
        </w:tc>
      </w:tr>
    </w:tbl>
    <w:p w14:paraId="080F97C5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166CD6EB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10.2 Livrables</w:t>
      </w:r>
    </w:p>
    <w:p w14:paraId="10214F51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Code source complet, versionné, avec historique et instructions d’installation.</w:t>
      </w:r>
    </w:p>
    <w:p w14:paraId="66AB12CC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Plateforme déployée en recette puis en production, avec nom de domaine et certificat.</w:t>
      </w:r>
    </w:p>
    <w:p w14:paraId="60791EA8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Documentation technique : architecture, modèle de données, API (OpenAPI), procédures d’exploitation, de sauvegarde et de restauration.</w:t>
      </w:r>
    </w:p>
    <w:p w14:paraId="6FA9D7B2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Rapport de revue d’architecture de l’anonymat et rapport d’audit de sécurité.</w:t>
      </w:r>
    </w:p>
    <w:p w14:paraId="42F67EC6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Manuels utilisateurs par rôle (étudiant, délégué, enseignant, Chef de Département, Scolarité, administrateur).</w:t>
      </w:r>
    </w:p>
    <w:p w14:paraId="7E2A81CE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Supports de formation et session de formation des administrateurs et référents.</w:t>
      </w:r>
    </w:p>
    <w:p w14:paraId="5E40FB3A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Jeux de données de test et scripts d’import.</w:t>
      </w:r>
    </w:p>
    <w:p w14:paraId="75B01BC3">
      <w:pPr>
        <w:pStyle w:val="17"/>
        <w:numPr>
          <w:ilvl w:val="0"/>
          <w:numId w:val="1"/>
        </w:numPr>
        <w:spacing w:after="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Période de garantie et de suivi renforcé pendant la première campagne.</w:t>
      </w:r>
    </w:p>
    <w:p w14:paraId="0E365DF4">
      <w:pPr>
        <w:pStyle w:val="3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10.3 Formation et accompagnement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4806"/>
        <w:gridCol w:w="1700"/>
      </w:tblGrid>
      <w:tr w14:paraId="6049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1655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Public</w:t>
            </w:r>
          </w:p>
        </w:tc>
        <w:tc>
          <w:tcPr>
            <w:tcW w:w="4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DBD9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38C3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Durée</w:t>
            </w:r>
          </w:p>
        </w:tc>
      </w:tr>
      <w:tr w14:paraId="1ED47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4155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Scolarité et administrateurs</w:t>
            </w:r>
          </w:p>
        </w:tc>
        <w:tc>
          <w:tcPr>
            <w:tcW w:w="4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183E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Atelier pratique : référentiels, imports, campagnes, modération, exports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1395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1 jour</w:t>
            </w:r>
          </w:p>
        </w:tc>
      </w:tr>
      <w:tr w14:paraId="32461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5733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Chefs de Département</w:t>
            </w:r>
          </w:p>
        </w:tc>
        <w:tc>
          <w:tcPr>
            <w:tcW w:w="4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917C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Séance de présentation : tableaux de bord, synthèse, suites données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B14B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2 heures</w:t>
            </w:r>
          </w:p>
        </w:tc>
      </w:tr>
      <w:tr w14:paraId="6EF0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3202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Enseignants</w:t>
            </w:r>
          </w:p>
        </w:tc>
        <w:tc>
          <w:tcPr>
            <w:tcW w:w="4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134D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Démonstration : résultats, visa du cahier de texte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F73F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1 heure</w:t>
            </w:r>
          </w:p>
        </w:tc>
      </w:tr>
      <w:tr w14:paraId="3FFB2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0DC8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Délégués et suppléants</w:t>
            </w:r>
          </w:p>
        </w:tc>
        <w:tc>
          <w:tcPr>
            <w:tcW w:w="4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AF26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Atelier : saisie rapide du cahier de texte sur téléphone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2D6A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1 heure</w:t>
            </w:r>
          </w:p>
        </w:tc>
      </w:tr>
      <w:tr w14:paraId="01C7F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A2D3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Étudiants</w:t>
            </w:r>
          </w:p>
        </w:tc>
        <w:tc>
          <w:tcPr>
            <w:tcW w:w="4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6FC7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Communication courte (affiche, message, vidéo) sur l’anonymat et le déroulé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9C8B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Moins de 5 minutes</w:t>
            </w:r>
          </w:p>
        </w:tc>
      </w:tr>
    </w:tbl>
    <w:p w14:paraId="74CD972D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0A4C0866">
      <w:pPr>
        <w:pStyle w:val="2"/>
        <w:pageBreakBefore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11. Points à valider par l’ENP</w:t>
      </w:r>
    </w:p>
    <w:p w14:paraId="08B05219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Les décisions ci-dessous influencent la conception. Une recommandation par défaut est proposée pour chacune afin de ne pas bloquer le démarrage.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5300"/>
        <w:gridCol w:w="3806"/>
      </w:tblGrid>
      <w:tr w14:paraId="2B2BF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D3F9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5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3A01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0BF8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Recommandation par défaut</w:t>
            </w:r>
          </w:p>
        </w:tc>
      </w:tr>
      <w:tr w14:paraId="1AEB3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4CF5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</w:t>
            </w:r>
          </w:p>
        </w:tc>
        <w:tc>
          <w:tcPr>
            <w:tcW w:w="5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FEA2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Comment les étudiants s’authentifient-ils (matricule existant, e-mail institutionnel, comptes à créer) ? Disposent-ils tous d’une adresse e-mail ou d’un téléphone ?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0F21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Matricule + mot de passe activé par code remis par la Scolarité ; e-mail ou téléphone pour la récupération</w:t>
            </w:r>
          </w:p>
        </w:tc>
      </w:tr>
      <w:tr w14:paraId="2A6C1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426FC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2</w:t>
            </w:r>
          </w:p>
        </w:tc>
        <w:tc>
          <w:tcPr>
            <w:tcW w:w="5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862F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 circuit « connexion puis jeton » est-il retenu, ou la variante par codes à usage unique distribués en séance ?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AC2A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Circuit principal avec jeton (section 5.4)</w:t>
            </w:r>
          </w:p>
        </w:tc>
      </w:tr>
      <w:tr w14:paraId="44EBB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E1D1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3</w:t>
            </w:r>
          </w:p>
        </w:tc>
        <w:tc>
          <w:tcPr>
            <w:tcW w:w="5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FFB0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Quel seuil minimal de répondants pour afficher les résultats d’une UE ?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F65D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5 répondants</w:t>
            </w:r>
          </w:p>
        </w:tc>
      </w:tr>
      <w:tr w14:paraId="42CDB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101E0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4</w:t>
            </w:r>
          </w:p>
        </w:tc>
        <w:tc>
          <w:tcPr>
            <w:tcW w:w="5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30DD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 Chef de Département voit-il les commentaires libres, et l’enseignant peut-il y répondre ?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5125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Oui pour les deux, commentaires modérés</w:t>
            </w:r>
          </w:p>
        </w:tc>
      </w:tr>
      <w:tr w14:paraId="552B8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8209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5</w:t>
            </w:r>
          </w:p>
        </w:tc>
        <w:tc>
          <w:tcPr>
            <w:tcW w:w="5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9036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Qui modère les commentaires libres (Scolarité, Chef de Département, comité) ?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7E55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Scolarité, avec traçabilité</w:t>
            </w:r>
          </w:p>
        </w:tc>
      </w:tr>
      <w:tr w14:paraId="69F06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F394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6</w:t>
            </w:r>
          </w:p>
        </w:tc>
        <w:tc>
          <w:tcPr>
            <w:tcW w:w="5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C016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Un visa non délivré dans les 7 jours vaut-il validation tacite ?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83AE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Non : relance puis signalement au Chef de Département</w:t>
            </w:r>
          </w:p>
        </w:tc>
      </w:tr>
      <w:tr w14:paraId="5935A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63B2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7</w:t>
            </w:r>
          </w:p>
        </w:tc>
        <w:tc>
          <w:tcPr>
            <w:tcW w:w="5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0A57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étudiants peuvent-ils consulter le cahier de texte de leur classe ?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55CF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Oui, en lecture seule (version 2 si besoin)</w:t>
            </w:r>
          </w:p>
        </w:tc>
      </w:tr>
      <w:tr w14:paraId="3BBBE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8F3E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8</w:t>
            </w:r>
          </w:p>
        </w:tc>
        <w:tc>
          <w:tcPr>
            <w:tcW w:w="5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341D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Quelle est la durée de conservation des réponses individuelles ?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E787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5 ans, puis agrégats seulement</w:t>
            </w:r>
          </w:p>
        </w:tc>
      </w:tr>
      <w:tr w14:paraId="1E587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8344D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9</w:t>
            </w:r>
          </w:p>
        </w:tc>
        <w:tc>
          <w:tcPr>
            <w:tcW w:w="5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6A41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Quelles données les systèmes existants de la Scolarité peuvent-ils fournir (UE, inscriptions, affectations) et sous quel format ?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5957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Fichiers CSV normalisés au démarrage ; connexion directe en version 2</w:t>
            </w:r>
          </w:p>
        </w:tc>
      </w:tr>
      <w:tr w14:paraId="080DB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55F1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10</w:t>
            </w:r>
          </w:p>
        </w:tc>
        <w:tc>
          <w:tcPr>
            <w:tcW w:w="5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3CBF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Où héberger la plateforme (serveur ENP, hébergeur externe, mixte) et dans quel pays ?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5F33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VPS d’un hébergeur fiable avec copie des sauvegardes sur site</w:t>
            </w:r>
          </w:p>
        </w:tc>
      </w:tr>
      <w:tr w14:paraId="03FCD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1CB2F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11</w:t>
            </w:r>
          </w:p>
        </w:tc>
        <w:tc>
          <w:tcPr>
            <w:tcW w:w="5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9160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 questionnaire doit-il être identique pour tous les cursus (Cycle Préparatoire, Ingénieur, Master) ?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6A6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Un questionnaire commun versionné, avec possibilité d’adaptation ultérieure</w:t>
            </w:r>
          </w:p>
        </w:tc>
      </w:tr>
      <w:tr w14:paraId="2B42E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AF87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12</w:t>
            </w:r>
          </w:p>
        </w:tc>
        <w:tc>
          <w:tcPr>
            <w:tcW w:w="5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8802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Plusieurs campus : une plateforme unique ou une instance par campus ?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52F9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Plateforme unique, données cloisonnées par campus et département</w:t>
            </w:r>
          </w:p>
        </w:tc>
      </w:tr>
      <w:tr w14:paraId="07ED8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0501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13</w:t>
            </w:r>
          </w:p>
        </w:tc>
        <w:tc>
          <w:tcPr>
            <w:tcW w:w="5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F8BD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 conseil de perfectionnement a-t-il besoin d’un accès direct ?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B289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Non en version 1 : synthèse exportée</w:t>
            </w:r>
          </w:p>
        </w:tc>
      </w:tr>
      <w:tr w14:paraId="576D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B6C7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14</w:t>
            </w:r>
          </w:p>
        </w:tc>
        <w:tc>
          <w:tcPr>
            <w:tcW w:w="5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3EBF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Quels enseignants sont concernés (permanents, vacataires, intervenants extérieurs) et comment leurs comptes sont-ils créés ?</w:t>
            </w:r>
          </w:p>
        </w:tc>
        <w:tc>
          <w:tcPr>
            <w:tcW w:w="38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D59E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Comptes créés par la Scolarité sur import ; vacataires à durée limitée</w:t>
            </w:r>
          </w:p>
        </w:tc>
      </w:tr>
    </w:tbl>
    <w:p w14:paraId="3304E8D8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7B85EF82">
      <w:pPr>
        <w:pStyle w:val="2"/>
        <w:pageBreakBefore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Annexe A — Questionnaire d’évaluation</w:t>
      </w:r>
    </w:p>
    <w:p w14:paraId="3C1E15F9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Le questionnaire reprend à l’identique la grille d’évaluation de l’ENP. Il est enregistré en base de données sous forme versionnée (EVA-07). Échelle : 1 Pas du tout d’accord · 2 Plutôt pas d’accord · 3 Neutre · 4 Plutôt d’accord · 5 Tout à fait d’accord · Sans avis.</w:t>
      </w:r>
    </w:p>
    <w:p w14:paraId="446575AE">
      <w:pPr>
        <w:pStyle w:val="4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Identification de l’UE (renseignée automatiquement par le contexte, non saisie par l’étudiant)</w:t>
      </w:r>
    </w:p>
    <w:p w14:paraId="49EA3775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sz w:val="20"/>
          <w:szCs w:val="20"/>
        </w:rPr>
        <w:t>Campus, département, formation/cursus, semestre (S1 à S10), code de l’UE, intitulé de l’UE. Le nom de l’enseignant n’est pas renseigné par l’étudiant : l’identification de l’enseignant responsable est assurée par la Scolarité.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300"/>
        <w:gridCol w:w="5506"/>
      </w:tblGrid>
      <w:tr w14:paraId="3BC60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822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DECB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BEFB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Critère</w:t>
            </w:r>
          </w:p>
        </w:tc>
      </w:tr>
      <w:tr w14:paraId="7C714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8930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A1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FD39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A. Organisation et contenu de l’enseignement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A77C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objectifs de l’UE ont été clairement présentés en début de semestre</w:t>
            </w:r>
          </w:p>
        </w:tc>
      </w:tr>
      <w:tr w14:paraId="6876A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A700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A2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C2C4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A. Organisation et contenu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E039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 contenu enseigné correspondait au syllabus communiqué</w:t>
            </w:r>
          </w:p>
        </w:tc>
      </w:tr>
      <w:tr w14:paraId="08D02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7488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A3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1C17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A. Organisation et contenu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3770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La progression des séances était cohérente et bien structurée</w:t>
            </w:r>
          </w:p>
        </w:tc>
      </w:tr>
      <w:tr w14:paraId="2C93D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8925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A4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B694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A. Organisation et contenu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1DDF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La charge de travail demandée était adaptée au nombre de crédits de l’UE</w:t>
            </w:r>
          </w:p>
        </w:tc>
      </w:tr>
      <w:tr w14:paraId="61D5F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4B93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A5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7A6B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A. Organisation et contenu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5ACD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liens avec les autres UE du semestre étaient explicites</w:t>
            </w:r>
          </w:p>
        </w:tc>
      </w:tr>
      <w:tr w14:paraId="0DDAB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87B9E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B1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C143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B. Qualité pédagogique de l’enseignant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716B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explications étaient claires et compréhensibles</w:t>
            </w:r>
          </w:p>
        </w:tc>
      </w:tr>
      <w:tr w14:paraId="25B91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A8E4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B2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A783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B. Qualité pédagogique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9348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L’enseignant était disponible et accessible en dehors des séances</w:t>
            </w:r>
          </w:p>
        </w:tc>
      </w:tr>
      <w:tr w14:paraId="4B899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29AFA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B3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7748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B. Qualité pédagogique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4260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L’enseignant répondait de façon satisfaisante aux questions posées</w:t>
            </w:r>
          </w:p>
        </w:tc>
      </w:tr>
      <w:tr w14:paraId="22550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5082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B4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5499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B. Qualité pédagogique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3664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supports pédagogiques (polycopiés, diapositives, exercices) étaient utiles et de qualité</w:t>
            </w:r>
          </w:p>
        </w:tc>
      </w:tr>
      <w:tr w14:paraId="3F562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7D2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B5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A9AD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B. Qualité pédagogique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DAC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 rythme des séances permettait une bonne assimilation du contenu</w:t>
            </w:r>
          </w:p>
        </w:tc>
      </w:tr>
      <w:tr w14:paraId="6812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A1EAB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C1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EB88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C. Évaluation et retour pédagogique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550B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modalités d’évaluation avaient été clairement communiquées en début de semestre</w:t>
            </w:r>
          </w:p>
        </w:tc>
      </w:tr>
      <w:tr w14:paraId="68F75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AB15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C2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DE28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C. Évaluation et retour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A09E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épreuves étaient cohérentes avec le contenu réellement enseigné</w:t>
            </w:r>
          </w:p>
        </w:tc>
      </w:tr>
      <w:tr w14:paraId="2CDF5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3DA8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C3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5EEC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C. Évaluation et retour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D3BB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corrections et les résultats ont été communiqués dans un délai raisonnable</w:t>
            </w:r>
          </w:p>
        </w:tc>
      </w:tr>
      <w:tr w14:paraId="30198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D85D7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C4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6AC9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C. Évaluation et retour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D77E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retours reçus ont permis de comprendre mes erreurs et de progresser</w:t>
            </w:r>
          </w:p>
        </w:tc>
      </w:tr>
      <w:tr w14:paraId="7EE74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1781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D1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E592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D. Moyens et conditions matérielles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7554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salles de cours/TD étaient adaptées (capacité, confort, équipement)</w:t>
            </w:r>
          </w:p>
        </w:tc>
      </w:tr>
      <w:tr w14:paraId="33E24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06A64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D2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1F55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D. Moyens et conditions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81CA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équipements de travaux pratiques étaient suffisants et fonctionnels</w:t>
            </w:r>
          </w:p>
        </w:tc>
      </w:tr>
      <w:tr w14:paraId="1E81F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18DB1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D3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143D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D. Moyens et conditions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07C5A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Les ressources numériques (plateforme, documents en ligne) étaient accessibles</w:t>
            </w:r>
          </w:p>
        </w:tc>
      </w:tr>
      <w:tr w14:paraId="1CF0C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79389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E1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8A34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E. Appréciation globale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A181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De façon générale, je suis satisfait(e) de cette unité d’enseignement</w:t>
            </w:r>
          </w:p>
        </w:tc>
      </w:tr>
      <w:tr w14:paraId="737E5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3F848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E2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E8BB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E. Appréciation globale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A8A7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Je recommanderais cette UE, telle qu’enseignée, à un autre étudiant</w:t>
            </w:r>
          </w:p>
        </w:tc>
      </w:tr>
      <w:tr w14:paraId="2FEBF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BA963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CL1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89D3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Commentaires libres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608F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Points forts de l’enseignement</w:t>
            </w:r>
          </w:p>
        </w:tc>
      </w:tr>
      <w:tr w14:paraId="08412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9BCB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CL2</w:t>
            </w:r>
          </w:p>
        </w:tc>
        <w:tc>
          <w:tcPr>
            <w:tcW w:w="3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A1A3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Commentaires libres</w:t>
            </w:r>
          </w:p>
        </w:tc>
        <w:tc>
          <w:tcPr>
            <w:tcW w:w="55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193F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Points à améliorer / suggestions</w:t>
            </w:r>
          </w:p>
        </w:tc>
      </w:tr>
    </w:tbl>
    <w:p w14:paraId="06A88596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539DAE14">
      <w:pPr>
        <w:pStyle w:val="4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Grille de synthèse par semestre : colonnes générées automatiquement</w:t>
      </w:r>
    </w:p>
    <w:p w14:paraId="01C0A78B">
      <w:pPr>
        <w:spacing w:after="12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sz w:val="20"/>
          <w:szCs w:val="20"/>
        </w:rPr>
        <w:t>Code UE · Intitulé de l’UE · Enseignant · Nombre de réponses · Moyenne A (Contenu) · Moyenne B (Pédagogie) · Moyenne C (Évaluation) · Moyenne D (Moyens) · Satisfaction globale (E). En tête : campus, département, semestre, année universitaire, nombre total de répondants. En pied : UE aux meilleures appréciations, UE nécessitant une attention particulière, actions correctives et suites données, établi par, date, visa du Chef de Département.</w:t>
      </w:r>
    </w:p>
    <w:p w14:paraId="131B1EB9">
      <w:pPr>
        <w:pStyle w:val="2"/>
        <w:pageBreakBefore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Annexe B — Fiche de séance du cahier de texte</w:t>
      </w:r>
    </w:p>
    <w:tbl>
      <w:tblPr>
        <w:tblStyle w:val="16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600"/>
        <w:gridCol w:w="1300"/>
        <w:gridCol w:w="3206"/>
      </w:tblGrid>
      <w:tr w14:paraId="67817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ED34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CFB76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55F75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Obligatoire</w:t>
            </w:r>
          </w:p>
        </w:tc>
        <w:tc>
          <w:tcPr>
            <w:tcW w:w="3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16762">
            <w:pPr>
              <w:jc w:val="center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FFFFFF"/>
                <w:sz w:val="18"/>
                <w:szCs w:val="18"/>
              </w:rPr>
              <w:t>Règle de saisie</w:t>
            </w:r>
          </w:p>
        </w:tc>
      </w:tr>
      <w:tr w14:paraId="5C50E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95B8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Date de la séance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6B61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Date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C5DB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Oui</w:t>
            </w:r>
          </w:p>
        </w:tc>
        <w:tc>
          <w:tcPr>
            <w:tcW w:w="3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400A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Pas postérieure à la date du jour</w:t>
            </w:r>
          </w:p>
        </w:tc>
      </w:tr>
      <w:tr w14:paraId="40D94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184D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Heure de début / de fin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359F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Heures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1245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Oui</w:t>
            </w:r>
          </w:p>
        </w:tc>
        <w:tc>
          <w:tcPr>
            <w:tcW w:w="3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A852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Fin postérieure au début ; durée calculée automatiquement</w:t>
            </w:r>
          </w:p>
        </w:tc>
      </w:tr>
      <w:tr w14:paraId="08FB3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562F6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UE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96CB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Liste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05ED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Oui</w:t>
            </w:r>
          </w:p>
        </w:tc>
        <w:tc>
          <w:tcPr>
            <w:tcW w:w="3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E0C2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UE du semestre de la classe du délégué</w:t>
            </w:r>
          </w:p>
        </w:tc>
      </w:tr>
      <w:tr w14:paraId="02478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AD20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Enseignant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46FA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Liste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7692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Oui</w:t>
            </w:r>
          </w:p>
        </w:tc>
        <w:tc>
          <w:tcPr>
            <w:tcW w:w="3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4044B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Enseignants affectés à l’UE ; présélectionné s’il est unique</w:t>
            </w:r>
          </w:p>
        </w:tc>
      </w:tr>
      <w:tr w14:paraId="54B5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34DF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Type de séance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6CC1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CM / TD / TP / Autre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77FE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Oui</w:t>
            </w:r>
          </w:p>
        </w:tc>
        <w:tc>
          <w:tcPr>
            <w:tcW w:w="3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BEB2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14:paraId="7F9F4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9869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Groupe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69D9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Liste ou texte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BA0C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Non</w:t>
            </w:r>
          </w:p>
        </w:tc>
        <w:tc>
          <w:tcPr>
            <w:tcW w:w="3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2C04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Pour les TD et TP à groupes multiples</w:t>
            </w:r>
          </w:p>
        </w:tc>
      </w:tr>
      <w:tr w14:paraId="036FE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923C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Statut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9028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Tenue / Reportée / Annulée / Enseignant absent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9B7E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Oui</w:t>
            </w:r>
          </w:p>
        </w:tc>
        <w:tc>
          <w:tcPr>
            <w:tcW w:w="3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6CC2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Motif facultatif pour les statuts autres que « Tenue »</w:t>
            </w:r>
          </w:p>
        </w:tc>
      </w:tr>
      <w:tr w14:paraId="6FF4E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D45E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Intitulé de la séance (chapitre)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33A2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Texte court (150 caractères)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A52A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Si tenue</w:t>
            </w:r>
          </w:p>
        </w:tc>
        <w:tc>
          <w:tcPr>
            <w:tcW w:w="3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CB0E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14:paraId="613E5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786A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Contenu traité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A0D0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Texte long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6214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Si tenue</w:t>
            </w:r>
          </w:p>
        </w:tc>
        <w:tc>
          <w:tcPr>
            <w:tcW w:w="3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375C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Résumé des notions abordées</w:t>
            </w:r>
          </w:p>
        </w:tc>
      </w:tr>
      <w:tr w14:paraId="05D68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66987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Travail à faire / références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A746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Texte long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CCF2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Non</w:t>
            </w:r>
          </w:p>
        </w:tc>
        <w:tc>
          <w:tcPr>
            <w:tcW w:w="3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F5C4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Exercices, lectures, échéances</w:t>
            </w:r>
          </w:p>
        </w:tc>
      </w:tr>
      <w:tr w14:paraId="70A37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72A2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Effectif présent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F0B9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Nombre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BDA00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Non</w:t>
            </w:r>
          </w:p>
        </w:tc>
        <w:tc>
          <w:tcPr>
            <w:tcW w:w="3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5A91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Indicatif</w:t>
            </w:r>
          </w:p>
        </w:tc>
      </w:tr>
      <w:tr w14:paraId="45030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69812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Observations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7C05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Texte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6364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Non</w:t>
            </w:r>
          </w:p>
        </w:tc>
        <w:tc>
          <w:tcPr>
            <w:tcW w:w="3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B11F1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—</w:t>
            </w:r>
          </w:p>
        </w:tc>
      </w:tr>
      <w:tr w14:paraId="61057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F65A5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Pièces jointes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6088F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Fichier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6AEEC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Non</w:t>
            </w:r>
          </w:p>
        </w:tc>
        <w:tc>
          <w:tcPr>
            <w:tcW w:w="3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7B93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PDF ou image, 5 Mo maximum (option)</w:t>
            </w:r>
          </w:p>
        </w:tc>
      </w:tr>
      <w:tr w14:paraId="1A60F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1D218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Saisi par / date de saisie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8B0E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Automatique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C3B2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Auto</w:t>
            </w:r>
          </w:p>
        </w:tc>
        <w:tc>
          <w:tcPr>
            <w:tcW w:w="3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F0A9E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Délégué ou suppléant connecté</w:t>
            </w:r>
          </w:p>
        </w:tc>
      </w:tr>
      <w:tr w14:paraId="5C637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25A53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b/>
                <w:bCs/>
                <w:color w:val="1F3864"/>
                <w:sz w:val="18"/>
                <w:szCs w:val="18"/>
              </w:rPr>
              <w:t>Visa de l’enseignant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6E01D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En attente / Visé / Contesté</w:t>
            </w:r>
          </w:p>
        </w:tc>
        <w:tc>
          <w:tcPr>
            <w:tcW w:w="13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A8274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Auto</w:t>
            </w:r>
          </w:p>
        </w:tc>
        <w:tc>
          <w:tcPr>
            <w:tcW w:w="320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F1039">
            <w:pPr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cs="Palatino Linotype"/>
                <w:sz w:val="18"/>
                <w:szCs w:val="18"/>
              </w:rPr>
              <w:t>Commentaire obligatoire en cas de contestation</w:t>
            </w:r>
          </w:p>
        </w:tc>
      </w:tr>
    </w:tbl>
    <w:p w14:paraId="6BF69E25">
      <w:pPr>
        <w:spacing w:after="160" w:line="20" w:lineRule="exact"/>
        <w:rPr>
          <w:rFonts w:hint="default" w:ascii="Palatino Linotype" w:hAnsi="Palatino Linotype" w:cs="Palatino Linotype"/>
        </w:rPr>
      </w:pPr>
    </w:p>
    <w:p w14:paraId="6164C6DC">
      <w:pPr>
        <w:spacing w:after="300" w:line="20" w:lineRule="exact"/>
        <w:rPr>
          <w:rFonts w:hint="default" w:ascii="Palatino Linotype" w:hAnsi="Palatino Linotype" w:cs="Palatino Linotype"/>
        </w:rPr>
      </w:pPr>
    </w:p>
    <w:p w14:paraId="39BE731E">
      <w:pPr>
        <w:pBdr>
          <w:top w:val="single" w:color="AAAAAA" w:sz="6" w:space="10"/>
        </w:pBdr>
        <w:spacing w:before="300"/>
        <w:jc w:val="center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i/>
          <w:iCs/>
          <w:color w:val="595959"/>
        </w:rPr>
        <w:t>Fin du cahier des charges</w:t>
      </w:r>
    </w:p>
    <w:sectPr>
      <w:footerReference r:id="rId3" w:type="default"/>
      <w:pgSz w:w="11906" w:h="16838"/>
      <w:pgMar w:top="1100" w:right="1100" w:bottom="11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9BF0E">
    <w:pPr>
      <w:pBdr>
        <w:top w:val="single" w:color="AAAAAA" w:sz="4" w:space="6"/>
      </w:pBdr>
      <w:jc w:val="center"/>
      <w:rPr>
        <w:rFonts w:hint="default" w:ascii="Palatino Linotype" w:hAnsi="Palatino Linotype" w:cs="Palatino Linotype"/>
      </w:rPr>
    </w:pPr>
    <w:r>
      <w:rPr>
        <w:rFonts w:hint="default" w:ascii="Palatino Linotype" w:hAnsi="Palatino Linotype" w:cs="Palatino Linotype"/>
        <w:b/>
        <w:bCs/>
        <w:color w:val="595959"/>
        <w:sz w:val="17"/>
        <w:szCs w:val="17"/>
      </w:rPr>
      <w:t>ENP</w:t>
    </w:r>
    <w:r>
      <w:rPr>
        <w:rFonts w:hint="default" w:ascii="Palatino Linotype" w:hAnsi="Palatino Linotype" w:cs="Palatino Linotype"/>
        <w:color w:val="595959"/>
        <w:sz w:val="17"/>
        <w:szCs w:val="17"/>
      </w:rPr>
      <w:t xml:space="preserve"> — Cahier des charges : plateforme d’évaluation des enseignements et cahier de texte — </w:t>
    </w:r>
    <w:r>
      <w:rPr>
        <w:rFonts w:hint="default" w:ascii="Palatino Linotype" w:hAnsi="Palatino Linotype" w:cs="Palatino Linotype"/>
        <w:b/>
        <w:bCs/>
        <w:color w:val="595959"/>
        <w:sz w:val="17"/>
        <w:szCs w:val="17"/>
      </w:rPr>
      <w:t xml:space="preserve">page </w:t>
    </w:r>
    <w:r>
      <w:rPr>
        <w:rFonts w:hint="default" w:ascii="Palatino Linotype" w:hAnsi="Palatino Linotype" w:cs="Palatino Linotype"/>
        <w:b/>
        <w:bCs/>
        <w:color w:val="595959"/>
        <w:sz w:val="17"/>
        <w:szCs w:val="17"/>
      </w:rPr>
      <w:fldChar w:fldCharType="begin"/>
    </w:r>
    <w:r>
      <w:rPr>
        <w:rFonts w:hint="default" w:ascii="Palatino Linotype" w:hAnsi="Palatino Linotype" w:cs="Palatino Linotype"/>
        <w:b/>
        <w:bCs/>
        <w:color w:val="595959"/>
        <w:sz w:val="17"/>
        <w:szCs w:val="17"/>
      </w:rPr>
      <w:instrText xml:space="preserve">PAGE</w:instrText>
    </w:r>
    <w:r>
      <w:rPr>
        <w:rFonts w:hint="default" w:ascii="Palatino Linotype" w:hAnsi="Palatino Linotype" w:cs="Palatino Linotype"/>
        <w:b/>
        <w:bCs/>
        <w:color w:val="595959"/>
        <w:sz w:val="17"/>
        <w:szCs w:val="17"/>
      </w:rPr>
      <w:fldChar w:fldCharType="separate"/>
    </w:r>
    <w:r>
      <w:rPr>
        <w:rFonts w:hint="default" w:ascii="Palatino Linotype" w:hAnsi="Palatino Linotype" w:cs="Palatino Linotype"/>
        <w:b/>
        <w:bCs/>
        <w:color w:val="595959"/>
        <w:sz w:val="17"/>
        <w:szCs w:val="17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  <w:color w:val="2E5395"/>
      </w:r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  <w:rPr>
        <w:color w:val="2E5395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77301A"/>
    <w:rsid w:val="14EA6CB4"/>
    <w:rsid w:val="2A3F4F99"/>
    <w:rsid w:val="4DDF5C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pPr>
      <w:pBdr>
        <w:bottom w:val="single" w:color="1F3864" w:sz="12" w:space="4"/>
      </w:pBdr>
      <w:spacing w:before="120" w:after="240"/>
      <w:outlineLvl w:val="0"/>
    </w:pPr>
    <w:rPr>
      <w:rFonts w:ascii="Calibri" w:hAnsi="Calibri" w:eastAsia="Calibri" w:cs="Calibri"/>
      <w:b/>
      <w:bCs/>
      <w:color w:val="1F3864"/>
      <w:sz w:val="36"/>
      <w:szCs w:val="36"/>
    </w:rPr>
  </w:style>
  <w:style w:type="paragraph" w:styleId="3">
    <w:name w:val="heading 2"/>
    <w:next w:val="1"/>
    <w:qFormat/>
    <w:uiPriority w:val="0"/>
    <w:pPr>
      <w:keepNext/>
      <w:spacing w:before="300" w:after="120"/>
      <w:outlineLvl w:val="1"/>
    </w:pPr>
    <w:rPr>
      <w:rFonts w:ascii="Calibri" w:hAnsi="Calibri" w:eastAsia="Calibri" w:cs="Calibri"/>
      <w:b/>
      <w:bCs/>
      <w:color w:val="2E5395"/>
      <w:sz w:val="28"/>
      <w:szCs w:val="28"/>
    </w:rPr>
  </w:style>
  <w:style w:type="paragraph" w:styleId="4">
    <w:name w:val="heading 3"/>
    <w:next w:val="1"/>
    <w:qFormat/>
    <w:uiPriority w:val="0"/>
    <w:pPr>
      <w:keepNext/>
      <w:spacing w:before="200" w:after="80"/>
      <w:outlineLvl w:val="2"/>
    </w:pPr>
    <w:rPr>
      <w:rFonts w:ascii="Calibri" w:hAnsi="Calibri" w:eastAsia="Calibri" w:cs="Calibri"/>
      <w:b/>
      <w:bCs/>
      <w:color w:val="1F3864"/>
      <w:sz w:val="23"/>
      <w:szCs w:val="23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uiPriority w:val="99"/>
    <w:rPr>
      <w:color w:val="0563C1"/>
      <w:u w:val="single"/>
    </w:r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paragraph" w:styleId="12">
    <w:name w:val="endnote text"/>
    <w:link w:val="19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TotalTime>1460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2026-10-02T09:47:00Z</dcterms:created>
  <dc:creator>Claude</dc:creator>
  <cp:lastModifiedBy>Joy Amos</cp:lastModifiedBy>
  <dcterms:modified xsi:type="dcterms:W3CDTF">2026-10-05T00:03:22Z</dcterms:modified>
  <dc:title>Cahier des charges — Plateforme d’évaluation des enseignements et cahier de texte (ENP)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8C79EDA4F8FF4F9C82F43F690FD879FE_12</vt:lpwstr>
  </property>
</Properties>
</file>