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3FD8" w14:textId="77777777" w:rsidR="000139B3" w:rsidRPr="00246E47" w:rsidRDefault="00000000">
      <w:pPr>
        <w:spacing w:before="720" w:after="240"/>
        <w:jc w:val="center"/>
      </w:pPr>
      <w:r>
        <w:rPr>
          <w:rFonts w:eastAsia="Arial"/>
          <w:b/>
          <w:bCs/>
          <w:sz w:val="52"/>
          <w:szCs w:val="52"/>
        </w:rPr>
        <w:t>Toward an Indian Sovereign AI Strategy:</w:t>
      </w:r>
    </w:p>
    <w:p w14:paraId="69981FBA" w14:textId="77777777" w:rsidR="000139B3" w:rsidRPr="00246E47" w:rsidRDefault="00000000">
      <w:pPr>
        <w:spacing w:after="400"/>
        <w:jc w:val="center"/>
      </w:pPr>
      <w:r>
        <w:rPr>
          <w:rFonts w:eastAsia="Arial"/>
          <w:b/>
          <w:bCs/>
          <w:sz w:val="40"/>
          <w:szCs w:val="40"/>
        </w:rPr>
        <w:t>Lessons from China's Coordinated AI Ecosystem</w:t>
      </w:r>
    </w:p>
    <w:p w14:paraId="0C060FBF" w14:textId="77777777" w:rsidR="000139B3" w:rsidRDefault="00000000" w:rsidP="00246E47">
      <w:pPr>
        <w:jc w:val="center"/>
        <w:rPr>
          <w:rFonts w:eastAsia="Arial"/>
          <w:sz w:val="26"/>
          <w:szCs w:val="26"/>
        </w:rPr>
      </w:pPr>
      <w:r>
        <w:rPr>
          <w:rFonts w:eastAsia="Arial"/>
          <w:sz w:val="26"/>
          <w:szCs w:val="26"/>
        </w:rPr>
        <w:t>Joy Bose</w:t>
      </w:r>
    </w:p>
    <w:p w14:paraId="2A3780CF" w14:textId="0D965A2D" w:rsidR="00246E47" w:rsidRDefault="00246E47" w:rsidP="00246E47">
      <w:pPr>
        <w:jc w:val="center"/>
        <w:rPr>
          <w:rFonts w:eastAsia="Arial"/>
          <w:sz w:val="26"/>
          <w:szCs w:val="26"/>
        </w:rPr>
      </w:pPr>
      <w:r>
        <w:rPr>
          <w:rFonts w:eastAsia="Arial"/>
          <w:sz w:val="26"/>
          <w:szCs w:val="26"/>
        </w:rPr>
        <w:t>Bangalore, India</w:t>
      </w:r>
    </w:p>
    <w:p w14:paraId="240B7823" w14:textId="171186E7" w:rsidR="00246E47" w:rsidRDefault="00246E47" w:rsidP="00246E47">
      <w:pPr>
        <w:jc w:val="center"/>
        <w:rPr>
          <w:rFonts w:eastAsia="Arial"/>
          <w:sz w:val="26"/>
          <w:szCs w:val="26"/>
        </w:rPr>
      </w:pPr>
      <w:r>
        <w:rPr>
          <w:rFonts w:eastAsia="Arial"/>
          <w:sz w:val="26"/>
          <w:szCs w:val="26"/>
        </w:rPr>
        <w:t>joy.bose@ieee.org</w:t>
      </w:r>
    </w:p>
    <w:p w14:paraId="02054B4A" w14:textId="77777777" w:rsidR="00246E47" w:rsidRPr="00246E47" w:rsidRDefault="00246E47">
      <w:pPr>
        <w:spacing w:after="160"/>
        <w:jc w:val="center"/>
      </w:pPr>
    </w:p>
    <w:p w14:paraId="217EACA0" w14:textId="77777777" w:rsidR="000139B3" w:rsidRPr="00246E47" w:rsidRDefault="00000000" w:rsidP="00246E47">
      <w:pPr>
        <w:spacing w:before="200" w:after="120"/>
        <w:jc w:val="both"/>
      </w:pPr>
      <w:r>
        <w:rPr>
          <w:rFonts w:eastAsia="Arial"/>
          <w:b/>
          <w:bCs/>
          <w:sz w:val="24"/>
          <w:szCs w:val="24"/>
        </w:rPr>
        <w:t>Abstract</w:t>
      </w:r>
    </w:p>
    <w:p w14:paraId="13B12C14" w14:textId="507156FC" w:rsidR="000139B3" w:rsidRPr="00246E47" w:rsidRDefault="00000000" w:rsidP="00246E47">
      <w:pPr>
        <w:spacing w:before="80" w:after="80" w:line="276" w:lineRule="auto"/>
        <w:ind w:right="720"/>
        <w:jc w:val="both"/>
        <w:rPr>
          <w:sz w:val="24"/>
          <w:szCs w:val="24"/>
        </w:rPr>
      </w:pPr>
      <w:r>
        <w:rPr>
          <w:rFonts w:eastAsia="Arial"/>
          <w:sz w:val="24"/>
          <w:szCs w:val="24"/>
        </w:rPr>
        <w:t>Artificial intelligence has emerged as foundational national infrastructure, reshaping economic competitiveness, industrial transformation, public administration, and national security simultaneously. Among major economies, China has constructed one of the world's most systematically coordinated national AI ecosystems, an achievement that warrants serious study by any nation building its own AI strategy, regardless of political differences. Over nearly a decade, China has integrated industrial policy, scientific research, education reform, standards development, manufacturing transformation, consumer protection, and international standards diplomacy into a mutually reinforcing national framework. This paper provides a comparative policy analysis of China's AI governance architecture based on primary documents including the State Council AI+ Opinions (2025), the CAC Provisional Measures on Human-like Interactive AI Services (2026), the AI Industry Standardisation Guidelines (2024), the AI+ Manufacturing Opinions (2026), the Beijing Municipal AI+ Plan (2024–2025), and the school GenAI guide (2025). From this empirical base, the paper derives a ten-pillar framework for an Indian Sovereign AI Strategy grounded in India's constitutional values, democratic institutions, linguistic diversity, and existing Digital Public Infrastructure. The paper further argues that BRICS nations and the broader democratic Global South should coordinate on compute access, multilingual AI development, and AI governance norms rather than passively accepting frameworks designed by and for the US-EU technology axis. Specific institutional actors are identified throughout: MeitY, NITI Aayog, C-DAC, BIS, CERT-In, STQC, IITs, NASSCOM, sector ministries, and multilateral bodies. Future work will extend this analysis using computational knowledge graph methods to quantify coordination density across both ecosystems.</w:t>
      </w:r>
    </w:p>
    <w:p w14:paraId="44A40305" w14:textId="77777777" w:rsidR="00246E47" w:rsidRDefault="00246E47" w:rsidP="00246E47">
      <w:pPr>
        <w:spacing w:before="80" w:after="80" w:line="276" w:lineRule="auto"/>
        <w:ind w:right="720"/>
        <w:jc w:val="both"/>
        <w:rPr>
          <w:rFonts w:eastAsia="Arial"/>
          <w:i/>
          <w:iCs/>
        </w:rPr>
      </w:pPr>
    </w:p>
    <w:p w14:paraId="0EF4A65A" w14:textId="2590F216" w:rsidR="000139B3" w:rsidRPr="00246E47" w:rsidRDefault="00000000" w:rsidP="00246E47">
      <w:pPr>
        <w:spacing w:before="80" w:after="80" w:line="276" w:lineRule="auto"/>
        <w:ind w:right="720"/>
        <w:jc w:val="both"/>
        <w:rPr>
          <w:sz w:val="24"/>
          <w:szCs w:val="24"/>
        </w:rPr>
      </w:pPr>
      <w:r>
        <w:rPr>
          <w:rFonts w:eastAsia="Arial"/>
          <w:b/>
          <w:bCs/>
          <w:i/>
          <w:iCs/>
          <w:sz w:val="24"/>
          <w:szCs w:val="24"/>
        </w:rPr>
        <w:t>Keywords</w:t>
      </w:r>
      <w:r>
        <w:rPr>
          <w:rFonts w:eastAsia="Arial"/>
          <w:i/>
          <w:iCs/>
          <w:sz w:val="24"/>
          <w:szCs w:val="24"/>
        </w:rPr>
        <w:t>: sovereign AI, India AI policy, China AI strategy, BRICS AI coordination, digital public infrastructure, IndiaAI Mission, AI governance, Global South, multilingual AI, knowledge graph</w:t>
      </w:r>
    </w:p>
    <w:p w14:paraId="7F8393EB" w14:textId="77777777" w:rsidR="00246E47" w:rsidRDefault="00246E47" w:rsidP="00246E47">
      <w:pPr>
        <w:jc w:val="both"/>
      </w:pPr>
    </w:p>
    <w:p w14:paraId="0FE7B24D" w14:textId="77777777" w:rsidR="000139B3" w:rsidRPr="00246E47" w:rsidRDefault="00000000" w:rsidP="00246E47">
      <w:pPr>
        <w:pStyle w:val="Heading1"/>
        <w:spacing w:before="400" w:after="160"/>
        <w:jc w:val="both"/>
        <w:rPr>
          <w:color w:val="auto"/>
        </w:rPr>
      </w:pPr>
      <w:r>
        <w:rPr>
          <w:rFonts w:eastAsia="Arial"/>
          <w:b/>
          <w:bCs/>
          <w:color w:val="auto"/>
        </w:rPr>
        <w:t>1. Introduction</w:t>
      </w:r>
    </w:p>
    <w:p w14:paraId="46AFFE9A" w14:textId="77777777" w:rsidR="000139B3" w:rsidRPr="00246E47" w:rsidRDefault="00000000" w:rsidP="00246E47">
      <w:pPr>
        <w:spacing w:before="80" w:after="120" w:line="276" w:lineRule="auto"/>
        <w:jc w:val="both"/>
      </w:pPr>
      <w:r>
        <w:rPr>
          <w:rFonts w:eastAsia="Arial"/>
          <w:sz w:val="22"/>
          <w:szCs w:val="22"/>
        </w:rPr>
        <w:t>Artificial intelligence now functions as a general-purpose technology capable of transforming economic sectors from manufacturing and agriculture to healthcare, education, and public administration. Nations compete not merely in developing better algorithms but in constructing complete innovation ecosystems — research institutions, high-performance computing, semiconductor manufacturing, cloud infrastructure, digital public infrastructure, education systems, industrial policies, standards organisations, venture capital, regulatory frameworks, and skilled human capital.</w:t>
      </w:r>
    </w:p>
    <w:p w14:paraId="68C7307C" w14:textId="26E315D8" w:rsidR="000139B3" w:rsidRPr="00246E47" w:rsidRDefault="00000000" w:rsidP="00246E47">
      <w:pPr>
        <w:spacing w:before="80" w:after="120" w:line="276" w:lineRule="auto"/>
        <w:jc w:val="both"/>
      </w:pPr>
      <w:r>
        <w:rPr>
          <w:rFonts w:eastAsia="Arial"/>
          <w:sz w:val="22"/>
          <w:szCs w:val="22"/>
        </w:rPr>
        <w:t>Among the major AI-investing nations, China's approach deserves particular analytical attention, not because its political system is a model, but because the structural coherence of its AI strategy is genuinely impressive and has no close equivalent in the democratic world. Since the State Council published the New Generation Artificial Intelligence Development Plan in 2017,</w:t>
      </w:r>
    </w:p>
    <w:p w14:paraId="3C9BFD62" w14:textId="4D897C9F" w:rsidR="000139B3" w:rsidRPr="00246E47" w:rsidRDefault="00000000" w:rsidP="00246E47">
      <w:pPr>
        <w:spacing w:before="80" w:after="120" w:line="276" w:lineRule="auto"/>
        <w:jc w:val="both"/>
      </w:pPr>
      <w:r>
        <w:rPr>
          <w:rFonts w:eastAsia="Arial"/>
          <w:sz w:val="22"/>
          <w:szCs w:val="22"/>
        </w:rPr>
        <w:t>China has maintained a remarkably consistent strategic direction across successive administrations, ministerial changes, and economic headwinds. The results are measurable: China now ranks second globally in the Stanford AI Vibrancy Index, produces 36% of all global AI research papers, and its 15th Five-Year Plan (covering the period to 2026) elevates AI from an economic tool to a core pillar of national security. DeepSeek, released in early 2025, was not a surprise breakthrough. It was the visible output of two decades of patient institutional investment.</w:t>
      </w:r>
      <w:r>
        <w:rPr>
          <w:rStyle w:val="FootnoteReference"/>
        </w:rPr>
        <w:footnoteReference w:id="1"/>
      </w:r>
      <w:r>
        <w:rPr>
          <w:rFonts w:eastAsia="Arial"/>
          <w:sz w:val="22"/>
          <w:szCs w:val="22"/>
        </w:rPr>
        <w:t xml:space="preserve"> Government ministries, provincial governments, universities, technology firms, standards organisations, and state enterprises participate within a shared framework spanning multiple decades. The result is an ecosystem, a set of mutually reinforcing institutions and policies, rather than a collection of independent initiatives.</w:t>
      </w:r>
    </w:p>
    <w:p w14:paraId="47546780" w14:textId="77777777" w:rsidR="000139B3" w:rsidRPr="00246E47" w:rsidRDefault="00000000" w:rsidP="00246E47">
      <w:pPr>
        <w:spacing w:before="80" w:after="120" w:line="276" w:lineRule="auto"/>
        <w:jc w:val="both"/>
      </w:pPr>
      <w:r>
        <w:rPr>
          <w:rFonts w:eastAsia="Arial"/>
          <w:sz w:val="22"/>
          <w:szCs w:val="22"/>
        </w:rPr>
        <w:t>This paper takes the position that China's AI strategy is worth studying seriously, without ideological defensiveness, because the institutional coordination mechanisms it has developed are analytically separable from the political system that produced them. A nation can acknowledge that another country has solved a coordination problem well without endorsing that country's governance model.</w:t>
      </w:r>
    </w:p>
    <w:p w14:paraId="0C137D9C" w14:textId="77777777" w:rsidR="000139B3" w:rsidRPr="00246E47" w:rsidRDefault="00000000" w:rsidP="00246E47">
      <w:pPr>
        <w:spacing w:before="80" w:after="120" w:line="276" w:lineRule="auto"/>
        <w:jc w:val="both"/>
      </w:pPr>
      <w:r>
        <w:rPr>
          <w:rFonts w:eastAsia="Arial"/>
          <w:sz w:val="22"/>
          <w:szCs w:val="22"/>
        </w:rPr>
        <w:t>India, despite substantial strengths in software engineering, digital public infrastructure, and entrepreneurship, operates a comparatively fragmented AI ecosystem. The IndiaAI Mission announced in 2024 represents a significant step forward, but coordination across MeitY, NITI Aayog, DST, DRDO, sector ministries, state governments, and research institutions remains uneven.</w:t>
      </w:r>
    </w:p>
    <w:p w14:paraId="62C6708F" w14:textId="77777777" w:rsidR="000139B3" w:rsidRPr="00246E47" w:rsidRDefault="00000000" w:rsidP="00246E47">
      <w:pPr>
        <w:spacing w:before="80" w:after="120" w:line="276" w:lineRule="auto"/>
        <w:jc w:val="both"/>
      </w:pPr>
      <w:r>
        <w:rPr>
          <w:rFonts w:eastAsia="Arial"/>
          <w:sz w:val="22"/>
          <w:szCs w:val="22"/>
        </w:rPr>
        <w:t>This paper addresses a central policy question:</w:t>
      </w:r>
    </w:p>
    <w:p w14:paraId="71D90233" w14:textId="14AFDC3A" w:rsidR="000139B3" w:rsidRPr="00246E47" w:rsidRDefault="00000000" w:rsidP="00246E47">
      <w:pPr>
        <w:spacing w:before="80" w:after="120" w:line="276" w:lineRule="auto"/>
        <w:ind w:right="720"/>
        <w:jc w:val="both"/>
      </w:pPr>
      <w:r>
        <w:rPr>
          <w:rFonts w:eastAsia="Arial"/>
          <w:i/>
          <w:iCs/>
          <w:sz w:val="22"/>
          <w:szCs w:val="22"/>
        </w:rPr>
        <w:t>How can India build a sovereign AI ecosystem suited to its democratic institutions, constitutional values, and linguistic diversity, while learning from the structural coordination mechanisms that characterise China's AI strategy, and how can BRICS nations and the Global South coordinate to reduce shared dependencies on foreign AI infrastructure?</w:t>
      </w:r>
    </w:p>
    <w:p w14:paraId="2D366014" w14:textId="0F91633A" w:rsidR="000139B3" w:rsidRPr="00246E47" w:rsidRDefault="00000000" w:rsidP="00246E47">
      <w:pPr>
        <w:spacing w:before="80" w:after="120" w:line="276" w:lineRule="auto"/>
        <w:jc w:val="both"/>
      </w:pPr>
      <w:r>
        <w:rPr>
          <w:rFonts w:eastAsia="Arial"/>
          <w:sz w:val="22"/>
          <w:szCs w:val="22"/>
        </w:rPr>
        <w:t xml:space="preserve">These questions are deliberately framed as structural rather than ideological. China's political system is not a transferable model. Its mechanisms for achieving institutional coordination, however, offer comparative lessons that India can adapt within its own democratic framework, and that BRICS nations can collectively </w:t>
      </w:r>
      <w:r>
        <w:rPr>
          <w:rFonts w:eastAsia="Arial"/>
          <w:sz w:val="22"/>
          <w:szCs w:val="22"/>
        </w:rPr>
        <w:lastRenderedPageBreak/>
        <w:t>leverage to reduce their shared vulnerability to AI supply-chain concentration in a handful of Western technology firms.</w:t>
      </w:r>
    </w:p>
    <w:p w14:paraId="1A10BB5B" w14:textId="77777777" w:rsidR="000139B3" w:rsidRPr="00246E47" w:rsidRDefault="000139B3" w:rsidP="00246E47">
      <w:pPr>
        <w:spacing w:before="80" w:after="80"/>
        <w:jc w:val="both"/>
      </w:pPr>
    </w:p>
    <w:p w14:paraId="0EF04E9B" w14:textId="77777777" w:rsidR="000139B3" w:rsidRPr="00246E47" w:rsidRDefault="00000000" w:rsidP="00246E47">
      <w:pPr>
        <w:pStyle w:val="Heading1"/>
        <w:spacing w:before="400" w:after="160"/>
        <w:jc w:val="both"/>
        <w:rPr>
          <w:color w:val="auto"/>
        </w:rPr>
      </w:pPr>
      <w:r>
        <w:rPr>
          <w:rFonts w:eastAsia="Arial"/>
          <w:b/>
          <w:bCs/>
          <w:color w:val="auto"/>
        </w:rPr>
        <w:t>2. What Is Sovereign AI?</w:t>
      </w:r>
    </w:p>
    <w:p w14:paraId="34043ACB" w14:textId="77777777" w:rsidR="000139B3" w:rsidRPr="00246E47" w:rsidRDefault="00000000" w:rsidP="00246E47">
      <w:pPr>
        <w:spacing w:before="80" w:after="120" w:line="276" w:lineRule="auto"/>
        <w:jc w:val="both"/>
      </w:pPr>
      <w:r>
        <w:rPr>
          <w:rFonts w:eastAsia="Arial"/>
          <w:sz w:val="22"/>
          <w:szCs w:val="22"/>
        </w:rPr>
        <w:t>Sovereign AI is frequently misunderstood as synonymous with domestically trained large language models. In practice, it encompasses a much broader set of interdependent capabilities. A nation lacking any single component of this stack remains materially dependent on foreign technology providers in ways that create economic vulnerabilities, regulatory exposure, and strategic risks.</w:t>
      </w:r>
    </w:p>
    <w:p w14:paraId="21505736" w14:textId="77777777" w:rsidR="000139B3" w:rsidRPr="00246E47" w:rsidRDefault="00000000" w:rsidP="00246E47">
      <w:pPr>
        <w:spacing w:before="80" w:after="120" w:line="276" w:lineRule="auto"/>
        <w:jc w:val="both"/>
      </w:pPr>
      <w:r>
        <w:rPr>
          <w:rFonts w:eastAsia="Arial"/>
          <w:sz w:val="22"/>
          <w:szCs w:val="22"/>
        </w:rPr>
        <w:t>Sovereign AI encompasses the following interconnected layers:</w:t>
      </w:r>
    </w:p>
    <w:p w14:paraId="222E87D0" w14:textId="77777777" w:rsidR="000139B3" w:rsidRPr="00246E47" w:rsidRDefault="00000000" w:rsidP="00246E47">
      <w:pPr>
        <w:pStyle w:val="ListParagraph"/>
        <w:numPr>
          <w:ilvl w:val="0"/>
          <w:numId w:val="2"/>
        </w:numPr>
        <w:spacing w:before="40" w:after="60"/>
        <w:jc w:val="both"/>
      </w:pPr>
      <w:r>
        <w:rPr>
          <w:rFonts w:eastAsia="Arial"/>
          <w:sz w:val="22"/>
          <w:szCs w:val="22"/>
        </w:rPr>
        <w:t>Sovereign computing infrastructure: nationally accessible GPU clusters and scientific supercomputing</w:t>
      </w:r>
    </w:p>
    <w:p w14:paraId="6E1CFE31" w14:textId="77777777" w:rsidR="000139B3" w:rsidRPr="00246E47" w:rsidRDefault="00000000" w:rsidP="00246E47">
      <w:pPr>
        <w:pStyle w:val="ListParagraph"/>
        <w:numPr>
          <w:ilvl w:val="0"/>
          <w:numId w:val="2"/>
        </w:numPr>
        <w:spacing w:before="40" w:after="60"/>
        <w:jc w:val="both"/>
      </w:pPr>
      <w:r>
        <w:rPr>
          <w:rFonts w:eastAsia="Arial"/>
          <w:sz w:val="22"/>
          <w:szCs w:val="22"/>
        </w:rPr>
        <w:t>Sovereign datasets: trusted, annotated, multilingual corpora under national governance</w:t>
      </w:r>
    </w:p>
    <w:p w14:paraId="69509084" w14:textId="77777777" w:rsidR="000139B3" w:rsidRPr="00246E47" w:rsidRDefault="00000000" w:rsidP="00246E47">
      <w:pPr>
        <w:pStyle w:val="ListParagraph"/>
        <w:numPr>
          <w:ilvl w:val="0"/>
          <w:numId w:val="2"/>
        </w:numPr>
        <w:spacing w:before="40" w:after="60"/>
        <w:jc w:val="both"/>
      </w:pPr>
      <w:r>
        <w:rPr>
          <w:rFonts w:eastAsia="Arial"/>
          <w:sz w:val="22"/>
          <w:szCs w:val="22"/>
        </w:rPr>
        <w:t>Indigenous foundation models: open-weights models trained on domestic data in domestic languages</w:t>
      </w:r>
    </w:p>
    <w:p w14:paraId="52C4F563" w14:textId="77777777" w:rsidR="000139B3" w:rsidRPr="00246E47" w:rsidRDefault="00000000" w:rsidP="00246E47">
      <w:pPr>
        <w:pStyle w:val="ListParagraph"/>
        <w:numPr>
          <w:ilvl w:val="0"/>
          <w:numId w:val="2"/>
        </w:numPr>
        <w:spacing w:before="40" w:after="60"/>
        <w:jc w:val="both"/>
      </w:pPr>
      <w:r>
        <w:rPr>
          <w:rFonts w:eastAsia="Arial"/>
          <w:sz w:val="22"/>
          <w:szCs w:val="22"/>
        </w:rPr>
        <w:t>National AI standards: participation in and leadership of both domestic and international standards bodies</w:t>
      </w:r>
    </w:p>
    <w:p w14:paraId="6906C435" w14:textId="77777777" w:rsidR="000139B3" w:rsidRPr="00246E47" w:rsidRDefault="00000000" w:rsidP="00246E47">
      <w:pPr>
        <w:pStyle w:val="ListParagraph"/>
        <w:numPr>
          <w:ilvl w:val="0"/>
          <w:numId w:val="2"/>
        </w:numPr>
        <w:spacing w:before="40" w:after="60"/>
        <w:jc w:val="both"/>
      </w:pPr>
      <w:r>
        <w:rPr>
          <w:rFonts w:eastAsia="Arial"/>
          <w:sz w:val="22"/>
          <w:szCs w:val="22"/>
        </w:rPr>
        <w:t>Trusted evaluation benchmarks: independent safety and capability assessments</w:t>
      </w:r>
    </w:p>
    <w:p w14:paraId="43A21F03" w14:textId="77777777" w:rsidR="000139B3" w:rsidRPr="00246E47" w:rsidRDefault="00000000" w:rsidP="00246E47">
      <w:pPr>
        <w:pStyle w:val="ListParagraph"/>
        <w:numPr>
          <w:ilvl w:val="0"/>
          <w:numId w:val="2"/>
        </w:numPr>
        <w:spacing w:before="40" w:after="60"/>
        <w:jc w:val="both"/>
      </w:pPr>
      <w:r>
        <w:rPr>
          <w:rFonts w:eastAsia="Arial"/>
          <w:sz w:val="22"/>
          <w:szCs w:val="22"/>
        </w:rPr>
        <w:t>AI education pipelines: school-level literacy through doctoral research</w:t>
      </w:r>
    </w:p>
    <w:p w14:paraId="3D8C964C" w14:textId="77777777" w:rsidR="000139B3" w:rsidRPr="00246E47" w:rsidRDefault="00000000" w:rsidP="00246E47">
      <w:pPr>
        <w:pStyle w:val="ListParagraph"/>
        <w:numPr>
          <w:ilvl w:val="0"/>
          <w:numId w:val="2"/>
        </w:numPr>
        <w:spacing w:before="40" w:after="60"/>
        <w:jc w:val="both"/>
      </w:pPr>
      <w:r>
        <w:rPr>
          <w:rFonts w:eastAsia="Arial"/>
          <w:sz w:val="22"/>
          <w:szCs w:val="22"/>
        </w:rPr>
        <w:t>Semiconductor capabilities: chip design, advanced packaging, and AI accelerator development</w:t>
      </w:r>
    </w:p>
    <w:p w14:paraId="556EC424" w14:textId="77777777" w:rsidR="000139B3" w:rsidRPr="00246E47" w:rsidRDefault="00000000" w:rsidP="00246E47">
      <w:pPr>
        <w:pStyle w:val="ListParagraph"/>
        <w:numPr>
          <w:ilvl w:val="0"/>
          <w:numId w:val="2"/>
        </w:numPr>
        <w:spacing w:before="40" w:after="60"/>
        <w:jc w:val="both"/>
      </w:pPr>
      <w:r>
        <w:rPr>
          <w:rFonts w:eastAsia="Arial"/>
          <w:sz w:val="22"/>
          <w:szCs w:val="22"/>
        </w:rPr>
        <w:t>AI cybersecurity: national incident response, adversarial robustness testing, red-teaming</w:t>
      </w:r>
    </w:p>
    <w:p w14:paraId="15676D73" w14:textId="77777777" w:rsidR="000139B3" w:rsidRPr="00246E47" w:rsidRDefault="00000000" w:rsidP="00246E47">
      <w:pPr>
        <w:pStyle w:val="ListParagraph"/>
        <w:numPr>
          <w:ilvl w:val="0"/>
          <w:numId w:val="2"/>
        </w:numPr>
        <w:spacing w:before="40" w:after="60"/>
        <w:jc w:val="both"/>
      </w:pPr>
      <w:r>
        <w:rPr>
          <w:rFonts w:eastAsia="Arial"/>
          <w:sz w:val="22"/>
          <w:szCs w:val="22"/>
        </w:rPr>
        <w:t>AI governance: regulatory frameworks that protect citizens without suppressing innovation</w:t>
      </w:r>
    </w:p>
    <w:p w14:paraId="3BDE9C7C" w14:textId="77777777" w:rsidR="000139B3" w:rsidRPr="00246E47" w:rsidRDefault="00000000" w:rsidP="00246E47">
      <w:pPr>
        <w:pStyle w:val="ListParagraph"/>
        <w:numPr>
          <w:ilvl w:val="0"/>
          <w:numId w:val="2"/>
        </w:numPr>
        <w:spacing w:before="40" w:after="60"/>
        <w:jc w:val="both"/>
      </w:pPr>
      <w:r>
        <w:rPr>
          <w:rFonts w:eastAsia="Arial"/>
          <w:sz w:val="22"/>
          <w:szCs w:val="22"/>
        </w:rPr>
        <w:t>Industrial deployment: systematic AI adoption across manufacturing, agriculture, healthcare, and logistics</w:t>
      </w:r>
    </w:p>
    <w:p w14:paraId="6626145D" w14:textId="77777777" w:rsidR="000139B3" w:rsidRPr="00246E47" w:rsidRDefault="00000000" w:rsidP="00246E47">
      <w:pPr>
        <w:pStyle w:val="ListParagraph"/>
        <w:numPr>
          <w:ilvl w:val="0"/>
          <w:numId w:val="2"/>
        </w:numPr>
        <w:spacing w:before="40" w:after="60"/>
        <w:jc w:val="both"/>
      </w:pPr>
      <w:r>
        <w:rPr>
          <w:rFonts w:eastAsia="Arial"/>
          <w:sz w:val="22"/>
          <w:szCs w:val="22"/>
        </w:rPr>
        <w:t>Public-sector AI: AI-enabled public administration, judicial assistance, and disaster response</w:t>
      </w:r>
    </w:p>
    <w:p w14:paraId="5DE83363" w14:textId="77777777" w:rsidR="000139B3" w:rsidRPr="00246E47" w:rsidRDefault="00000000" w:rsidP="00246E47">
      <w:pPr>
        <w:pStyle w:val="ListParagraph"/>
        <w:numPr>
          <w:ilvl w:val="0"/>
          <w:numId w:val="2"/>
        </w:numPr>
        <w:spacing w:before="40" w:after="60"/>
        <w:jc w:val="both"/>
      </w:pPr>
      <w:r>
        <w:rPr>
          <w:rFonts w:eastAsia="Arial"/>
          <w:sz w:val="22"/>
          <w:szCs w:val="22"/>
        </w:rPr>
        <w:t>International standards participation: influence over global AI governance norms</w:t>
      </w:r>
    </w:p>
    <w:p w14:paraId="3008439E" w14:textId="0BB93159" w:rsidR="000139B3" w:rsidRPr="00246E47" w:rsidRDefault="00000000" w:rsidP="00246E47">
      <w:pPr>
        <w:spacing w:before="80" w:after="120" w:line="276" w:lineRule="auto"/>
        <w:jc w:val="both"/>
      </w:pPr>
      <w:r>
        <w:rPr>
          <w:rFonts w:eastAsia="Arial"/>
          <w:sz w:val="22"/>
          <w:szCs w:val="22"/>
        </w:rPr>
        <w:t>A nation that possesses domestic LLMs but lacks sovereign compute, standards influence, or a domestic semiconductor design ecosystem has achieved only a superficial version of AI sovereignty. China's strategy is notable precisely because it has pursued all these layers simultaneously within a unified framework, a coherence that the democratic world has not yet matched.</w:t>
      </w:r>
    </w:p>
    <w:p w14:paraId="4816D865" w14:textId="77777777" w:rsidR="000139B3" w:rsidRPr="00246E47" w:rsidRDefault="00000000" w:rsidP="00246E47">
      <w:pPr>
        <w:jc w:val="both"/>
      </w:pPr>
      <w:r>
        <w:br w:type="page"/>
      </w:r>
    </w:p>
    <w:p w14:paraId="2F7865EC" w14:textId="77777777" w:rsidR="000139B3" w:rsidRPr="00246E47" w:rsidRDefault="00000000" w:rsidP="00246E47">
      <w:pPr>
        <w:pStyle w:val="Heading1"/>
        <w:spacing w:before="400" w:after="160"/>
        <w:jc w:val="both"/>
        <w:rPr>
          <w:color w:val="auto"/>
        </w:rPr>
      </w:pPr>
      <w:r>
        <w:rPr>
          <w:rFonts w:eastAsia="Arial"/>
          <w:b/>
          <w:bCs/>
          <w:color w:val="auto"/>
        </w:rPr>
        <w:lastRenderedPageBreak/>
        <w:t>3. China's Coordinated AI Ecosystem: An Empirical Overview</w:t>
      </w:r>
    </w:p>
    <w:p w14:paraId="38EAD04C" w14:textId="77777777" w:rsidR="000139B3" w:rsidRPr="00246E47" w:rsidRDefault="00000000" w:rsidP="00246E47">
      <w:pPr>
        <w:spacing w:before="80" w:after="120" w:line="276" w:lineRule="auto"/>
        <w:jc w:val="both"/>
      </w:pPr>
      <w:r>
        <w:rPr>
          <w:rFonts w:eastAsia="Arial"/>
          <w:sz w:val="22"/>
          <w:szCs w:val="22"/>
        </w:rPr>
        <w:t>The following section synthesises China's AI governance architecture from primary documents collected and translated by the Center for Security and Emerging Technology (CSET Georgetown), DigiChina (Stanford University), and China Law Translate. The analysis covers the period 2017 to 2026. What emerges from reading these documents as a corpus rather than in isolation is a picture of sustained institutional learning: each successive document builds on and refines its predecessors, assigns increasingly specific actor responsibilities, and integrates previously separate policy domains into a more unified framework.</w:t>
      </w:r>
    </w:p>
    <w:p w14:paraId="2345CAFA" w14:textId="77777777" w:rsidR="000139B3" w:rsidRPr="00246E47" w:rsidRDefault="00000000" w:rsidP="00246E47">
      <w:pPr>
        <w:pStyle w:val="Heading2"/>
        <w:spacing w:before="280" w:after="120"/>
        <w:jc w:val="both"/>
        <w:rPr>
          <w:color w:val="auto"/>
        </w:rPr>
      </w:pPr>
      <w:r>
        <w:rPr>
          <w:rFonts w:eastAsia="Arial"/>
          <w:b/>
          <w:bCs/>
          <w:color w:val="auto"/>
        </w:rPr>
        <w:t>3.1 The 2017 NGAI Development Plan: Establishing the Architecture</w:t>
      </w:r>
    </w:p>
    <w:p w14:paraId="4788AAB8" w14:textId="62B57AE1" w:rsidR="000139B3" w:rsidRPr="00246E47" w:rsidRDefault="00000000" w:rsidP="00246E47">
      <w:pPr>
        <w:spacing w:before="80" w:after="120" w:line="276" w:lineRule="auto"/>
        <w:jc w:val="both"/>
      </w:pPr>
      <w:r>
        <w:rPr>
          <w:rFonts w:eastAsia="Arial"/>
          <w:sz w:val="22"/>
          <w:szCs w:val="22"/>
        </w:rPr>
        <w:t>The 2017 New Generation Artificial Intelligence Development Plan established China's AI architecture for the subsequent decade.</w:t>
      </w:r>
      <w:r>
        <w:rPr>
          <w:rStyle w:val="FootnoteReference"/>
        </w:rPr>
        <w:footnoteReference w:id="2"/>
      </w:r>
      <w:r>
        <w:rPr>
          <w:rFonts w:eastAsia="Arial"/>
          <w:sz w:val="22"/>
          <w:szCs w:val="22"/>
        </w:rPr>
        <w:t xml:space="preserve"> It set explicit numerical targets: global AI leadership by 2030, a domestic AI industry valued at over one trillion yuan, and assigned responsibilities across the State Council, MIIT, NDRC, Ministry of Education, Ministry of Science and Technology, and the Chinese Academy of Sciences. The plan was notable for treating AI not as a technology sector but as national infrastructure comparable to the electricity grid.</w:t>
      </w:r>
    </w:p>
    <w:p w14:paraId="610A1CC6" w14:textId="78D3E586" w:rsidR="000139B3" w:rsidRPr="00246E47" w:rsidRDefault="00000000" w:rsidP="00246E47">
      <w:pPr>
        <w:spacing w:before="80" w:after="120" w:line="276" w:lineRule="auto"/>
        <w:jc w:val="both"/>
      </w:pPr>
      <w:r>
        <w:rPr>
          <w:rFonts w:eastAsia="Arial"/>
          <w:sz w:val="22"/>
          <w:szCs w:val="22"/>
        </w:rPr>
        <w:t>Three structural features of the 2017 plan are particularly relevant for comparative analysis. First, it established long-horizon targets extending well beyond electoral cycles, providing continuity of strategic direction. Second, it assigned explicit responsibilities to named ministries rather than articulating aspirations without institutional owners. Third, it integrated AI development across industrial policy, education reform, scientific research, and national security simultaneously. This last feature, the integration, is the most difficult to replicate and the most valuable to study.</w:t>
      </w:r>
    </w:p>
    <w:p w14:paraId="5BFEC027" w14:textId="77777777" w:rsidR="000139B3" w:rsidRPr="00246E47" w:rsidRDefault="00000000" w:rsidP="00246E47">
      <w:pPr>
        <w:pStyle w:val="Heading2"/>
        <w:spacing w:before="280" w:after="120"/>
        <w:jc w:val="both"/>
        <w:rPr>
          <w:color w:val="auto"/>
        </w:rPr>
      </w:pPr>
      <w:r>
        <w:rPr>
          <w:rFonts w:eastAsia="Arial"/>
          <w:b/>
          <w:bCs/>
          <w:color w:val="auto"/>
        </w:rPr>
        <w:t>3.2 The AI+ Initiative: Industrial Coordination at Scale</w:t>
      </w:r>
    </w:p>
    <w:p w14:paraId="571E8B68" w14:textId="1C960013" w:rsidR="000139B3" w:rsidRPr="00246E47" w:rsidRDefault="00000000" w:rsidP="00246E47">
      <w:pPr>
        <w:spacing w:before="80" w:after="120" w:line="276" w:lineRule="auto"/>
        <w:jc w:val="both"/>
      </w:pPr>
      <w:r>
        <w:rPr>
          <w:rFonts w:eastAsia="Arial"/>
          <w:sz w:val="22"/>
          <w:szCs w:val="22"/>
        </w:rPr>
        <w:t>The 2025 State Council Opinions on Deepening the Implementation of the AI+ Initiative</w:t>
      </w:r>
      <w:r>
        <w:rPr>
          <w:rStyle w:val="FootnoteReference"/>
        </w:rPr>
        <w:footnoteReference w:id="3"/>
      </w:r>
      <w:r>
        <w:rPr>
          <w:rFonts w:eastAsia="Arial"/>
          <w:sz w:val="22"/>
          <w:szCs w:val="22"/>
        </w:rPr>
        <w:t xml:space="preserve"> represent the most comprehensive recent articulation of China's AI industrial strategy. The document mandates AI integration across virtually every sector of the Chinese economy from 2025 to 2035: manufacturing, agriculture, transportation, finance, scientific research, healthcare, and education. The ambition and scope of this document are genuinely remarkable: it is difficult to name an equivalent policy instrument from any democratic nation.</w:t>
      </w:r>
    </w:p>
    <w:p w14:paraId="49D6FC8F" w14:textId="77777777" w:rsidR="000139B3" w:rsidRPr="00246E47" w:rsidRDefault="00000000" w:rsidP="00246E47">
      <w:pPr>
        <w:spacing w:before="80" w:after="120" w:line="276" w:lineRule="auto"/>
        <w:jc w:val="both"/>
      </w:pPr>
      <w:r>
        <w:rPr>
          <w:rFonts w:eastAsia="Arial"/>
          <w:sz w:val="22"/>
          <w:szCs w:val="22"/>
        </w:rPr>
        <w:t>One aspect of the AI+ Opinions that challenges common assumptions about Chinese AI strategy is its strong emphasis on open-source AI ecosystems. The document explicitly identifies open-source model development as a strategic priority, reflecting a calculated decision to use open-source technology both as an instrument of domestic ecosystem development and as a vehicle for international influence. China's most capable open-weights models (the Qwen series, DeepSeek) are now widely used internationally, giving China significant soft power in AI standardisation discussions.</w:t>
      </w:r>
    </w:p>
    <w:p w14:paraId="57A3C361" w14:textId="56326F68" w:rsidR="000139B3" w:rsidRPr="00246E47" w:rsidRDefault="00000000" w:rsidP="00246E47">
      <w:pPr>
        <w:spacing w:before="80" w:after="120" w:line="276" w:lineRule="auto"/>
        <w:jc w:val="both"/>
      </w:pPr>
      <w:r>
        <w:rPr>
          <w:rFonts w:eastAsia="Arial"/>
          <w:sz w:val="22"/>
          <w:szCs w:val="22"/>
        </w:rPr>
        <w:lastRenderedPageBreak/>
        <w:t>The companion AI+ Manufacturing Opinions, published in March 2026,</w:t>
      </w:r>
      <w:r>
        <w:rPr>
          <w:rStyle w:val="FootnoteReference"/>
        </w:rPr>
        <w:footnoteReference w:id="4"/>
      </w:r>
      <w:r>
        <w:rPr>
          <w:rFonts w:eastAsia="Arial"/>
          <w:sz w:val="22"/>
          <w:szCs w:val="22"/>
        </w:rPr>
        <w:t xml:space="preserve"> provide sector-specific implementation guidance across automobiles, pharmaceuticals, textiles, logistics, and smart cities, with explicit references to provincial experimentation zones and central government co-financing. The granularity of this document, specifying which types of AI should be deployed in which phases of which manufacturing processes, reflects a level of industrial policy detail that has no equivalent in India's current strategic planning.</w:t>
      </w:r>
    </w:p>
    <w:p w14:paraId="408B3A61" w14:textId="77777777" w:rsidR="000139B3" w:rsidRPr="00246E47" w:rsidRDefault="00000000" w:rsidP="00246E47">
      <w:pPr>
        <w:pStyle w:val="Heading2"/>
        <w:spacing w:before="280" w:after="120"/>
        <w:jc w:val="both"/>
        <w:rPr>
          <w:color w:val="auto"/>
        </w:rPr>
      </w:pPr>
      <w:r>
        <w:rPr>
          <w:rFonts w:eastAsia="Arial"/>
          <w:b/>
          <w:bCs/>
          <w:color w:val="auto"/>
        </w:rPr>
        <w:t>3.3 Governance Architecture: From Aspirations to Actor Responsibilities</w:t>
      </w:r>
    </w:p>
    <w:p w14:paraId="384B626C" w14:textId="77777777" w:rsidR="000139B3" w:rsidRPr="00246E47" w:rsidRDefault="00000000" w:rsidP="00246E47">
      <w:pPr>
        <w:spacing w:before="80" w:after="120" w:line="276" w:lineRule="auto"/>
        <w:jc w:val="both"/>
      </w:pPr>
      <w:r>
        <w:rPr>
          <w:rFonts w:eastAsia="Arial"/>
          <w:sz w:val="22"/>
          <w:szCs w:val="22"/>
        </w:rPr>
        <w:t>CSET's December 2025 analysis of China's AI governance proposals</w:t>
      </w:r>
      <w:r>
        <w:rPr>
          <w:rStyle w:val="FootnoteReference"/>
        </w:rPr>
        <w:footnoteReference w:id="5"/>
      </w:r>
      <w:r>
        <w:rPr>
          <w:rFonts w:eastAsia="Arial"/>
          <w:sz w:val="22"/>
          <w:szCs w:val="22"/>
        </w:rPr>
        <w:t xml:space="preserve"> identifies a critical evolutionary pattern in Chinese AI policy between the 2016–2017 period and post-2021 documents. Earlier plans emphasised strategic goals; more recent regulations assign concrete responsibilities to specific actors. The 2026 Provisional Measures on Human-like Interactive AI Services exemplify this shift: they specify obligations not merely for 'the industry' but for service providers, platform operators, algorithm developers, guardian users, emergency contacts, and regulatory inspectors individually.</w:t>
      </w:r>
    </w:p>
    <w:p w14:paraId="3F0B9224" w14:textId="77777777" w:rsidR="000139B3" w:rsidRPr="00246E47" w:rsidRDefault="00000000" w:rsidP="00246E47">
      <w:pPr>
        <w:spacing w:before="80" w:after="120" w:line="276" w:lineRule="auto"/>
        <w:jc w:val="both"/>
      </w:pPr>
      <w:r>
        <w:rPr>
          <w:rFonts w:eastAsia="Arial"/>
          <w:sz w:val="22"/>
          <w:szCs w:val="22"/>
        </w:rPr>
        <w:t>This actor-specificity matters enormously for implementation effectiveness. A governance framework that assigns responsibility to named institutions with defined authorities and timelines is structurally more enforceable than one that articulates principles without institutional owners. This is one of the clearest lessons India can draw from China's governance evolution: the value of naming the responsible actor.</w:t>
      </w:r>
    </w:p>
    <w:p w14:paraId="39F23ECD" w14:textId="77777777" w:rsidR="000139B3" w:rsidRPr="00246E47" w:rsidRDefault="00000000" w:rsidP="00246E47">
      <w:pPr>
        <w:pStyle w:val="Heading2"/>
        <w:spacing w:before="280" w:after="120"/>
        <w:jc w:val="both"/>
        <w:rPr>
          <w:color w:val="auto"/>
        </w:rPr>
      </w:pPr>
      <w:r>
        <w:rPr>
          <w:rFonts w:eastAsia="Arial"/>
          <w:b/>
          <w:bCs/>
          <w:color w:val="auto"/>
        </w:rPr>
        <w:t>3.4 Consumer Protection: The 2026 Human-like AI Measures</w:t>
      </w:r>
    </w:p>
    <w:p w14:paraId="1D602281" w14:textId="77777777" w:rsidR="000139B3" w:rsidRPr="00246E47" w:rsidRDefault="00000000" w:rsidP="00246E47">
      <w:pPr>
        <w:spacing w:before="80" w:after="120" w:line="276" w:lineRule="auto"/>
        <w:jc w:val="both"/>
      </w:pPr>
      <w:r>
        <w:rPr>
          <w:rFonts w:eastAsia="Arial"/>
          <w:sz w:val="22"/>
          <w:szCs w:val="22"/>
        </w:rPr>
        <w:t>The CAC Provisional Measures on Human-like Interactive AI Services, effective 15 July 2026,</w:t>
      </w:r>
      <w:r>
        <w:rPr>
          <w:rStyle w:val="FootnoteReference"/>
        </w:rPr>
        <w:footnoteReference w:id="6"/>
      </w:r>
      <w:r>
        <w:rPr>
          <w:rFonts w:eastAsia="Arial"/>
          <w:sz w:val="22"/>
          <w:szCs w:val="22"/>
        </w:rPr>
        <w:t xml:space="preserve"> are the most granular consumer-facing AI regulation in any major jurisdiction to date. Whatever one thinks of the CAC's political role in Chinese governance, the technical architecture of these provisions addresses real harms that will arise in any society deploying conversational AI at scale.</w:t>
      </w:r>
    </w:p>
    <w:p w14:paraId="0C187526" w14:textId="6FB4EE47" w:rsidR="000139B3" w:rsidRPr="00246E47" w:rsidRDefault="00000000" w:rsidP="00246E47">
      <w:pPr>
        <w:spacing w:before="80" w:after="120" w:line="276" w:lineRule="auto"/>
        <w:jc w:val="both"/>
      </w:pPr>
      <w:r>
        <w:rPr>
          <w:rFonts w:eastAsia="Arial"/>
          <w:sz w:val="22"/>
          <w:szCs w:val="22"/>
        </w:rPr>
        <w:t>Article 6 codifies state support for indigenous innovation in algorithms, frameworks, and chips while directing commercial deployment toward demographic priorities including cultural communication, childcare, and elderly care. This dual-track approach, regulating applications while mandating upstream infrastructure development, is more structurally coherent than purely downstream regulation.</w:t>
      </w:r>
    </w:p>
    <w:p w14:paraId="2152F4D2" w14:textId="77777777" w:rsidR="000139B3" w:rsidRPr="00246E47" w:rsidRDefault="00000000" w:rsidP="00246E47">
      <w:pPr>
        <w:spacing w:before="80" w:after="120" w:line="276" w:lineRule="auto"/>
        <w:jc w:val="both"/>
      </w:pPr>
      <w:r>
        <w:rPr>
          <w:rFonts w:eastAsia="Arial"/>
          <w:sz w:val="22"/>
          <w:szCs w:val="22"/>
        </w:rPr>
        <w:t>Articles 14 and 15 establish differentiated protections for minors and elderly users. For users under 14, virtual relationship generation is completely prohibited, with all access requiring explicit guardian consent. For elderly users, the final regulation shifts from restriction to an enablement-and-care paradigm, requiring conspicuous risk alerts, simplified interfaces, and rapid assistance channels.</w:t>
      </w:r>
    </w:p>
    <w:p w14:paraId="0686D0BE" w14:textId="77777777" w:rsidR="000139B3" w:rsidRPr="00246E47" w:rsidRDefault="00000000" w:rsidP="00246E47">
      <w:pPr>
        <w:spacing w:before="80" w:after="120" w:line="276" w:lineRule="auto"/>
        <w:jc w:val="both"/>
      </w:pPr>
      <w:r>
        <w:rPr>
          <w:rFonts w:eastAsia="Arial"/>
          <w:sz w:val="22"/>
          <w:szCs w:val="22"/>
        </w:rPr>
        <w:t xml:space="preserve">Article 18 mandates system-level friction against AI dependency: conspicuous warnings when overreliance patterns are detected, and mandatory usage reminders after two continuous hours of interaction. Article 19 </w:t>
      </w:r>
      <w:r>
        <w:rPr>
          <w:rFonts w:eastAsia="Arial"/>
          <w:sz w:val="22"/>
          <w:szCs w:val="22"/>
        </w:rPr>
        <w:lastRenderedPageBreak/>
        <w:t>prohibits dark patterns preventing user exit. Article 28 establishes a pre-market sandbox regime for safety validation before public deployment.</w:t>
      </w:r>
    </w:p>
    <w:p w14:paraId="7D02C231" w14:textId="77777777" w:rsidR="000139B3" w:rsidRPr="00246E47" w:rsidRDefault="00000000" w:rsidP="00246E47">
      <w:pPr>
        <w:pStyle w:val="Heading2"/>
        <w:spacing w:before="280" w:after="120"/>
        <w:jc w:val="both"/>
        <w:rPr>
          <w:color w:val="auto"/>
        </w:rPr>
      </w:pPr>
      <w:r>
        <w:rPr>
          <w:rFonts w:eastAsia="Arial"/>
          <w:b/>
          <w:bCs/>
          <w:color w:val="auto"/>
        </w:rPr>
        <w:t>3.5 Standards Architecture</w:t>
      </w:r>
    </w:p>
    <w:p w14:paraId="6DE0C257" w14:textId="551B88A6" w:rsidR="000139B3" w:rsidRPr="00246E47" w:rsidRDefault="00000000" w:rsidP="00246E47">
      <w:pPr>
        <w:spacing w:before="80" w:after="120" w:line="276" w:lineRule="auto"/>
        <w:jc w:val="both"/>
      </w:pPr>
      <w:r>
        <w:rPr>
          <w:rFonts w:eastAsia="Arial"/>
          <w:sz w:val="22"/>
          <w:szCs w:val="22"/>
        </w:rPr>
        <w:t>China's AI Standards System Guidelines (2024 Edition)</w:t>
      </w:r>
      <w:r>
        <w:rPr>
          <w:rStyle w:val="FootnoteReference"/>
        </w:rPr>
        <w:footnoteReference w:id="7"/>
      </w:r>
      <w:r>
        <w:rPr>
          <w:rFonts w:eastAsia="Arial"/>
          <w:sz w:val="22"/>
          <w:szCs w:val="22"/>
        </w:rPr>
        <w:t xml:space="preserve"> provide a comprehensive framework governing both domestic standardisation and China's participation in ISO/IEC JTC1/SC42. The integration of AI technology standards (algorithms, safety, robustness) with AI application standards (sector-specific deployments in healthcare, transportation, finance, education) is notable. China is no longer merely a participant in international AI standards, it is increasingly a setter of agendas and a drafter of proposals. This trajectory should concern any nation that is not yet actively engaged.</w:t>
      </w:r>
    </w:p>
    <w:p w14:paraId="628C7D36" w14:textId="77777777" w:rsidR="000139B3" w:rsidRPr="00246E47" w:rsidRDefault="00000000" w:rsidP="00246E47">
      <w:pPr>
        <w:pStyle w:val="Heading2"/>
        <w:spacing w:before="280" w:after="120"/>
        <w:jc w:val="both"/>
        <w:rPr>
          <w:color w:val="auto"/>
        </w:rPr>
      </w:pPr>
      <w:r>
        <w:rPr>
          <w:rFonts w:eastAsia="Arial"/>
          <w:b/>
          <w:bCs/>
          <w:color w:val="auto"/>
        </w:rPr>
        <w:t>3.6 Education: AI from Primary School</w:t>
      </w:r>
    </w:p>
    <w:p w14:paraId="42AC7954" w14:textId="77777777" w:rsidR="000139B3" w:rsidRPr="00246E47" w:rsidRDefault="00000000" w:rsidP="00246E47">
      <w:pPr>
        <w:spacing w:before="80" w:after="120" w:line="276" w:lineRule="auto"/>
        <w:jc w:val="both"/>
      </w:pPr>
      <w:r>
        <w:rPr>
          <w:rFonts w:eastAsia="Arial"/>
          <w:sz w:val="22"/>
          <w:szCs w:val="22"/>
        </w:rPr>
        <w:t>The 2025 Guide to Using Generative AI in Primary and Secondary Schools</w:t>
      </w:r>
      <w:r>
        <w:rPr>
          <w:rStyle w:val="FootnoteReference"/>
        </w:rPr>
        <w:footnoteReference w:id="8"/>
      </w:r>
      <w:r>
        <w:rPr>
          <w:rFonts w:eastAsia="Arial"/>
          <w:sz w:val="22"/>
          <w:szCs w:val="22"/>
        </w:rPr>
        <w:t xml:space="preserve"> illustrates the depth of China's education integration. Rather than treating AI as extracurricular, the document mandates systematic AI literacy across core curricula from primary level, with provisions for teacher training, ethical guidance, and age-appropriate safety. China is embedding AI competence into the foundational years of education. Nations that begin this process a decade later will face a structural talent deficit that no amount of postgraduate investment can fully compensate.</w:t>
      </w:r>
    </w:p>
    <w:p w14:paraId="6DB756E4" w14:textId="77777777" w:rsidR="000139B3" w:rsidRPr="00246E47" w:rsidRDefault="00000000" w:rsidP="00246E47">
      <w:pPr>
        <w:jc w:val="both"/>
      </w:pPr>
      <w:r>
        <w:br w:type="page"/>
      </w:r>
    </w:p>
    <w:p w14:paraId="2D8D5EB1" w14:textId="77777777" w:rsidR="000139B3" w:rsidRPr="00246E47" w:rsidRDefault="00000000" w:rsidP="00246E47">
      <w:pPr>
        <w:pStyle w:val="Heading1"/>
        <w:spacing w:before="400" w:after="160"/>
        <w:jc w:val="both"/>
        <w:rPr>
          <w:color w:val="auto"/>
        </w:rPr>
      </w:pPr>
      <w:r>
        <w:rPr>
          <w:rFonts w:eastAsia="Arial"/>
          <w:b/>
          <w:bCs/>
          <w:color w:val="auto"/>
        </w:rPr>
        <w:lastRenderedPageBreak/>
        <w:t>4. India's Current AI Ecosystem: Strengths and Structural Gaps</w:t>
      </w:r>
    </w:p>
    <w:p w14:paraId="23767B81" w14:textId="77777777" w:rsidR="000139B3" w:rsidRPr="00246E47" w:rsidRDefault="00000000" w:rsidP="00246E47">
      <w:pPr>
        <w:pStyle w:val="Heading2"/>
        <w:spacing w:before="280" w:after="120"/>
        <w:jc w:val="both"/>
        <w:rPr>
          <w:color w:val="auto"/>
        </w:rPr>
      </w:pPr>
      <w:r>
        <w:rPr>
          <w:rFonts w:eastAsia="Arial"/>
          <w:b/>
          <w:bCs/>
          <w:color w:val="auto"/>
        </w:rPr>
        <w:t>4.1 Existing Strengths</w:t>
      </w:r>
    </w:p>
    <w:p w14:paraId="136CB71E" w14:textId="77777777" w:rsidR="000139B3" w:rsidRPr="00246E47" w:rsidRDefault="00000000" w:rsidP="00246E47">
      <w:pPr>
        <w:spacing w:before="80" w:after="120" w:line="276" w:lineRule="auto"/>
        <w:jc w:val="both"/>
      </w:pPr>
      <w:r>
        <w:rPr>
          <w:rFonts w:eastAsia="Arial"/>
          <w:sz w:val="22"/>
          <w:szCs w:val="22"/>
        </w:rPr>
        <w:t>India enters the AI era with genuine competitive advantages that China's strategy cannot replicate. Its researchers produce roughly 10% of global AI papers and the country ranks third on the Stanford AI Vibrancy Index, behind only the United States and China. India holds the world's second-largest AI user base at nearly 20% of global usage, second only to China, and the world's second-largest community of GitHub contributors to AI projects. Alongside these, it has a large English-language technology workforce, a globally competitive software services industry, a vibrant startup ecosystem, democratic institutions capable of generating international trust, and a world-leading track record in Digital Public Infrastructure. Aadhaar, UPI, DigiLocker, and ONDC represent genuinely pioneering examples of open, interoperable public digital infrastructure that have attracted international admiration and replication across the Global South. The IndiaAI Mission, announced in 2024, establishes a promising governance architecture including a National AI Resource Platform, a 10,000-GPU compute cluster, the Bhashini multilingual translation initiative, and a stated commitment to open-weights models.</w:t>
      </w:r>
    </w:p>
    <w:p w14:paraId="4CB9B6AA" w14:textId="77777777" w:rsidR="000139B3" w:rsidRPr="00246E47" w:rsidRDefault="00000000" w:rsidP="00246E47">
      <w:pPr>
        <w:pStyle w:val="Heading2"/>
        <w:spacing w:before="280" w:after="120"/>
        <w:jc w:val="both"/>
        <w:rPr>
          <w:color w:val="auto"/>
        </w:rPr>
      </w:pPr>
      <w:r>
        <w:rPr>
          <w:rFonts w:eastAsia="Arial"/>
          <w:b/>
          <w:bCs/>
          <w:color w:val="auto"/>
        </w:rPr>
        <w:t>4.2 Structural Vulnerabilities</w:t>
      </w:r>
    </w:p>
    <w:p w14:paraId="0BA17D84" w14:textId="77777777" w:rsidR="000139B3" w:rsidRPr="00246E47" w:rsidRDefault="00000000" w:rsidP="00246E47">
      <w:pPr>
        <w:spacing w:before="80" w:after="120" w:line="276" w:lineRule="auto"/>
        <w:jc w:val="both"/>
      </w:pPr>
      <w:r>
        <w:rPr>
          <w:rFonts w:eastAsia="Arial"/>
          <w:sz w:val="22"/>
          <w:szCs w:val="22"/>
        </w:rPr>
        <w:t>Yet against China's coordinated ecosystem, India's position tells a different story. China ranks 31st on the IMF's AI Preparedness Index. India ranks 72nd. China has produced globally competitive open-weights foundation models (DeepSeek, Qwen, Ernie). India has Sarvam AI and the IndicBERT family, which are serious research contributions but nowhere near the same scale or global reach. The gap is not one of lagging by twenty years. It is a gap in strategic systematicity and execution. India's current posture exhibits five structural gaps that this paper's recommendations are designed to address.</w:t>
      </w:r>
    </w:p>
    <w:p w14:paraId="4D58D7B1" w14:textId="77777777" w:rsidR="000139B3" w:rsidRPr="00246E47" w:rsidRDefault="00000000" w:rsidP="00246E47">
      <w:pPr>
        <w:spacing w:before="80" w:after="120" w:line="276" w:lineRule="auto"/>
        <w:jc w:val="both"/>
      </w:pPr>
      <w:r>
        <w:rPr>
          <w:rFonts w:eastAsia="Arial"/>
          <w:sz w:val="22"/>
          <w:szCs w:val="22"/>
        </w:rPr>
        <w:t>First, upstream compute dependency and investment gap. In 2023, the United States invested USD 67 billion in AI, China invested USD 7.8 billion, and India invested approximately USD 1.4 billion: roughly one-fifth of China's figure. India's domestic AI ecosystem relies heavily on foreign proprietary APIs and cloud infrastructure, creating cost barriers for researchers and early-stage startups, and strategic dependencies for public-sector deployments.</w:t>
      </w:r>
    </w:p>
    <w:p w14:paraId="6457779E" w14:textId="77777777" w:rsidR="000139B3" w:rsidRPr="00246E47" w:rsidRDefault="00000000" w:rsidP="00246E47">
      <w:pPr>
        <w:spacing w:before="80" w:after="120" w:line="276" w:lineRule="auto"/>
        <w:jc w:val="both"/>
      </w:pPr>
      <w:r>
        <w:rPr>
          <w:rFonts w:eastAsia="Arial"/>
          <w:sz w:val="22"/>
          <w:szCs w:val="22"/>
        </w:rPr>
        <w:t>Second, standards underrepresentation. BIS Technical Committee LITD-35 on AI exists but operates at insufficient scale relative to the pace of standardisation at ISO/IEC JTC1/SC42. India risks being a standard-taker rather than a standard-setter in the norms that will govern global AI markets.</w:t>
      </w:r>
    </w:p>
    <w:p w14:paraId="0A94CBD5" w14:textId="77777777" w:rsidR="000139B3" w:rsidRPr="00246E47" w:rsidRDefault="00000000" w:rsidP="00246E47">
      <w:pPr>
        <w:spacing w:before="80" w:after="120" w:line="276" w:lineRule="auto"/>
        <w:jc w:val="both"/>
      </w:pPr>
      <w:r>
        <w:rPr>
          <w:rFonts w:eastAsia="Arial"/>
          <w:sz w:val="22"/>
          <w:szCs w:val="22"/>
        </w:rPr>
        <w:t>Third, multilingual deficit. India's 22 constitutionally scheduled languages represent both a cultural necessity and a commercial opportunity. Western foundation models perform poorly on most Indian languages. Systematic investment in multilingual corpora and open-weights models across all scheduled languages is absent at the required scale.</w:t>
      </w:r>
    </w:p>
    <w:p w14:paraId="095C5F48" w14:textId="1A07FE57" w:rsidR="000139B3" w:rsidRPr="00246E47" w:rsidRDefault="00000000" w:rsidP="00246E47">
      <w:pPr>
        <w:spacing w:before="80" w:after="120" w:line="276" w:lineRule="auto"/>
        <w:jc w:val="both"/>
      </w:pPr>
      <w:r>
        <w:rPr>
          <w:rFonts w:eastAsia="Arial"/>
          <w:sz w:val="22"/>
          <w:szCs w:val="22"/>
        </w:rPr>
        <w:t>Fourth, ministerial fragmentation. AI-relevant policy is distributed across MeitY, DST, DBT, DRDO, DPIIT, MoH, MoAFW, the Ministry of Education, and state governments without a robust cross-ministerial coordination mechanism, precisely the coordination problem that China solved, admittedly through centralisation that is unavailable to a democratic government.</w:t>
      </w:r>
    </w:p>
    <w:p w14:paraId="37C009C6" w14:textId="77777777" w:rsidR="000139B3" w:rsidRPr="00246E47" w:rsidRDefault="00000000" w:rsidP="00246E47">
      <w:pPr>
        <w:spacing w:before="80" w:after="120" w:line="276" w:lineRule="auto"/>
        <w:jc w:val="both"/>
      </w:pPr>
      <w:r>
        <w:rPr>
          <w:rFonts w:eastAsia="Arial"/>
          <w:sz w:val="22"/>
          <w:szCs w:val="22"/>
        </w:rPr>
        <w:lastRenderedPageBreak/>
        <w:t>Fifth, absence of pre-market evaluation infrastructure. No Indian equivalent of China's Article 28 sandbox mechanism exists. High-consequence AI deployments in healthcare diagnostics, fintech lending, and judicial assistance proceed without mandatory staging environments.</w:t>
      </w:r>
    </w:p>
    <w:p w14:paraId="5D43C8BF" w14:textId="77777777" w:rsidR="000139B3" w:rsidRPr="00246E47" w:rsidRDefault="00000000" w:rsidP="00246E47">
      <w:pPr>
        <w:jc w:val="both"/>
      </w:pPr>
      <w:r>
        <w:br w:type="page"/>
      </w:r>
    </w:p>
    <w:p w14:paraId="0C791CBC" w14:textId="77777777" w:rsidR="000139B3" w:rsidRPr="00246E47" w:rsidRDefault="00000000" w:rsidP="00246E47">
      <w:pPr>
        <w:pStyle w:val="Heading1"/>
        <w:spacing w:before="400" w:after="160"/>
        <w:jc w:val="both"/>
        <w:rPr>
          <w:color w:val="auto"/>
        </w:rPr>
      </w:pPr>
      <w:r>
        <w:rPr>
          <w:rFonts w:eastAsia="Arial"/>
          <w:b/>
          <w:bCs/>
          <w:color w:val="auto"/>
        </w:rPr>
        <w:lastRenderedPageBreak/>
        <w:t>5. The BRICS and Global South Dimension</w:t>
      </w:r>
    </w:p>
    <w:p w14:paraId="1D500781" w14:textId="74930F52" w:rsidR="000139B3" w:rsidRPr="00246E47" w:rsidRDefault="00000000" w:rsidP="00246E47">
      <w:pPr>
        <w:spacing w:before="80" w:after="120" w:line="276" w:lineRule="auto"/>
        <w:jc w:val="both"/>
      </w:pPr>
      <w:r>
        <w:rPr>
          <w:rFonts w:eastAsia="Arial"/>
          <w:sz w:val="22"/>
          <w:szCs w:val="22"/>
        </w:rPr>
        <w:t>Any serious analysis of India's AI strategy must grapple with a geopolitical reality: the current AI governance landscape is dominated by two poles. The US-EU axis sets norms through bodies such as the OECD AI Policy Observatory, the G7 Hiroshima AI Process, and bilateral regulatory dialogues. China sets parallel norms through ISO/IEC TC260, BRI technology diplomacy, and the export of its regulatory frameworks to partner nations. Nations outside these axes, including Brazil, South Africa, Indonesia, Nigeria, Bangladesh, Vietnam, and India itself, risk passively inheriting AI governance frameworks designed for and by others.</w:t>
      </w:r>
    </w:p>
    <w:p w14:paraId="223CA3FA" w14:textId="77777777" w:rsidR="000139B3" w:rsidRPr="00246E47" w:rsidRDefault="00000000" w:rsidP="00246E47">
      <w:pPr>
        <w:spacing w:before="80" w:after="120" w:line="276" w:lineRule="auto"/>
        <w:jc w:val="both"/>
      </w:pPr>
      <w:r>
        <w:rPr>
          <w:rFonts w:eastAsia="Arial"/>
          <w:sz w:val="22"/>
          <w:szCs w:val="22"/>
        </w:rPr>
        <w:t>BRICS nations collectively represent a significant share of the world's population, a substantial and growing share of AI users, and an increasing share of AI researchers and developers. Yet BRICS has not developed a coordinated AI strategy, leaving member nations to negotiate individually with technology suppliers and standards bodies where collective leverage would be considerably greater.</w:t>
      </w:r>
    </w:p>
    <w:p w14:paraId="0B6B6592" w14:textId="77777777" w:rsidR="000139B3" w:rsidRPr="00246E47" w:rsidRDefault="00000000" w:rsidP="00246E47">
      <w:pPr>
        <w:spacing w:before="80" w:after="120" w:line="276" w:lineRule="auto"/>
        <w:jc w:val="both"/>
      </w:pPr>
      <w:r>
        <w:rPr>
          <w:rFonts w:eastAsia="Arial"/>
          <w:sz w:val="22"/>
          <w:szCs w:val="22"/>
        </w:rPr>
        <w:t>India is uniquely positioned to lead a BRICS-aligned democratic AI coordination agenda, for several reasons. It is the world's most populous democracy and the world's most linguistically diverse major AI market. Its Digital Public Infrastructure is globally admired and already being adopted by other nations. Its software engineering workforce is internationally competitive. And its democratic institutions give it credibility in governance dialogues that China, despite its technical capabilities, cannot access.</w:t>
      </w:r>
    </w:p>
    <w:p w14:paraId="32244AE9" w14:textId="77777777" w:rsidR="000139B3" w:rsidRPr="00246E47" w:rsidRDefault="00000000" w:rsidP="00246E47">
      <w:pPr>
        <w:spacing w:before="80" w:after="120" w:line="276" w:lineRule="auto"/>
        <w:jc w:val="both"/>
      </w:pPr>
      <w:r>
        <w:rPr>
          <w:rFonts w:eastAsia="Arial"/>
          <w:sz w:val="22"/>
          <w:szCs w:val="22"/>
        </w:rPr>
        <w:t>Concrete areas for BRICS and Global South AI coordination should include the following:</w:t>
      </w:r>
    </w:p>
    <w:p w14:paraId="355AA151" w14:textId="77777777" w:rsidR="000139B3" w:rsidRPr="00246E47" w:rsidRDefault="00000000" w:rsidP="00246E47">
      <w:pPr>
        <w:pStyle w:val="ListParagraph"/>
        <w:numPr>
          <w:ilvl w:val="0"/>
          <w:numId w:val="2"/>
        </w:numPr>
        <w:spacing w:before="40" w:after="60"/>
        <w:jc w:val="both"/>
      </w:pPr>
      <w:r>
        <w:rPr>
          <w:rFonts w:eastAsia="Arial"/>
          <w:sz w:val="22"/>
          <w:szCs w:val="22"/>
        </w:rPr>
        <w:t>Compute access: pooled procurement of GPU infrastructure and shared supercomputing allocation for academic research across member nations, reducing per-country cost barriers</w:t>
      </w:r>
    </w:p>
    <w:p w14:paraId="70EB5DA4" w14:textId="0479C4B2" w:rsidR="000139B3" w:rsidRPr="00246E47" w:rsidRDefault="00000000" w:rsidP="00246E47">
      <w:pPr>
        <w:pStyle w:val="ListParagraph"/>
        <w:numPr>
          <w:ilvl w:val="0"/>
          <w:numId w:val="2"/>
        </w:numPr>
        <w:spacing w:before="40" w:after="60"/>
        <w:jc w:val="both"/>
      </w:pPr>
      <w:r>
        <w:rPr>
          <w:rFonts w:eastAsia="Arial"/>
          <w:sz w:val="22"/>
          <w:szCs w:val="22"/>
        </w:rPr>
        <w:t>Multilingual AI: a BRICS multilingual foundation model initiative covering the major languages of all member nations, such as Hindi, Bengali, Tamil, Portuguese, Russian, Mandarin, Arabic, Zulu, and others, as open-weights public goods</w:t>
      </w:r>
    </w:p>
    <w:p w14:paraId="107445C8" w14:textId="77777777" w:rsidR="000139B3" w:rsidRPr="00246E47" w:rsidRDefault="00000000" w:rsidP="00246E47">
      <w:pPr>
        <w:pStyle w:val="ListParagraph"/>
        <w:numPr>
          <w:ilvl w:val="0"/>
          <w:numId w:val="2"/>
        </w:numPr>
        <w:spacing w:before="40" w:after="60"/>
        <w:jc w:val="both"/>
      </w:pPr>
      <w:r>
        <w:rPr>
          <w:rFonts w:eastAsia="Arial"/>
          <w:sz w:val="22"/>
          <w:szCs w:val="22"/>
        </w:rPr>
        <w:t>Standards harmonisation: coordinated BRICS participation in ISO/IEC JTC1/SC42 and ITU-T AI bodies, advancing common positions on multilingual AI evaluation, AI in public administration, and AI safety certification that reflect Global South priorities</w:t>
      </w:r>
    </w:p>
    <w:p w14:paraId="57A5BE08" w14:textId="77777777" w:rsidR="000139B3" w:rsidRPr="00246E47" w:rsidRDefault="00000000" w:rsidP="00246E47">
      <w:pPr>
        <w:pStyle w:val="ListParagraph"/>
        <w:numPr>
          <w:ilvl w:val="0"/>
          <w:numId w:val="2"/>
        </w:numPr>
        <w:spacing w:before="40" w:after="60"/>
        <w:jc w:val="both"/>
      </w:pPr>
      <w:r>
        <w:rPr>
          <w:rFonts w:eastAsia="Arial"/>
          <w:sz w:val="22"/>
          <w:szCs w:val="22"/>
        </w:rPr>
        <w:t>Data governance: a shared framework for responsible cross-border AI research data sharing among BRICS members, drawing on India's DPDP Act architecture and Brazil's LGPD as starting points</w:t>
      </w:r>
    </w:p>
    <w:p w14:paraId="0C78117A" w14:textId="77777777" w:rsidR="000139B3" w:rsidRPr="00246E47" w:rsidRDefault="00000000" w:rsidP="00246E47">
      <w:pPr>
        <w:pStyle w:val="ListParagraph"/>
        <w:numPr>
          <w:ilvl w:val="0"/>
          <w:numId w:val="2"/>
        </w:numPr>
        <w:spacing w:before="40" w:after="60"/>
        <w:jc w:val="both"/>
      </w:pPr>
      <w:r>
        <w:rPr>
          <w:rFonts w:eastAsia="Arial"/>
          <w:sz w:val="22"/>
          <w:szCs w:val="22"/>
        </w:rPr>
        <w:t>AI safety research: a BRICS AI Safety Research Consortium, initially hosted at IISc Bengaluru and Tsinghua University jointly, providing independent AI evaluation capacity that is not dependent on US or EU institutions</w:t>
      </w:r>
    </w:p>
    <w:p w14:paraId="75431D41" w14:textId="62A1BAFB" w:rsidR="000139B3" w:rsidRPr="00246E47" w:rsidRDefault="00000000" w:rsidP="00246E47">
      <w:pPr>
        <w:pStyle w:val="ListParagraph"/>
        <w:numPr>
          <w:ilvl w:val="0"/>
          <w:numId w:val="2"/>
        </w:numPr>
        <w:spacing w:before="40" w:after="60"/>
        <w:jc w:val="both"/>
      </w:pPr>
      <w:r>
        <w:rPr>
          <w:rFonts w:eastAsia="Arial"/>
          <w:sz w:val="22"/>
          <w:szCs w:val="22"/>
        </w:rPr>
        <w:t>Technology transfer: a BRICS AI technology commons, open-weights models, open datasets, open evaluation benchmarks, that member nations can build on without API dependencies on foreign commercial providers</w:t>
      </w:r>
    </w:p>
    <w:p w14:paraId="2AC63FB3" w14:textId="77777777" w:rsidR="000139B3" w:rsidRPr="00246E47" w:rsidRDefault="00000000" w:rsidP="00246E47">
      <w:pPr>
        <w:spacing w:before="80" w:after="120" w:line="276" w:lineRule="auto"/>
        <w:jc w:val="both"/>
      </w:pPr>
      <w:r>
        <w:rPr>
          <w:rFonts w:eastAsia="Arial"/>
          <w:sz w:val="22"/>
          <w:szCs w:val="22"/>
        </w:rPr>
        <w:t xml:space="preserve">The This agenda has firmer institutional foundations than is commonly recognised. At the 2025 BRICS summit in Brazil, member states adopted a Charter for Responsible AI covering multilateralism, data sovereignty, balanced intellectual property protection, and environmental sustainability. The BRICS AI Research and Innovation Centre, established under the Russian presidency in Kazan in 2024, focuses on multilingual natural language processing, smart agriculture, and climate forecasting: precisely the domains where a Global South AI agenda should concentrate. In June 2026, China's State Council Information Office called for a World AI Cooperation Organisation to increase developing nation representation in global governance. India should be co-authoring these proposals, not merely receiving them. The BRICS AI </w:t>
      </w:r>
      <w:r>
        <w:rPr>
          <w:rFonts w:eastAsia="Arial"/>
          <w:sz w:val="22"/>
          <w:szCs w:val="22"/>
        </w:rPr>
        <w:lastRenderedPageBreak/>
        <w:t>coordination agenda should be explicitly non-exclusionary: complementing rather than competing with India's engagement with democratic partners in GPAI, the Quad, and iCET. The objective is not to create a closed bloc but to ensure that the Global South has genuine agency in shaping AI governance norms rather than merely implementing frameworks designed elsewhere.</w:t>
      </w:r>
    </w:p>
    <w:p w14:paraId="12867DE3" w14:textId="77777777" w:rsidR="000139B3" w:rsidRPr="00246E47" w:rsidRDefault="00000000" w:rsidP="00246E47">
      <w:pPr>
        <w:jc w:val="both"/>
      </w:pPr>
      <w:r>
        <w:br w:type="page"/>
      </w:r>
    </w:p>
    <w:p w14:paraId="4C98285C" w14:textId="77777777" w:rsidR="000139B3" w:rsidRPr="00246E47" w:rsidRDefault="00000000" w:rsidP="00246E47">
      <w:pPr>
        <w:pStyle w:val="Heading1"/>
        <w:spacing w:before="400" w:after="160"/>
        <w:jc w:val="both"/>
        <w:rPr>
          <w:color w:val="auto"/>
        </w:rPr>
      </w:pPr>
      <w:r>
        <w:rPr>
          <w:rFonts w:eastAsia="Arial"/>
          <w:b/>
          <w:bCs/>
          <w:color w:val="auto"/>
        </w:rPr>
        <w:lastRenderedPageBreak/>
        <w:t>6. Policy Recommendations: A Ten-Pillar Indian Sovereign AI Strategy</w:t>
      </w:r>
    </w:p>
    <w:p w14:paraId="0451226C" w14:textId="77777777" w:rsidR="000139B3" w:rsidRPr="00246E47" w:rsidRDefault="00000000" w:rsidP="00246E47">
      <w:pPr>
        <w:spacing w:before="80" w:after="120" w:line="276" w:lineRule="auto"/>
        <w:jc w:val="both"/>
      </w:pPr>
      <w:r>
        <w:rPr>
          <w:rFonts w:eastAsia="Arial"/>
          <w:sz w:val="22"/>
          <w:szCs w:val="22"/>
        </w:rPr>
        <w:t>The following ten pillars derive from the comparative analysis. Each names specific Indian institutions, laws, and planning mechanisms. The recommendations are calibrated to India's democratic constitutional framework and explicitly avoid mechanisms that would require authoritarian governance.</w:t>
      </w:r>
    </w:p>
    <w:p w14:paraId="37A24A46" w14:textId="77777777" w:rsidR="000139B3" w:rsidRPr="00246E47" w:rsidRDefault="00000000" w:rsidP="00246E47">
      <w:pPr>
        <w:pStyle w:val="Heading2"/>
        <w:spacing w:before="280" w:after="120"/>
        <w:jc w:val="both"/>
        <w:rPr>
          <w:color w:val="auto"/>
        </w:rPr>
      </w:pPr>
      <w:r>
        <w:rPr>
          <w:rFonts w:eastAsia="Arial"/>
          <w:b/>
          <w:bCs/>
          <w:color w:val="auto"/>
        </w:rPr>
        <w:t>Pillar 1: National Compute Mission</w:t>
      </w:r>
    </w:p>
    <w:p w14:paraId="68082C61"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1C9B73FC" w14:textId="77777777" w:rsidR="000139B3" w:rsidRPr="00246E47" w:rsidRDefault="00000000" w:rsidP="00246E47">
      <w:pPr>
        <w:spacing w:before="80" w:after="120" w:line="276" w:lineRule="auto"/>
        <w:jc w:val="both"/>
      </w:pPr>
      <w:r>
        <w:rPr>
          <w:rFonts w:eastAsia="Arial"/>
          <w:sz w:val="22"/>
          <w:szCs w:val="22"/>
        </w:rPr>
        <w:t>India's AI research and startup ecosystem is constrained by access to affordable high-performance compute. Foreign cloud providers dominate, creating cost barriers and strategic dependencies for public-sector AI deployments.</w:t>
      </w:r>
    </w:p>
    <w:p w14:paraId="12BD4FDC"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03AD5F13" w14:textId="77777777" w:rsidR="000139B3" w:rsidRPr="00246E47" w:rsidRDefault="00000000" w:rsidP="00246E47">
      <w:pPr>
        <w:spacing w:before="80" w:after="120" w:line="276" w:lineRule="auto"/>
        <w:jc w:val="both"/>
      </w:pPr>
      <w:r>
        <w:rPr>
          <w:rFonts w:eastAsia="Arial"/>
          <w:sz w:val="22"/>
          <w:szCs w:val="22"/>
        </w:rPr>
        <w:t>Operationalise the IndiaAI Mission compute cluster with a clear institutional access framework: 40% to academic research (IITs, IISc, NITs, and central universities via DST grants), 30% to startups (via DPIIT/NASSCOM eligibility gateway), 20% to public-sector deployments (MeitY, NIC, e-governance), and 10% to national security applications (DRDO, DSCI). Integrate C-DAC's National Supercomputing Mission grid into the AIRP framework to create a unified national compute allocation system. The design principle should draw on China's East Data West Computing initiative, which routes processing workloads to provinces where land and renewable energy are cheaper, building a distributed national computing network rather than concentrating infrastructure in one location. India's geography and uneven energy costs suggest a similar distributed architecture: compute nodes co-located with renewable energy capacity in Rajasthan, Gujarat, and the northeastern states, coordinated through a national allocation platform. In the medium term, commission domestically designed AI accelerator chips via SemiconIndia, targeting sub-5W edge inference chips where domestic design is commercially viable within five years.</w:t>
      </w:r>
    </w:p>
    <w:p w14:paraId="2D251F90" w14:textId="77777777" w:rsidR="000139B3" w:rsidRPr="00246E47" w:rsidRDefault="00000000" w:rsidP="00246E47">
      <w:pPr>
        <w:pStyle w:val="Heading2"/>
        <w:spacing w:before="280" w:after="120"/>
        <w:jc w:val="both"/>
        <w:rPr>
          <w:color w:val="auto"/>
        </w:rPr>
      </w:pPr>
      <w:r>
        <w:rPr>
          <w:rFonts w:eastAsia="Arial"/>
          <w:b/>
          <w:bCs/>
          <w:color w:val="auto"/>
        </w:rPr>
        <w:t>Pillar 2: Open-Weights Multilingual Foundation Models</w:t>
      </w:r>
    </w:p>
    <w:p w14:paraId="0438B1FB"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0E10956C" w14:textId="77777777" w:rsidR="000139B3" w:rsidRPr="00246E47" w:rsidRDefault="00000000" w:rsidP="00246E47">
      <w:pPr>
        <w:spacing w:before="80" w:after="120" w:line="276" w:lineRule="auto"/>
        <w:jc w:val="both"/>
      </w:pPr>
      <w:r>
        <w:rPr>
          <w:rFonts w:eastAsia="Arial"/>
          <w:sz w:val="22"/>
          <w:szCs w:val="22"/>
        </w:rPr>
        <w:t>Western foundation models underperform on Indian languages, create API dependency, and embed cultural assumptions misaligned with Indian contexts.</w:t>
      </w:r>
    </w:p>
    <w:p w14:paraId="2D40FC4B"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311B9B98" w14:textId="77777777" w:rsidR="000139B3" w:rsidRPr="00246E47" w:rsidRDefault="00000000" w:rsidP="00246E47">
      <w:pPr>
        <w:spacing w:before="80" w:after="120" w:line="276" w:lineRule="auto"/>
        <w:jc w:val="both"/>
      </w:pPr>
      <w:r>
        <w:rPr>
          <w:rFonts w:eastAsia="Arial"/>
          <w:sz w:val="22"/>
          <w:szCs w:val="22"/>
        </w:rPr>
        <w:t xml:space="preserve">Fund a consortium including IIT Madras (IndicBERT/IndicBART lineage), IIT Bombay, IIT Delhi, Sarvam AI, and AI4Bharat to develop open-weights multilingual base models covering all 22 scheduled languages, released under Apache 2.0 licences with full training data documentation. Government procurement should prefer domestically developed models for all public-sector AI, including Aadhaar services, DigiLocker processing, eCourts translation, and PM-KISAN agricultural advisory. Bhashini should be extended as both a public API and a training data commons with C-DAC annotation support. A parallel track should develop what might be called Frugal AI: high-efficiency, low-parameter models optimised for the compute and connectivity constraints of India's smaller cities, rural districts, and public institutions. China has demonstrated through its small model strategy that powerful AI inference is achievable under constrained </w:t>
      </w:r>
      <w:r>
        <w:rPr>
          <w:rFonts w:eastAsia="Arial"/>
          <w:sz w:val="22"/>
          <w:szCs w:val="22"/>
        </w:rPr>
        <w:lastRenderedPageBreak/>
        <w:t>resources through algorithmic optimisation. India's data diversity and software talent make it well-suited to lead this approach for the Global South, not merely adopt it.</w:t>
      </w:r>
    </w:p>
    <w:p w14:paraId="0B2CE19A" w14:textId="77777777" w:rsidR="000139B3" w:rsidRPr="00246E47" w:rsidRDefault="00000000" w:rsidP="00246E47">
      <w:pPr>
        <w:pStyle w:val="Heading2"/>
        <w:spacing w:before="280" w:after="120"/>
        <w:jc w:val="both"/>
        <w:rPr>
          <w:color w:val="auto"/>
        </w:rPr>
      </w:pPr>
      <w:r>
        <w:rPr>
          <w:rFonts w:eastAsia="Arial"/>
          <w:b/>
          <w:bCs/>
          <w:color w:val="auto"/>
        </w:rPr>
        <w:t>Pillar 3: National Data Commons</w:t>
      </w:r>
    </w:p>
    <w:p w14:paraId="53D77A14"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0C7346C2" w14:textId="77777777" w:rsidR="000139B3" w:rsidRPr="00246E47" w:rsidRDefault="00000000" w:rsidP="00246E47">
      <w:pPr>
        <w:spacing w:before="80" w:after="120" w:line="276" w:lineRule="auto"/>
        <w:jc w:val="both"/>
      </w:pPr>
      <w:r>
        <w:rPr>
          <w:rFonts w:eastAsia="Arial"/>
          <w:sz w:val="22"/>
          <w:szCs w:val="22"/>
        </w:rPr>
        <w:t>High-quality, annotated, multilingual datasets are as strategically important as compute. India lacks a systematic framework for creating, governing, and sharing trusted datasets.</w:t>
      </w:r>
    </w:p>
    <w:p w14:paraId="3D6E2CC2"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46B7F5BA" w14:textId="77777777" w:rsidR="000139B3" w:rsidRPr="00246E47" w:rsidRDefault="00000000" w:rsidP="00246E47">
      <w:pPr>
        <w:spacing w:before="80" w:after="120" w:line="276" w:lineRule="auto"/>
        <w:jc w:val="both"/>
      </w:pPr>
      <w:r>
        <w:rPr>
          <w:rFonts w:eastAsia="Arial"/>
          <w:sz w:val="22"/>
          <w:szCs w:val="22"/>
        </w:rPr>
        <w:t>Establish a National AI Data Commons under MeitY governance with domain councils covering healthcare (ICMR, AIIMS), agriculture (ICAR, IARI), legal (eCourts, NLUs), and public administration (NIC, UIDAI). Data sharing should be governed by DPDP Act 2023 consent architecture with differential privacy mandated for personal data. Government datasets across ministries should be converted to open machine-readable formats under a Data Interoperability Standards mandate. IIT-curated benchmark datasets for each scheduled language should be maintained as public goods with STQC quality audits.</w:t>
      </w:r>
    </w:p>
    <w:p w14:paraId="1A5AC5F3" w14:textId="77777777" w:rsidR="000139B3" w:rsidRPr="00246E47" w:rsidRDefault="00000000" w:rsidP="00246E47">
      <w:pPr>
        <w:pStyle w:val="Heading2"/>
        <w:spacing w:before="280" w:after="120"/>
        <w:jc w:val="both"/>
        <w:rPr>
          <w:color w:val="auto"/>
        </w:rPr>
      </w:pPr>
      <w:r>
        <w:rPr>
          <w:rFonts w:eastAsia="Arial"/>
          <w:b/>
          <w:bCs/>
          <w:color w:val="auto"/>
        </w:rPr>
        <w:t>Pillar 4: Bharat AI Sandbox</w:t>
      </w:r>
    </w:p>
    <w:p w14:paraId="2768CBE7"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7A632179" w14:textId="77777777" w:rsidR="000139B3" w:rsidRPr="00246E47" w:rsidRDefault="00000000" w:rsidP="00246E47">
      <w:pPr>
        <w:spacing w:before="80" w:after="120" w:line="276" w:lineRule="auto"/>
        <w:jc w:val="both"/>
      </w:pPr>
      <w:r>
        <w:rPr>
          <w:rFonts w:eastAsia="Arial"/>
          <w:sz w:val="22"/>
          <w:szCs w:val="22"/>
        </w:rPr>
        <w:t>High-consequence AI deployments proceed in India without pre-market safety evaluation, creating risks for citizens and regulatory uncertainty for deployers.</w:t>
      </w:r>
    </w:p>
    <w:p w14:paraId="480826E0"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7BC84C64" w14:textId="77777777" w:rsidR="000139B3" w:rsidRPr="00246E47" w:rsidRDefault="00000000" w:rsidP="00246E47">
      <w:pPr>
        <w:spacing w:before="80" w:after="120" w:line="276" w:lineRule="auto"/>
        <w:jc w:val="both"/>
      </w:pPr>
      <w:r>
        <w:rPr>
          <w:rFonts w:eastAsia="Arial"/>
          <w:sz w:val="22"/>
          <w:szCs w:val="22"/>
        </w:rPr>
        <w:t>MeitY and CERT-In should jointly establish the Bharat AI Sandbox: a nationally managed pre-deployment staging environment for high-consequence AI systems covering medical diagnosis, credit and insurance underwriting, judicial sentencing assistance, educational assessment, and public-benefit eligibility. STQC should operate automated evaluation pipelines for bias and fairness testing, adversarial robustness assessment, hallucination benchmarking, and cultural sensitivity screening. Regulatory triggers should activate at 500,000 registered users or 50,000 monthly active users in high-consequence domains; below these thresholds, NASSCOM self-certification applies. Unlike China's sandbox, which primarily serves state security validation, the Bharat AI Sandbox should be explicitly oriented toward consumer protection with public reporting of evaluation outcomes.</w:t>
      </w:r>
    </w:p>
    <w:p w14:paraId="4E27A38B" w14:textId="77777777" w:rsidR="000139B3" w:rsidRPr="00246E47" w:rsidRDefault="00000000" w:rsidP="00246E47">
      <w:pPr>
        <w:pStyle w:val="Heading2"/>
        <w:spacing w:before="280" w:after="120"/>
        <w:jc w:val="both"/>
        <w:rPr>
          <w:color w:val="auto"/>
        </w:rPr>
      </w:pPr>
      <w:r>
        <w:rPr>
          <w:rFonts w:eastAsia="Arial"/>
          <w:b/>
          <w:bCs/>
          <w:color w:val="auto"/>
        </w:rPr>
        <w:t>Pillar 5: AI Standards Leadership</w:t>
      </w:r>
    </w:p>
    <w:p w14:paraId="61B9F837"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36744553" w14:textId="77777777" w:rsidR="000139B3" w:rsidRPr="00246E47" w:rsidRDefault="00000000" w:rsidP="00246E47">
      <w:pPr>
        <w:spacing w:before="80" w:after="120" w:line="276" w:lineRule="auto"/>
        <w:jc w:val="both"/>
      </w:pPr>
      <w:r>
        <w:rPr>
          <w:rFonts w:eastAsia="Arial"/>
          <w:sz w:val="22"/>
          <w:szCs w:val="22"/>
        </w:rPr>
        <w:t>Standards set at ISO/IEC JTC1/SC42 will shape global AI market access requirements for decades. India risks being a standard-taker rather than a standard-setter.</w:t>
      </w:r>
    </w:p>
    <w:p w14:paraId="259457D9"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46FAD960" w14:textId="77777777" w:rsidR="000139B3" w:rsidRPr="00246E47" w:rsidRDefault="00000000" w:rsidP="00246E47">
      <w:pPr>
        <w:spacing w:before="80" w:after="120" w:line="276" w:lineRule="auto"/>
        <w:jc w:val="both"/>
      </w:pPr>
      <w:r>
        <w:rPr>
          <w:rFonts w:eastAsia="Arial"/>
          <w:sz w:val="22"/>
          <w:szCs w:val="22"/>
        </w:rPr>
        <w:t xml:space="preserve">Resource BIS LITD-35 to operate as a strategic priority and seek active (not observer) participation in ISO/IEC JTC1/SC42, IEEE AI standards bodies, and ITU-T AI/ML Focus Group. At the domestic level, India should consider elevating its AI strategy to parliamentary legislation through a National AI Vision Act that defines concrete, accountable metrics for 2027, 2030, and 2035: the share of core AI industries in </w:t>
      </w:r>
      <w:r>
        <w:rPr>
          <w:rFonts w:eastAsia="Arial"/>
          <w:sz w:val="22"/>
          <w:szCs w:val="22"/>
        </w:rPr>
        <w:lastRenderedPageBreak/>
        <w:t>GDP, the number of open-weights foundation models released under Indian stewardship, and active participation targets in international standards bodies. Legally binding and quantitative targets of this kind are precisely what distinguishes China's approach from India's current framework, which remains largely aspirational. IIT Delhi, IIT Bombay, and IISc should host dedicated AI standards research groups. India should advance a multilateral framework through G20, GPAI, and the UN AI Advisory Body that reflects Global South priorities: multilingual AI access, compute equity, and non-discriminatory technology transfer.</w:t>
      </w:r>
    </w:p>
    <w:p w14:paraId="207224E6" w14:textId="77777777" w:rsidR="000139B3" w:rsidRPr="00246E47" w:rsidRDefault="00000000" w:rsidP="00246E47">
      <w:pPr>
        <w:pStyle w:val="Heading2"/>
        <w:spacing w:before="280" w:after="120"/>
        <w:jc w:val="both"/>
        <w:rPr>
          <w:color w:val="auto"/>
        </w:rPr>
      </w:pPr>
      <w:r>
        <w:rPr>
          <w:rFonts w:eastAsia="Arial"/>
          <w:b/>
          <w:bCs/>
          <w:color w:val="auto"/>
        </w:rPr>
        <w:t>Pillar 6: Cognitive Safeguards for Vulnerable Demographics</w:t>
      </w:r>
    </w:p>
    <w:p w14:paraId="55FE4A0B"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176B7492" w14:textId="77777777" w:rsidR="000139B3" w:rsidRPr="00246E47" w:rsidRDefault="00000000" w:rsidP="00246E47">
      <w:pPr>
        <w:spacing w:before="80" w:after="120" w:line="276" w:lineRule="auto"/>
        <w:jc w:val="both"/>
      </w:pPr>
      <w:r>
        <w:rPr>
          <w:rFonts w:eastAsia="Arial"/>
          <w:sz w:val="22"/>
          <w:szCs w:val="22"/>
        </w:rPr>
        <w:t>India's mobile-first, youthful, and increasingly elderly population is exposed to conversational AI without binding protocol-level protections against psychological manipulation and dependency formation.</w:t>
      </w:r>
    </w:p>
    <w:p w14:paraId="1063C016"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5DCCC490" w14:textId="77777777" w:rsidR="000139B3" w:rsidRPr="00246E47" w:rsidRDefault="00000000" w:rsidP="00246E47">
      <w:pPr>
        <w:spacing w:before="80" w:after="120" w:line="276" w:lineRule="auto"/>
        <w:jc w:val="both"/>
      </w:pPr>
      <w:r>
        <w:rPr>
          <w:rFonts w:eastAsia="Arial"/>
          <w:sz w:val="22"/>
          <w:szCs w:val="22"/>
        </w:rPr>
        <w:t>The Digital India Act should incorporate a Digital Wellbeing Code for AI covering: for minors under 18, a complete prohibition on AI systems designed to form virtual romantic relationships, mandatory minor mode with guardian dashboard (session duration, character restriction, spending controls), NCPCR compliance certification for EdTech AI, and age verification via DigiLocker; for elderly users (60+), conspicuous risk disclosure in the user's preferred language, simplified interface modes for public-sector AI services, rapid human escalation for health and financial AI, and iCall/Vandrevala Foundation crisis line integration; for all users, mandatory session duration reminders at two hours of continuous use, unimpeded volitional exit with no dark patterns, and cryptographic C2PA watermarking of all AI-generated content with ECI oversight for electoral applications.</w:t>
      </w:r>
    </w:p>
    <w:p w14:paraId="139DA779" w14:textId="77777777" w:rsidR="000139B3" w:rsidRPr="00246E47" w:rsidRDefault="00000000" w:rsidP="00246E47">
      <w:pPr>
        <w:pStyle w:val="Heading2"/>
        <w:spacing w:before="280" w:after="120"/>
        <w:jc w:val="both"/>
        <w:rPr>
          <w:color w:val="auto"/>
        </w:rPr>
      </w:pPr>
      <w:r>
        <w:rPr>
          <w:rFonts w:eastAsia="Arial"/>
          <w:b/>
          <w:bCs/>
          <w:color w:val="auto"/>
        </w:rPr>
        <w:t>Pillar 7: AI in Manufacturing and Industrial Sectors</w:t>
      </w:r>
    </w:p>
    <w:p w14:paraId="222E9AA9"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70F006BB" w14:textId="77777777" w:rsidR="000139B3" w:rsidRPr="00246E47" w:rsidRDefault="00000000" w:rsidP="00246E47">
      <w:pPr>
        <w:spacing w:before="80" w:after="120" w:line="276" w:lineRule="auto"/>
        <w:jc w:val="both"/>
      </w:pPr>
      <w:r>
        <w:rPr>
          <w:rFonts w:eastAsia="Arial"/>
          <w:sz w:val="22"/>
          <w:szCs w:val="22"/>
        </w:rPr>
        <w:t>India's AI-in-manufacturing policy remains aspirational. China's AI+ Manufacturing Opinions (2026) provide a sector-by-sector implementation roadmap with no Indian equivalent.</w:t>
      </w:r>
    </w:p>
    <w:p w14:paraId="433F1CC2"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673F1CCF" w14:textId="77777777" w:rsidR="000139B3" w:rsidRPr="00246E47" w:rsidRDefault="00000000" w:rsidP="00246E47">
      <w:pPr>
        <w:spacing w:before="80" w:after="120" w:line="276" w:lineRule="auto"/>
        <w:jc w:val="both"/>
      </w:pPr>
      <w:r>
        <w:rPr>
          <w:rFonts w:eastAsia="Arial"/>
          <w:sz w:val="22"/>
          <w:szCs w:val="22"/>
        </w:rPr>
        <w:t>DPIIT should introduce an AI Adoption Tier within PLI schemes with enhanced incentive rates for manufacturers deploying domestically developed AI for quality control, predictive maintenance, supply chain optimisation, or energy efficiency across pharmaceuticals, semiconductors, textiles, food processing, and advanced manufacturing. Sector roadmaps should cover: agriculture (ICAR-IARI Kisan AI, integration with PM-KISAN and eNAM), healthcare (AIIMS-IIT diagnostic tools, ICMR disease surveillance), logistics (AI on ONDC and FASTag infrastructure), and renewable energy (MNRE AI forecasting for solar and wind). Smart Cities Mission should mandate AI readiness assessments for all new deployments.</w:t>
      </w:r>
    </w:p>
    <w:p w14:paraId="7B412556" w14:textId="77777777" w:rsidR="000139B3" w:rsidRPr="00246E47" w:rsidRDefault="00000000" w:rsidP="00246E47">
      <w:pPr>
        <w:pStyle w:val="Heading2"/>
        <w:spacing w:before="280" w:after="120"/>
        <w:jc w:val="both"/>
        <w:rPr>
          <w:color w:val="auto"/>
        </w:rPr>
      </w:pPr>
      <w:r>
        <w:rPr>
          <w:rFonts w:eastAsia="Arial"/>
          <w:b/>
          <w:bCs/>
          <w:color w:val="auto"/>
        </w:rPr>
        <w:t>Pillar 8: AI Education from Schools to Doctoral Research</w:t>
      </w:r>
    </w:p>
    <w:p w14:paraId="0D4242EA"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420DC96C" w14:textId="77777777" w:rsidR="000139B3" w:rsidRPr="00246E47" w:rsidRDefault="00000000" w:rsidP="00246E47">
      <w:pPr>
        <w:spacing w:before="80" w:after="120" w:line="276" w:lineRule="auto"/>
        <w:jc w:val="both"/>
      </w:pPr>
      <w:r>
        <w:rPr>
          <w:rFonts w:eastAsia="Arial"/>
          <w:sz w:val="22"/>
          <w:szCs w:val="22"/>
        </w:rPr>
        <w:t>China's 2025 school AI guide mandates systematic AI literacy from primary level. India's AI education remains concentrated at elite postgraduate institutions.</w:t>
      </w:r>
    </w:p>
    <w:p w14:paraId="25F519D7" w14:textId="77777777" w:rsidR="000139B3" w:rsidRPr="00246E47" w:rsidRDefault="00000000" w:rsidP="00246E47">
      <w:pPr>
        <w:pStyle w:val="Heading3"/>
        <w:spacing w:before="200" w:after="80"/>
        <w:jc w:val="both"/>
        <w:rPr>
          <w:color w:val="auto"/>
        </w:rPr>
      </w:pPr>
      <w:r>
        <w:rPr>
          <w:rFonts w:eastAsia="Arial"/>
          <w:b/>
          <w:bCs/>
          <w:color w:val="auto"/>
        </w:rPr>
        <w:lastRenderedPageBreak/>
        <w:t>Recommendation</w:t>
      </w:r>
    </w:p>
    <w:p w14:paraId="46ED0C45" w14:textId="77777777" w:rsidR="000139B3" w:rsidRPr="00246E47" w:rsidRDefault="00000000" w:rsidP="00246E47">
      <w:pPr>
        <w:spacing w:before="80" w:after="120" w:line="276" w:lineRule="auto"/>
        <w:jc w:val="both"/>
      </w:pPr>
      <w:r>
        <w:rPr>
          <w:rFonts w:eastAsia="Arial"/>
          <w:sz w:val="22"/>
          <w:szCs w:val="22"/>
        </w:rPr>
        <w:t>The National Curriculum Framework should incorporate AI literacy from Class 6 onwards covering computational thinking, algorithmic bias, data ethics, and practical AI tool use. NCERT should develop multilingual AI modules with rural accessibility provisions. UGC should mandate AI literacy across all undergraduate programmes by 2028. IIT and NIT AI research centres should provide distance learning via SWAYAM. NCTE should develop AI pedagogy certification programmes with DST-funded residential training for schoolteachers across all states.</w:t>
      </w:r>
    </w:p>
    <w:p w14:paraId="0EFC91A1" w14:textId="77777777" w:rsidR="000139B3" w:rsidRPr="00246E47" w:rsidRDefault="00000000" w:rsidP="00246E47">
      <w:pPr>
        <w:pStyle w:val="Heading2"/>
        <w:spacing w:before="280" w:after="120"/>
        <w:jc w:val="both"/>
        <w:rPr>
          <w:color w:val="auto"/>
        </w:rPr>
      </w:pPr>
      <w:r>
        <w:rPr>
          <w:rFonts w:eastAsia="Arial"/>
          <w:b/>
          <w:bCs/>
          <w:color w:val="auto"/>
        </w:rPr>
        <w:t>Pillar 9: Semiconductor and AI Hardware Strategy</w:t>
      </w:r>
    </w:p>
    <w:p w14:paraId="0A6B89CF"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5A928624" w14:textId="6DEBD96F" w:rsidR="000139B3" w:rsidRPr="00246E47" w:rsidRDefault="00000000" w:rsidP="00246E47">
      <w:pPr>
        <w:spacing w:before="80" w:after="120" w:line="276" w:lineRule="auto"/>
        <w:jc w:val="both"/>
      </w:pPr>
      <w:r>
        <w:rPr>
          <w:rFonts w:eastAsia="Arial"/>
          <w:sz w:val="22"/>
          <w:szCs w:val="22"/>
        </w:rPr>
        <w:t>India's AI hardware strategy relies entirely on imported GPUs. The immediately achievable opportunity — chip design and AI accelerator development, is underweighted in SemiconIndia relative to the geopolitical difficulty of building fabrication from scratch.</w:t>
      </w:r>
    </w:p>
    <w:p w14:paraId="4230F8E8"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6BC9B059" w14:textId="77777777" w:rsidR="000139B3" w:rsidRPr="00246E47" w:rsidRDefault="00000000" w:rsidP="00246E47">
      <w:pPr>
        <w:spacing w:before="80" w:after="120" w:line="276" w:lineRule="auto"/>
        <w:jc w:val="both"/>
      </w:pPr>
      <w:r>
        <w:rPr>
          <w:rFonts w:eastAsia="Arial"/>
          <w:sz w:val="22"/>
          <w:szCs w:val="22"/>
        </w:rPr>
        <w:t>SemiconIndia 2.0 should shift strategic emphasis toward chip design and advanced packaging. IIT Madras (IITM PRAVARTAK), IIT Bombay, IIT Delhi, and IISc should receive enhanced DST funding for AI accelerator research with industry co-investment from Qualcomm India, Intel India Design Centres, and Saankhya Labs. A Design-Linked Incentive scheme specifically for AI accelerator chips should target startups developing edge AI chips for embedded inference in agriculture, healthcare devices, and industrial IoT. DRDO and ISRO should provide domestic demand anchor for domestically designed chips.</w:t>
      </w:r>
    </w:p>
    <w:p w14:paraId="337F3EE5" w14:textId="77777777" w:rsidR="000139B3" w:rsidRPr="00246E47" w:rsidRDefault="00000000" w:rsidP="00246E47">
      <w:pPr>
        <w:pStyle w:val="Heading2"/>
        <w:spacing w:before="280" w:after="120"/>
        <w:jc w:val="both"/>
        <w:rPr>
          <w:color w:val="auto"/>
        </w:rPr>
      </w:pPr>
      <w:r>
        <w:rPr>
          <w:rFonts w:eastAsia="Arial"/>
          <w:b/>
          <w:bCs/>
          <w:color w:val="auto"/>
        </w:rPr>
        <w:t>Pillar 10: International AI Governance Leadership</w:t>
      </w:r>
    </w:p>
    <w:p w14:paraId="339C94B5" w14:textId="77777777" w:rsidR="000139B3" w:rsidRPr="00246E47" w:rsidRDefault="00000000" w:rsidP="00246E47">
      <w:pPr>
        <w:pStyle w:val="Heading3"/>
        <w:spacing w:before="200" w:after="80"/>
        <w:jc w:val="both"/>
        <w:rPr>
          <w:color w:val="auto"/>
        </w:rPr>
      </w:pPr>
      <w:r>
        <w:rPr>
          <w:rFonts w:eastAsia="Arial"/>
          <w:b/>
          <w:bCs/>
          <w:color w:val="auto"/>
        </w:rPr>
        <w:t>The Challenge</w:t>
      </w:r>
    </w:p>
    <w:p w14:paraId="1901C277" w14:textId="77777777" w:rsidR="000139B3" w:rsidRPr="00246E47" w:rsidRDefault="00000000" w:rsidP="00246E47">
      <w:pPr>
        <w:spacing w:before="80" w:after="120" w:line="276" w:lineRule="auto"/>
        <w:jc w:val="both"/>
      </w:pPr>
      <w:r>
        <w:rPr>
          <w:rFonts w:eastAsia="Arial"/>
          <w:sz w:val="22"/>
          <w:szCs w:val="22"/>
        </w:rPr>
        <w:t>AI governance norms are being set now in ways that will constrain policy space for decades. India risks being a peripheral participant in a conversation dominated by the US-EU and Chinese axes.</w:t>
      </w:r>
    </w:p>
    <w:p w14:paraId="738E197B" w14:textId="77777777" w:rsidR="000139B3" w:rsidRPr="00246E47" w:rsidRDefault="00000000" w:rsidP="00246E47">
      <w:pPr>
        <w:pStyle w:val="Heading3"/>
        <w:spacing w:before="200" w:after="80"/>
        <w:jc w:val="both"/>
        <w:rPr>
          <w:color w:val="auto"/>
        </w:rPr>
      </w:pPr>
      <w:r>
        <w:rPr>
          <w:rFonts w:eastAsia="Arial"/>
          <w:b/>
          <w:bCs/>
          <w:color w:val="auto"/>
        </w:rPr>
        <w:t>Recommendation</w:t>
      </w:r>
    </w:p>
    <w:p w14:paraId="2D74841D" w14:textId="474CD3DA" w:rsidR="000139B3" w:rsidRPr="00246E47" w:rsidRDefault="00000000" w:rsidP="00246E47">
      <w:pPr>
        <w:spacing w:before="80" w:after="120" w:line="276" w:lineRule="auto"/>
        <w:jc w:val="both"/>
      </w:pPr>
      <w:r>
        <w:rPr>
          <w:rFonts w:eastAsia="Arial"/>
          <w:sz w:val="22"/>
          <w:szCs w:val="22"/>
        </w:rPr>
        <w:t>India should explicitly position itself as the voice of democratic Global South nations in international AI governance, building coalitions within GPAI, the UN AI Advisory Body, ITU-T, and the international AI Safety Institute network. MEA should establish a dedicated AI Diplomacy Division. India should champion multilingual AI access as a global governance priority, i.e. the right of populations to interact with AI in their native languages at equivalent quality, and should advance this through ISO/IEC and ITU as both a development and a standards agenda. The BRICS AI coordination agenda described in Chapter 5 should be a standing item in MEA's technology diplomacy programme.</w:t>
      </w:r>
    </w:p>
    <w:p w14:paraId="69FD0CE5" w14:textId="77777777" w:rsidR="000139B3" w:rsidRPr="00246E47" w:rsidRDefault="00000000" w:rsidP="00246E47">
      <w:pPr>
        <w:jc w:val="both"/>
      </w:pPr>
      <w:r>
        <w:br w:type="page"/>
      </w:r>
    </w:p>
    <w:p w14:paraId="2BE4AE85" w14:textId="77777777" w:rsidR="000139B3" w:rsidRPr="00246E47" w:rsidRDefault="00000000" w:rsidP="00246E47">
      <w:pPr>
        <w:pStyle w:val="Heading1"/>
        <w:spacing w:before="400" w:after="160"/>
        <w:jc w:val="both"/>
        <w:rPr>
          <w:color w:val="auto"/>
        </w:rPr>
      </w:pPr>
      <w:r>
        <w:rPr>
          <w:rFonts w:eastAsia="Arial"/>
          <w:b/>
          <w:bCs/>
          <w:color w:val="auto"/>
        </w:rPr>
        <w:lastRenderedPageBreak/>
        <w:t>7. Comparative Framework Matrix</w:t>
      </w:r>
    </w:p>
    <w:p w14:paraId="7F07EB6B" w14:textId="77777777" w:rsidR="000139B3" w:rsidRPr="00246E47" w:rsidRDefault="00000000" w:rsidP="00246E47">
      <w:pPr>
        <w:spacing w:before="80" w:after="120" w:line="276" w:lineRule="auto"/>
        <w:jc w:val="both"/>
      </w:pPr>
      <w:r>
        <w:rPr>
          <w:rFonts w:eastAsia="Arial"/>
          <w:sz w:val="22"/>
          <w:szCs w:val="22"/>
        </w:rPr>
        <w:t>The following table maps China's operational AI governance mechanisms against India's recommended strategic adaptations across eleven analytical dimensions, including the BRICS coordination dimension absent from existing comparative analyses.</w:t>
      </w:r>
    </w:p>
    <w:p w14:paraId="6DDF7688" w14:textId="77777777" w:rsidR="000139B3" w:rsidRPr="00246E47" w:rsidRDefault="000139B3" w:rsidP="00246E47">
      <w:pPr>
        <w:spacing w:before="80" w:after="80"/>
        <w:jc w:val="both"/>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246E47" w:rsidRPr="00246E47" w14:paraId="7800B350" w14:textId="77777777" w:rsidTr="00246E47">
        <w:tc>
          <w:tcPr>
            <w:tcW w:w="2200" w:type="dxa"/>
            <w:tcMar>
              <w:top w:w="100" w:type="dxa"/>
              <w:left w:w="140" w:type="dxa"/>
              <w:bottom w:w="100" w:type="dxa"/>
              <w:right w:w="140" w:type="dxa"/>
            </w:tcMar>
          </w:tcPr>
          <w:p w14:paraId="30D3399E" w14:textId="77777777" w:rsidR="000139B3" w:rsidRPr="00246E47" w:rsidRDefault="00000000" w:rsidP="00246E47">
            <w:pPr>
              <w:jc w:val="both"/>
            </w:pPr>
            <w:r>
              <w:rPr>
                <w:rFonts w:eastAsia="Arial"/>
                <w:b/>
                <w:bCs/>
              </w:rPr>
              <w:t>Dimension</w:t>
            </w:r>
          </w:p>
        </w:tc>
        <w:tc>
          <w:tcPr>
            <w:tcW w:w="3200" w:type="dxa"/>
            <w:tcMar>
              <w:top w:w="100" w:type="dxa"/>
              <w:left w:w="140" w:type="dxa"/>
              <w:bottom w:w="100" w:type="dxa"/>
              <w:right w:w="140" w:type="dxa"/>
            </w:tcMar>
          </w:tcPr>
          <w:p w14:paraId="32561FC4" w14:textId="77777777" w:rsidR="000139B3" w:rsidRPr="00246E47" w:rsidRDefault="00000000" w:rsidP="00246E47">
            <w:pPr>
              <w:jc w:val="both"/>
            </w:pPr>
            <w:r>
              <w:rPr>
                <w:rFonts w:eastAsia="Arial"/>
                <w:b/>
                <w:bCs/>
              </w:rPr>
              <w:t>China's Operational Mechanism</w:t>
            </w:r>
          </w:p>
        </w:tc>
        <w:tc>
          <w:tcPr>
            <w:tcW w:w="3960" w:type="dxa"/>
            <w:tcMar>
              <w:top w:w="100" w:type="dxa"/>
              <w:left w:w="140" w:type="dxa"/>
              <w:bottom w:w="100" w:type="dxa"/>
              <w:right w:w="140" w:type="dxa"/>
            </w:tcMar>
          </w:tcPr>
          <w:p w14:paraId="2D0D72FA" w14:textId="77777777" w:rsidR="000139B3" w:rsidRPr="00246E47" w:rsidRDefault="00000000" w:rsidP="00246E47">
            <w:pPr>
              <w:jc w:val="both"/>
            </w:pPr>
            <w:r>
              <w:rPr>
                <w:rFonts w:eastAsia="Arial"/>
                <w:b/>
                <w:bCs/>
              </w:rPr>
              <w:t>India's Strategic Adaptation</w:t>
            </w:r>
          </w:p>
        </w:tc>
      </w:tr>
      <w:tr w:rsidR="00246E47" w:rsidRPr="00246E47" w14:paraId="5C143FA8" w14:textId="77777777" w:rsidTr="00246E47">
        <w:tc>
          <w:tcPr>
            <w:tcW w:w="2200" w:type="dxa"/>
            <w:tcMar>
              <w:top w:w="80" w:type="dxa"/>
              <w:left w:w="140" w:type="dxa"/>
              <w:bottom w:w="80" w:type="dxa"/>
              <w:right w:w="140" w:type="dxa"/>
            </w:tcMar>
          </w:tcPr>
          <w:p w14:paraId="4DEC03BD" w14:textId="77777777" w:rsidR="000139B3" w:rsidRPr="00246E47" w:rsidRDefault="00000000" w:rsidP="00246E47">
            <w:pPr>
              <w:jc w:val="both"/>
            </w:pPr>
            <w:r>
              <w:rPr>
                <w:rFonts w:eastAsia="Arial"/>
                <w:b/>
                <w:bCs/>
              </w:rPr>
              <w:t>Compute Infrastructure</w:t>
            </w:r>
          </w:p>
        </w:tc>
        <w:tc>
          <w:tcPr>
            <w:tcW w:w="3200" w:type="dxa"/>
            <w:tcMar>
              <w:top w:w="80" w:type="dxa"/>
              <w:left w:w="140" w:type="dxa"/>
              <w:bottom w:w="80" w:type="dxa"/>
              <w:right w:w="140" w:type="dxa"/>
            </w:tcMar>
          </w:tcPr>
          <w:p w14:paraId="72585747" w14:textId="77777777" w:rsidR="000139B3" w:rsidRPr="00246E47" w:rsidRDefault="00000000" w:rsidP="00246E47">
            <w:pPr>
              <w:jc w:val="both"/>
            </w:pPr>
            <w:r>
              <w:rPr>
                <w:rFonts w:eastAsia="Arial"/>
              </w:rPr>
              <w:t>State Council mandates indigenous chip, framework, and algorithm development (Art. 6, AI+ 2025 Opinions). Nationally coordinated compute clusters under MIIT and NDRC.</w:t>
            </w:r>
          </w:p>
        </w:tc>
        <w:tc>
          <w:tcPr>
            <w:tcW w:w="3960" w:type="dxa"/>
            <w:tcMar>
              <w:top w:w="80" w:type="dxa"/>
              <w:left w:w="140" w:type="dxa"/>
              <w:bottom w:w="80" w:type="dxa"/>
              <w:right w:w="140" w:type="dxa"/>
            </w:tcMar>
          </w:tcPr>
          <w:p w14:paraId="42193508" w14:textId="77777777" w:rsidR="000139B3" w:rsidRPr="00246E47" w:rsidRDefault="00000000" w:rsidP="00246E47">
            <w:pPr>
              <w:jc w:val="both"/>
            </w:pPr>
            <w:r>
              <w:rPr>
                <w:rFonts w:eastAsia="Arial"/>
              </w:rPr>
              <w:t>IndiaAI Mission sovereign GPU cluster (10,000 GPUs Phase 1). Public compute access via C-DAC / NSM grid. IIT-led AI research centres with subsidised compute allocation.</w:t>
            </w:r>
          </w:p>
        </w:tc>
      </w:tr>
      <w:tr w:rsidR="00246E47" w:rsidRPr="00246E47" w14:paraId="19717743" w14:textId="77777777" w:rsidTr="00246E47">
        <w:tc>
          <w:tcPr>
            <w:tcW w:w="2200" w:type="dxa"/>
            <w:tcMar>
              <w:top w:w="80" w:type="dxa"/>
              <w:left w:w="140" w:type="dxa"/>
              <w:bottom w:w="80" w:type="dxa"/>
              <w:right w:w="140" w:type="dxa"/>
            </w:tcMar>
          </w:tcPr>
          <w:p w14:paraId="0FDB0260" w14:textId="77777777" w:rsidR="000139B3" w:rsidRPr="00246E47" w:rsidRDefault="00000000" w:rsidP="00246E47">
            <w:pPr>
              <w:jc w:val="both"/>
            </w:pPr>
            <w:r>
              <w:rPr>
                <w:rFonts w:eastAsia="Arial"/>
                <w:b/>
                <w:bCs/>
              </w:rPr>
              <w:t>Pre-Market Evaluation</w:t>
            </w:r>
          </w:p>
        </w:tc>
        <w:tc>
          <w:tcPr>
            <w:tcW w:w="3200" w:type="dxa"/>
            <w:tcMar>
              <w:top w:w="80" w:type="dxa"/>
              <w:left w:w="140" w:type="dxa"/>
              <w:bottom w:w="80" w:type="dxa"/>
              <w:right w:w="140" w:type="dxa"/>
            </w:tcMar>
          </w:tcPr>
          <w:p w14:paraId="5FF6D764" w14:textId="77777777" w:rsidR="000139B3" w:rsidRPr="00246E47" w:rsidRDefault="00000000" w:rsidP="00246E47">
            <w:pPr>
              <w:jc w:val="both"/>
            </w:pPr>
            <w:r>
              <w:rPr>
                <w:rFonts w:eastAsia="Arial"/>
              </w:rPr>
              <w:t>Mandatory sandbox testing before public deployment (Art. 28, Human-like AI Measures 2026). Provincial cybersecurity reporting.</w:t>
            </w:r>
          </w:p>
        </w:tc>
        <w:tc>
          <w:tcPr>
            <w:tcW w:w="3960" w:type="dxa"/>
            <w:tcMar>
              <w:top w:w="80" w:type="dxa"/>
              <w:left w:w="140" w:type="dxa"/>
              <w:bottom w:w="80" w:type="dxa"/>
              <w:right w:w="140" w:type="dxa"/>
            </w:tcMar>
          </w:tcPr>
          <w:p w14:paraId="1BB21237" w14:textId="77777777" w:rsidR="000139B3" w:rsidRPr="00246E47" w:rsidRDefault="00000000" w:rsidP="00246E47">
            <w:pPr>
              <w:jc w:val="both"/>
            </w:pPr>
            <w:r>
              <w:rPr>
                <w:rFonts w:eastAsia="Arial"/>
              </w:rPr>
              <w:t>Bharat AI Sandbox managed by MeitY / CERT-In. Mandatory staging for high-consequence health, fintech, and citizen-service deployments. NASSCOM Safety Alliance certification.</w:t>
            </w:r>
          </w:p>
        </w:tc>
      </w:tr>
      <w:tr w:rsidR="00246E47" w:rsidRPr="00246E47" w14:paraId="3C970F8E" w14:textId="77777777" w:rsidTr="00246E47">
        <w:tc>
          <w:tcPr>
            <w:tcW w:w="2200" w:type="dxa"/>
            <w:tcMar>
              <w:top w:w="80" w:type="dxa"/>
              <w:left w:w="140" w:type="dxa"/>
              <w:bottom w:w="80" w:type="dxa"/>
              <w:right w:w="140" w:type="dxa"/>
            </w:tcMar>
          </w:tcPr>
          <w:p w14:paraId="30F9106B" w14:textId="77777777" w:rsidR="000139B3" w:rsidRPr="00246E47" w:rsidRDefault="00000000" w:rsidP="00246E47">
            <w:pPr>
              <w:jc w:val="both"/>
            </w:pPr>
            <w:r>
              <w:rPr>
                <w:rFonts w:eastAsia="Arial"/>
                <w:b/>
                <w:bCs/>
              </w:rPr>
              <w:t>Oversight Scale Triggers</w:t>
            </w:r>
          </w:p>
        </w:tc>
        <w:tc>
          <w:tcPr>
            <w:tcW w:w="3200" w:type="dxa"/>
            <w:tcMar>
              <w:top w:w="80" w:type="dxa"/>
              <w:left w:w="140" w:type="dxa"/>
              <w:bottom w:w="80" w:type="dxa"/>
              <w:right w:w="140" w:type="dxa"/>
            </w:tcMar>
          </w:tcPr>
          <w:p w14:paraId="5DF7B2DC" w14:textId="77777777" w:rsidR="000139B3" w:rsidRPr="00246E47" w:rsidRDefault="00000000" w:rsidP="00246E47">
            <w:pPr>
              <w:jc w:val="both"/>
            </w:pPr>
            <w:r>
              <w:rPr>
                <w:rFonts w:eastAsia="Arial"/>
              </w:rPr>
              <w:t>Tiered review triggered at 1M registered users or 100K monthly active users (Art. 21). Progressive compliance burden.</w:t>
            </w:r>
          </w:p>
        </w:tc>
        <w:tc>
          <w:tcPr>
            <w:tcW w:w="3960" w:type="dxa"/>
            <w:tcMar>
              <w:top w:w="80" w:type="dxa"/>
              <w:left w:w="140" w:type="dxa"/>
              <w:bottom w:w="80" w:type="dxa"/>
              <w:right w:w="140" w:type="dxa"/>
            </w:tcMar>
          </w:tcPr>
          <w:p w14:paraId="02958189" w14:textId="77777777" w:rsidR="000139B3" w:rsidRPr="00246E47" w:rsidRDefault="00000000" w:rsidP="00246E47">
            <w:pPr>
              <w:jc w:val="both"/>
            </w:pPr>
            <w:r>
              <w:rPr>
                <w:rFonts w:eastAsia="Arial"/>
              </w:rPr>
              <w:t>Regulatory triggers at 500,000 registered users given India's scale. TRAI-style graduated compliance. IRDAI, SEBI, and NMC sector-specific AI guidelines.</w:t>
            </w:r>
          </w:p>
        </w:tc>
      </w:tr>
      <w:tr w:rsidR="00246E47" w:rsidRPr="00246E47" w14:paraId="2F5FD8C3" w14:textId="77777777" w:rsidTr="00246E47">
        <w:tc>
          <w:tcPr>
            <w:tcW w:w="2200" w:type="dxa"/>
            <w:tcMar>
              <w:top w:w="80" w:type="dxa"/>
              <w:left w:w="140" w:type="dxa"/>
              <w:bottom w:w="80" w:type="dxa"/>
              <w:right w:w="140" w:type="dxa"/>
            </w:tcMar>
          </w:tcPr>
          <w:p w14:paraId="0A3C8991" w14:textId="77777777" w:rsidR="000139B3" w:rsidRPr="00246E47" w:rsidRDefault="00000000" w:rsidP="00246E47">
            <w:pPr>
              <w:jc w:val="both"/>
            </w:pPr>
            <w:r>
              <w:rPr>
                <w:rFonts w:eastAsia="Arial"/>
                <w:b/>
                <w:bCs/>
              </w:rPr>
              <w:t>Identity Verification</w:t>
            </w:r>
          </w:p>
        </w:tc>
        <w:tc>
          <w:tcPr>
            <w:tcW w:w="3200" w:type="dxa"/>
            <w:tcMar>
              <w:top w:w="80" w:type="dxa"/>
              <w:left w:w="140" w:type="dxa"/>
              <w:bottom w:w="80" w:type="dxa"/>
              <w:right w:w="140" w:type="dxa"/>
            </w:tcMar>
          </w:tcPr>
          <w:p w14:paraId="4F763506" w14:textId="77777777" w:rsidR="000139B3" w:rsidRPr="00246E47" w:rsidRDefault="00000000" w:rsidP="00246E47">
            <w:pPr>
              <w:jc w:val="both"/>
            </w:pPr>
            <w:r>
              <w:rPr>
                <w:rFonts w:eastAsia="Arial"/>
              </w:rPr>
              <w:t>Mandatory real-name registration. Privacy traded for state oversight.</w:t>
            </w:r>
          </w:p>
        </w:tc>
        <w:tc>
          <w:tcPr>
            <w:tcW w:w="3960" w:type="dxa"/>
            <w:tcMar>
              <w:top w:w="80" w:type="dxa"/>
              <w:left w:w="140" w:type="dxa"/>
              <w:bottom w:w="80" w:type="dxa"/>
              <w:right w:w="140" w:type="dxa"/>
            </w:tcMar>
          </w:tcPr>
          <w:p w14:paraId="04DD0D9C" w14:textId="77777777" w:rsidR="000139B3" w:rsidRPr="00246E47" w:rsidRDefault="00000000" w:rsidP="00246E47">
            <w:pPr>
              <w:jc w:val="both"/>
            </w:pPr>
            <w:r>
              <w:rPr>
                <w:rFonts w:eastAsia="Arial"/>
              </w:rPr>
              <w:t>Aadhaar-based voluntary verification via DigiLocker. Federated identity without mandatory real-name disclosure. Aligned with Puttaswamy judgment privacy protections.</w:t>
            </w:r>
          </w:p>
        </w:tc>
      </w:tr>
      <w:tr w:rsidR="00246E47" w:rsidRPr="00246E47" w14:paraId="24377AEB" w14:textId="77777777" w:rsidTr="00246E47">
        <w:tc>
          <w:tcPr>
            <w:tcW w:w="2200" w:type="dxa"/>
            <w:tcMar>
              <w:top w:w="80" w:type="dxa"/>
              <w:left w:w="140" w:type="dxa"/>
              <w:bottom w:w="80" w:type="dxa"/>
              <w:right w:w="140" w:type="dxa"/>
            </w:tcMar>
          </w:tcPr>
          <w:p w14:paraId="0B0B886F" w14:textId="77777777" w:rsidR="000139B3" w:rsidRPr="00246E47" w:rsidRDefault="00000000" w:rsidP="00246E47">
            <w:pPr>
              <w:jc w:val="both"/>
            </w:pPr>
            <w:r>
              <w:rPr>
                <w:rFonts w:eastAsia="Arial"/>
                <w:b/>
                <w:bCs/>
              </w:rPr>
              <w:t>Synthetic Media Transparency</w:t>
            </w:r>
          </w:p>
        </w:tc>
        <w:tc>
          <w:tcPr>
            <w:tcW w:w="3200" w:type="dxa"/>
            <w:tcMar>
              <w:top w:w="80" w:type="dxa"/>
              <w:left w:w="140" w:type="dxa"/>
              <w:bottom w:w="80" w:type="dxa"/>
              <w:right w:w="140" w:type="dxa"/>
            </w:tcMar>
          </w:tcPr>
          <w:p w14:paraId="547DCAC3" w14:textId="77777777" w:rsidR="000139B3" w:rsidRPr="00246E47" w:rsidRDefault="00000000" w:rsidP="00246E47">
            <w:pPr>
              <w:jc w:val="both"/>
            </w:pPr>
            <w:r>
              <w:rPr>
                <w:rFonts w:eastAsia="Arial"/>
              </w:rPr>
              <w:t>Conspicuous AI labelling, pop-up warnings after 2 continuous hours (Art. 18). Watermarking of all generated content.</w:t>
            </w:r>
          </w:p>
        </w:tc>
        <w:tc>
          <w:tcPr>
            <w:tcW w:w="3960" w:type="dxa"/>
            <w:tcMar>
              <w:top w:w="80" w:type="dxa"/>
              <w:left w:w="140" w:type="dxa"/>
              <w:bottom w:w="80" w:type="dxa"/>
              <w:right w:w="140" w:type="dxa"/>
            </w:tcMar>
          </w:tcPr>
          <w:p w14:paraId="78D87CC5" w14:textId="77777777" w:rsidR="000139B3" w:rsidRPr="00246E47" w:rsidRDefault="00000000" w:rsidP="00246E47">
            <w:pPr>
              <w:jc w:val="both"/>
            </w:pPr>
            <w:r>
              <w:rPr>
                <w:rFonts w:eastAsia="Arial"/>
              </w:rPr>
              <w:t>Cryptographic C2PA watermarking mandate under Digital India Act. Bhashini-integrated disclosure in all 22 scheduled languages. ECI oversight for electoral content.</w:t>
            </w:r>
          </w:p>
        </w:tc>
      </w:tr>
      <w:tr w:rsidR="00246E47" w:rsidRPr="00246E47" w14:paraId="41765C22" w14:textId="77777777" w:rsidTr="00246E47">
        <w:tc>
          <w:tcPr>
            <w:tcW w:w="2200" w:type="dxa"/>
            <w:tcMar>
              <w:top w:w="80" w:type="dxa"/>
              <w:left w:w="140" w:type="dxa"/>
              <w:bottom w:w="80" w:type="dxa"/>
              <w:right w:w="140" w:type="dxa"/>
            </w:tcMar>
          </w:tcPr>
          <w:p w14:paraId="7F734BD4" w14:textId="77777777" w:rsidR="000139B3" w:rsidRPr="00246E47" w:rsidRDefault="00000000" w:rsidP="00246E47">
            <w:pPr>
              <w:jc w:val="both"/>
            </w:pPr>
            <w:r>
              <w:rPr>
                <w:rFonts w:eastAsia="Arial"/>
                <w:b/>
                <w:bCs/>
              </w:rPr>
              <w:t>Training Data Rights</w:t>
            </w:r>
          </w:p>
        </w:tc>
        <w:tc>
          <w:tcPr>
            <w:tcW w:w="3200" w:type="dxa"/>
            <w:tcMar>
              <w:top w:w="80" w:type="dxa"/>
              <w:left w:w="140" w:type="dxa"/>
              <w:bottom w:w="80" w:type="dxa"/>
              <w:right w:w="140" w:type="dxa"/>
            </w:tcMar>
          </w:tcPr>
          <w:p w14:paraId="053108A5" w14:textId="77777777" w:rsidR="000139B3" w:rsidRPr="00246E47" w:rsidRDefault="00000000" w:rsidP="00246E47">
            <w:pPr>
              <w:jc w:val="both"/>
            </w:pPr>
            <w:r>
              <w:rPr>
                <w:rFonts w:eastAsia="Arial"/>
              </w:rPr>
              <w:t>General logs usable without consent; explicit consent for sensitive personal data only (Art. 16).</w:t>
            </w:r>
          </w:p>
        </w:tc>
        <w:tc>
          <w:tcPr>
            <w:tcW w:w="3960" w:type="dxa"/>
            <w:tcMar>
              <w:top w:w="80" w:type="dxa"/>
              <w:left w:w="140" w:type="dxa"/>
              <w:bottom w:w="80" w:type="dxa"/>
              <w:right w:w="140" w:type="dxa"/>
            </w:tcMar>
          </w:tcPr>
          <w:p w14:paraId="45254289" w14:textId="77777777" w:rsidR="000139B3" w:rsidRPr="00246E47" w:rsidRDefault="00000000" w:rsidP="00246E47">
            <w:pPr>
              <w:jc w:val="both"/>
            </w:pPr>
            <w:r>
              <w:rPr>
                <w:rFonts w:eastAsia="Arial"/>
              </w:rPr>
              <w:t>DPDP Act 2023 consent architecture. National Data Commons with opt-in sharing. IIT-curated multilingual datasets under open licence. C-DAC annotation infrastructure.</w:t>
            </w:r>
          </w:p>
        </w:tc>
      </w:tr>
      <w:tr w:rsidR="00246E47" w:rsidRPr="00246E47" w14:paraId="40B6C0A4" w14:textId="77777777" w:rsidTr="00246E47">
        <w:tc>
          <w:tcPr>
            <w:tcW w:w="2200" w:type="dxa"/>
            <w:tcMar>
              <w:top w:w="80" w:type="dxa"/>
              <w:left w:w="140" w:type="dxa"/>
              <w:bottom w:w="80" w:type="dxa"/>
              <w:right w:w="140" w:type="dxa"/>
            </w:tcMar>
          </w:tcPr>
          <w:p w14:paraId="74B9606F" w14:textId="77777777" w:rsidR="000139B3" w:rsidRPr="00246E47" w:rsidRDefault="00000000" w:rsidP="00246E47">
            <w:pPr>
              <w:jc w:val="both"/>
            </w:pPr>
            <w:r>
              <w:rPr>
                <w:rFonts w:eastAsia="Arial"/>
                <w:b/>
                <w:bCs/>
              </w:rPr>
              <w:t>Foundation Models</w:t>
            </w:r>
          </w:p>
        </w:tc>
        <w:tc>
          <w:tcPr>
            <w:tcW w:w="3200" w:type="dxa"/>
            <w:tcMar>
              <w:top w:w="80" w:type="dxa"/>
              <w:left w:w="140" w:type="dxa"/>
              <w:bottom w:w="80" w:type="dxa"/>
              <w:right w:w="140" w:type="dxa"/>
            </w:tcMar>
          </w:tcPr>
          <w:p w14:paraId="06B58B99" w14:textId="77777777" w:rsidR="000139B3" w:rsidRPr="00246E47" w:rsidRDefault="00000000" w:rsidP="00246E47">
            <w:pPr>
              <w:jc w:val="both"/>
            </w:pPr>
            <w:r>
              <w:rPr>
                <w:rFonts w:eastAsia="Arial"/>
              </w:rPr>
              <w:t>State-directed LLM development (Ernie, Qwen, Hunyuan). Open-source ecosystem (Qwen series) alongside proprietary models.</w:t>
            </w:r>
          </w:p>
        </w:tc>
        <w:tc>
          <w:tcPr>
            <w:tcW w:w="3960" w:type="dxa"/>
            <w:tcMar>
              <w:top w:w="80" w:type="dxa"/>
              <w:left w:w="140" w:type="dxa"/>
              <w:bottom w:w="80" w:type="dxa"/>
              <w:right w:w="140" w:type="dxa"/>
            </w:tcMar>
          </w:tcPr>
          <w:p w14:paraId="7DB91710" w14:textId="77777777" w:rsidR="000139B3" w:rsidRPr="00246E47" w:rsidRDefault="00000000" w:rsidP="00246E47">
            <w:pPr>
              <w:jc w:val="both"/>
            </w:pPr>
            <w:r>
              <w:rPr>
                <w:rFonts w:eastAsia="Arial"/>
              </w:rPr>
              <w:t>IndiaAI Foundation Model Initiative. Open-weights multilingual models (Bhashini, Sarvam AI, IIT Madras IndicBERT family). Government procurement preference for domestic models.</w:t>
            </w:r>
          </w:p>
        </w:tc>
      </w:tr>
      <w:tr w:rsidR="00246E47" w:rsidRPr="00246E47" w14:paraId="6524EA86" w14:textId="77777777" w:rsidTr="00246E47">
        <w:tc>
          <w:tcPr>
            <w:tcW w:w="2200" w:type="dxa"/>
            <w:tcMar>
              <w:top w:w="80" w:type="dxa"/>
              <w:left w:w="140" w:type="dxa"/>
              <w:bottom w:w="80" w:type="dxa"/>
              <w:right w:w="140" w:type="dxa"/>
            </w:tcMar>
          </w:tcPr>
          <w:p w14:paraId="3E0928EC" w14:textId="77777777" w:rsidR="000139B3" w:rsidRPr="00246E47" w:rsidRDefault="00000000" w:rsidP="00246E47">
            <w:pPr>
              <w:jc w:val="both"/>
            </w:pPr>
            <w:r>
              <w:rPr>
                <w:rFonts w:eastAsia="Arial"/>
                <w:b/>
                <w:bCs/>
              </w:rPr>
              <w:t>Standards &amp; Governance</w:t>
            </w:r>
          </w:p>
        </w:tc>
        <w:tc>
          <w:tcPr>
            <w:tcW w:w="3200" w:type="dxa"/>
            <w:tcMar>
              <w:top w:w="80" w:type="dxa"/>
              <w:left w:w="140" w:type="dxa"/>
              <w:bottom w:w="80" w:type="dxa"/>
              <w:right w:w="140" w:type="dxa"/>
            </w:tcMar>
          </w:tcPr>
          <w:p w14:paraId="0073BB4F" w14:textId="77777777" w:rsidR="000139B3" w:rsidRPr="00246E47" w:rsidRDefault="00000000" w:rsidP="00246E47">
            <w:pPr>
              <w:jc w:val="both"/>
            </w:pPr>
            <w:r>
              <w:rPr>
                <w:rFonts w:eastAsia="Arial"/>
              </w:rPr>
              <w:t>TC260 drives domestic and ISO/IEC standards. CAC issues binding AI regulations.</w:t>
            </w:r>
          </w:p>
        </w:tc>
        <w:tc>
          <w:tcPr>
            <w:tcW w:w="3960" w:type="dxa"/>
            <w:tcMar>
              <w:top w:w="80" w:type="dxa"/>
              <w:left w:w="140" w:type="dxa"/>
              <w:bottom w:w="80" w:type="dxa"/>
              <w:right w:w="140" w:type="dxa"/>
            </w:tcMar>
          </w:tcPr>
          <w:p w14:paraId="72E56371" w14:textId="77777777" w:rsidR="000139B3" w:rsidRPr="00246E47" w:rsidRDefault="00000000" w:rsidP="00246E47">
            <w:pPr>
              <w:jc w:val="both"/>
            </w:pPr>
            <w:r>
              <w:rPr>
                <w:rFonts w:eastAsia="Arial"/>
              </w:rPr>
              <w:t>BIS Technical Committee LITD-35 on AI. STQC AI evaluation laboratory. Active ISO/IEC JTC1/SC42 participation. NASSCOM AI governance framework as industry baseline.</w:t>
            </w:r>
          </w:p>
        </w:tc>
      </w:tr>
      <w:tr w:rsidR="00246E47" w:rsidRPr="00246E47" w14:paraId="0270A407" w14:textId="77777777" w:rsidTr="00246E47">
        <w:tc>
          <w:tcPr>
            <w:tcW w:w="2200" w:type="dxa"/>
            <w:tcMar>
              <w:top w:w="80" w:type="dxa"/>
              <w:left w:w="140" w:type="dxa"/>
              <w:bottom w:w="80" w:type="dxa"/>
              <w:right w:w="140" w:type="dxa"/>
            </w:tcMar>
          </w:tcPr>
          <w:p w14:paraId="54460174" w14:textId="77777777" w:rsidR="000139B3" w:rsidRPr="00246E47" w:rsidRDefault="00000000" w:rsidP="00246E47">
            <w:pPr>
              <w:jc w:val="both"/>
            </w:pPr>
            <w:r>
              <w:rPr>
                <w:rFonts w:eastAsia="Arial"/>
                <w:b/>
                <w:bCs/>
              </w:rPr>
              <w:t>Vulnerable Demographics</w:t>
            </w:r>
          </w:p>
        </w:tc>
        <w:tc>
          <w:tcPr>
            <w:tcW w:w="3200" w:type="dxa"/>
            <w:tcMar>
              <w:top w:w="80" w:type="dxa"/>
              <w:left w:w="140" w:type="dxa"/>
              <w:bottom w:w="80" w:type="dxa"/>
              <w:right w:w="140" w:type="dxa"/>
            </w:tcMar>
          </w:tcPr>
          <w:p w14:paraId="1CB292C3" w14:textId="77777777" w:rsidR="000139B3" w:rsidRPr="00246E47" w:rsidRDefault="00000000" w:rsidP="00246E47">
            <w:pPr>
              <w:jc w:val="both"/>
            </w:pPr>
            <w:r>
              <w:rPr>
                <w:rFonts w:eastAsia="Arial"/>
              </w:rPr>
              <w:t xml:space="preserve">Total ban on virtual partners for under-14. Guardian dashboards. </w:t>
            </w:r>
            <w:r>
              <w:rPr>
                <w:rFonts w:eastAsia="Arial"/>
              </w:rPr>
              <w:lastRenderedPageBreak/>
              <w:t>Elderly care provisions mandated (Art. 14, 15).</w:t>
            </w:r>
          </w:p>
        </w:tc>
        <w:tc>
          <w:tcPr>
            <w:tcW w:w="3960" w:type="dxa"/>
            <w:tcMar>
              <w:top w:w="80" w:type="dxa"/>
              <w:left w:w="140" w:type="dxa"/>
              <w:bottom w:w="80" w:type="dxa"/>
              <w:right w:w="140" w:type="dxa"/>
            </w:tcMar>
          </w:tcPr>
          <w:p w14:paraId="09B51198" w14:textId="77777777" w:rsidR="000139B3" w:rsidRPr="00246E47" w:rsidRDefault="00000000" w:rsidP="00246E47">
            <w:pPr>
              <w:jc w:val="both"/>
            </w:pPr>
            <w:r>
              <w:rPr>
                <w:rFonts w:eastAsia="Arial"/>
              </w:rPr>
              <w:lastRenderedPageBreak/>
              <w:t xml:space="preserve">Digital India Act minor mode mandate. NCPCR-compliant parental control APIs. </w:t>
            </w:r>
            <w:r>
              <w:rPr>
                <w:rFonts w:eastAsia="Arial"/>
              </w:rPr>
              <w:lastRenderedPageBreak/>
              <w:t>Senior citizen accessibility standards under MeitY. Crisis escalation to iCall / Vandrevala Foundation.</w:t>
            </w:r>
          </w:p>
        </w:tc>
      </w:tr>
      <w:tr w:rsidR="00246E47" w:rsidRPr="00246E47" w14:paraId="2FAF143C" w14:textId="77777777" w:rsidTr="00246E47">
        <w:tc>
          <w:tcPr>
            <w:tcW w:w="2200" w:type="dxa"/>
            <w:tcMar>
              <w:top w:w="80" w:type="dxa"/>
              <w:left w:w="140" w:type="dxa"/>
              <w:bottom w:w="80" w:type="dxa"/>
              <w:right w:w="140" w:type="dxa"/>
            </w:tcMar>
          </w:tcPr>
          <w:p w14:paraId="36514FAC" w14:textId="77777777" w:rsidR="000139B3" w:rsidRPr="00246E47" w:rsidRDefault="00000000" w:rsidP="00246E47">
            <w:pPr>
              <w:jc w:val="both"/>
            </w:pPr>
            <w:r>
              <w:rPr>
                <w:rFonts w:eastAsia="Arial"/>
                <w:b/>
                <w:bCs/>
              </w:rPr>
              <w:lastRenderedPageBreak/>
              <w:t>Industrial AI Adoption</w:t>
            </w:r>
          </w:p>
        </w:tc>
        <w:tc>
          <w:tcPr>
            <w:tcW w:w="3200" w:type="dxa"/>
            <w:tcMar>
              <w:top w:w="80" w:type="dxa"/>
              <w:left w:w="140" w:type="dxa"/>
              <w:bottom w:w="80" w:type="dxa"/>
              <w:right w:w="140" w:type="dxa"/>
            </w:tcMar>
          </w:tcPr>
          <w:p w14:paraId="686A5CFD" w14:textId="77777777" w:rsidR="000139B3" w:rsidRPr="00246E47" w:rsidRDefault="00000000" w:rsidP="00246E47">
            <w:pPr>
              <w:jc w:val="both"/>
            </w:pPr>
            <w:r>
              <w:rPr>
                <w:rFonts w:eastAsia="Arial"/>
              </w:rPr>
              <w:t>AI+ Manufacturing Opinions (2026) mandate AI across automobiles, pharmaceuticals, textiles, logistics, agriculture, smart cities.</w:t>
            </w:r>
          </w:p>
        </w:tc>
        <w:tc>
          <w:tcPr>
            <w:tcW w:w="3960" w:type="dxa"/>
            <w:tcMar>
              <w:top w:w="80" w:type="dxa"/>
              <w:left w:w="140" w:type="dxa"/>
              <w:bottom w:w="80" w:type="dxa"/>
              <w:right w:w="140" w:type="dxa"/>
            </w:tcMar>
          </w:tcPr>
          <w:p w14:paraId="537E4F25" w14:textId="77777777" w:rsidR="000139B3" w:rsidRPr="00246E47" w:rsidRDefault="00000000" w:rsidP="00246E47">
            <w:pPr>
              <w:jc w:val="both"/>
            </w:pPr>
            <w:r>
              <w:rPr>
                <w:rFonts w:eastAsia="Arial"/>
              </w:rPr>
              <w:t>PLI scheme AI adoption tier. DPIIT AI-in-manufacturing roadmap. Kisan AI (ICAR-IARI). Smart Cities Mission AI integration. ONDC AI optimisation.</w:t>
            </w:r>
          </w:p>
        </w:tc>
      </w:tr>
      <w:tr w:rsidR="00246E47" w:rsidRPr="00246E47" w14:paraId="081EAB8F" w14:textId="77777777" w:rsidTr="00246E47">
        <w:tc>
          <w:tcPr>
            <w:tcW w:w="2200" w:type="dxa"/>
            <w:tcMar>
              <w:top w:w="80" w:type="dxa"/>
              <w:left w:w="140" w:type="dxa"/>
              <w:bottom w:w="80" w:type="dxa"/>
              <w:right w:w="140" w:type="dxa"/>
            </w:tcMar>
          </w:tcPr>
          <w:p w14:paraId="6AA81ACF" w14:textId="77777777" w:rsidR="000139B3" w:rsidRPr="00246E47" w:rsidRDefault="00000000" w:rsidP="00246E47">
            <w:pPr>
              <w:jc w:val="both"/>
            </w:pPr>
            <w:r>
              <w:rPr>
                <w:rFonts w:eastAsia="Arial"/>
                <w:b/>
                <w:bCs/>
              </w:rPr>
              <w:t>International Coordination</w:t>
            </w:r>
          </w:p>
        </w:tc>
        <w:tc>
          <w:tcPr>
            <w:tcW w:w="3200" w:type="dxa"/>
            <w:tcMar>
              <w:top w:w="80" w:type="dxa"/>
              <w:left w:w="140" w:type="dxa"/>
              <w:bottom w:w="80" w:type="dxa"/>
              <w:right w:w="140" w:type="dxa"/>
            </w:tcMar>
          </w:tcPr>
          <w:p w14:paraId="4E196F4F" w14:textId="77777777" w:rsidR="000139B3" w:rsidRPr="00246E47" w:rsidRDefault="00000000" w:rsidP="00246E47">
            <w:pPr>
              <w:jc w:val="both"/>
            </w:pPr>
            <w:r>
              <w:rPr>
                <w:rFonts w:eastAsia="Arial"/>
              </w:rPr>
              <w:t>Active ISO/IEC TC260 leadership. BRI tech diplomacy. Standards export to partner nations.</w:t>
            </w:r>
          </w:p>
        </w:tc>
        <w:tc>
          <w:tcPr>
            <w:tcW w:w="3960" w:type="dxa"/>
            <w:tcMar>
              <w:top w:w="80" w:type="dxa"/>
              <w:left w:w="140" w:type="dxa"/>
              <w:bottom w:w="80" w:type="dxa"/>
              <w:right w:w="140" w:type="dxa"/>
            </w:tcMar>
          </w:tcPr>
          <w:p w14:paraId="40D00A0F" w14:textId="77777777" w:rsidR="000139B3" w:rsidRPr="00246E47" w:rsidRDefault="00000000" w:rsidP="00246E47">
            <w:pPr>
              <w:jc w:val="both"/>
            </w:pPr>
            <w:r>
              <w:rPr>
                <w:rFonts w:eastAsia="Arial"/>
              </w:rPr>
              <w:t>GPAI, G20, UN AI Advisory Body leadership. BRICS AI working group. iCET with US. Quad technology dialogue. Global South multilingual AI agenda.</w:t>
            </w:r>
          </w:p>
        </w:tc>
      </w:tr>
    </w:tbl>
    <w:p w14:paraId="1BA832B7" w14:textId="77777777" w:rsidR="000139B3" w:rsidRPr="00246E47" w:rsidRDefault="000139B3" w:rsidP="00246E47">
      <w:pPr>
        <w:spacing w:before="80" w:after="80"/>
        <w:jc w:val="both"/>
      </w:pPr>
    </w:p>
    <w:p w14:paraId="1EAE5EF0" w14:textId="77777777" w:rsidR="000139B3" w:rsidRPr="00246E47" w:rsidRDefault="00000000" w:rsidP="00246E47">
      <w:pPr>
        <w:jc w:val="both"/>
      </w:pPr>
      <w:r>
        <w:br w:type="page"/>
      </w:r>
    </w:p>
    <w:p w14:paraId="227CE977" w14:textId="77777777" w:rsidR="000139B3" w:rsidRPr="00246E47" w:rsidRDefault="00000000" w:rsidP="00246E47">
      <w:pPr>
        <w:pStyle w:val="Heading1"/>
        <w:spacing w:before="400" w:after="160"/>
        <w:jc w:val="both"/>
        <w:rPr>
          <w:color w:val="auto"/>
        </w:rPr>
      </w:pPr>
      <w:r>
        <w:rPr>
          <w:rFonts w:eastAsia="Arial"/>
          <w:b/>
          <w:bCs/>
          <w:color w:val="auto"/>
        </w:rPr>
        <w:lastRenderedPageBreak/>
        <w:t>8. Implementation Roadmap</w:t>
      </w:r>
    </w:p>
    <w:p w14:paraId="2D1550A0" w14:textId="77777777" w:rsidR="000139B3" w:rsidRPr="00246E47" w:rsidRDefault="00000000" w:rsidP="00246E47">
      <w:pPr>
        <w:spacing w:before="80" w:after="120" w:line="276" w:lineRule="auto"/>
        <w:jc w:val="both"/>
      </w:pPr>
      <w:r>
        <w:rPr>
          <w:rFonts w:eastAsia="Arial"/>
          <w:sz w:val="22"/>
          <w:szCs w:val="22"/>
        </w:rPr>
        <w:t>The following roadmap sequences recommendations across three phases with lead institutional responsibilities identified for each cluster of actions.</w:t>
      </w:r>
    </w:p>
    <w:p w14:paraId="25C2CE29" w14:textId="77777777" w:rsidR="000139B3" w:rsidRPr="00246E47" w:rsidRDefault="000139B3" w:rsidP="00246E47">
      <w:pPr>
        <w:spacing w:before="80" w:after="80"/>
        <w:jc w:val="both"/>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30"/>
        <w:gridCol w:w="3630"/>
      </w:tblGrid>
      <w:tr w:rsidR="00246E47" w:rsidRPr="00246E47" w14:paraId="77B3FC0B" w14:textId="77777777" w:rsidTr="00246E47">
        <w:tc>
          <w:tcPr>
            <w:tcW w:w="2100" w:type="dxa"/>
            <w:tcMar>
              <w:top w:w="100" w:type="dxa"/>
              <w:left w:w="140" w:type="dxa"/>
              <w:bottom w:w="100" w:type="dxa"/>
              <w:right w:w="140" w:type="dxa"/>
            </w:tcMar>
          </w:tcPr>
          <w:p w14:paraId="3D6BD209" w14:textId="77777777" w:rsidR="000139B3" w:rsidRPr="00246E47" w:rsidRDefault="00000000" w:rsidP="00246E47">
            <w:pPr>
              <w:jc w:val="both"/>
            </w:pPr>
            <w:r>
              <w:rPr>
                <w:rFonts w:eastAsia="Arial"/>
                <w:b/>
                <w:bCs/>
              </w:rPr>
              <w:t>Phase</w:t>
            </w:r>
          </w:p>
        </w:tc>
        <w:tc>
          <w:tcPr>
            <w:tcW w:w="3630" w:type="dxa"/>
            <w:tcMar>
              <w:top w:w="100" w:type="dxa"/>
              <w:left w:w="140" w:type="dxa"/>
              <w:bottom w:w="100" w:type="dxa"/>
              <w:right w:w="140" w:type="dxa"/>
            </w:tcMar>
          </w:tcPr>
          <w:p w14:paraId="6C65869F" w14:textId="77777777" w:rsidR="000139B3" w:rsidRPr="00246E47" w:rsidRDefault="00000000" w:rsidP="00246E47">
            <w:pPr>
              <w:jc w:val="both"/>
            </w:pPr>
            <w:r>
              <w:rPr>
                <w:rFonts w:eastAsia="Arial"/>
                <w:b/>
                <w:bCs/>
              </w:rPr>
              <w:t>Priority Actions</w:t>
            </w:r>
          </w:p>
        </w:tc>
        <w:tc>
          <w:tcPr>
            <w:tcW w:w="3630" w:type="dxa"/>
            <w:tcMar>
              <w:top w:w="100" w:type="dxa"/>
              <w:left w:w="140" w:type="dxa"/>
              <w:bottom w:w="100" w:type="dxa"/>
              <w:right w:w="140" w:type="dxa"/>
            </w:tcMar>
          </w:tcPr>
          <w:p w14:paraId="0DEA7C6C" w14:textId="77777777" w:rsidR="000139B3" w:rsidRPr="00246E47" w:rsidRDefault="00000000" w:rsidP="00246E47">
            <w:pPr>
              <w:jc w:val="both"/>
            </w:pPr>
            <w:r>
              <w:rPr>
                <w:rFonts w:eastAsia="Arial"/>
                <w:b/>
                <w:bCs/>
              </w:rPr>
              <w:t>Lead Institutions</w:t>
            </w:r>
          </w:p>
        </w:tc>
      </w:tr>
      <w:tr w:rsidR="00246E47" w:rsidRPr="00246E47" w14:paraId="1CDB2B1E" w14:textId="77777777" w:rsidTr="00246E47">
        <w:tc>
          <w:tcPr>
            <w:tcW w:w="2100" w:type="dxa"/>
            <w:tcMar>
              <w:top w:w="80" w:type="dxa"/>
              <w:left w:w="140" w:type="dxa"/>
              <w:bottom w:w="80" w:type="dxa"/>
              <w:right w:w="140" w:type="dxa"/>
            </w:tcMar>
          </w:tcPr>
          <w:p w14:paraId="4ED936C5" w14:textId="77777777" w:rsidR="000139B3" w:rsidRPr="00246E47" w:rsidRDefault="00000000" w:rsidP="00246E47">
            <w:pPr>
              <w:jc w:val="both"/>
            </w:pPr>
            <w:r>
              <w:rPr>
                <w:rFonts w:eastAsia="Arial"/>
                <w:b/>
                <w:bCs/>
              </w:rPr>
              <w:t>Short Term (2025–2027)</w:t>
            </w:r>
          </w:p>
        </w:tc>
        <w:tc>
          <w:tcPr>
            <w:tcW w:w="3630" w:type="dxa"/>
            <w:tcMar>
              <w:top w:w="80" w:type="dxa"/>
              <w:left w:w="140" w:type="dxa"/>
              <w:bottom w:w="80" w:type="dxa"/>
              <w:right w:w="140" w:type="dxa"/>
            </w:tcMar>
          </w:tcPr>
          <w:p w14:paraId="7E16F84F" w14:textId="77777777" w:rsidR="000139B3" w:rsidRPr="00246E47" w:rsidRDefault="00000000" w:rsidP="00246E47">
            <w:pPr>
              <w:jc w:val="both"/>
            </w:pPr>
            <w:r>
              <w:rPr>
                <w:rFonts w:eastAsia="Arial"/>
              </w:rPr>
              <w:t>Operationalise IndiaAI compute cluster (10,000 GPU Phase 1). Enact Digital India Act with AI transparency provisions. Launch Bharat AI Sandbox (MeitY/CERT-In). Publish National AI Standards Roadmap (BIS LITD-35). Open-weights multilingual foundation model (Bhashini v2). DPDP Act AI-specific implementing rules. Establish BRICS AI Coordination Working Group.</w:t>
            </w:r>
          </w:p>
        </w:tc>
        <w:tc>
          <w:tcPr>
            <w:tcW w:w="3630" w:type="dxa"/>
            <w:tcMar>
              <w:top w:w="80" w:type="dxa"/>
              <w:left w:w="140" w:type="dxa"/>
              <w:bottom w:w="80" w:type="dxa"/>
              <w:right w:w="140" w:type="dxa"/>
            </w:tcMar>
          </w:tcPr>
          <w:p w14:paraId="5240D93F" w14:textId="77777777" w:rsidR="000139B3" w:rsidRPr="00246E47" w:rsidRDefault="00000000" w:rsidP="00246E47">
            <w:pPr>
              <w:jc w:val="both"/>
            </w:pPr>
            <w:r>
              <w:rPr>
                <w:rFonts w:eastAsia="Arial"/>
              </w:rPr>
              <w:t>MeitY, NITI Aayog, BIS, C-DAC, IIT Madras, IIT Bombay, STQC, CERT-In, NASSCOM, MEA</w:t>
            </w:r>
          </w:p>
        </w:tc>
      </w:tr>
      <w:tr w:rsidR="00246E47" w:rsidRPr="00246E47" w14:paraId="0CBCEBA4" w14:textId="77777777" w:rsidTr="00246E47">
        <w:tc>
          <w:tcPr>
            <w:tcW w:w="2100" w:type="dxa"/>
            <w:tcMar>
              <w:top w:w="80" w:type="dxa"/>
              <w:left w:w="140" w:type="dxa"/>
              <w:bottom w:w="80" w:type="dxa"/>
              <w:right w:w="140" w:type="dxa"/>
            </w:tcMar>
          </w:tcPr>
          <w:p w14:paraId="1F11E096" w14:textId="77777777" w:rsidR="000139B3" w:rsidRPr="00246E47" w:rsidRDefault="00000000" w:rsidP="00246E47">
            <w:pPr>
              <w:jc w:val="both"/>
            </w:pPr>
            <w:r>
              <w:rPr>
                <w:rFonts w:eastAsia="Arial"/>
                <w:b/>
                <w:bCs/>
              </w:rPr>
              <w:t>Medium Term (2027–2031)</w:t>
            </w:r>
          </w:p>
        </w:tc>
        <w:tc>
          <w:tcPr>
            <w:tcW w:w="3630" w:type="dxa"/>
            <w:tcMar>
              <w:top w:w="80" w:type="dxa"/>
              <w:left w:w="140" w:type="dxa"/>
              <w:bottom w:w="80" w:type="dxa"/>
              <w:right w:w="140" w:type="dxa"/>
            </w:tcMar>
          </w:tcPr>
          <w:p w14:paraId="0BE1A74C" w14:textId="77777777" w:rsidR="000139B3" w:rsidRPr="00246E47" w:rsidRDefault="00000000" w:rsidP="00246E47">
            <w:pPr>
              <w:jc w:val="both"/>
            </w:pPr>
            <w:r>
              <w:rPr>
                <w:rFonts w:eastAsia="Arial"/>
              </w:rPr>
              <w:t>Domain-specific models: health (AIIMS-IIT), legal (eCourts-NLU), agriculture (ICAR). Bharat AI Sandbox scaled to state level. AI-in-manufacturing PLI tier. ISO/IEC SC42 active participation. SemiconIndia 2.0 AI accelerator focus. AI safety evaluation lab (STQC/IISc). BRICS AI standards harmonisation.</w:t>
            </w:r>
          </w:p>
        </w:tc>
        <w:tc>
          <w:tcPr>
            <w:tcW w:w="3630" w:type="dxa"/>
            <w:tcMar>
              <w:top w:w="80" w:type="dxa"/>
              <w:left w:w="140" w:type="dxa"/>
              <w:bottom w:w="80" w:type="dxa"/>
              <w:right w:w="140" w:type="dxa"/>
            </w:tcMar>
          </w:tcPr>
          <w:p w14:paraId="6ADBC90D" w14:textId="77777777" w:rsidR="000139B3" w:rsidRPr="00246E47" w:rsidRDefault="00000000" w:rsidP="00246E47">
            <w:pPr>
              <w:jc w:val="both"/>
            </w:pPr>
            <w:r>
              <w:rPr>
                <w:rFonts w:eastAsia="Arial"/>
              </w:rPr>
              <w:t>DST, DBT, DRDO, ISRO, AIIMS, NLUs, IITs, ICAR, MoH, MoAFW, DPIIT, SemiconIndia Mission, MEA</w:t>
            </w:r>
          </w:p>
        </w:tc>
      </w:tr>
      <w:tr w:rsidR="00246E47" w:rsidRPr="00246E47" w14:paraId="7EBD69DF" w14:textId="77777777" w:rsidTr="00246E47">
        <w:tc>
          <w:tcPr>
            <w:tcW w:w="2100" w:type="dxa"/>
            <w:tcMar>
              <w:top w:w="80" w:type="dxa"/>
              <w:left w:w="140" w:type="dxa"/>
              <w:bottom w:w="80" w:type="dxa"/>
              <w:right w:w="140" w:type="dxa"/>
            </w:tcMar>
          </w:tcPr>
          <w:p w14:paraId="46A8A60E" w14:textId="77777777" w:rsidR="000139B3" w:rsidRPr="00246E47" w:rsidRDefault="00000000" w:rsidP="00246E47">
            <w:pPr>
              <w:jc w:val="both"/>
            </w:pPr>
            <w:r>
              <w:rPr>
                <w:rFonts w:eastAsia="Arial"/>
                <w:b/>
                <w:bCs/>
              </w:rPr>
              <w:t>Long Term (2031–2040)</w:t>
            </w:r>
          </w:p>
        </w:tc>
        <w:tc>
          <w:tcPr>
            <w:tcW w:w="3630" w:type="dxa"/>
            <w:tcMar>
              <w:top w:w="80" w:type="dxa"/>
              <w:left w:w="140" w:type="dxa"/>
              <w:bottom w:w="80" w:type="dxa"/>
              <w:right w:w="140" w:type="dxa"/>
            </w:tcMar>
          </w:tcPr>
          <w:p w14:paraId="4EF738C2" w14:textId="77777777" w:rsidR="000139B3" w:rsidRPr="00246E47" w:rsidRDefault="00000000" w:rsidP="00246E47">
            <w:pPr>
              <w:jc w:val="both"/>
            </w:pPr>
            <w:r>
              <w:rPr>
                <w:rFonts w:eastAsia="Arial"/>
              </w:rPr>
              <w:t>Full sovereign compute stack (indigenous accelerators). Export of Indian multilingual AI to Global South. International AI governance leadership (G20, GPAI, UN). AI-enabled public administration transformation. Scientific AI: drug discovery, climate, space systems. Indian AI as BRICS technology commons contribution.</w:t>
            </w:r>
          </w:p>
        </w:tc>
        <w:tc>
          <w:tcPr>
            <w:tcW w:w="3630" w:type="dxa"/>
            <w:tcMar>
              <w:top w:w="80" w:type="dxa"/>
              <w:left w:w="140" w:type="dxa"/>
              <w:bottom w:w="80" w:type="dxa"/>
              <w:right w:w="140" w:type="dxa"/>
            </w:tcMar>
          </w:tcPr>
          <w:p w14:paraId="7D4943DD" w14:textId="77777777" w:rsidR="000139B3" w:rsidRPr="00246E47" w:rsidRDefault="00000000" w:rsidP="00246E47">
            <w:pPr>
              <w:jc w:val="both"/>
            </w:pPr>
            <w:r>
              <w:rPr>
                <w:rFonts w:eastAsia="Arial"/>
              </w:rPr>
              <w:t>MEA, PMO, DST, ISRO, DRDO, IISc, IITs, DAE, ICMR, ECI, Judicial AI Committee</w:t>
            </w:r>
          </w:p>
        </w:tc>
      </w:tr>
    </w:tbl>
    <w:p w14:paraId="43938221" w14:textId="77777777" w:rsidR="000139B3" w:rsidRPr="00246E47" w:rsidRDefault="000139B3" w:rsidP="00246E47">
      <w:pPr>
        <w:spacing w:before="80" w:after="80"/>
        <w:jc w:val="both"/>
      </w:pPr>
    </w:p>
    <w:p w14:paraId="0CF3F80B" w14:textId="77777777" w:rsidR="000139B3" w:rsidRPr="00246E47" w:rsidRDefault="00000000" w:rsidP="00246E47">
      <w:pPr>
        <w:jc w:val="both"/>
      </w:pPr>
      <w:r>
        <w:br w:type="page"/>
      </w:r>
    </w:p>
    <w:p w14:paraId="067F7F7D" w14:textId="77777777" w:rsidR="000139B3" w:rsidRPr="00246E47" w:rsidRDefault="00000000" w:rsidP="00246E47">
      <w:pPr>
        <w:pStyle w:val="Heading1"/>
        <w:spacing w:before="400" w:after="160"/>
        <w:jc w:val="both"/>
        <w:rPr>
          <w:color w:val="auto"/>
        </w:rPr>
      </w:pPr>
      <w:r>
        <w:rPr>
          <w:rFonts w:eastAsia="Arial"/>
          <w:b/>
          <w:bCs/>
          <w:color w:val="auto"/>
        </w:rPr>
        <w:lastRenderedPageBreak/>
        <w:t>9. Data Collection: Sources, Methods, and Reproducibility</w:t>
      </w:r>
    </w:p>
    <w:p w14:paraId="644A8871" w14:textId="77777777" w:rsidR="000139B3" w:rsidRPr="00246E47" w:rsidRDefault="00000000" w:rsidP="00246E47">
      <w:pPr>
        <w:spacing w:before="80" w:after="120" w:line="276" w:lineRule="auto"/>
        <w:jc w:val="both"/>
      </w:pPr>
      <w:r>
        <w:rPr>
          <w:rFonts w:eastAsia="Arial"/>
          <w:sz w:val="22"/>
          <w:szCs w:val="22"/>
        </w:rPr>
        <w:t>This paper is grounded in an empirical corpus of China AI policy documents assembled specifically for this research. This section documents the collection methodology in sufficient detail for other researchers to reproduce, extend, or critique it.</w:t>
      </w:r>
    </w:p>
    <w:p w14:paraId="1A61536F" w14:textId="77777777" w:rsidR="000139B3" w:rsidRPr="00246E47" w:rsidRDefault="00000000" w:rsidP="00246E47">
      <w:pPr>
        <w:pStyle w:val="Heading2"/>
        <w:spacing w:before="280" w:after="120"/>
        <w:jc w:val="both"/>
        <w:rPr>
          <w:color w:val="auto"/>
        </w:rPr>
      </w:pPr>
      <w:r>
        <w:rPr>
          <w:rFonts w:eastAsia="Arial"/>
          <w:b/>
          <w:bCs/>
          <w:color w:val="auto"/>
        </w:rPr>
        <w:t>9.1 Corpus Overview</w:t>
      </w:r>
    </w:p>
    <w:p w14:paraId="22CA90E2" w14:textId="77777777" w:rsidR="000139B3" w:rsidRPr="00246E47" w:rsidRDefault="00000000" w:rsidP="00246E47">
      <w:pPr>
        <w:spacing w:before="80" w:after="120" w:line="276" w:lineRule="auto"/>
        <w:jc w:val="both"/>
      </w:pPr>
      <w:r>
        <w:rPr>
          <w:rFonts w:eastAsia="Arial"/>
          <w:sz w:val="22"/>
          <w:szCs w:val="22"/>
        </w:rPr>
        <w:t>The corpus comprises 118 documents totalling approximately 191,000 words, spanning the period 2016 to 2026. Documents are distributed across eight organisations: DigiChina (Stanford University, 60 documents), CSET Georgetown (39 documents), War on the Rocks (8 documents), MIT Technology Review (6 documents), CSIS (2 documents), Brookings (1 document), China Law Translate (1 document), and Atlantic Council (1 document). In addition, seventeen primary Chinese policy documents were downloaded manually as PDFs directly from CSET Georgetown's translation catalogue and stored locally for close reading.</w:t>
      </w:r>
    </w:p>
    <w:p w14:paraId="5024F37C" w14:textId="77777777" w:rsidR="000139B3" w:rsidRPr="00246E47" w:rsidRDefault="00000000" w:rsidP="00246E47">
      <w:pPr>
        <w:pStyle w:val="Heading2"/>
        <w:spacing w:before="280" w:after="120"/>
        <w:jc w:val="both"/>
        <w:rPr>
          <w:color w:val="auto"/>
        </w:rPr>
      </w:pPr>
      <w:r>
        <w:rPr>
          <w:rFonts w:eastAsia="Arial"/>
          <w:b/>
          <w:bCs/>
          <w:color w:val="auto"/>
        </w:rPr>
        <w:t>9.2 Automated Collection Pipeline</w:t>
      </w:r>
    </w:p>
    <w:p w14:paraId="349DBD88" w14:textId="77777777" w:rsidR="000139B3" w:rsidRPr="00246E47" w:rsidRDefault="00000000" w:rsidP="00246E47">
      <w:pPr>
        <w:spacing w:before="80" w:after="120" w:line="276" w:lineRule="auto"/>
        <w:jc w:val="both"/>
      </w:pPr>
      <w:r>
        <w:rPr>
          <w:rFonts w:eastAsia="Arial"/>
          <w:sz w:val="22"/>
          <w:szCs w:val="22"/>
        </w:rPr>
        <w:t>Automated collection used two Python scripts (publicly documented at the author's GitHub repository) employing three complementary strategies rather than a single scraping approach:</w:t>
      </w:r>
    </w:p>
    <w:p w14:paraId="227CC9F3" w14:textId="77777777" w:rsidR="000139B3" w:rsidRPr="00246E47" w:rsidRDefault="00000000" w:rsidP="00246E47">
      <w:pPr>
        <w:pStyle w:val="ListParagraph"/>
        <w:numPr>
          <w:ilvl w:val="0"/>
          <w:numId w:val="2"/>
        </w:numPr>
        <w:spacing w:before="40" w:after="60"/>
        <w:jc w:val="both"/>
      </w:pPr>
      <w:r>
        <w:rPr>
          <w:rFonts w:eastAsia="Arial"/>
          <w:sz w:val="22"/>
          <w:szCs w:val="22"/>
        </w:rPr>
        <w:t>RSS feed collection: Brookings, CSIS, War on the Rocks, MIT Technology Review, and Carnegie Endowment publish machine-readable RSS feeds. The pipeline subscribed to these feeds and followed links to retrieve full article text where feeds provided only excerpts. This approach bypasses the JavaScript-rendered search pages that block simple HTTP scrapers.</w:t>
      </w:r>
    </w:p>
    <w:p w14:paraId="285C23F4" w14:textId="77777777" w:rsidR="000139B3" w:rsidRPr="00246E47" w:rsidRDefault="00000000" w:rsidP="00246E47">
      <w:pPr>
        <w:pStyle w:val="ListParagraph"/>
        <w:numPr>
          <w:ilvl w:val="0"/>
          <w:numId w:val="2"/>
        </w:numPr>
        <w:spacing w:before="40" w:after="60"/>
        <w:jc w:val="both"/>
      </w:pPr>
      <w:r>
        <w:rPr>
          <w:rFonts w:eastAsia="Arial"/>
          <w:sz w:val="22"/>
          <w:szCs w:val="22"/>
        </w:rPr>
        <w:t>Sitemap traversal: DigiChina (Stanford) and CSET Georgetown publish XML sitemaps. DigiChina's sitemap is a sitemap index linking to sub-sitemaps (post-sitemap.xml, page-sitemap.xml, and others); the pipeline recursed through these to enumerate all article URLs, then filtered to the /work/ path containing translations and analysis. CSET's sitemap yielded 4,138 URLs, of which 678 passed keyword filtering.</w:t>
      </w:r>
    </w:p>
    <w:p w14:paraId="71DC15B7" w14:textId="77777777" w:rsidR="000139B3" w:rsidRPr="00246E47" w:rsidRDefault="00000000" w:rsidP="00246E47">
      <w:pPr>
        <w:pStyle w:val="ListParagraph"/>
        <w:numPr>
          <w:ilvl w:val="0"/>
          <w:numId w:val="2"/>
        </w:numPr>
        <w:spacing w:before="40" w:after="60"/>
        <w:jc w:val="both"/>
      </w:pPr>
      <w:r>
        <w:rPr>
          <w:rFonts w:eastAsia="Arial"/>
          <w:sz w:val="22"/>
          <w:szCs w:val="22"/>
        </w:rPr>
        <w:t>Direct URL retrieval: seventeen known high-value URLs were fetched directly, including the China Law Translate deep synthesis regulation, the CSET AI+ Opinions translation, and the DigiChina 2017 NGAI Plan translation.</w:t>
      </w:r>
    </w:p>
    <w:p w14:paraId="2339F1A9" w14:textId="77777777" w:rsidR="000139B3" w:rsidRPr="00246E47" w:rsidRDefault="00000000" w:rsidP="00246E47">
      <w:pPr>
        <w:spacing w:before="80" w:after="120" w:line="276" w:lineRule="auto"/>
        <w:jc w:val="both"/>
      </w:pPr>
      <w:r>
        <w:rPr>
          <w:rFonts w:eastAsia="Arial"/>
          <w:sz w:val="22"/>
          <w:szCs w:val="22"/>
        </w:rPr>
        <w:t>Text extraction used BeautifulSoup 4 for HTML (with aggressive boilerplate removal targeting navigation, footer, and sidebar elements) and PyMuPDF (fitz) for PDF documents. A politeness delay of 2.5 seconds between requests was maintained throughout, with a descriptive User-Agent string identifying the academic research purpose.</w:t>
      </w:r>
    </w:p>
    <w:p w14:paraId="00F8B4B1" w14:textId="77777777" w:rsidR="000139B3" w:rsidRPr="00246E47" w:rsidRDefault="00000000" w:rsidP="00246E47">
      <w:pPr>
        <w:spacing w:before="80" w:after="120" w:line="276" w:lineRule="auto"/>
        <w:jc w:val="both"/>
      </w:pPr>
      <w:r>
        <w:rPr>
          <w:rFonts w:eastAsia="Arial"/>
          <w:sz w:val="22"/>
          <w:szCs w:val="22"/>
        </w:rPr>
        <w:t>Keyword filtering retained only documents matching terms including: china, chinese, beijing, prc, artificial intelligence, ai, machine learning, technology policy, five-year, made in china, miit, semiconductor, algorithm, foundation model, llm, compute, chip, digital economy, cyber, data governance, surveillance, huawei, baidu, alibaba, tencent, deepseek, cac, autonomous, robotics, dual-use, military-civil, tech competition, strategic competition.</w:t>
      </w:r>
    </w:p>
    <w:p w14:paraId="6038AB0A" w14:textId="77777777" w:rsidR="000139B3" w:rsidRPr="00246E47" w:rsidRDefault="00000000" w:rsidP="00246E47">
      <w:pPr>
        <w:pStyle w:val="Heading2"/>
        <w:spacing w:before="280" w:after="120"/>
        <w:jc w:val="both"/>
        <w:rPr>
          <w:color w:val="auto"/>
        </w:rPr>
      </w:pPr>
      <w:r>
        <w:rPr>
          <w:rFonts w:eastAsia="Arial"/>
          <w:b/>
          <w:bCs/>
          <w:color w:val="auto"/>
        </w:rPr>
        <w:t>9.3 Manual PDF Collection</w:t>
      </w:r>
    </w:p>
    <w:p w14:paraId="79067612" w14:textId="77777777" w:rsidR="000139B3" w:rsidRPr="00246E47" w:rsidRDefault="00000000" w:rsidP="00246E47">
      <w:pPr>
        <w:spacing w:before="80" w:after="120" w:line="276" w:lineRule="auto"/>
        <w:jc w:val="both"/>
      </w:pPr>
      <w:r>
        <w:rPr>
          <w:rFonts w:eastAsia="Arial"/>
          <w:sz w:val="22"/>
          <w:szCs w:val="22"/>
        </w:rPr>
        <w:t xml:space="preserve">The automated pipeline retrieved metadata and summaries for CSET documents but not always full PDF content, as CSET's publication pages link to downloadable PDFs rather than embedding full text in HTML. </w:t>
      </w:r>
      <w:r>
        <w:rPr>
          <w:rFonts w:eastAsia="Arial"/>
          <w:sz w:val="22"/>
          <w:szCs w:val="22"/>
        </w:rPr>
        <w:lastRenderedPageBreak/>
        <w:t>The following seventeen PDFs were therefore downloaded manually from CSET Georgetown (cset.georgetown.edu/publications/?fq[]=type:Translations) and China Law Translate (chinalawtranslate.com/en/):</w:t>
      </w:r>
    </w:p>
    <w:p w14:paraId="07EC9B3C" w14:textId="77777777" w:rsidR="000139B3" w:rsidRPr="00246E47" w:rsidRDefault="00000000" w:rsidP="00246E47">
      <w:pPr>
        <w:pStyle w:val="ListParagraph"/>
        <w:numPr>
          <w:ilvl w:val="0"/>
          <w:numId w:val="2"/>
        </w:numPr>
        <w:spacing w:before="40" w:after="60"/>
        <w:jc w:val="both"/>
      </w:pPr>
      <w:r>
        <w:rPr>
          <w:rFonts w:eastAsia="Arial"/>
          <w:sz w:val="22"/>
          <w:szCs w:val="22"/>
        </w:rPr>
        <w:t>t0652_AI_plus_opinions_EN.pdf — State Council AI+ Opinions 2025-2035</w:t>
      </w:r>
    </w:p>
    <w:p w14:paraId="1B0C08AB" w14:textId="77777777" w:rsidR="000139B3" w:rsidRPr="00246E47" w:rsidRDefault="00000000" w:rsidP="00246E47">
      <w:pPr>
        <w:pStyle w:val="ListParagraph"/>
        <w:numPr>
          <w:ilvl w:val="0"/>
          <w:numId w:val="2"/>
        </w:numPr>
        <w:spacing w:before="40" w:after="60"/>
        <w:jc w:val="both"/>
      </w:pPr>
      <w:r>
        <w:rPr>
          <w:rFonts w:eastAsia="Arial"/>
          <w:sz w:val="22"/>
          <w:szCs w:val="22"/>
        </w:rPr>
        <w:t>t0667_ai_manufacturing_opinions_EN.pdf — AI+ Manufacturing Initiative 2026</w:t>
      </w:r>
    </w:p>
    <w:p w14:paraId="37B5409E" w14:textId="77777777" w:rsidR="000139B3" w:rsidRPr="00246E47" w:rsidRDefault="00000000" w:rsidP="00246E47">
      <w:pPr>
        <w:pStyle w:val="ListParagraph"/>
        <w:numPr>
          <w:ilvl w:val="0"/>
          <w:numId w:val="2"/>
        </w:numPr>
        <w:spacing w:before="40" w:after="60"/>
        <w:jc w:val="both"/>
      </w:pPr>
      <w:r>
        <w:rPr>
          <w:rFonts w:eastAsia="Arial"/>
          <w:sz w:val="22"/>
          <w:szCs w:val="22"/>
        </w:rPr>
        <w:t>t0599_Beijing_AI_plan_2024_EN.pdf — Beijing Municipal AI+ Plan 2024-2025</w:t>
      </w:r>
    </w:p>
    <w:p w14:paraId="3F7CC597" w14:textId="77777777" w:rsidR="000139B3" w:rsidRPr="00246E47" w:rsidRDefault="00000000" w:rsidP="00246E47">
      <w:pPr>
        <w:pStyle w:val="ListParagraph"/>
        <w:numPr>
          <w:ilvl w:val="0"/>
          <w:numId w:val="2"/>
        </w:numPr>
        <w:spacing w:before="40" w:after="60"/>
        <w:jc w:val="both"/>
      </w:pPr>
      <w:r>
        <w:rPr>
          <w:rFonts w:eastAsia="Arial"/>
          <w:sz w:val="22"/>
          <w:szCs w:val="22"/>
        </w:rPr>
        <w:t>t0646_education_GenAI_use_guide_EN.pdf — GenAI in schools guide 2025</w:t>
      </w:r>
    </w:p>
    <w:p w14:paraId="30B503AE" w14:textId="77777777" w:rsidR="000139B3" w:rsidRPr="00246E47" w:rsidRDefault="00000000" w:rsidP="00246E47">
      <w:pPr>
        <w:pStyle w:val="ListParagraph"/>
        <w:numPr>
          <w:ilvl w:val="0"/>
          <w:numId w:val="2"/>
        </w:numPr>
        <w:spacing w:before="40" w:after="60"/>
        <w:jc w:val="both"/>
      </w:pPr>
      <w:r>
        <w:rPr>
          <w:rFonts w:eastAsia="Arial"/>
          <w:sz w:val="22"/>
          <w:szCs w:val="22"/>
        </w:rPr>
        <w:t>t0644_ai_industry_standardization_guide_EN.pdf — AI Standards System 2024</w:t>
      </w:r>
    </w:p>
    <w:p w14:paraId="2B5AEB2D" w14:textId="77777777" w:rsidR="000139B3" w:rsidRPr="00246E47" w:rsidRDefault="00000000" w:rsidP="00246E47">
      <w:pPr>
        <w:pStyle w:val="ListParagraph"/>
        <w:numPr>
          <w:ilvl w:val="0"/>
          <w:numId w:val="2"/>
        </w:numPr>
        <w:spacing w:before="40" w:after="60"/>
        <w:jc w:val="both"/>
      </w:pPr>
      <w:r>
        <w:rPr>
          <w:rFonts w:eastAsia="Arial"/>
          <w:sz w:val="22"/>
          <w:szCs w:val="22"/>
        </w:rPr>
        <w:t>t0120_AI_standardization_white_paper_EN.pdf — AI Standardisation White Paper</w:t>
      </w:r>
    </w:p>
    <w:p w14:paraId="59FCE354" w14:textId="77777777" w:rsidR="000139B3" w:rsidRPr="00246E47" w:rsidRDefault="00000000" w:rsidP="00246E47">
      <w:pPr>
        <w:pStyle w:val="ListParagraph"/>
        <w:numPr>
          <w:ilvl w:val="0"/>
          <w:numId w:val="2"/>
        </w:numPr>
        <w:spacing w:before="40" w:after="60"/>
        <w:jc w:val="both"/>
      </w:pPr>
      <w:r>
        <w:rPr>
          <w:rFonts w:eastAsia="Arial"/>
          <w:sz w:val="22"/>
          <w:szCs w:val="22"/>
        </w:rPr>
        <w:t>t0121_AI_security_standardization_white_paper_EN.pdf — AI Security Standards</w:t>
      </w:r>
    </w:p>
    <w:p w14:paraId="55AA0061" w14:textId="77777777" w:rsidR="000139B3" w:rsidRPr="00246E47" w:rsidRDefault="00000000" w:rsidP="00246E47">
      <w:pPr>
        <w:pStyle w:val="ListParagraph"/>
        <w:numPr>
          <w:ilvl w:val="0"/>
          <w:numId w:val="2"/>
        </w:numPr>
        <w:spacing w:before="40" w:after="60"/>
        <w:jc w:val="both"/>
      </w:pPr>
      <w:r>
        <w:rPr>
          <w:rFonts w:eastAsia="Arial"/>
          <w:sz w:val="22"/>
          <w:szCs w:val="22"/>
        </w:rPr>
        <w:t>t0390_trustworthy_AI_EN.pdf — Trustworthy AI White Paper</w:t>
      </w:r>
    </w:p>
    <w:p w14:paraId="75DD7488" w14:textId="77777777" w:rsidR="000139B3" w:rsidRPr="00246E47" w:rsidRDefault="00000000" w:rsidP="00246E47">
      <w:pPr>
        <w:pStyle w:val="ListParagraph"/>
        <w:numPr>
          <w:ilvl w:val="0"/>
          <w:numId w:val="2"/>
        </w:numPr>
        <w:spacing w:before="40" w:after="60"/>
        <w:jc w:val="both"/>
      </w:pPr>
      <w:r>
        <w:rPr>
          <w:rFonts w:eastAsia="Arial"/>
          <w:sz w:val="22"/>
          <w:szCs w:val="22"/>
        </w:rPr>
        <w:t>t0393_AI_white_paper_EN.pdf — China AI White Paper</w:t>
      </w:r>
    </w:p>
    <w:p w14:paraId="4BCC89CE" w14:textId="77777777" w:rsidR="000139B3" w:rsidRPr="00246E47" w:rsidRDefault="00000000" w:rsidP="00246E47">
      <w:pPr>
        <w:pStyle w:val="ListParagraph"/>
        <w:numPr>
          <w:ilvl w:val="0"/>
          <w:numId w:val="2"/>
        </w:numPr>
        <w:spacing w:before="40" w:after="60"/>
        <w:jc w:val="both"/>
      </w:pPr>
      <w:r>
        <w:rPr>
          <w:rFonts w:eastAsia="Arial"/>
          <w:sz w:val="22"/>
          <w:szCs w:val="22"/>
        </w:rPr>
        <w:t>t0442_AI_white_paper_2022_EN.pdf — China AI White Paper 2022</w:t>
      </w:r>
    </w:p>
    <w:p w14:paraId="00CF7C2E" w14:textId="77777777" w:rsidR="000139B3" w:rsidRPr="00246E47" w:rsidRDefault="00000000" w:rsidP="00246E47">
      <w:pPr>
        <w:pStyle w:val="ListParagraph"/>
        <w:numPr>
          <w:ilvl w:val="0"/>
          <w:numId w:val="2"/>
        </w:numPr>
        <w:spacing w:before="40" w:after="60"/>
        <w:jc w:val="both"/>
      </w:pPr>
      <w:r>
        <w:rPr>
          <w:rFonts w:eastAsia="Arial"/>
          <w:sz w:val="22"/>
          <w:szCs w:val="22"/>
        </w:rPr>
        <w:t>t0545_AI_frameworks_EN.pdf — AI Frameworks Report</w:t>
      </w:r>
    </w:p>
    <w:p w14:paraId="32DBAA1B" w14:textId="77777777" w:rsidR="000139B3" w:rsidRPr="00246E47" w:rsidRDefault="00000000" w:rsidP="00246E47">
      <w:pPr>
        <w:pStyle w:val="ListParagraph"/>
        <w:numPr>
          <w:ilvl w:val="0"/>
          <w:numId w:val="2"/>
        </w:numPr>
        <w:spacing w:before="40" w:after="60"/>
        <w:jc w:val="both"/>
      </w:pPr>
      <w:r>
        <w:rPr>
          <w:rFonts w:eastAsia="Arial"/>
          <w:sz w:val="22"/>
          <w:szCs w:val="22"/>
        </w:rPr>
        <w:t>t0070_Qianzhan_Chanye_AI_report_EN.pptx — Qianzhan Industry AI Forecast</w:t>
      </w:r>
    </w:p>
    <w:p w14:paraId="3019ACE5" w14:textId="77777777" w:rsidR="000139B3" w:rsidRPr="00246E47" w:rsidRDefault="00000000" w:rsidP="00246E47">
      <w:pPr>
        <w:pStyle w:val="ListParagraph"/>
        <w:numPr>
          <w:ilvl w:val="0"/>
          <w:numId w:val="2"/>
        </w:numPr>
        <w:spacing w:before="40" w:after="60"/>
        <w:jc w:val="both"/>
      </w:pPr>
      <w:r>
        <w:rPr>
          <w:rFonts w:eastAsia="Arial"/>
          <w:sz w:val="22"/>
          <w:szCs w:val="22"/>
        </w:rPr>
        <w:t>An Analysis of China's AI Governance Proposals (CSET, December 2025)</w:t>
      </w:r>
    </w:p>
    <w:p w14:paraId="640A9F6C" w14:textId="77777777" w:rsidR="000139B3" w:rsidRPr="00246E47" w:rsidRDefault="00000000" w:rsidP="00246E47">
      <w:pPr>
        <w:pStyle w:val="ListParagraph"/>
        <w:numPr>
          <w:ilvl w:val="0"/>
          <w:numId w:val="2"/>
        </w:numPr>
        <w:spacing w:before="40" w:after="60"/>
        <w:jc w:val="both"/>
      </w:pPr>
      <w:r>
        <w:rPr>
          <w:rFonts w:eastAsia="Arial"/>
          <w:sz w:val="22"/>
          <w:szCs w:val="22"/>
        </w:rPr>
        <w:t>Provisional Measures on Human-like Interactive AI Services — draft version</w:t>
      </w:r>
    </w:p>
    <w:p w14:paraId="0692ECB5" w14:textId="77777777" w:rsidR="000139B3" w:rsidRPr="00246E47" w:rsidRDefault="00000000" w:rsidP="00246E47">
      <w:pPr>
        <w:pStyle w:val="ListParagraph"/>
        <w:numPr>
          <w:ilvl w:val="0"/>
          <w:numId w:val="2"/>
        </w:numPr>
        <w:spacing w:before="40" w:after="60"/>
        <w:jc w:val="both"/>
      </w:pPr>
      <w:r>
        <w:rPr>
          <w:rFonts w:eastAsia="Arial"/>
          <w:sz w:val="22"/>
          <w:szCs w:val="22"/>
        </w:rPr>
        <w:t>Provisional Measures on Human-like Interactive AI Services — final version</w:t>
      </w:r>
    </w:p>
    <w:p w14:paraId="4D8F9E4A" w14:textId="77777777" w:rsidR="000139B3" w:rsidRPr="00246E47" w:rsidRDefault="00000000" w:rsidP="00246E47">
      <w:pPr>
        <w:pStyle w:val="ListParagraph"/>
        <w:numPr>
          <w:ilvl w:val="0"/>
          <w:numId w:val="2"/>
        </w:numPr>
        <w:spacing w:before="40" w:after="60"/>
        <w:jc w:val="both"/>
      </w:pPr>
      <w:r>
        <w:rPr>
          <w:rFonts w:eastAsia="Arial"/>
          <w:sz w:val="22"/>
          <w:szCs w:val="22"/>
        </w:rPr>
        <w:t>The Friends We've Made 2: Changes from the Draft (draft-to-final comparison)</w:t>
      </w:r>
    </w:p>
    <w:p w14:paraId="19B8621D" w14:textId="77777777" w:rsidR="000139B3" w:rsidRPr="00246E47" w:rsidRDefault="00000000" w:rsidP="00246E47">
      <w:pPr>
        <w:pStyle w:val="ListParagraph"/>
        <w:numPr>
          <w:ilvl w:val="0"/>
          <w:numId w:val="2"/>
        </w:numPr>
        <w:spacing w:before="40" w:after="60"/>
        <w:jc w:val="both"/>
      </w:pPr>
      <w:r>
        <w:rPr>
          <w:rFonts w:eastAsia="Arial"/>
          <w:sz w:val="22"/>
          <w:szCs w:val="22"/>
        </w:rPr>
        <w:t>Provisions on the Administration of Deep Synthesis Internet Information Services (2022)</w:t>
      </w:r>
    </w:p>
    <w:p w14:paraId="5198B538" w14:textId="77777777" w:rsidR="000139B3" w:rsidRPr="00246E47" w:rsidRDefault="00000000" w:rsidP="00246E47">
      <w:pPr>
        <w:pStyle w:val="Heading2"/>
        <w:spacing w:before="280" w:after="120"/>
        <w:jc w:val="both"/>
        <w:rPr>
          <w:color w:val="auto"/>
        </w:rPr>
      </w:pPr>
      <w:r>
        <w:rPr>
          <w:rFonts w:eastAsia="Arial"/>
          <w:b/>
          <w:bCs/>
          <w:color w:val="auto"/>
        </w:rPr>
        <w:t>9.4 Extending the Corpus</w:t>
      </w:r>
    </w:p>
    <w:p w14:paraId="6A6D1882" w14:textId="77777777" w:rsidR="000139B3" w:rsidRPr="00246E47" w:rsidRDefault="00000000" w:rsidP="00246E47">
      <w:pPr>
        <w:spacing w:before="80" w:after="120" w:line="276" w:lineRule="auto"/>
        <w:jc w:val="both"/>
      </w:pPr>
      <w:r>
        <w:rPr>
          <w:rFonts w:eastAsia="Arial"/>
          <w:sz w:val="22"/>
          <w:szCs w:val="22"/>
        </w:rPr>
        <w:t>Researchers wishing to extend this corpus should prioritise the following sources not yet systematically included:</w:t>
      </w:r>
    </w:p>
    <w:p w14:paraId="76521408" w14:textId="77777777" w:rsidR="000139B3" w:rsidRPr="00246E47" w:rsidRDefault="00000000" w:rsidP="00246E47">
      <w:pPr>
        <w:pStyle w:val="ListParagraph"/>
        <w:numPr>
          <w:ilvl w:val="0"/>
          <w:numId w:val="2"/>
        </w:numPr>
        <w:spacing w:before="40" w:after="60"/>
        <w:jc w:val="both"/>
      </w:pPr>
      <w:r>
        <w:rPr>
          <w:rFonts w:eastAsia="Arial"/>
          <w:sz w:val="22"/>
          <w:szCs w:val="22"/>
        </w:rPr>
        <w:t>CSET Translation Catalogue (cset.georgetown.edu/publications/?fq[]=type:Translations) — over 200 full English translations of Chinese primary documents, including Five Year Plans, MIIT circulars, CAC regulations, and NSFC research funding guidelines. This is the single most valuable English-language primary source for Chinese AI policy.</w:t>
      </w:r>
    </w:p>
    <w:p w14:paraId="45D76AD2" w14:textId="77777777" w:rsidR="000139B3" w:rsidRPr="00246E47" w:rsidRDefault="00000000" w:rsidP="00246E47">
      <w:pPr>
        <w:pStyle w:val="ListParagraph"/>
        <w:numPr>
          <w:ilvl w:val="0"/>
          <w:numId w:val="2"/>
        </w:numPr>
        <w:spacing w:before="40" w:after="60"/>
        <w:jc w:val="both"/>
      </w:pPr>
      <w:r>
        <w:rPr>
          <w:rFonts w:eastAsia="Arial"/>
          <w:sz w:val="22"/>
          <w:szCs w:val="22"/>
        </w:rPr>
        <w:t>NPC Observer (npcobserver.com) — expert analysis of National People's Congress legislation with translation of key provisions</w:t>
      </w:r>
    </w:p>
    <w:p w14:paraId="7429D420" w14:textId="77777777" w:rsidR="000139B3" w:rsidRPr="00246E47" w:rsidRDefault="00000000" w:rsidP="00246E47">
      <w:pPr>
        <w:pStyle w:val="ListParagraph"/>
        <w:numPr>
          <w:ilvl w:val="0"/>
          <w:numId w:val="2"/>
        </w:numPr>
        <w:spacing w:before="40" w:after="60"/>
        <w:jc w:val="both"/>
      </w:pPr>
      <w:r>
        <w:rPr>
          <w:rFonts w:eastAsia="Arial"/>
          <w:sz w:val="22"/>
          <w:szCs w:val="22"/>
        </w:rPr>
        <w:t>Jeffrey Ding's AI Policy newsletter (jeffrey-ding.ghost.io) — systematic tracking of Chinese AI policy with expert commentary and translation of key terms</w:t>
      </w:r>
    </w:p>
    <w:p w14:paraId="03BBC7AA" w14:textId="77777777" w:rsidR="000139B3" w:rsidRPr="00246E47" w:rsidRDefault="00000000" w:rsidP="00246E47">
      <w:pPr>
        <w:pStyle w:val="ListParagraph"/>
        <w:numPr>
          <w:ilvl w:val="0"/>
          <w:numId w:val="2"/>
        </w:numPr>
        <w:spacing w:before="40" w:after="60"/>
        <w:jc w:val="both"/>
      </w:pPr>
      <w:r>
        <w:rPr>
          <w:rFonts w:eastAsia="Arial"/>
          <w:sz w:val="22"/>
          <w:szCs w:val="22"/>
        </w:rPr>
        <w:t>DigiChina translation archive (digichina.stanford.edu/work/) — full translations of major documents including the complete NGAI Development Plan and successive Five Year Plan AI sections</w:t>
      </w:r>
    </w:p>
    <w:p w14:paraId="55E777EF" w14:textId="77777777" w:rsidR="000139B3" w:rsidRPr="00246E47" w:rsidRDefault="00000000" w:rsidP="00246E47">
      <w:pPr>
        <w:pStyle w:val="ListParagraph"/>
        <w:numPr>
          <w:ilvl w:val="0"/>
          <w:numId w:val="2"/>
        </w:numPr>
        <w:spacing w:before="40" w:after="60"/>
        <w:jc w:val="both"/>
      </w:pPr>
      <w:r>
        <w:rPr>
          <w:rFonts w:eastAsia="Arial"/>
          <w:sz w:val="22"/>
          <w:szCs w:val="22"/>
        </w:rPr>
        <w:t>ORF India China Monitor (orfonline.org) — Indian analytical perspective on Chinese AI strategy</w:t>
      </w:r>
    </w:p>
    <w:p w14:paraId="2BF0E7FD" w14:textId="77777777" w:rsidR="000139B3" w:rsidRPr="00246E47" w:rsidRDefault="00000000" w:rsidP="00246E47">
      <w:pPr>
        <w:pStyle w:val="ListParagraph"/>
        <w:numPr>
          <w:ilvl w:val="0"/>
          <w:numId w:val="2"/>
        </w:numPr>
        <w:spacing w:before="40" w:after="60"/>
        <w:jc w:val="both"/>
      </w:pPr>
      <w:r>
        <w:rPr>
          <w:rFonts w:eastAsia="Arial"/>
          <w:sz w:val="22"/>
          <w:szCs w:val="22"/>
        </w:rPr>
        <w:t>MERICS China Monitor (merics.org/en/tracker/china-ai-tracker) — European analytical perspective</w:t>
      </w:r>
    </w:p>
    <w:p w14:paraId="5400986B" w14:textId="77777777" w:rsidR="000139B3" w:rsidRPr="00246E47" w:rsidRDefault="00000000" w:rsidP="00246E47">
      <w:pPr>
        <w:spacing w:before="80" w:after="120" w:line="276" w:lineRule="auto"/>
        <w:jc w:val="both"/>
      </w:pPr>
      <w:r>
        <w:rPr>
          <w:rFonts w:eastAsia="Arial"/>
          <w:sz w:val="22"/>
          <w:szCs w:val="22"/>
        </w:rPr>
        <w:t>The scraping pipeline scripts and corpus metadata (excluding full document text due to copyright) are available at the author's GitHub repository (github.com/joyboseroy) for reuse and extension under MIT licence.</w:t>
      </w:r>
    </w:p>
    <w:p w14:paraId="35E433F6" w14:textId="77777777" w:rsidR="000139B3" w:rsidRPr="00246E47" w:rsidRDefault="00000000" w:rsidP="00246E47">
      <w:pPr>
        <w:pStyle w:val="Heading2"/>
        <w:spacing w:before="280" w:after="120"/>
        <w:jc w:val="both"/>
        <w:rPr>
          <w:color w:val="auto"/>
        </w:rPr>
      </w:pPr>
      <w:r>
        <w:rPr>
          <w:rFonts w:eastAsia="Arial"/>
          <w:b/>
          <w:bCs/>
          <w:color w:val="auto"/>
        </w:rPr>
        <w:lastRenderedPageBreak/>
        <w:t>9.5 Methodological Limitations</w:t>
      </w:r>
    </w:p>
    <w:p w14:paraId="0EAA3E36" w14:textId="77777777" w:rsidR="000139B3" w:rsidRPr="00246E47" w:rsidRDefault="00000000" w:rsidP="00246E47">
      <w:pPr>
        <w:spacing w:before="80" w:after="120" w:line="276" w:lineRule="auto"/>
        <w:jc w:val="both"/>
      </w:pPr>
      <w:r>
        <w:rPr>
          <w:rFonts w:eastAsia="Arial"/>
          <w:sz w:val="22"/>
          <w:szCs w:val="22"/>
        </w:rPr>
        <w:t>This corpus has several limitations that should be acknowledged. First, it is heavily weighted toward English-language secondary analysis: 60 of the 118 automatically collected documents are from DigiChina, which provides expert commentary as well as translation. Second, the automated collection period (June 2026) introduces a temporal snapshot limitation; the corpus does not capture documents published after collection. Third, policy documents describe institutional intentions rather than implementation realities; the gap between stated policy and actual implementation varies across Chinese policy domains and between central and local government and is not measured in this corpus.</w:t>
      </w:r>
    </w:p>
    <w:p w14:paraId="342148ED" w14:textId="77777777" w:rsidR="000139B3" w:rsidRPr="00246E47" w:rsidRDefault="00000000" w:rsidP="00246E47">
      <w:pPr>
        <w:pStyle w:val="Heading2"/>
        <w:spacing w:before="280" w:after="120"/>
        <w:jc w:val="both"/>
        <w:rPr>
          <w:color w:val="auto"/>
        </w:rPr>
      </w:pPr>
      <w:r>
        <w:rPr>
          <w:rFonts w:eastAsia="Arial"/>
          <w:b/>
          <w:bCs/>
          <w:color w:val="auto"/>
        </w:rPr>
        <w:t>9.6 Future Work: Knowledge Graph Analysis</w:t>
      </w:r>
    </w:p>
    <w:p w14:paraId="7BF7857C" w14:textId="72A67D65" w:rsidR="000139B3" w:rsidRPr="00246E47" w:rsidRDefault="00000000" w:rsidP="00246E47">
      <w:pPr>
        <w:spacing w:before="80" w:after="120" w:line="276" w:lineRule="auto"/>
        <w:jc w:val="both"/>
      </w:pPr>
      <w:r>
        <w:rPr>
          <w:rFonts w:eastAsia="Arial"/>
          <w:sz w:val="22"/>
          <w:szCs w:val="22"/>
        </w:rPr>
        <w:t>Future work will extend this analysis using computational knowledge graph methods, building on the author's prior work constructing knowledge graphs for philosophical and legal corpora.</w:t>
      </w:r>
      <w:r>
        <w:rPr>
          <w:rStyle w:val="FootnoteReference"/>
        </w:rPr>
        <w:footnoteReference w:id="9"/>
      </w:r>
      <w:r>
        <w:rPr>
          <w:rFonts w:eastAsia="Arial"/>
          <w:sz w:val="22"/>
          <w:szCs w:val="22"/>
        </w:rPr>
        <w:t xml:space="preserve"> Nodes representing ministries, universities, companies, standards bodies, and technology domains will be extracted from both the Chinese corpus and India's AI policy documents (IndiaAI Mission, National Strategy for AI, NITI Aayog AI reports, DPDP Act, Digital India Act drafts, sector ministry policies). Edges representing governance relationships: regulates, funds, develops, evaluates, certifies, collaborates, standardises, will be extracted using LLM-assisted annotation with a Groq-hosted Llama 3.3 70B pipeline. Network measures including centrality, coordination density, and actor diversity will be computed for both ecosystems and compared quantitatively. This approach will provide a more rigorous empirical foundation for the coordination deficit claims advanced qualitatively in this paper, and will allow the question 'which ministries are most central to China's AI coordination?' to be answered with network data rather than qualitative judgment.</w:t>
      </w:r>
    </w:p>
    <w:p w14:paraId="61C8DAA2" w14:textId="77777777" w:rsidR="000139B3" w:rsidRPr="00246E47" w:rsidRDefault="00000000" w:rsidP="00246E47">
      <w:pPr>
        <w:jc w:val="both"/>
      </w:pPr>
      <w:r>
        <w:br w:type="page"/>
      </w:r>
    </w:p>
    <w:p w14:paraId="71786AF7" w14:textId="77777777" w:rsidR="000139B3" w:rsidRPr="00246E47" w:rsidRDefault="00000000" w:rsidP="00246E47">
      <w:pPr>
        <w:pStyle w:val="Heading1"/>
        <w:spacing w:before="400" w:after="160"/>
        <w:jc w:val="both"/>
        <w:rPr>
          <w:color w:val="auto"/>
        </w:rPr>
      </w:pPr>
      <w:r>
        <w:rPr>
          <w:rFonts w:eastAsia="Arial"/>
          <w:b/>
          <w:bCs/>
          <w:color w:val="auto"/>
        </w:rPr>
        <w:lastRenderedPageBreak/>
        <w:t>10. Conclusion</w:t>
      </w:r>
    </w:p>
    <w:p w14:paraId="33AC7812" w14:textId="77777777" w:rsidR="000139B3" w:rsidRPr="00246E47" w:rsidRDefault="00000000" w:rsidP="00246E47">
      <w:pPr>
        <w:spacing w:before="80" w:after="120" w:line="276" w:lineRule="auto"/>
        <w:jc w:val="both"/>
      </w:pPr>
      <w:r>
        <w:rPr>
          <w:rFonts w:eastAsia="Arial"/>
          <w:sz w:val="22"/>
          <w:szCs w:val="22"/>
        </w:rPr>
        <w:t>China has built something genuinely worth studying: a national AI ecosystem in which compute, research, education, standards, industrial deployment, consumer protection, and international diplomacy reinforce one another within a sustained long-term framework. This achievement did not happen by accident, and it did not happen quickly. It reflects nearly a decade of institutional learning, progressive refinement of actor responsibilities, and willingness to integrate previously separate policy domains into a unified strategic architecture. Acknowledging this clearly is not an endorsement of China's political system. It is an analytical honesty that makes more effective policy possible.</w:t>
      </w:r>
    </w:p>
    <w:p w14:paraId="7A872B91" w14:textId="77777777" w:rsidR="000139B3" w:rsidRPr="00246E47" w:rsidRDefault="00000000" w:rsidP="00246E47">
      <w:pPr>
        <w:spacing w:before="80" w:after="120" w:line="276" w:lineRule="auto"/>
        <w:jc w:val="both"/>
      </w:pPr>
      <w:r>
        <w:rPr>
          <w:rFonts w:eastAsia="Arial"/>
          <w:sz w:val="22"/>
          <w:szCs w:val="22"/>
        </w:rPr>
        <w:t>India need not replicate China's centralisation, its approach to civil liberties, or its political institutions. The principal transferable lesson is institutional: the importance of sustained cross-ministerial coordination around a long-horizon AI roadmap that treats compute, data, models, standards, education, semiconductors, industrial adoption, and consumer protection as interdependent components of a single ecosystem rather than separate sectoral policies.</w:t>
      </w:r>
    </w:p>
    <w:p w14:paraId="2E9F627F" w14:textId="25D785D4" w:rsidR="000139B3" w:rsidRPr="00246E47" w:rsidRDefault="00000000" w:rsidP="00246E47">
      <w:pPr>
        <w:spacing w:before="80" w:after="120" w:line="276" w:lineRule="auto"/>
        <w:jc w:val="both"/>
      </w:pPr>
      <w:r>
        <w:rPr>
          <w:rFonts w:eastAsia="Arial"/>
          <w:sz w:val="22"/>
          <w:szCs w:val="22"/>
        </w:rPr>
        <w:t>The ten pillars proposed in this paper assign responsibilities to named Indian institutions: MeitY, NITI Aayog, BIS, CERT-In, STQC, C-DAC, IITs, IISc, NASSCOM, NCPCR, ICAR, AIIMS, DRDO, ISRO, ECI, and sector ministries, rather than articulating aspirations without institutional owners. This actor-specificity, drawn directly from the evolution of Chinese AI governance documents since 2021, is essential for implementation.</w:t>
      </w:r>
    </w:p>
    <w:p w14:paraId="33926FB0" w14:textId="670F4050" w:rsidR="000139B3" w:rsidRPr="00246E47" w:rsidRDefault="00000000" w:rsidP="00246E47">
      <w:pPr>
        <w:spacing w:before="80" w:after="120" w:line="276" w:lineRule="auto"/>
        <w:jc w:val="both"/>
      </w:pPr>
      <w:r>
        <w:rPr>
          <w:rFonts w:eastAsia="Arial"/>
          <w:sz w:val="22"/>
          <w:szCs w:val="22"/>
        </w:rPr>
        <w:t>The BRICS and Global South dimension is not peripheral to India's sovereign AI strategy, it is central to it. A nation of India's scale, linguistic diversity, and democratic credentials has both the opportunity and the obligation to lead a coordinated Global South response to the concentration of AI capabilities, governance norms, and supply chains in a small number of Western and Chinese technology firms. The multilingual AI agenda, the compute equity agenda, and the standards harmonisation agenda are all more achievable collectively than individually.</w:t>
      </w:r>
    </w:p>
    <w:p w14:paraId="13D38CB4" w14:textId="06BCD961" w:rsidR="000139B3" w:rsidRPr="00246E47" w:rsidRDefault="00000000" w:rsidP="00246E47">
      <w:pPr>
        <w:spacing w:before="80" w:after="120" w:line="276" w:lineRule="auto"/>
        <w:jc w:val="both"/>
      </w:pPr>
      <w:r>
        <w:rPr>
          <w:rFonts w:eastAsia="Arial"/>
          <w:sz w:val="22"/>
          <w:szCs w:val="22"/>
        </w:rPr>
        <w:t>A sovereign AI ecosystem for India is not defined by a 10,000-GPU cluster or a domestically trained large language model. It is defined by the ability to sustain AI innovation through interconnected institutions, trusted standards, open technologies, skilled talent, and long-term strategic planning, and by the capacity to shape the global AI governance environment rather than merely adapt to it. That capacity is within reach. The structural lessons from China's coordinated approach, adapted to India's democratic context and combined with insights from Brazil, France, and South Africa, are a strong place to start. Three shifts in thinking are ultimately what this transition requires. The first is from project-based thinking to systems thinking: treating AI not as an isolated technology programme but as infrastructure that runs through the economy, society, and national security simultaneously. The second is from reactive adaptation to proactive shaping: moving beyond adjusting to AI-driven changes toward actively writing the global rules for how AI is governed. The third is from catch-up thinking to distinctive thinking: leveraging India's demographic scale, multilingual data, software talent, and democratic governance experience to forge an Indian AI path that is genuinely different from China's, America's, or Europe's, not a slower version of any of them. BRICS collectively represents over 40% of the world's population and is fully capable of establishing an alternative model for sovereign AI in the Global South. India's participation, as the world's largest democracy and second-largest AI user market, would give that model real global legitimacy. Studying China's AI strategy is not an admission of lagging behind. It is a step toward catching up more intelligently.</w:t>
      </w:r>
    </w:p>
    <w:p w14:paraId="35C9A018" w14:textId="77777777" w:rsidR="000139B3" w:rsidRPr="00246E47" w:rsidRDefault="00000000" w:rsidP="00246E47">
      <w:pPr>
        <w:jc w:val="both"/>
      </w:pPr>
      <w:r>
        <w:lastRenderedPageBreak/>
        <w:br w:type="page"/>
      </w:r>
    </w:p>
    <w:p w14:paraId="130F963B" w14:textId="77777777" w:rsidR="000139B3" w:rsidRPr="00246E47" w:rsidRDefault="00000000" w:rsidP="00246E47">
      <w:pPr>
        <w:pStyle w:val="Heading1"/>
        <w:spacing w:before="400" w:after="160"/>
        <w:jc w:val="both"/>
        <w:rPr>
          <w:color w:val="auto"/>
        </w:rPr>
      </w:pPr>
      <w:r>
        <w:rPr>
          <w:rFonts w:eastAsia="Arial"/>
          <w:b/>
          <w:bCs/>
          <w:color w:val="auto"/>
        </w:rPr>
        <w:lastRenderedPageBreak/>
        <w:t>References</w:t>
      </w:r>
    </w:p>
    <w:p w14:paraId="58032348" w14:textId="77777777" w:rsidR="000139B3" w:rsidRPr="00246E47" w:rsidRDefault="00000000" w:rsidP="00246E47">
      <w:pPr>
        <w:spacing w:before="80" w:after="120" w:line="276" w:lineRule="auto"/>
        <w:jc w:val="both"/>
      </w:pPr>
      <w:r>
        <w:rPr>
          <w:rFonts w:eastAsia="Arial"/>
          <w:b/>
          <w:bCs/>
          <w:sz w:val="22"/>
          <w:szCs w:val="22"/>
        </w:rPr>
        <w:t>Primary Chinese Policy Documents (CSET Georgetown Translations)</w:t>
      </w:r>
    </w:p>
    <w:p w14:paraId="0B6D76CC" w14:textId="77777777" w:rsidR="000139B3" w:rsidRPr="00246E47" w:rsidRDefault="00000000" w:rsidP="00246E47">
      <w:pPr>
        <w:pStyle w:val="ListParagraph"/>
        <w:numPr>
          <w:ilvl w:val="0"/>
          <w:numId w:val="3"/>
        </w:numPr>
        <w:spacing w:before="40" w:after="60"/>
        <w:jc w:val="both"/>
      </w:pPr>
      <w:r>
        <w:rPr>
          <w:rFonts w:eastAsia="Arial"/>
          <w:sz w:val="22"/>
          <w:szCs w:val="22"/>
        </w:rPr>
        <w:t>State Council of the PRC, 'New Generation Artificial Intelligence Development Plan' (</w:t>
      </w:r>
      <w:r>
        <w:rPr>
          <w:rFonts w:ascii="MS Gothic" w:eastAsia="MS Gothic" w:hAnsi="MS Gothic" w:cs="MS Gothic" w:hint="eastAsia"/>
          <w:sz w:val="22"/>
          <w:szCs w:val="22"/>
        </w:rPr>
        <w:t>新一代人工智能</w:t>
      </w:r>
      <w:r>
        <w:rPr>
          <w:rFonts w:ascii="Microsoft JhengHei" w:eastAsia="Microsoft JhengHei" w:hAnsi="Microsoft JhengHei" w:cs="Microsoft JhengHei" w:hint="eastAsia"/>
          <w:sz w:val="22"/>
          <w:szCs w:val="22"/>
        </w:rPr>
        <w:t>发展规划</w:t>
      </w:r>
      <w:r>
        <w:rPr>
          <w:rFonts w:eastAsia="Arial"/>
          <w:sz w:val="22"/>
          <w:szCs w:val="22"/>
        </w:rPr>
        <w:t>), July 2017. Translation: DigiChina, Stanford University. https://digichina.stanford.edu</w:t>
      </w:r>
    </w:p>
    <w:p w14:paraId="01732A55" w14:textId="77777777" w:rsidR="000139B3" w:rsidRPr="00246E47" w:rsidRDefault="00000000" w:rsidP="00246E47">
      <w:pPr>
        <w:pStyle w:val="ListParagraph"/>
        <w:numPr>
          <w:ilvl w:val="0"/>
          <w:numId w:val="3"/>
        </w:numPr>
        <w:spacing w:before="40" w:after="60"/>
        <w:jc w:val="both"/>
      </w:pPr>
      <w:r>
        <w:rPr>
          <w:rFonts w:eastAsia="Arial"/>
          <w:sz w:val="22"/>
          <w:szCs w:val="22"/>
        </w:rPr>
        <w:t>State Council of the PRC, 'Opinions on Deepening the Implementation of the Artificial Intelligence+ Initiative', 2025. Translation: CSET Georgetown. https://cset.georgetown.edu/publication/china-ai-plus-opinions-2025/</w:t>
      </w:r>
    </w:p>
    <w:p w14:paraId="3A2BB786" w14:textId="77777777" w:rsidR="000139B3" w:rsidRPr="00246E47" w:rsidRDefault="00000000" w:rsidP="00246E47">
      <w:pPr>
        <w:pStyle w:val="ListParagraph"/>
        <w:numPr>
          <w:ilvl w:val="0"/>
          <w:numId w:val="3"/>
        </w:numPr>
        <w:spacing w:before="40" w:after="60"/>
        <w:jc w:val="both"/>
      </w:pPr>
      <w:r>
        <w:rPr>
          <w:rFonts w:eastAsia="Arial"/>
          <w:sz w:val="22"/>
          <w:szCs w:val="22"/>
        </w:rPr>
        <w:t>PRC Ministry of Industry and Information Technology, 'Implementation Opinions on the AI+ Manufacturing Special Initiative', 2026. Translation: CSET Georgetown. https://cset.georgetown.edu/publication/china-ai-plus-manufacturing-initiative-opinions/</w:t>
      </w:r>
    </w:p>
    <w:p w14:paraId="3A2C75CF" w14:textId="77777777" w:rsidR="000139B3" w:rsidRPr="00246E47" w:rsidRDefault="00000000" w:rsidP="00246E47">
      <w:pPr>
        <w:pStyle w:val="ListParagraph"/>
        <w:numPr>
          <w:ilvl w:val="0"/>
          <w:numId w:val="3"/>
        </w:numPr>
        <w:spacing w:before="40" w:after="60"/>
        <w:jc w:val="both"/>
      </w:pPr>
      <w:r>
        <w:rPr>
          <w:rFonts w:eastAsia="Arial"/>
          <w:sz w:val="22"/>
          <w:szCs w:val="22"/>
        </w:rPr>
        <w:t>Cyberspace Administration of China, 'Provisional Measures on the Administration of Human-like Interactive Artificial Intelligence Services', effective 15 July 2026. Translation: China Law Translate. https://www.chinalawtranslate.com</w:t>
      </w:r>
    </w:p>
    <w:p w14:paraId="56B05B3E" w14:textId="77777777" w:rsidR="000139B3" w:rsidRPr="00246E47" w:rsidRDefault="00000000" w:rsidP="00246E47">
      <w:pPr>
        <w:pStyle w:val="ListParagraph"/>
        <w:numPr>
          <w:ilvl w:val="0"/>
          <w:numId w:val="3"/>
        </w:numPr>
        <w:spacing w:before="40" w:after="60"/>
        <w:jc w:val="both"/>
      </w:pPr>
      <w:r>
        <w:rPr>
          <w:rFonts w:eastAsia="Arial"/>
          <w:sz w:val="22"/>
          <w:szCs w:val="22"/>
        </w:rPr>
        <w:t>CAC and MIIT, 'Guidelines for the Construction of a Comprehensive Standardization System for the National AI Industry (2024 Edition)'. Translation: CSET Georgetown. https://cset.georgetown.edu/publication/china-ai-standardization-guidelines-2024/</w:t>
      </w:r>
    </w:p>
    <w:p w14:paraId="46A93995" w14:textId="77777777" w:rsidR="000139B3" w:rsidRPr="00246E47" w:rsidRDefault="00000000" w:rsidP="00246E47">
      <w:pPr>
        <w:pStyle w:val="ListParagraph"/>
        <w:numPr>
          <w:ilvl w:val="0"/>
          <w:numId w:val="3"/>
        </w:numPr>
        <w:spacing w:before="40" w:after="60"/>
        <w:jc w:val="both"/>
      </w:pPr>
      <w:r>
        <w:rPr>
          <w:rFonts w:eastAsia="Arial"/>
          <w:sz w:val="22"/>
          <w:szCs w:val="22"/>
        </w:rPr>
        <w:t>PRC Ministry of Education, 'Guide to Using Generative AI in Primary and Secondary Schools (2025 Edition)'. Translation: CSET Georgetown. https://cset.georgetown.edu/publication/china-school-gen-ai-use-guide-2025/</w:t>
      </w:r>
    </w:p>
    <w:p w14:paraId="6512DDB9" w14:textId="77777777" w:rsidR="000139B3" w:rsidRPr="00246E47" w:rsidRDefault="00000000" w:rsidP="00246E47">
      <w:pPr>
        <w:pStyle w:val="ListParagraph"/>
        <w:numPr>
          <w:ilvl w:val="0"/>
          <w:numId w:val="3"/>
        </w:numPr>
        <w:spacing w:before="40" w:after="60"/>
        <w:jc w:val="both"/>
      </w:pPr>
      <w:r>
        <w:rPr>
          <w:rFonts w:eastAsia="Arial"/>
          <w:sz w:val="22"/>
          <w:szCs w:val="22"/>
        </w:rPr>
        <w:t>Beijing Municipal Commission of Development and Reform et al., 'Beijing Municipal Action Plan to Promote AI+ (2024–2025)'. Translation: CSET Georgetown. https://cset.georgetown.edu/publication/beijing-ai-plan-2024-2025/</w:t>
      </w:r>
    </w:p>
    <w:p w14:paraId="1FD0DED2" w14:textId="77777777" w:rsidR="000139B3" w:rsidRPr="00246E47" w:rsidRDefault="00000000" w:rsidP="00246E47">
      <w:pPr>
        <w:pStyle w:val="ListParagraph"/>
        <w:numPr>
          <w:ilvl w:val="0"/>
          <w:numId w:val="3"/>
        </w:numPr>
        <w:spacing w:before="40" w:after="60"/>
        <w:jc w:val="both"/>
      </w:pPr>
      <w:r>
        <w:rPr>
          <w:rFonts w:eastAsia="Arial"/>
          <w:sz w:val="22"/>
          <w:szCs w:val="22"/>
        </w:rPr>
        <w:t>China Law Translate, 'Provisions on the Administration of Deep Synthesis Internet Information Services', 2022. https://www.chinalawtranslate.com/en/deep-synthesis/</w:t>
      </w:r>
    </w:p>
    <w:p w14:paraId="2B00E53F" w14:textId="77777777" w:rsidR="000139B3" w:rsidRPr="00246E47" w:rsidRDefault="000139B3" w:rsidP="00246E47">
      <w:pPr>
        <w:spacing w:before="80" w:after="80"/>
        <w:jc w:val="both"/>
      </w:pPr>
    </w:p>
    <w:p w14:paraId="5C677C40" w14:textId="77777777" w:rsidR="000139B3" w:rsidRPr="00246E47" w:rsidRDefault="00000000" w:rsidP="00246E47">
      <w:pPr>
        <w:spacing w:before="80" w:after="120" w:line="276" w:lineRule="auto"/>
        <w:jc w:val="both"/>
      </w:pPr>
      <w:r>
        <w:rPr>
          <w:rFonts w:eastAsia="Arial"/>
          <w:b/>
          <w:bCs/>
          <w:sz w:val="22"/>
          <w:szCs w:val="22"/>
        </w:rPr>
        <w:t>Secondary Sources</w:t>
      </w:r>
    </w:p>
    <w:p w14:paraId="09167F57" w14:textId="77777777" w:rsidR="000139B3" w:rsidRPr="00246E47" w:rsidRDefault="00000000" w:rsidP="00246E47">
      <w:pPr>
        <w:pStyle w:val="ListParagraph"/>
        <w:numPr>
          <w:ilvl w:val="0"/>
          <w:numId w:val="3"/>
        </w:numPr>
        <w:spacing w:before="40" w:after="60"/>
        <w:jc w:val="both"/>
      </w:pPr>
      <w:r>
        <w:rPr>
          <w:rFonts w:eastAsia="Arial"/>
          <w:sz w:val="22"/>
          <w:szCs w:val="22"/>
        </w:rPr>
        <w:t>CSET Georgetown, 'An Analysis of China's AI Governance Proposals', December 2025. https://cset.georgetown.edu/article/an-analysis-of-chinas-ai-governance-proposals/</w:t>
      </w:r>
    </w:p>
    <w:p w14:paraId="3F1FE926" w14:textId="77777777" w:rsidR="000139B3" w:rsidRPr="00246E47" w:rsidRDefault="00000000" w:rsidP="00246E47">
      <w:pPr>
        <w:pStyle w:val="ListParagraph"/>
        <w:numPr>
          <w:ilvl w:val="0"/>
          <w:numId w:val="3"/>
        </w:numPr>
        <w:spacing w:before="40" w:after="60"/>
        <w:jc w:val="both"/>
      </w:pPr>
      <w:r>
        <w:rPr>
          <w:rFonts w:eastAsia="Arial"/>
          <w:sz w:val="22"/>
          <w:szCs w:val="22"/>
        </w:rPr>
        <w:t>CSET Georgetown, 'Translation Snapshot: Chinese AI White Papers', November 2023. https://cset.georgetown.edu/publication/translation-snapshot-chinese-ai-white-papers/</w:t>
      </w:r>
    </w:p>
    <w:p w14:paraId="464027A7" w14:textId="77777777" w:rsidR="000139B3" w:rsidRPr="00246E47" w:rsidRDefault="00000000" w:rsidP="00246E47">
      <w:pPr>
        <w:pStyle w:val="ListParagraph"/>
        <w:numPr>
          <w:ilvl w:val="0"/>
          <w:numId w:val="3"/>
        </w:numPr>
        <w:spacing w:before="40" w:after="60"/>
        <w:jc w:val="both"/>
      </w:pPr>
      <w:r>
        <w:rPr>
          <w:rFonts w:eastAsia="Arial"/>
          <w:sz w:val="22"/>
          <w:szCs w:val="22"/>
        </w:rPr>
        <w:t>DigiChina, Stanford University. Translation archive. https://digichina.stanford.edu/work/</w:t>
      </w:r>
    </w:p>
    <w:p w14:paraId="263E0B22" w14:textId="77777777" w:rsidR="000139B3" w:rsidRPr="00246E47" w:rsidRDefault="00000000" w:rsidP="00246E47">
      <w:pPr>
        <w:pStyle w:val="ListParagraph"/>
        <w:numPr>
          <w:ilvl w:val="0"/>
          <w:numId w:val="3"/>
        </w:numPr>
        <w:spacing w:before="40" w:after="60"/>
        <w:jc w:val="both"/>
      </w:pPr>
      <w:r>
        <w:rPr>
          <w:rFonts w:eastAsia="Arial"/>
          <w:sz w:val="22"/>
          <w:szCs w:val="22"/>
        </w:rPr>
        <w:t>Jeffrey Ding, AI Policy newsletter. https://jeffrey-ding.ghost.io</w:t>
      </w:r>
    </w:p>
    <w:p w14:paraId="353DEC8C" w14:textId="77777777" w:rsidR="000139B3" w:rsidRPr="00246E47" w:rsidRDefault="000139B3" w:rsidP="00246E47">
      <w:pPr>
        <w:spacing w:before="80" w:after="80"/>
        <w:jc w:val="both"/>
      </w:pPr>
    </w:p>
    <w:p w14:paraId="23A87E7E" w14:textId="77777777" w:rsidR="000139B3" w:rsidRPr="00246E47" w:rsidRDefault="00000000" w:rsidP="00246E47">
      <w:pPr>
        <w:spacing w:before="80" w:after="120" w:line="276" w:lineRule="auto"/>
        <w:jc w:val="both"/>
      </w:pPr>
      <w:r>
        <w:rPr>
          <w:rFonts w:eastAsia="Arial"/>
          <w:b/>
          <w:bCs/>
          <w:sz w:val="22"/>
          <w:szCs w:val="22"/>
        </w:rPr>
        <w:t>Indian Policy Documents and Law</w:t>
      </w:r>
    </w:p>
    <w:p w14:paraId="12097421" w14:textId="77777777" w:rsidR="000139B3" w:rsidRPr="00246E47" w:rsidRDefault="00000000" w:rsidP="00246E47">
      <w:pPr>
        <w:pStyle w:val="ListParagraph"/>
        <w:numPr>
          <w:ilvl w:val="0"/>
          <w:numId w:val="3"/>
        </w:numPr>
        <w:spacing w:before="40" w:after="60"/>
        <w:jc w:val="both"/>
      </w:pPr>
      <w:r>
        <w:rPr>
          <w:rFonts w:eastAsia="Arial"/>
          <w:sz w:val="22"/>
          <w:szCs w:val="22"/>
        </w:rPr>
        <w:t>Government of India, Ministry of Electronics and Information Technology, 'IndiaAI Mission', 2024. https://indiaai.gov.in/</w:t>
      </w:r>
    </w:p>
    <w:p w14:paraId="0FB8CCFD" w14:textId="77777777" w:rsidR="000139B3" w:rsidRPr="00246E47" w:rsidRDefault="00000000" w:rsidP="00246E47">
      <w:pPr>
        <w:pStyle w:val="ListParagraph"/>
        <w:numPr>
          <w:ilvl w:val="0"/>
          <w:numId w:val="3"/>
        </w:numPr>
        <w:spacing w:before="40" w:after="60"/>
        <w:jc w:val="both"/>
      </w:pPr>
      <w:r>
        <w:rPr>
          <w:rFonts w:eastAsia="Arial"/>
          <w:sz w:val="22"/>
          <w:szCs w:val="22"/>
        </w:rPr>
        <w:t>Government of India, 'Digital Personal Data Protection Act 2023' (Act No. 22 of 2023), notified 11 August 2023.</w:t>
      </w:r>
    </w:p>
    <w:p w14:paraId="3F9CC5D3" w14:textId="77777777" w:rsidR="000139B3" w:rsidRPr="00246E47" w:rsidRDefault="00000000" w:rsidP="00246E47">
      <w:pPr>
        <w:pStyle w:val="ListParagraph"/>
        <w:numPr>
          <w:ilvl w:val="0"/>
          <w:numId w:val="3"/>
        </w:numPr>
        <w:spacing w:before="40" w:after="60"/>
        <w:jc w:val="both"/>
      </w:pPr>
      <w:r>
        <w:rPr>
          <w:rFonts w:eastAsia="Arial"/>
          <w:sz w:val="22"/>
          <w:szCs w:val="22"/>
        </w:rPr>
        <w:t>NITI Aayog, 'National Strategy for Artificial Intelligence #AIforAll', June 2018.</w:t>
      </w:r>
    </w:p>
    <w:p w14:paraId="7C5E072A" w14:textId="77777777" w:rsidR="000139B3" w:rsidRPr="00246E47" w:rsidRDefault="00000000" w:rsidP="00246E47">
      <w:pPr>
        <w:pStyle w:val="ListParagraph"/>
        <w:numPr>
          <w:ilvl w:val="0"/>
          <w:numId w:val="3"/>
        </w:numPr>
        <w:spacing w:before="40" w:after="60"/>
        <w:jc w:val="both"/>
      </w:pPr>
      <w:r>
        <w:rPr>
          <w:rFonts w:eastAsia="Arial"/>
          <w:sz w:val="22"/>
          <w:szCs w:val="22"/>
        </w:rPr>
        <w:t>Ministry of Electronics and Information Technology, 'National Programme on Artificial Intelligence', 2021.</w:t>
      </w:r>
    </w:p>
    <w:p w14:paraId="3E45DC74" w14:textId="77777777" w:rsidR="000139B3" w:rsidRPr="00246E47" w:rsidRDefault="00000000" w:rsidP="00246E47">
      <w:pPr>
        <w:pStyle w:val="ListParagraph"/>
        <w:numPr>
          <w:ilvl w:val="0"/>
          <w:numId w:val="3"/>
        </w:numPr>
        <w:spacing w:before="40" w:after="60"/>
        <w:jc w:val="both"/>
      </w:pPr>
      <w:r>
        <w:rPr>
          <w:rFonts w:eastAsia="Arial"/>
          <w:sz w:val="22"/>
          <w:szCs w:val="22"/>
        </w:rPr>
        <w:t>Supreme Court of India, Justice K.S. Puttaswamy (Retd.) v. Union of India, (2017) 10 SCC 1.</w:t>
      </w:r>
    </w:p>
    <w:p w14:paraId="19273445" w14:textId="77777777" w:rsidR="000139B3" w:rsidRPr="00246E47" w:rsidRDefault="00000000" w:rsidP="00246E47">
      <w:pPr>
        <w:pStyle w:val="ListParagraph"/>
        <w:numPr>
          <w:ilvl w:val="0"/>
          <w:numId w:val="3"/>
        </w:numPr>
        <w:spacing w:before="40" w:after="60"/>
        <w:jc w:val="both"/>
      </w:pPr>
      <w:r>
        <w:rPr>
          <w:rFonts w:eastAsia="Arial"/>
          <w:sz w:val="22"/>
          <w:szCs w:val="22"/>
        </w:rPr>
        <w:lastRenderedPageBreak/>
        <w:t>Government of India, 'Maintenance and Welfare of Parents and Senior Citizens Act 2007'.</w:t>
      </w:r>
    </w:p>
    <w:p w14:paraId="100D04A6" w14:textId="77777777" w:rsidR="000139B3" w:rsidRPr="00246E47" w:rsidRDefault="00000000" w:rsidP="00246E47">
      <w:pPr>
        <w:pStyle w:val="ListParagraph"/>
        <w:numPr>
          <w:ilvl w:val="0"/>
          <w:numId w:val="3"/>
        </w:numPr>
        <w:spacing w:before="40" w:after="60"/>
        <w:jc w:val="both"/>
      </w:pPr>
      <w:r>
        <w:rPr>
          <w:rFonts w:eastAsia="Arial"/>
          <w:sz w:val="22"/>
          <w:szCs w:val="22"/>
        </w:rPr>
        <w:t>Government of India, 'SemiconIndia Programme', MeitY, 2021.</w:t>
      </w:r>
    </w:p>
    <w:p w14:paraId="5E781604" w14:textId="77777777" w:rsidR="000139B3" w:rsidRPr="00246E47" w:rsidRDefault="00000000" w:rsidP="00246E47">
      <w:pPr>
        <w:pStyle w:val="ListParagraph"/>
        <w:numPr>
          <w:ilvl w:val="0"/>
          <w:numId w:val="3"/>
        </w:numPr>
        <w:spacing w:before="40" w:after="60"/>
        <w:jc w:val="both"/>
      </w:pPr>
      <w:r>
        <w:rPr>
          <w:rFonts w:eastAsia="Arial"/>
          <w:sz w:val="22"/>
          <w:szCs w:val="22"/>
        </w:rPr>
        <w:t>Ministry of Electronics and Information Technology, 'National Supercomputing Mission', C-DAC, 2015.</w:t>
      </w:r>
    </w:p>
    <w:p w14:paraId="3FF17CC2" w14:textId="77777777" w:rsidR="000139B3" w:rsidRPr="00246E47" w:rsidRDefault="00000000" w:rsidP="00246E47">
      <w:pPr>
        <w:pStyle w:val="ListParagraph"/>
        <w:numPr>
          <w:ilvl w:val="0"/>
          <w:numId w:val="3"/>
        </w:numPr>
        <w:spacing w:before="40" w:after="60"/>
        <w:jc w:val="both"/>
      </w:pPr>
      <w:r>
        <w:rPr>
          <w:rFonts w:eastAsia="Arial"/>
          <w:sz w:val="22"/>
          <w:szCs w:val="22"/>
        </w:rPr>
        <w:t>Government of India, 'Production-Linked Incentive Scheme', DPIIT, 2020.</w:t>
      </w:r>
    </w:p>
    <w:sectPr w:rsidR="000139B3" w:rsidRPr="00246E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23BAB" w14:textId="77777777" w:rsidR="00B25E05" w:rsidRDefault="00B25E05">
      <w:r>
        <w:separator/>
      </w:r>
    </w:p>
  </w:endnote>
  <w:endnote w:type="continuationSeparator" w:id="0">
    <w:p w14:paraId="18EF24BC" w14:textId="77777777" w:rsidR="00B25E05" w:rsidRDefault="00B25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258A" w14:textId="51903D6A" w:rsidR="000139B3" w:rsidRDefault="00000000">
    <w:pPr>
      <w:jc w:val="center"/>
    </w:pP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246E47">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F8B7E" w14:textId="77777777" w:rsidR="00B25E05" w:rsidRDefault="00B25E05">
      <w:r>
        <w:separator/>
      </w:r>
    </w:p>
  </w:footnote>
  <w:footnote w:type="continuationSeparator" w:id="0">
    <w:p w14:paraId="2E055D34" w14:textId="77777777" w:rsidR="00B25E05" w:rsidRDefault="00B25E05">
      <w:r>
        <w:continuationSeparator/>
      </w:r>
    </w:p>
  </w:footnote>
  <w:footnote w:id="1">
    <w:p w14:paraId="4119D1C7" w14:textId="77777777" w:rsidR="000139B3" w:rsidRDefault="00000000">
      <w:r>
        <w:rPr>
          <w:rStyle w:val="FootnoteReference"/>
        </w:rPr>
        <w:footnoteRef/>
      </w:r>
      <w:r>
        <w:rPr>
          <w:rFonts w:ascii="Arial" w:eastAsia="Arial" w:hAnsi="Arial" w:cs="Arial"/>
          <w:sz w:val="18"/>
          <w:szCs w:val="18"/>
        </w:rPr>
        <w:t>State Council of the PRC, 'New Generation Artificial Intelligence Development Plan' (</w:t>
      </w:r>
      <w:proofErr w:type="spellStart"/>
      <w:r>
        <w:rPr>
          <w:rFonts w:ascii="Arial" w:eastAsia="Arial" w:hAnsi="Arial" w:cs="Arial"/>
          <w:sz w:val="18"/>
          <w:szCs w:val="18"/>
        </w:rPr>
        <w:t>新一代人工智能发展规划</w:t>
      </w:r>
      <w:proofErr w:type="spellEnd"/>
      <w:r>
        <w:rPr>
          <w:rFonts w:ascii="Arial" w:eastAsia="Arial" w:hAnsi="Arial" w:cs="Arial"/>
          <w:sz w:val="18"/>
          <w:szCs w:val="18"/>
        </w:rPr>
        <w:t xml:space="preserve">), July 2017. English translation: </w:t>
      </w:r>
      <w:proofErr w:type="spellStart"/>
      <w:r>
        <w:rPr>
          <w:rFonts w:ascii="Arial" w:eastAsia="Arial" w:hAnsi="Arial" w:cs="Arial"/>
          <w:sz w:val="18"/>
          <w:szCs w:val="18"/>
        </w:rPr>
        <w:t>DigiChina</w:t>
      </w:r>
      <w:proofErr w:type="spellEnd"/>
      <w:r>
        <w:rPr>
          <w:rFonts w:ascii="Arial" w:eastAsia="Arial" w:hAnsi="Arial" w:cs="Arial"/>
          <w:sz w:val="18"/>
          <w:szCs w:val="18"/>
        </w:rPr>
        <w:t>, Stanford University. https://digichina.stanford.edu</w:t>
      </w:r>
    </w:p>
  </w:footnote>
  <w:footnote w:id="2">
    <w:p w14:paraId="1691A20D" w14:textId="77777777" w:rsidR="00246E47" w:rsidRDefault="00246E47"/>
    <w:p w14:paraId="6C028FA2" w14:textId="77777777" w:rsidR="00E0475E" w:rsidRDefault="00E0475E"/>
  </w:footnote>
  <w:footnote w:id="3">
    <w:p w14:paraId="394D1B8F" w14:textId="77777777" w:rsidR="000139B3" w:rsidRDefault="00000000">
      <w:r>
        <w:rPr>
          <w:rStyle w:val="FootnoteReference"/>
        </w:rPr>
        <w:footnoteRef/>
      </w:r>
      <w:r>
        <w:rPr>
          <w:rFonts w:ascii="Arial" w:eastAsia="Arial" w:hAnsi="Arial" w:cs="Arial"/>
          <w:sz w:val="18"/>
          <w:szCs w:val="18"/>
        </w:rPr>
        <w:t>State Council of the PRC, 'Opinions on Deepening the Implementation of the Artificial Intelligence+ Initiative', 2025. English translation: CSET Georgetown (t0652_AI_plus_opinions_EN.pdf).</w:t>
      </w:r>
    </w:p>
  </w:footnote>
  <w:footnote w:id="4">
    <w:p w14:paraId="5E271164" w14:textId="77777777" w:rsidR="000139B3" w:rsidRDefault="00000000">
      <w:r>
        <w:rPr>
          <w:rStyle w:val="FootnoteReference"/>
        </w:rPr>
        <w:footnoteRef/>
      </w:r>
      <w:r>
        <w:rPr>
          <w:rFonts w:ascii="Arial" w:eastAsia="Arial" w:hAnsi="Arial" w:cs="Arial"/>
          <w:sz w:val="18"/>
          <w:szCs w:val="18"/>
        </w:rPr>
        <w:t>CSET Georgetown, 'Implementation Opinions on the AI+ Manufacturing Special Initiative', translation March 2026. (t0667_ai_manufacturing_opinions_EN.pdf).</w:t>
      </w:r>
    </w:p>
  </w:footnote>
  <w:footnote w:id="5">
    <w:p w14:paraId="1BD31E5E" w14:textId="77777777" w:rsidR="000139B3" w:rsidRDefault="00000000">
      <w:r>
        <w:rPr>
          <w:rStyle w:val="FootnoteReference"/>
        </w:rPr>
        <w:footnoteRef/>
      </w:r>
      <w:r>
        <w:rPr>
          <w:rFonts w:ascii="Arial" w:eastAsia="Arial" w:hAnsi="Arial" w:cs="Arial"/>
          <w:sz w:val="18"/>
          <w:szCs w:val="18"/>
        </w:rPr>
        <w:t>CSET Georgetown, 'An Analysis of China's AI Governance Proposals', December 2025. https://cset.georgetown.edu/article/an-analysis-of-chinas-ai-governance-proposals/</w:t>
      </w:r>
    </w:p>
  </w:footnote>
  <w:footnote w:id="6">
    <w:p w14:paraId="0D40CB5A" w14:textId="77777777" w:rsidR="000139B3" w:rsidRDefault="00000000">
      <w:r>
        <w:rPr>
          <w:rStyle w:val="FootnoteReference"/>
        </w:rPr>
        <w:footnoteRef/>
      </w:r>
      <w:r>
        <w:rPr>
          <w:rFonts w:ascii="Arial" w:eastAsia="Arial" w:hAnsi="Arial" w:cs="Arial"/>
          <w:sz w:val="18"/>
          <w:szCs w:val="18"/>
        </w:rPr>
        <w:t>Cyberspace Administration of China, 'Provisional Measures on the Administration of Human-like Interactive Artificial Intelligence Services', effective 15 July 2026. English translation: China Law Translate. https://www.chinalawtranslate.com</w:t>
      </w:r>
    </w:p>
  </w:footnote>
  <w:footnote w:id="7">
    <w:p w14:paraId="09C5EEF3" w14:textId="77777777" w:rsidR="000139B3" w:rsidRDefault="00000000">
      <w:r>
        <w:rPr>
          <w:rStyle w:val="FootnoteReference"/>
        </w:rPr>
        <w:footnoteRef/>
      </w:r>
      <w:r>
        <w:rPr>
          <w:rFonts w:ascii="Arial" w:eastAsia="Arial" w:hAnsi="Arial" w:cs="Arial"/>
          <w:sz w:val="18"/>
          <w:szCs w:val="18"/>
        </w:rPr>
        <w:t>CSET Georgetown, 'Guidelines for the Construction of a Comprehensive Standardization System for the National Artificial Intelligence Industry (2024 Edition)'. Translation: October 2025. (t0644_ai_industry_standardization_guide_EN.pdf).</w:t>
      </w:r>
    </w:p>
  </w:footnote>
  <w:footnote w:id="8">
    <w:p w14:paraId="096C9D0C" w14:textId="77777777" w:rsidR="000139B3" w:rsidRDefault="00000000">
      <w:r>
        <w:rPr>
          <w:rStyle w:val="FootnoteReference"/>
        </w:rPr>
        <w:footnoteRef/>
      </w:r>
      <w:r>
        <w:rPr>
          <w:rFonts w:ascii="Arial" w:eastAsia="Arial" w:hAnsi="Arial" w:cs="Arial"/>
          <w:sz w:val="18"/>
          <w:szCs w:val="18"/>
        </w:rPr>
        <w:t>CSET Georgetown, 'Guide to Using Generative Artificial Intelligence in Primary and Secondary Schools (2025 Edition)', translation November 2025. (t0646_education_GenAI_use_guide_EN.pdf).</w:t>
      </w:r>
    </w:p>
  </w:footnote>
  <w:footnote w:id="9">
    <w:p w14:paraId="3BB232CF" w14:textId="35662616" w:rsidR="00F32EBC" w:rsidRDefault="00000000">
      <w:pPr>
        <w:rPr>
          <w:rFonts w:ascii="Arial" w:eastAsia="Arial" w:hAnsi="Arial" w:cs="Arial"/>
          <w:sz w:val="18"/>
          <w:szCs w:val="18"/>
        </w:rPr>
      </w:pPr>
      <w:r>
        <w:rPr>
          <w:rStyle w:val="FootnoteReference"/>
        </w:rPr>
        <w:footnoteRef/>
      </w:r>
      <w:r>
        <w:rPr>
          <w:rFonts w:ascii="Arial" w:eastAsia="Arial" w:hAnsi="Arial" w:cs="Arial"/>
          <w:sz w:val="18"/>
          <w:szCs w:val="18"/>
        </w:rPr>
        <w:t xml:space="preserve">The corpus is publicly documented at: </w:t>
      </w:r>
      <w:r w:rsidR="00F32EBC" w:rsidRPr="00F32EBC">
        <w:rPr>
          <w:rFonts w:ascii="Arial" w:eastAsia="Arial" w:hAnsi="Arial" w:cs="Arial"/>
          <w:sz w:val="18"/>
          <w:szCs w:val="18"/>
        </w:rPr>
        <w:t>https://github.com/joyboseroy/china_ai_policy_corpus_repo</w:t>
      </w:r>
    </w:p>
    <w:p w14:paraId="26D194C0" w14:textId="5198D8A9" w:rsidR="000139B3" w:rsidRDefault="00000000">
      <w:r>
        <w:rPr>
          <w:rFonts w:ascii="Arial" w:eastAsia="Arial" w:hAnsi="Arial" w:cs="Arial"/>
          <w:sz w:val="18"/>
          <w:szCs w:val="18"/>
        </w:rPr>
        <w:t>Source code for the scraping pipeline is available in the accompanying repository.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62969"/>
    <w:multiLevelType w:val="hybridMultilevel"/>
    <w:tmpl w:val="A8E04E32"/>
    <w:lvl w:ilvl="0" w:tplc="2F7E7814">
      <w:start w:val="1"/>
      <w:numFmt w:val="bullet"/>
      <w:lvlText w:val="•"/>
      <w:lvlJc w:val="left"/>
      <w:pPr>
        <w:ind w:left="720" w:hanging="360"/>
      </w:pPr>
    </w:lvl>
    <w:lvl w:ilvl="1" w:tplc="F45E42B4">
      <w:start w:val="1"/>
      <w:numFmt w:val="bullet"/>
      <w:lvlText w:val="◦"/>
      <w:lvlJc w:val="left"/>
      <w:pPr>
        <w:ind w:left="1080" w:hanging="360"/>
      </w:pPr>
    </w:lvl>
    <w:lvl w:ilvl="2" w:tplc="4386017E">
      <w:numFmt w:val="decimal"/>
      <w:lvlText w:val=""/>
      <w:lvlJc w:val="left"/>
    </w:lvl>
    <w:lvl w:ilvl="3" w:tplc="BD3E71D4">
      <w:numFmt w:val="decimal"/>
      <w:lvlText w:val=""/>
      <w:lvlJc w:val="left"/>
    </w:lvl>
    <w:lvl w:ilvl="4" w:tplc="6F3818C2">
      <w:numFmt w:val="decimal"/>
      <w:lvlText w:val=""/>
      <w:lvlJc w:val="left"/>
    </w:lvl>
    <w:lvl w:ilvl="5" w:tplc="2B06F40A">
      <w:numFmt w:val="decimal"/>
      <w:lvlText w:val=""/>
      <w:lvlJc w:val="left"/>
    </w:lvl>
    <w:lvl w:ilvl="6" w:tplc="D6A87CEE">
      <w:numFmt w:val="decimal"/>
      <w:lvlText w:val=""/>
      <w:lvlJc w:val="left"/>
    </w:lvl>
    <w:lvl w:ilvl="7" w:tplc="4D0C21A4">
      <w:numFmt w:val="decimal"/>
      <w:lvlText w:val=""/>
      <w:lvlJc w:val="left"/>
    </w:lvl>
    <w:lvl w:ilvl="8" w:tplc="FD483B60">
      <w:numFmt w:val="decimal"/>
      <w:lvlText w:val=""/>
      <w:lvlJc w:val="left"/>
    </w:lvl>
  </w:abstractNum>
  <w:abstractNum w:abstractNumId="1" w15:restartNumberingAfterBreak="0">
    <w:nsid w:val="70C9279F"/>
    <w:multiLevelType w:val="hybridMultilevel"/>
    <w:tmpl w:val="861A163A"/>
    <w:lvl w:ilvl="0" w:tplc="22F44392">
      <w:start w:val="1"/>
      <w:numFmt w:val="decimal"/>
      <w:lvlText w:val="%1."/>
      <w:lvlJc w:val="left"/>
      <w:pPr>
        <w:ind w:left="720" w:hanging="360"/>
      </w:pPr>
    </w:lvl>
    <w:lvl w:ilvl="1" w:tplc="A0A4658C">
      <w:numFmt w:val="decimal"/>
      <w:lvlText w:val=""/>
      <w:lvlJc w:val="left"/>
    </w:lvl>
    <w:lvl w:ilvl="2" w:tplc="1AEEA326">
      <w:numFmt w:val="decimal"/>
      <w:lvlText w:val=""/>
      <w:lvlJc w:val="left"/>
    </w:lvl>
    <w:lvl w:ilvl="3" w:tplc="85DE0796">
      <w:numFmt w:val="decimal"/>
      <w:lvlText w:val=""/>
      <w:lvlJc w:val="left"/>
    </w:lvl>
    <w:lvl w:ilvl="4" w:tplc="6B80913C">
      <w:numFmt w:val="decimal"/>
      <w:lvlText w:val=""/>
      <w:lvlJc w:val="left"/>
    </w:lvl>
    <w:lvl w:ilvl="5" w:tplc="32741D5C">
      <w:numFmt w:val="decimal"/>
      <w:lvlText w:val=""/>
      <w:lvlJc w:val="left"/>
    </w:lvl>
    <w:lvl w:ilvl="6" w:tplc="BA3AF2DC">
      <w:numFmt w:val="decimal"/>
      <w:lvlText w:val=""/>
      <w:lvlJc w:val="left"/>
    </w:lvl>
    <w:lvl w:ilvl="7" w:tplc="923ECE8C">
      <w:numFmt w:val="decimal"/>
      <w:lvlText w:val=""/>
      <w:lvlJc w:val="left"/>
    </w:lvl>
    <w:lvl w:ilvl="8" w:tplc="49468A72">
      <w:numFmt w:val="decimal"/>
      <w:lvlText w:val=""/>
      <w:lvlJc w:val="left"/>
    </w:lvl>
  </w:abstractNum>
  <w:abstractNum w:abstractNumId="2" w15:restartNumberingAfterBreak="0">
    <w:nsid w:val="7871635B"/>
    <w:multiLevelType w:val="hybridMultilevel"/>
    <w:tmpl w:val="A8D2EC52"/>
    <w:lvl w:ilvl="0" w:tplc="C212CFDA">
      <w:start w:val="1"/>
      <w:numFmt w:val="bullet"/>
      <w:lvlText w:val="●"/>
      <w:lvlJc w:val="left"/>
      <w:pPr>
        <w:ind w:left="720" w:hanging="360"/>
      </w:pPr>
    </w:lvl>
    <w:lvl w:ilvl="1" w:tplc="95B25182">
      <w:start w:val="1"/>
      <w:numFmt w:val="bullet"/>
      <w:lvlText w:val="○"/>
      <w:lvlJc w:val="left"/>
      <w:pPr>
        <w:ind w:left="1440" w:hanging="360"/>
      </w:pPr>
    </w:lvl>
    <w:lvl w:ilvl="2" w:tplc="5DE45466">
      <w:start w:val="1"/>
      <w:numFmt w:val="bullet"/>
      <w:lvlText w:val="■"/>
      <w:lvlJc w:val="left"/>
      <w:pPr>
        <w:ind w:left="2160" w:hanging="360"/>
      </w:pPr>
    </w:lvl>
    <w:lvl w:ilvl="3" w:tplc="1CD22904">
      <w:start w:val="1"/>
      <w:numFmt w:val="bullet"/>
      <w:lvlText w:val="●"/>
      <w:lvlJc w:val="left"/>
      <w:pPr>
        <w:ind w:left="2880" w:hanging="360"/>
      </w:pPr>
    </w:lvl>
    <w:lvl w:ilvl="4" w:tplc="06FC550A">
      <w:start w:val="1"/>
      <w:numFmt w:val="bullet"/>
      <w:lvlText w:val="○"/>
      <w:lvlJc w:val="left"/>
      <w:pPr>
        <w:ind w:left="3600" w:hanging="360"/>
      </w:pPr>
    </w:lvl>
    <w:lvl w:ilvl="5" w:tplc="BC549DAA">
      <w:start w:val="1"/>
      <w:numFmt w:val="bullet"/>
      <w:lvlText w:val="■"/>
      <w:lvlJc w:val="left"/>
      <w:pPr>
        <w:ind w:left="4320" w:hanging="360"/>
      </w:pPr>
    </w:lvl>
    <w:lvl w:ilvl="6" w:tplc="F2CE6732">
      <w:start w:val="1"/>
      <w:numFmt w:val="bullet"/>
      <w:lvlText w:val="●"/>
      <w:lvlJc w:val="left"/>
      <w:pPr>
        <w:ind w:left="5040" w:hanging="360"/>
      </w:pPr>
    </w:lvl>
    <w:lvl w:ilvl="7" w:tplc="67024194">
      <w:start w:val="1"/>
      <w:numFmt w:val="bullet"/>
      <w:lvlText w:val="●"/>
      <w:lvlJc w:val="left"/>
      <w:pPr>
        <w:ind w:left="5760" w:hanging="360"/>
      </w:pPr>
    </w:lvl>
    <w:lvl w:ilvl="8" w:tplc="46F81A3A">
      <w:start w:val="1"/>
      <w:numFmt w:val="bullet"/>
      <w:lvlText w:val="●"/>
      <w:lvlJc w:val="left"/>
      <w:pPr>
        <w:ind w:left="6480" w:hanging="360"/>
      </w:pPr>
    </w:lvl>
  </w:abstractNum>
  <w:num w:numId="1" w16cid:durableId="345712952">
    <w:abstractNumId w:val="2"/>
    <w:lvlOverride w:ilvl="0">
      <w:startOverride w:val="1"/>
    </w:lvlOverride>
  </w:num>
  <w:num w:numId="2" w16cid:durableId="918489986">
    <w:abstractNumId w:val="0"/>
    <w:lvlOverride w:ilvl="0">
      <w:startOverride w:val="1"/>
    </w:lvlOverride>
  </w:num>
  <w:num w:numId="3" w16cid:durableId="355472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B3"/>
    <w:rsid w:val="000139B3"/>
    <w:rsid w:val="00246E47"/>
    <w:rsid w:val="004464A5"/>
    <w:rsid w:val="004B51C1"/>
    <w:rsid w:val="00B25E05"/>
    <w:rsid w:val="00E0475E"/>
    <w:rsid w:val="00F32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3E805"/>
  <w15:docId w15:val="{04727CCE-5F4D-47AB-9239-5B33D4BB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6E47"/>
    <w:pPr>
      <w:tabs>
        <w:tab w:val="center" w:pos="4513"/>
        <w:tab w:val="right" w:pos="9026"/>
      </w:tabs>
    </w:pPr>
  </w:style>
  <w:style w:type="character" w:customStyle="1" w:styleId="HeaderChar">
    <w:name w:val="Header Char"/>
    <w:basedOn w:val="DefaultParagraphFont"/>
    <w:link w:val="Header"/>
    <w:uiPriority w:val="99"/>
    <w:rsid w:val="00246E47"/>
  </w:style>
  <w:style w:type="paragraph" w:styleId="Footer">
    <w:name w:val="footer"/>
    <w:basedOn w:val="Normal"/>
    <w:link w:val="FooterChar"/>
    <w:uiPriority w:val="99"/>
    <w:unhideWhenUsed/>
    <w:rsid w:val="00246E47"/>
    <w:pPr>
      <w:tabs>
        <w:tab w:val="center" w:pos="4513"/>
        <w:tab w:val="right" w:pos="9026"/>
      </w:tabs>
    </w:pPr>
  </w:style>
  <w:style w:type="character" w:customStyle="1" w:styleId="FooterChar">
    <w:name w:val="Footer Char"/>
    <w:basedOn w:val="DefaultParagraphFont"/>
    <w:link w:val="Footer"/>
    <w:uiPriority w:val="99"/>
    <w:rsid w:val="00246E47"/>
  </w:style>
  <w:style w:type="character" w:styleId="UnresolvedMention">
    <w:name w:val="Unresolved Mention"/>
    <w:basedOn w:val="DefaultParagraphFont"/>
    <w:uiPriority w:val="99"/>
    <w:semiHidden/>
    <w:unhideWhenUsed/>
    <w:rsid w:val="00F32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24</Pages>
  <Words>6927</Words>
  <Characters>47313</Characters>
  <Application>Microsoft Office Word</Application>
  <DocSecurity>0</DocSecurity>
  <Lines>909</Lines>
  <Paragraphs>315</Paragraphs>
  <ScaleCrop>false</ScaleCrop>
  <Company>Ericsson</Company>
  <LinksUpToDate>false</LinksUpToDate>
  <CharactersWithSpaces>53925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2</cp:revision>
  <dcterms:created xsi:type="dcterms:W3CDTF">2026-06-28T17:18:00Z</dcterms:created>
  <dcterms:modified xsi:type="dcterms:W3CDTF">2026-06-28T18:19:00Z</dcterms:modified>
</cp:coreProperties>
</file>