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</w:rPr>
        <w:t>EdgeCoRAG阶段成果与任务要求整合</w:t>
      </w:r>
    </w:p>
    <w:p>
      <w:pPr>
        <w:pStyle w:val="Subtitle"/>
      </w:pPr>
      <w:r>
        <w:rPr>
          <w:rFonts w:ascii="Arial Unicode MS" w:hAnsi="Arial Unicode MS" w:eastAsia="Arial Unicode MS" w:cs="Arial Unicode MS"/>
        </w:rPr>
        <w:t>runtime v1.10.1   2026年10月17日</w:t>
      </w:r>
    </w:p>
    <w:p>
      <w:r>
        <w:rPr>
          <w:rFonts w:ascii="Arial Unicode MS" w:hAnsi="Arial Unicode MS" w:eastAsia="Arial Unicode MS" w:cs="Arial Unicode MS"/>
        </w:rPr>
        <w:t>本文件把《张.docx》与GitHub仓库现有25份Markdown文档的要求汇总到同一份交付说明，说明已经完成什么、仍缺什么，以及下一步如何推进。完整逐项证据表见仓库 reports/Requirements.md 和 requirements_matrix.csv；未提供的其他文档不在本次核对范围。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当前判断</w:t>
      </w:r>
    </w:p>
    <w:p>
      <w:r>
        <w:rPr>
          <w:rFonts w:ascii="Arial Unicode MS" w:hAnsi="Arial Unicode MS" w:eastAsia="Arial Unicode MS" w:cs="Arial Unicode MS"/>
        </w:rPr>
        <w:t>批准的MRAG-Bench五模型实验已经执行完成，原始结果已备份并逐文件校验。现在可在Mac完成统计、材料整理和阶段报告，不需要为这些工作保持GPU开机。后续若补第二数据集或完整检索链路，仍可能需要租用GPU。</w:t>
      </w:r>
    </w:p>
    <w:p>
      <w:r>
        <w:rPr>
          <w:rFonts w:ascii="Arial Unicode MS" w:hAnsi="Arial Unicode MS" w:eastAsia="Arial Unicode MS" w:cs="Arial Unicode MS"/>
        </w:rPr>
        <w:t>现有结果支持能力边界报告：共享检索下Gemma两模型仍与Qwen视觉模型存在明显质量差距。不能写成小模型普遍替代大模型，也不能把技术通过当作准确率或论文结论成立。整份任务书尚未全部完成。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568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实跑项目</w:t>
            </w:r>
          </w:p>
        </w:tc>
        <w:tc>
          <w:tcPr>
            <w:tcW w:type="dxa" w:w="85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核验结果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计划与结果</w:t>
            </w:r>
          </w:p>
        </w:tc>
        <w:tc>
          <w:tcPr>
            <w:tcW w:type="dxa" w:w="85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161任务；21927次唯一question-run；25份模型阶段回执均完整且exit 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评分纪律</w:t>
            </w:r>
          </w:p>
        </w:tc>
        <w:tc>
          <w:tcPr>
            <w:tcW w:type="dxa" w:w="85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132次正常格式失败全部计错；无技术错误、无重试；483次warmup另计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科学设置</w:t>
            </w:r>
          </w:p>
        </w:tc>
        <w:tc>
          <w:tcPr>
            <w:tcW w:type="dxa" w:w="85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BF16、无量化、无offload、greedy、64token、seed42、TF32关闭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数据边界</w:t>
            </w:r>
          </w:p>
        </w:tc>
        <w:tc>
          <w:tcPr>
            <w:tcW w:type="dxa" w:w="85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同源MRAG-Bench；冻结集有披露的审计暴露；S3是小型AI辅助审阅子集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性能边界</w:t>
            </w:r>
          </w:p>
        </w:tc>
        <w:tc>
          <w:tcPr>
            <w:tcW w:type="dxa" w:w="85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同一RTX4090；只测预处理与生成，不含检索、加载与整机能耗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建议的推进顺序</w:t>
      </w:r>
    </w:p>
    <w:p>
      <w:r>
        <w:rPr>
          <w:rFonts w:ascii="Arial Unicode MS" w:hAnsi="Arial Unicode MS" w:eastAsia="Arial Unicode MS" w:cs="Arial Unicode MS"/>
        </w:rPr>
        <w:t>先用本轮结果形成可交付的阶段报告，再审定失败案例与来源相关性；若继续按任务书完整结题，下一轮优先准备MMDocRAG第二验证集，先核许可、评分和冻结协议，再安排GPU。新实验不得覆盖原结果或事后修改本轮提示词、token预算和评分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五模型质量与同证据差距</w:t>
      </w:r>
    </w:p>
    <w:p>
      <w:r>
        <w:rPr>
          <w:rFonts w:ascii="Arial Unicode MS" w:hAnsi="Arial Unicode MS" w:eastAsia="Arial Unicode MS" w:cs="Arial Unicode MS"/>
        </w:rPr>
        <w:t>S0仅查询图，S1为发布包官方候选top3，S2为实际GT证据。每个主单元格分母1033，格式失败保留；S2是Oracle，不能当作可部署RAG。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模型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S0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S1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S2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Qwen3-VL 4B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60.12%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57.60%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69.41%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Qwen3-VL 8B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56.44%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56.15%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66.80%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Gemma 4 E2B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36.30%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35.43%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42.69%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Gemma 4 E4B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38.43%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41.34%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47.73%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Qwen3.5 4B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53.53%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54.50%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58.18%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Gemma减Qwen的共享S1差距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1584"/>
        <w:gridCol w:w="3312"/>
      </w:tblGrid>
      <w:tr>
        <w:trPr>
          <w:cantSplit/>
          <w:tblHeader/>
        </w:trP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相同证据条件的对比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差值pp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描述性95%区间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Gemma 4 E2B − Qwen3-VL 4B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-22.17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[-25.94, -18.59]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Gemma 4 E2B − Qwen3-VL 8B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-20.72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[-24.30, -17.04]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Gemma 4 E4B − Qwen3-VL 4B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-16.26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[-19.94, -12.78]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Gemma 4 E4B − Qwen3-VL 8B</w:t>
            </w:r>
          </w:p>
        </w:tc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-14.81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[-18.49, -11.13]</w:t>
            </w:r>
          </w:p>
        </w:tc>
      </w:tr>
    </w:tbl>
    <w:p/>
    <w:p>
      <w:r>
        <w:rPr>
          <w:rFonts w:ascii="Arial Unicode MS" w:hAnsi="Arial Unicode MS" w:eastAsia="Arial Unicode MS" w:cs="Arial Unicode MS"/>
        </w:rPr>
        <w:t>上述区间为按官方场景分层的题级配对bootstrap，2000次、seed42，没有来源聚类、多重比较修正或预注册非劣效界值。因此不是已满足任务书聚类统计的等价或可替代证明。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需要保留的负结果与限制</w:t>
      </w:r>
    </w:p>
    <w:p>
      <w:r>
        <w:rPr>
          <w:rFonts w:ascii="Arial Unicode MS" w:hAnsi="Arial Unicode MS" w:eastAsia="Arial Unicode MS" w:cs="Arial Unicode MS"/>
        </w:rPr>
        <w:t>五模型S2都高于S1，但S1相对S0没有一致提升。S1与S2证据数不同，差值不能完全归因于证据质量。Incomplete冻结77题上，S2对S0五模型均下降；这些题保留在总体分母。</w:t>
      </w:r>
    </w:p>
    <w:p>
      <w:r>
        <w:rPr>
          <w:rFonts w:ascii="Arial Unicode MS" w:hAnsi="Arial Unicode MS" w:eastAsia="Arial Unicode MS" w:cs="Arial Unicode MS"/>
        </w:rPr>
        <w:t>S3冻结子集仅29题。Gemma E2B由同题S1的51.72%降至S3的31.03%；E4B均34.48%。holdout仅2题不解释其退化区间。S3为AI图像辅助、label-aware审阅，不能称人工盲审或全基准结论。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生成成本与逐题变化</w:t>
      </w:r>
    </w:p>
    <w:p>
      <w:r>
        <w:rPr>
          <w:rFonts w:ascii="Arial Unicode MS" w:hAnsi="Arial Unicode MS" w:eastAsia="Arial Unicode MS" w:cs="Arial Unicode MS"/>
        </w:rPr>
        <w:t>以下S1性能每模型20个smoke问题乘5次，共100观测。时延含预处理与生成；显存为性能阶段allocator reserved最大值，不是整卡显存。质量图采用1033冻结题，因此成本与质量不是完全相同工作负载。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模型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P50毫秒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P95毫秒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峰值GiB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Qwen3-VL 4B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285.5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694.8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8.75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Qwen3-VL 8B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387.4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986.4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16.95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Gemma4 E2B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203.8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413.5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9.77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Gemma4 E4B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264.6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501.6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15.07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Qwen3.5 4B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476.1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1082.1</w:t>
            </w:r>
          </w:p>
        </w:tc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9.03</w:t>
            </w:r>
          </w:p>
        </w:tc>
      </w:tr>
    </w:tbl>
    <w:p/>
    <w:p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309360" cy="3229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harm_trans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9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 w:cs="Arial Unicode MS"/>
        </w:rPr>
        <w:t>S0到S1的对转错只是观测结果，不能自动归因于错误证据。全分母转移、按规则挑选的待审实例和三组条件下的质量成本图已交付；尚未逐题人工判定证据支持性与因果机制。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要求清单一 主实验与控制变量</w:t>
      </w:r>
    </w:p>
    <w:p>
      <w:r>
        <w:rPr>
          <w:rFonts w:ascii="Arial Unicode MS" w:hAnsi="Arial Unicode MS" w:eastAsia="Arial Unicode MS" w:cs="Arial Unicode MS"/>
        </w:rPr>
        <w:t>编号与完整证据表一致。已完成项均须按限定范围理解；“部分完成”或“待补”不会因文件已生成而变成研究目标达成。完整来源、证据文件和下一步见 reports/Requirements.md。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336"/>
        <w:gridCol w:w="2952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要求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R01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五模型 S0 S1 S2 公平主实验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 限冻结范围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R02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Qwen3.5 9B 与更大模型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后置可选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R03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各家最佳固定 RAG 补充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R04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MRAG 1353 题 schema 与官方接口核验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R05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B_papers 逐论文方法 数值 许可 复现状态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部分完成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R06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第二数据集 MMDocRAG 或 VisDoM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R07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Utility MRAG 方法对照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待补 A侧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R08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VQQP 图像降质鲁棒性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后置可选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R09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模型 revision 与独立环境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 限本次硬件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R10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精度 thinking 采样 输出预算不变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R11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共享证据顺序 内容 topk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R12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输入像素 预处理 实际tokens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 限所记录字段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R13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统一图像尺寸限制与公平预算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部分完成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本页事项的解释边界</w:t>
      </w:r>
    </w:p>
    <w:p>
      <w:r>
        <w:rPr>
          <w:rFonts w:ascii="Arial Unicode MS" w:hAnsi="Arial Unicode MS" w:eastAsia="Arial Unicode MS" w:cs="Arial Unicode MS"/>
        </w:rPr>
        <w:t>本轮统一使用已发布的官方候选，并未运行EmbeddingGemma2独立检索；Qwen3.5 9B为可后置项。原图和共享文本一致，Qwen像素限制与Gemma soft-token限制不等同于跨模型等视觉token。第二数据集、各家最佳固定RAG与效用选择器仍需新工作。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要求清单二 诊断统计与资源</w:t>
      </w:r>
    </w:p>
    <w:p>
      <w:r>
        <w:rPr>
          <w:rFonts w:ascii="Arial Unicode MS" w:hAnsi="Arial Unicode MS" w:eastAsia="Arial Unicode MS" w:cs="Arial Unicode MS"/>
        </w:rPr>
        <w:t>编号与完整证据表一致。已完成项均须按限定范围理解；“部分完成”或“待补”不会因文件已生成而变成研究目标达成。完整来源、证据文件和下一步见 reports/Requirements.md。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336"/>
        <w:gridCol w:w="2952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要求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R14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Gemma S3 干扰实验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 限补充子集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R15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S3 字节 近重复 语义审阅与覆盖率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 限已批准子集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R16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三次warmup 热启动P50 P95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 限生成边界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R17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检索 编码 索引驻留与完整端到端时延显存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R18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能耗与顺序切换成本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未测或不适用本轮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R19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逐题结构化输出 raw answer 与完整矩阵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R20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处理器完整rendered_prompt与图片清单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部分完成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R21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未检索到 已出现没答对 检索伤害四类机制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部分完成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R22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按题或文档来源聚类95%配对CI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部分完成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R23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同证据跨模型配对差距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已交付 描述性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R24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类别分层 OCR 图表 跨图关联等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部分完成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R25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质量与P95 显存Pareto图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已交付 限离线生成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R26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停止普遍超越大模型叙述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已执行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本页事项的解释边界</w:t>
      </w:r>
    </w:p>
    <w:p>
      <w:r>
        <w:rPr>
          <w:rFonts w:ascii="Arial Unicode MS" w:hAnsi="Arial Unicode MS" w:eastAsia="Arial Unicode MS" w:cs="Arial Unicode MS"/>
        </w:rPr>
        <w:t>S3只按已批准的小型冻结子集解释。已有结构化messages与图像路径哈希，处理器最终chat-template字符串当时未落盘，不能事后冒充原始日志。来源聚类区间、任务概念类别映射、完整检索链路与整机能耗未完成。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要求清单三 交付与协作</w:t>
      </w:r>
    </w:p>
    <w:p>
      <w:r>
        <w:rPr>
          <w:rFonts w:ascii="Arial Unicode MS" w:hAnsi="Arial Unicode MS" w:eastAsia="Arial Unicode MS" w:cs="Arial Unicode MS"/>
        </w:rPr>
        <w:t>编号与完整证据表一致。已完成项均须按限定范围理解；“部分完成”或“待补”不会因文件已生成而变成研究目标达成。完整来源、证据文件和下一步见 reports/Requirements.md。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336"/>
        <w:gridCol w:w="2952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编号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要求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R27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model_registry.yaml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R28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source_manifest.csv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已交付 部分核验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R29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qid raw_id 别名 strict parser 失败保留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R30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官方格式独立导出与顺序补齐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R31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GT与答案仅评分Oracle 离线分析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 限本次流程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R32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官方候选来源与命中率不当作泄漏证明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已披露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R33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A侧 EmbeddingGemma 检索 R@1 R@5 MRR 维度对照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待补 A侧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R34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固定split 暴露登记 相关性限制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 并披露限制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R35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代码矩阵配置与环境哈希及完整回执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R36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runtime v1.10.1 技术失败与正常格式失败分离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R37</w:t>
            </w:r>
          </w:p>
        </w:tc>
        <w:tc>
          <w:tcPr>
            <w:tcW w:type="dxa" w:w="63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本地备份 整理 清理可上传版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已交付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Arial Unicode MS" w:cs="Arial Unicode MS"/>
        </w:rPr>
        <w:t>本页事项的解释边界</w:t>
      </w:r>
    </w:p>
    <w:p>
      <w:r>
        <w:rPr>
          <w:rFonts w:ascii="Arial Unicode MS" w:hAnsi="Arial Unicode MS" w:eastAsia="Arial Unicode MS" w:cs="Arial Unicode MS"/>
        </w:rPr>
        <w:t>公开逐题JSONL压缩保存；解压可恢复任务书指定文件名。注册表YAML是冻结JSON的兼容镜像。全新绑定需使用父版本先生成绑定，再使用v1.10.1补丁运行；直接在补丁目录运行旧finalizer会被依赖锁哈希门禁拒绝，详见 reports/Reconstruction.md。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文献与交付文件</w:t>
      </w:r>
    </w:p>
    <w:p>
      <w:r>
        <w:rPr>
          <w:rFonts w:ascii="Arial Unicode MS" w:hAnsi="Arial Unicode MS" w:eastAsia="Arial Unicode MS" w:cs="Arial Unicode MS"/>
        </w:rPr>
        <w:t>论文作者报告、历史技术探针与本项目真实结果分别记录。不能把作者数字、安装命令或23项作者单元测试当作完整方法复现。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来源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本轮状态与后续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MRAG-Bench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项目冻结协议已实跑；不声称复现官方宽松解析或论文排行榜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MMDocRAG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第二验证集未运行；先核schema、评分和数据许可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VisDoM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外部验证备选；仓库API license=null，不能推定代码数据可再分发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Utility MRAG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A历史测试和打分探针；完整选择器与质量未复现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VQQP与RAGRouter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可选扩展；后者为文本路由，不能混入原生视觉主榜</w:t>
            </w:r>
          </w:p>
        </w:tc>
      </w:tr>
    </w:tbl>
    <w:p/>
    <w:p>
      <w:r>
        <w:rPr>
          <w:rFonts w:ascii="Arial Unicode MS" w:hAnsi="Arial Unicode MS" w:eastAsia="Arial Unicode MS" w:cs="Arial Unicode MS"/>
        </w:rPr>
        <w:t>原论文逐表数值摘录、未运行方法的实测验证及未明许可仍有缺口，已在 B_papers.md 和 source_manifest.csv 标明。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交付物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比较与文献报告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reports/B_comparison.md；reports/B_papers.md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完整要求与下一步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reports/Requirements.md；reports/Next_steps.md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逐题输出与结构化上下文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logs/B_predictions.jsonl.gz；B_input_contexts.jsonl.gz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配置与来源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configs/model_registry.yaml；source_manifest.csv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表格与科研图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reports/v1.10.1/；figures/v1.10.1/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代码与身份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b-side/；provenance/v1.10.1/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离线复算与重建说明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analysis/v1.10.1/README.md；reports/Reconstruction.md</w:t>
            </w:r>
          </w:p>
        </w:tc>
      </w:tr>
    </w:tbl>
    <w:p/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后续工作与保存方式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现在先做什么</w:t>
      </w:r>
    </w:p>
    <w:p>
      <w:r>
        <w:rPr>
          <w:rFonts w:ascii="Arial Unicode MS" w:hAnsi="Arial Unicode MS" w:eastAsia="Arial Unicode MS" w:cs="Arial Unicode MS"/>
        </w:rPr>
        <w:t>第一步，按本交付的范围形成阶段报告，核对导师是否接受“能力边界与负结果”的成果定位。第二步，在已有逐题转移基础上审查代表性失败案例；如需看原图，复用固定版本缓存或公开证据包，不重新推理。第三步，研究来源相关性与分组可得性，不任意拆分1338题大连通组制造独立样本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什么时候再租GPU</w:t>
      </w:r>
    </w:p>
    <w:p>
      <w:r>
        <w:rPr>
          <w:rFonts w:ascii="Arial Unicode MS" w:hAnsi="Arial Unicode MS" w:eastAsia="Arial Unicode MS" w:cs="Arial Unicode MS"/>
        </w:rPr>
        <w:t>只有确定新实验范围后再租。若目标是完成任务书，优先准备第二验证集；先完成许可、schema、评分、未接触划分和预算，再冻结新版本。完整系统问题由A补独立语料、R@k/MRR、对照检索器与选择器，再在同硬件测编码、检索、索引驻留与生成。旧4060与4090测量不能直接相加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复现与验证结果</w:t>
      </w:r>
    </w:p>
    <w:p>
      <w:r>
        <w:rPr>
          <w:rFonts w:ascii="Arial Unicode MS" w:hAnsi="Arial Unicode MS" w:eastAsia="Arial Unicode MS" w:cs="Arial Unicode MS"/>
        </w:rPr>
        <w:t>本次从完整备份重算76份非性能评分，全部派生CSV逐字节一致；公开JSONL独立重算34个质量组合一致，核对21927唯一键与132次格式计错。v1.10.1五项格式/重试/技术错误测试通过，父版本九项离线closeout检查通过。当前补丁目录的旧closeout入口因原依赖pin保留而拒绝，已记录两阶段顺序，未冒称全链路重部署完成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清理与保留</w:t>
      </w:r>
    </w:p>
    <w:p>
      <w:r>
        <w:rPr>
          <w:rFonts w:ascii="Arial Unicode MS" w:hAnsi="Arial Unicode MS" w:eastAsia="Arial Unicode MS" w:cs="Arial Unicode MS"/>
        </w:rPr>
        <w:t>上传副本省去环境、缓存、SSH和监控脚本、认证信息、数据库、重复解压日志、旧发布ZIP与临时构建物。保留有用的审计与接口样例。原始备份和旧失败记录完整保留，未重写历史。交付包没有模型权重或完整数据集图像，仍保留仓库已有6题样例，不能当作完整离线模型镜像。</w:t>
      </w:r>
    </w:p>
    <w:p>
      <w:r>
        <w:rPr>
          <w:rFonts w:ascii="Arial Unicode MS" w:hAnsi="Arial Unicode MS" w:eastAsia="Arial Unicode MS" w:cs="Arial Unicode MS"/>
        </w:rPr>
        <w:t>完整原始备份：2118文件，压缩archive约16.8MiB。SHA256为下列值，可用于与本地备份回执核对。</w:t>
      </w:r>
    </w:p>
    <w:p>
      <w:r>
        <w:rPr>
          <w:rFonts w:ascii="Arial Unicode MS" w:hAnsi="Arial Unicode MS" w:eastAsia="Arial Unicode MS" w:cs="Arial Unicode MS"/>
        </w:rPr>
        <w:t>98bf99c45ecdd1a44029747885e9c3e49f860b95ae95079ea0c5c123b33ffc85</w:t>
      </w:r>
    </w:p>
    <w:p>
      <w:r>
        <w:rPr>
          <w:rFonts w:ascii="Arial Unicode MS" w:hAnsi="Arial Unicode MS" w:eastAsia="Arial Unicode MS" w:cs="Arial Unicode MS"/>
        </w:rPr>
        <w:t>服务器仍按平台规则保留磁盘和计费；关机不会预留GPU。是否释放实例由用户另行决定。本次整合没有访问或操作服务器，也没有启动任何新增实验。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sz w:val="16"/>
      </w:rPr>
      <w:t xml:space="preserve">2026年10月17日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 w:cs="Arial Unicode MS"/>
        <w:sz w:val="16"/>
      </w:rPr>
      <w:t>EdgeCoRAG   阶段成果与任务要求整合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