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0" w:after="240"/>
        <w:rPr>
          <w:b/>
          <w:b/>
          <w:i/>
          <w:i/>
        </w:rPr>
      </w:pPr>
      <w:r>
        <w:rPr>
          <w:rFonts w:eastAsia="Montserrat" w:cs="Montserrat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</w:rPr>
      </w:r>
    </w:p>
    <w:p>
      <w:pPr>
        <w:pStyle w:val="Heading2"/>
        <w:spacing w:lineRule="auto" w:line="240" w:before="0" w:after="240"/>
        <w:rPr>
          <w:rFonts w:ascii="Arial;sans-serif" w:hAnsi="Arial;sans-serif" w:eastAsia="Montserrat" w:cs="Montserrat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</w:rPr>
      </w:pPr>
      <w:bookmarkStart w:id="0" w:name="__DdeLink__56_3554739010"/>
      <w:bookmarkStart w:id="1" w:name="docs-internal-guid-3265ec0f-7fff-e207-ac"/>
      <w:bookmarkEnd w:id="1"/>
      <w:r>
        <w:rPr>
          <w:rFonts w:eastAsia="Montserrat" w:cs="Montserrat"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</w:rPr>
        <w:t>Code Her Care Hackathon Dataset Rationale</w:t>
      </w:r>
      <w:bookmarkEnd w:id="0"/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guide explains the logic behind the datasets shared with participants. These structured datasets enable innovation in clinical decision-making, digital prescriptions, inventory tracking, and financial transparency, especially for women’s health.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Patient Demographics &amp; Risk Factors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Age, Menopausal Status, Sexual History, Region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Helps triage who needs screening &amp; intervention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Key for building AI risk predictors or dynamic intake forms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Enables contextual UX (e.g., personalized prompts)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Clinical Test Results &amp; Diagnoses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HPV Result, CA-125 Levels, Pap Smear, Ultrasound Findings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Powers diagnostic logic &amp; care pathway decisions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Can be used as ML labels or rules-based triggers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Enables informative summaries in digital prescriptions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Management Plan Columns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Treatment Plan, Recommended Action, Follow-Up Days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Simulates the doctor’s prescription pad</w:t>
        <w:br/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Enables evaluation or generation of clinical plans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Resource &amp; Inventory Columns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Resource Name, Quantity Available, Facility ID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Allows facility logic: “Suggest test B if test A is out of stock”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Supports automatic inventory tracking via prescription logic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Grounds ideas in real-world limitations (supply/demand)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Financial Columns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Estimated Cost (KES), NHIF Covered, Financing Options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Adds transparency to care costs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Simulates NHIF breakdowns and out-of-pocket expenses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Great for UX like instant receipts and cost alerts</w:t>
      </w:r>
    </w:p>
    <w:p>
      <w:pPr>
        <w:pStyle w:val="HorizontalLine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Geographic Columns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Region, Facility ID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it matters: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Useful for equity analysis (urban vs. rural gaps)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Enables mapping, routing, or facility-specific logic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Makes regional dashboards and planning tools possible</w:t>
      </w:r>
    </w:p>
    <w:p>
      <w:pPr>
        <w:pStyle w:val="Normal1"/>
        <w:spacing w:lineRule="auto" w:line="240" w:before="0" w:after="240"/>
        <w:rPr>
          <w:b/>
          <w:b/>
          <w:i/>
          <w:i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016" w:top="2073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altName w:val="sans-serif"/>
    <w:charset w:val="00"/>
    <w:family w:val="auto"/>
    <w:pitch w:val="default"/>
  </w:font>
  <w:font w:name="Montserra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  <w:p>
    <w:pPr>
      <w:pStyle w:val="Normal1"/>
      <w:rPr/>
    </w:pPr>
    <w:r>
      <w:rPr/>
    </w:r>
  </w:p>
  <w:p>
    <w:pPr>
      <w:pStyle w:val="Normal1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-913765</wp:posOffset>
              </wp:positionH>
              <wp:positionV relativeFrom="margin">
                <wp:align>center</wp:align>
              </wp:positionV>
              <wp:extent cx="7078345" cy="10011410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077600" cy="10010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-71.95pt;margin-top:-105.4pt;width:557.25pt;height:788.2pt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4</Pages>
  <Words>264</Words>
  <Characters>1553</Characters>
  <CharactersWithSpaces>1764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2025-06-18T13:14:06Z</dcterms:modified>
  <cp:revision>1</cp:revision>
  <dc:subject/>
  <dc:title/>
</cp:coreProperties>
</file>