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SimSun" w:cs="SimSun" w:eastAsia="SimSun" w:hAnsi="SimSun"/>
          <w:b/>
          <w:bCs/>
          <w:sz w:val="32"/>
          <w:szCs w:val="32"/>
        </w:rPr>
        <w:t xml:space="preserve">网络与新媒体营销课程个人项目报告</w:t>
      </w:r>
    </w:p>
    <w:p>
      <w:pPr>
        <w:spacing w:after="240"/>
        <w:jc w:val="center"/>
      </w:pPr>
      <w:r>
        <w:rPr>
          <w:rFonts w:ascii="SimSun" w:cs="SimSun" w:eastAsia="SimSun" w:hAnsi="SimSun"/>
          <w:b/>
          <w:bCs/>
          <w:sz w:val="26"/>
          <w:szCs w:val="26"/>
        </w:rPr>
        <w:t xml:space="preserve">——雅思听力阅读经验分享账号的内容策划与营销实践</w:t>
      </w:r>
    </w:p>
    <w:p>
      <w:pPr>
        <w:spacing w:after="120" w:line="360" w:lineRule="exact"/>
        <w:jc w:val="center"/>
      </w:pPr>
      <w:r>
        <w:rPr>
          <w:rFonts w:ascii="SimSun" w:cs="SimSun" w:eastAsia="SimSun" w:hAnsi="SimSun"/>
          <w:sz w:val="24"/>
          <w:szCs w:val="24"/>
        </w:rPr>
        <w:t xml:space="preserve">姓名：[你的姓名]　学号：[你的学号]　课程：网络与新媒体营销</w:t>
      </w:r>
    </w:p>
    <w:p>
      <w:pPr>
        <w:pStyle w:val="Heading2"/>
        <w:spacing w:after="120" w:before="160"/>
      </w:pPr>
      <w:r>
        <w:rPr>
          <w:rFonts w:ascii="SimSun" w:cs="SimSun" w:eastAsia="SimSun" w:hAnsi="SimSun"/>
          <w:b/>
          <w:bCs/>
          <w:sz w:val="26"/>
          <w:szCs w:val="26"/>
        </w:rPr>
        <w:t xml:space="preserve">摘要</w:t>
      </w:r>
    </w:p>
    <w:p>
      <w:pPr>
        <w:spacing w:after="120" w:line="360" w:lineRule="exact"/>
        <w:ind w:firstLine="431"/>
      </w:pPr>
      <w:r>
        <w:rPr>
          <w:rFonts w:ascii="SimSun" w:cs="SimSun" w:eastAsia="SimSun" w:hAnsi="SimSun"/>
          <w:sz w:val="24"/>
          <w:szCs w:val="24"/>
        </w:rPr>
        <w:t xml:space="preserve">本报告以个人雅思备考经历为素材，设计并制作了一个以“雅思听力＋阅读方法论分享”为核心内容的新媒体账号，在抖音、小红书两个平台同步运营，并就产品定位、设计思路、营销策略与营销效果进行了完整的实践与复盘。实践结果显示，该内容不仅获得了可观的点赞与关注增长，还通过小红书实现了向付费咨询的真实转化，验证了垂直、真实、有方法论支撑的内容在雅思备考这一细分市场中的营销价值。</w:t>
      </w:r>
    </w:p>
    <w:p>
      <w:pPr>
        <w:spacing w:after="120" w:line="360" w:lineRule="exact"/>
      </w:pPr>
      <w:r>
        <w:rPr>
          <w:rFonts w:ascii="SimSun" w:cs="SimSun" w:eastAsia="SimSun" w:hAnsi="SimSun"/>
          <w:sz w:val="24"/>
          <w:szCs w:val="24"/>
        </w:rPr>
        <w:t xml:space="preserve">关键词：新媒体营销；内容定位；短视频；雅思；平台差异化运营</w:t>
      </w:r>
    </w:p>
    <w:p>
      <w:pPr>
        <w:pStyle w:val="Heading1"/>
        <w:spacing w:after="160" w:before="240"/>
      </w:pPr>
      <w:r>
        <w:rPr>
          <w:rFonts w:ascii="SimSun" w:cs="SimSun" w:eastAsia="SimSun" w:hAnsi="SimSun"/>
          <w:b/>
          <w:bCs/>
          <w:sz w:val="28"/>
          <w:szCs w:val="28"/>
        </w:rPr>
        <w:t xml:space="preserve">一、新媒体产品的定位与目标市场</w:t>
      </w:r>
    </w:p>
    <w:p>
      <w:pPr>
        <w:spacing w:after="120" w:line="360" w:lineRule="exact"/>
        <w:ind w:firstLine="431"/>
      </w:pPr>
      <w:r>
        <w:rPr>
          <w:rFonts w:ascii="SimSun" w:cs="SimSun" w:eastAsia="SimSun" w:hAnsi="SimSun"/>
          <w:sz w:val="24"/>
          <w:szCs w:val="24"/>
        </w:rPr>
        <w:t xml:space="preserve">本项目选择以短视频为载体，制作了一个雅思听力与阅读经验分享账号，在抖音与小红书双平台同步运营。</w:t>
      </w:r>
    </w:p>
    <w:p>
      <w:pPr>
        <w:spacing w:after="120" w:line="360" w:lineRule="exact"/>
        <w:ind w:firstLine="431"/>
      </w:pPr>
      <w:r>
        <w:rPr>
          <w:rFonts w:ascii="SimSun" w:cs="SimSun" w:eastAsia="SimSun" w:hAnsi="SimSun"/>
          <w:sz w:val="24"/>
          <w:szCs w:val="24"/>
        </w:rPr>
        <w:t xml:space="preserve">账号定位的确定参考了新媒体营销中的STP理论，即先对雅思备考人群进行细分（Segmenting），再选定目标市场（Targeting），最后确立差异化的产品定位（Positioning）[1]。账号定位为“雅思听力＋阅读垂直干货号”，人设是“首考总分7.5、听力单项8.5的真实经验分享者”。之所以选择只聚焦听力和阅读两个单项，而不做泛雅思内容，是出于两点考虑：一是垂直内容更容易在同质化严重的雅思类账号中建立差异化记忆点；二是作者本人在这两个单项上有真实、可验证的高分经历，能够保证内容的可信度和专业感，避免“人设与内容脱节”的问题。</w:t>
      </w:r>
    </w:p>
    <w:p>
      <w:pPr>
        <w:spacing w:after="120" w:line="360" w:lineRule="exact"/>
        <w:ind w:firstLine="431"/>
      </w:pPr>
      <w:r>
        <w:rPr>
          <w:rFonts w:ascii="SimSun" w:cs="SimSun" w:eastAsia="SimSun" w:hAnsi="SimSun"/>
          <w:sz w:val="24"/>
          <w:szCs w:val="24"/>
        </w:rPr>
        <w:t xml:space="preserve">目标市场为正在备考雅思、目标分数处于5.5至7分区间、在听力或阅读单项上存在明显瓶颈的学生群体。这一群体具有两个特征：一是有明确且紧迫的备考需求，内容的“有用性”容易被直接感知；二是具备一定的付费意愿（留学、移民等刚需场景），这也是后续营销效果能够延伸至付费转化的重要前提。</w:t>
      </w:r>
    </w:p>
    <w:p>
      <w:pPr>
        <w:pStyle w:val="Heading1"/>
        <w:spacing w:after="160" w:before="240"/>
      </w:pPr>
      <w:r>
        <w:rPr>
          <w:rFonts w:ascii="SimSun" w:cs="SimSun" w:eastAsia="SimSun" w:hAnsi="SimSun"/>
          <w:b/>
          <w:bCs/>
          <w:sz w:val="28"/>
          <w:szCs w:val="28"/>
        </w:rPr>
        <w:t xml:space="preserve">二、设计思路与制作过程</w:t>
      </w:r>
    </w:p>
    <w:p>
      <w:pPr>
        <w:spacing w:after="120" w:line="360" w:lineRule="exact"/>
        <w:ind w:firstLine="431"/>
      </w:pPr>
      <w:r>
        <w:rPr>
          <w:rFonts w:ascii="SimSun" w:cs="SimSun" w:eastAsia="SimSun" w:hAnsi="SimSun"/>
          <w:sz w:val="24"/>
          <w:szCs w:val="24"/>
        </w:rPr>
        <w:t xml:space="preserve">在内容设计上，本项目有意避免了常见的“第一、第二、第三”式说教列点结构，转而采用第一人称叙事的方式，以“首考一次就拿到8.5，大家都以为背后是几个月的刷题，其实不是”这一反常识的切入点，将三个核心方法（精听与跟读训练、提前读题并捕捉同义替换、专项训练Section 4学术讲座题型）自然地嵌入个人经历的叙述中，并为每个方法配一个具体、可感知的真实例子（如“set up”连读的辨识、“free of charge”与“complimentary”的同义替换、Section 4中“however”等转折词的捕捉），以增强内容的干货感和可信度。</w:t>
      </w:r>
    </w:p>
    <w:p>
      <w:pPr>
        <w:spacing w:after="120" w:line="360" w:lineRule="exact"/>
        <w:ind w:firstLine="431"/>
      </w:pPr>
      <w:r>
        <w:rPr>
          <w:rFonts w:ascii="SimSun" w:cs="SimSun" w:eastAsia="SimSun" w:hAnsi="SimSun"/>
          <w:sz w:val="24"/>
          <w:szCs w:val="24"/>
        </w:rPr>
        <w:t xml:space="preserve">呈现形式上，采用真人出镜、英文原声口播，并烧录中文字幕。这一设计呼应了内容营销中“真实性”（authenticity）对受众信任建立的重要作用[1]：英文口播本身具有双重作用，一方面是对“高分经验分享者”人设的直接证明，另一方面也能吸引希望借助观看过程顺带练习听力的受众，形成受众范围的自然扩展；中文字幕则保证国内观众在不借助翻译的情况下完整理解内容。</w:t>
      </w:r>
    </w:p>
    <w:p>
      <w:pPr>
        <w:spacing w:after="120" w:line="360" w:lineRule="exact"/>
        <w:ind w:firstLine="431"/>
      </w:pPr>
      <w:r>
        <w:rPr>
          <w:rFonts w:ascii="SimSun" w:cs="SimSun" w:eastAsia="SimSun" w:hAnsi="SimSun"/>
          <w:sz w:val="24"/>
          <w:szCs w:val="24"/>
        </w:rPr>
        <w:t xml:space="preserve">制作流程为：选题确定（听力篇优先）→脚本撰写（口语化、叙事化，反复调整以去除“机械念稿感”）→真人出镜拍摄→剪辑并添加中文字幕→同步发布至抖音、小红书两个平台→根据评论区反馈收集下一期选题方向。</w:t>
      </w:r>
    </w:p>
    <w:p>
      <w:pPr>
        <w:pStyle w:val="Heading1"/>
        <w:spacing w:after="160" w:before="240"/>
      </w:pPr>
      <w:r>
        <w:rPr>
          <w:rFonts w:ascii="SimSun" w:cs="SimSun" w:eastAsia="SimSun" w:hAnsi="SimSun"/>
          <w:b/>
          <w:bCs/>
          <w:sz w:val="28"/>
          <w:szCs w:val="28"/>
        </w:rPr>
        <w:t xml:space="preserve">三、营销目标</w:t>
      </w:r>
    </w:p>
    <w:p>
      <w:pPr>
        <w:spacing w:after="120" w:line="360" w:lineRule="exact"/>
        <w:ind w:firstLine="431"/>
      </w:pPr>
      <w:r>
        <w:rPr>
          <w:rFonts w:ascii="SimSun" w:cs="SimSun" w:eastAsia="SimSun" w:hAnsi="SimSun"/>
          <w:sz w:val="24"/>
          <w:szCs w:val="24"/>
        </w:rPr>
        <w:t xml:space="preserve">项目启动时设定的营销目标相对保守，主要包括：在抖音与小红书合计获得一定规模的点赞与关注增长，并在评论区收集到真实的互动与提问，作为课程报告所需的“内容确实有效”的证据。</w:t>
      </w:r>
    </w:p>
    <w:p>
      <w:pPr>
        <w:spacing w:after="120" w:line="360" w:lineRule="exact"/>
        <w:ind w:firstLine="431"/>
      </w:pPr>
      <w:r>
        <w:rPr>
          <w:rFonts w:ascii="SimSun" w:cs="SimSun" w:eastAsia="SimSun" w:hAnsi="SimSun"/>
          <w:sz w:val="24"/>
          <w:szCs w:val="24"/>
        </w:rPr>
        <w:t xml:space="preserve">实际执行后，营销效果超出了最初的预期，不仅完成了互动数据的积累，还在小红书上实现了从内容曝光到私信咨询、再到实际付费转化的完整链路，这一结果在项目设计之初并未作为硬性目标设定，而是内容精准触达目标受众后产生的自然延伸。</w:t>
      </w:r>
    </w:p>
    <w:p>
      <w:pPr>
        <w:pStyle w:val="Heading1"/>
        <w:spacing w:after="160" w:before="240"/>
      </w:pPr>
      <w:r>
        <w:rPr>
          <w:rFonts w:ascii="SimSun" w:cs="SimSun" w:eastAsia="SimSun" w:hAnsi="SimSun"/>
          <w:b/>
          <w:bCs/>
          <w:sz w:val="28"/>
          <w:szCs w:val="28"/>
        </w:rPr>
        <w:t xml:space="preserve">四、营销策略（措施）</w:t>
      </w:r>
    </w:p>
    <w:p>
      <w:pPr>
        <w:pStyle w:val="ListParagraph"/>
        <w:numPr>
          <w:ilvl w:val="0"/>
          <w:numId w:val="2"/>
        </w:numPr>
        <w:spacing w:after="100" w:line="360" w:lineRule="exact"/>
      </w:pPr>
      <w:r>
        <w:rPr>
          <w:rFonts w:ascii="SimSun" w:cs="SimSun" w:eastAsia="SimSun" w:hAnsi="SimSun"/>
          <w:sz w:val="24"/>
          <w:szCs w:val="24"/>
        </w:rPr>
        <w:t xml:space="preserve">标题与封面策略：采用结果导向型标题，突出“首考8.5”这一具体数字，制造反差和好奇心，降低观众的点击门槛。</w:t>
      </w:r>
    </w:p>
    <w:p>
      <w:pPr>
        <w:pStyle w:val="ListParagraph"/>
        <w:numPr>
          <w:ilvl w:val="0"/>
          <w:numId w:val="2"/>
        </w:numPr>
        <w:spacing w:after="100" w:line="360" w:lineRule="exact"/>
      </w:pPr>
      <w:r>
        <w:rPr>
          <w:rFonts w:ascii="SimSun" w:cs="SimSun" w:eastAsia="SimSun" w:hAnsi="SimSun"/>
          <w:sz w:val="24"/>
          <w:szCs w:val="24"/>
        </w:rPr>
        <w:t xml:space="preserve">内容垂直化策略：聚焦听力与阅读两个单项，不做泛雅思内容，强化专业人设，便于在评论区和私信场景中建立“可信赖的雅思经验分享者”形象。</w:t>
      </w:r>
    </w:p>
    <w:p>
      <w:pPr>
        <w:pStyle w:val="ListParagraph"/>
        <w:numPr>
          <w:ilvl w:val="0"/>
          <w:numId w:val="2"/>
        </w:numPr>
        <w:spacing w:after="100" w:line="360" w:lineRule="exact"/>
      </w:pPr>
      <w:r>
        <w:rPr>
          <w:rFonts w:ascii="SimSun" w:cs="SimSun" w:eastAsia="SimSun" w:hAnsi="SimSun"/>
          <w:sz w:val="24"/>
          <w:szCs w:val="24"/>
        </w:rPr>
        <w:t xml:space="preserve">平台差异化运营：参照多渠道营销（multichannel marketing）理论中“不同渠道承担不同营销职能”的观点[3]，抖音侧重短视频的完播率与标题冲击力，追求更大范围的曝光和涨粉；小红书则同时发布视频与图文笔记，并布局“雅思听力技巧”“雅思阅读方法”等高搜索量关键词，侧重通过搜索场景触达有明确备考需求、意图更精准的用户。</w:t>
      </w:r>
    </w:p>
    <w:p>
      <w:pPr>
        <w:pStyle w:val="ListParagraph"/>
        <w:numPr>
          <w:ilvl w:val="0"/>
          <w:numId w:val="2"/>
        </w:numPr>
        <w:spacing w:after="100" w:line="360" w:lineRule="exact"/>
      </w:pPr>
      <w:r>
        <w:rPr>
          <w:rFonts w:ascii="SimSun" w:cs="SimSun" w:eastAsia="SimSun" w:hAnsi="SimSun"/>
          <w:sz w:val="24"/>
          <w:szCs w:val="24"/>
        </w:rPr>
        <w:t xml:space="preserve">互动运营策略：在视频结尾主动设置互动引导（如“评论区扣1，下期拆解真题”），以评论区反馈作为后续选题依据，同时为私信咨询场景打下信任基础。</w:t>
      </w:r>
    </w:p>
    <w:p>
      <w:pPr>
        <w:pStyle w:val="ListParagraph"/>
        <w:numPr>
          <w:ilvl w:val="0"/>
          <w:numId w:val="2"/>
        </w:numPr>
        <w:spacing w:after="100" w:line="360" w:lineRule="exact"/>
      </w:pPr>
      <w:r>
        <w:rPr>
          <w:rFonts w:ascii="SimSun" w:cs="SimSun" w:eastAsia="SimSun" w:hAnsi="SimSun"/>
          <w:sz w:val="24"/>
          <w:szCs w:val="24"/>
        </w:rPr>
        <w:t xml:space="preserve">冷启动策略：第一批真实观众来自个人社交圈层（朋友圈、雅思备考群等），以获取第一批真实、可信的互动数据。</w:t>
      </w:r>
    </w:p>
    <w:p>
      <w:pPr>
        <w:pStyle w:val="Heading1"/>
        <w:spacing w:after="160" w:before="240"/>
      </w:pPr>
      <w:r>
        <w:rPr>
          <w:rFonts w:ascii="SimSun" w:cs="SimSun" w:eastAsia="SimSun" w:hAnsi="SimSun"/>
          <w:b/>
          <w:bCs/>
          <w:sz w:val="28"/>
          <w:szCs w:val="28"/>
        </w:rPr>
        <w:t xml:space="preserve">五、营销效果</w:t>
      </w:r>
    </w:p>
    <w:p>
      <w:pPr>
        <w:pStyle w:val="Heading2"/>
        <w:spacing w:after="120" w:before="160"/>
      </w:pPr>
      <w:r>
        <w:rPr>
          <w:rFonts w:ascii="SimSun" w:cs="SimSun" w:eastAsia="SimSun" w:hAnsi="SimSun"/>
          <w:b/>
          <w:bCs/>
          <w:sz w:val="26"/>
          <w:szCs w:val="26"/>
        </w:rPr>
        <w:t xml:space="preserve">1. 定量数据</w:t>
      </w:r>
    </w:p>
    <w:tbl>
      <w:tblPr>
        <w:tblW w:type="dxa" w:w="9400"/>
        <w:tblBorders>
          <w:top w:val="single" w:color="999999" w:sz="4"/>
          <w:left w:val="single" w:color="999999" w:sz="4"/>
          <w:bottom w:val="single" w:color="999999" w:sz="4"/>
          <w:right w:val="single" w:color="999999" w:sz="4"/>
          <w:insideH w:val="single" w:color="999999" w:sz="4"/>
          <w:insideV w:val="single" w:color="999999" w:sz="4"/>
        </w:tblBorders>
      </w:tblPr>
      <w:tblGrid>
        <w:gridCol w:w="2500"/>
        <w:gridCol w:w="2500"/>
        <w:gridCol w:w="4400"/>
      </w:tblGrid>
      <w:tr>
        <w:tc>
          <w:tcPr>
            <w:tcW w:type="dxa" w:w="2500"/>
            <w:shd w:fill="D9D9D9" w:val="clear"/>
            <w:tcMar>
              <w:top w:type="dxa" w:w="80"/>
              <w:left w:type="dxa" w:w="100"/>
              <w:bottom w:type="dxa" w:w="80"/>
              <w:right w:type="dxa" w:w="100"/>
            </w:tcMar>
          </w:tcPr>
          <w:p>
            <w:pPr>
              <w:jc w:val="center"/>
            </w:pPr>
            <w:r>
              <w:rPr>
                <w:rFonts w:ascii="SimSun" w:cs="SimSun" w:eastAsia="SimSun" w:hAnsi="SimSun"/>
                <w:b/>
                <w:bCs/>
                <w:sz w:val="24"/>
                <w:szCs w:val="24"/>
              </w:rPr>
              <w:t xml:space="preserve">平台</w:t>
            </w:r>
          </w:p>
        </w:tc>
        <w:tc>
          <w:tcPr>
            <w:tcW w:type="dxa" w:w="2500"/>
            <w:shd w:fill="D9D9D9" w:val="clear"/>
            <w:tcMar>
              <w:top w:type="dxa" w:w="80"/>
              <w:left w:type="dxa" w:w="100"/>
              <w:bottom w:type="dxa" w:w="80"/>
              <w:right w:type="dxa" w:w="100"/>
            </w:tcMar>
          </w:tcPr>
          <w:p>
            <w:pPr>
              <w:jc w:val="center"/>
            </w:pPr>
            <w:r>
              <w:rPr>
                <w:rFonts w:ascii="SimSun" w:cs="SimSun" w:eastAsia="SimSun" w:hAnsi="SimSun"/>
                <w:b/>
                <w:bCs/>
                <w:sz w:val="24"/>
                <w:szCs w:val="24"/>
              </w:rPr>
              <w:t xml:space="preserve">内容形式</w:t>
            </w:r>
          </w:p>
        </w:tc>
        <w:tc>
          <w:tcPr>
            <w:tcW w:type="dxa" w:w="4400"/>
            <w:shd w:fill="D9D9D9" w:val="clear"/>
            <w:tcMar>
              <w:top w:type="dxa" w:w="80"/>
              <w:left w:type="dxa" w:w="100"/>
              <w:bottom w:type="dxa" w:w="80"/>
              <w:right w:type="dxa" w:w="100"/>
            </w:tcMar>
          </w:tcPr>
          <w:p>
            <w:pPr>
              <w:jc w:val="center"/>
            </w:pPr>
            <w:r>
              <w:rPr>
                <w:rFonts w:ascii="SimSun" w:cs="SimSun" w:eastAsia="SimSun" w:hAnsi="SimSun"/>
                <w:b/>
                <w:bCs/>
                <w:sz w:val="24"/>
                <w:szCs w:val="24"/>
              </w:rPr>
              <w:t xml:space="preserve">数据表现</w:t>
            </w:r>
          </w:p>
        </w:tc>
      </w:tr>
      <w:tr>
        <w:tc>
          <w:tcPr>
            <w:tcW w:type="dxa" w:w="2500"/>
            <w:tcMar>
              <w:top w:type="dxa" w:w="80"/>
              <w:left w:type="dxa" w:w="100"/>
              <w:bottom w:type="dxa" w:w="80"/>
              <w:right w:type="dxa" w:w="100"/>
            </w:tcMar>
          </w:tcPr>
          <w:p>
            <w:pPr>
              <w:jc w:val="center"/>
            </w:pPr>
            <w:r>
              <w:rPr>
                <w:rFonts w:ascii="SimSun" w:cs="SimSun" w:eastAsia="SimSun" w:hAnsi="SimSun"/>
                <w:b w:val="false"/>
                <w:bCs w:val="false"/>
                <w:sz w:val="24"/>
                <w:szCs w:val="24"/>
              </w:rPr>
              <w:t xml:space="preserve">抖音</w:t>
            </w:r>
          </w:p>
        </w:tc>
        <w:tc>
          <w:tcPr>
            <w:tcW w:type="dxa" w:w="2500"/>
            <w:tcMar>
              <w:top w:type="dxa" w:w="80"/>
              <w:left w:type="dxa" w:w="100"/>
              <w:bottom w:type="dxa" w:w="80"/>
              <w:right w:type="dxa" w:w="100"/>
            </w:tcMar>
          </w:tcPr>
          <w:p>
            <w:pPr>
              <w:jc w:val="center"/>
            </w:pPr>
            <w:r>
              <w:rPr>
                <w:rFonts w:ascii="SimSun" w:cs="SimSun" w:eastAsia="SimSun" w:hAnsi="SimSun"/>
                <w:b w:val="false"/>
                <w:bCs w:val="false"/>
                <w:sz w:val="24"/>
                <w:szCs w:val="24"/>
              </w:rPr>
              <w:t xml:space="preserve">短视频</w:t>
            </w:r>
          </w:p>
        </w:tc>
        <w:tc>
          <w:tcPr>
            <w:tcW w:type="dxa" w:w="4400"/>
            <w:tcMar>
              <w:top w:type="dxa" w:w="80"/>
              <w:left w:type="dxa" w:w="100"/>
              <w:bottom w:type="dxa" w:w="80"/>
              <w:right w:type="dxa" w:w="100"/>
            </w:tcMar>
          </w:tcPr>
          <w:p>
            <w:pPr>
              <w:jc w:val="center"/>
            </w:pPr>
            <w:r>
              <w:rPr>
                <w:rFonts w:ascii="SimSun" w:cs="SimSun" w:eastAsia="SimSun" w:hAnsi="SimSun"/>
                <w:b w:val="false"/>
                <w:bCs w:val="false"/>
                <w:sz w:val="24"/>
                <w:szCs w:val="24"/>
              </w:rPr>
              <w:t xml:space="preserve">点赞1750，新增粉丝50+</w:t>
            </w:r>
          </w:p>
        </w:tc>
      </w:tr>
      <w:tr>
        <w:tc>
          <w:tcPr>
            <w:tcW w:type="dxa" w:w="2500"/>
            <w:tcMar>
              <w:top w:type="dxa" w:w="80"/>
              <w:left w:type="dxa" w:w="100"/>
              <w:bottom w:type="dxa" w:w="80"/>
              <w:right w:type="dxa" w:w="100"/>
            </w:tcMar>
          </w:tcPr>
          <w:p>
            <w:pPr>
              <w:jc w:val="center"/>
            </w:pPr>
            <w:r>
              <w:rPr>
                <w:rFonts w:ascii="SimSun" w:cs="SimSun" w:eastAsia="SimSun" w:hAnsi="SimSun"/>
                <w:b w:val="false"/>
                <w:bCs w:val="false"/>
                <w:sz w:val="24"/>
                <w:szCs w:val="24"/>
              </w:rPr>
              <w:t xml:space="preserve">小红书</w:t>
            </w:r>
          </w:p>
        </w:tc>
        <w:tc>
          <w:tcPr>
            <w:tcW w:type="dxa" w:w="2500"/>
            <w:tcMar>
              <w:top w:type="dxa" w:w="80"/>
              <w:left w:type="dxa" w:w="100"/>
              <w:bottom w:type="dxa" w:w="80"/>
              <w:right w:type="dxa" w:w="100"/>
            </w:tcMar>
          </w:tcPr>
          <w:p>
            <w:pPr>
              <w:jc w:val="center"/>
            </w:pPr>
            <w:r>
              <w:rPr>
                <w:rFonts w:ascii="SimSun" w:cs="SimSun" w:eastAsia="SimSun" w:hAnsi="SimSun"/>
                <w:b w:val="false"/>
                <w:bCs w:val="false"/>
                <w:sz w:val="24"/>
                <w:szCs w:val="24"/>
              </w:rPr>
              <w:t xml:space="preserve">短视频</w:t>
            </w:r>
          </w:p>
        </w:tc>
        <w:tc>
          <w:tcPr>
            <w:tcW w:type="dxa" w:w="4400"/>
            <w:tcMar>
              <w:top w:type="dxa" w:w="80"/>
              <w:left w:type="dxa" w:w="100"/>
              <w:bottom w:type="dxa" w:w="80"/>
              <w:right w:type="dxa" w:w="100"/>
            </w:tcMar>
          </w:tcPr>
          <w:p>
            <w:pPr>
              <w:jc w:val="center"/>
            </w:pPr>
            <w:r>
              <w:rPr>
                <w:rFonts w:ascii="SimSun" w:cs="SimSun" w:eastAsia="SimSun" w:hAnsi="SimSun"/>
                <w:b w:val="false"/>
                <w:bCs w:val="false"/>
                <w:sz w:val="24"/>
                <w:szCs w:val="24"/>
              </w:rPr>
              <w:t xml:space="preserve">点赞200+</w:t>
            </w:r>
          </w:p>
        </w:tc>
      </w:tr>
      <w:tr>
        <w:tc>
          <w:tcPr>
            <w:tcW w:type="dxa" w:w="2500"/>
            <w:tcMar>
              <w:top w:type="dxa" w:w="80"/>
              <w:left w:type="dxa" w:w="100"/>
              <w:bottom w:type="dxa" w:w="80"/>
              <w:right w:type="dxa" w:w="100"/>
            </w:tcMar>
          </w:tcPr>
          <w:p>
            <w:pPr>
              <w:jc w:val="center"/>
            </w:pPr>
            <w:r>
              <w:rPr>
                <w:rFonts w:ascii="SimSun" w:cs="SimSun" w:eastAsia="SimSun" w:hAnsi="SimSun"/>
                <w:b w:val="false"/>
                <w:bCs w:val="false"/>
                <w:sz w:val="24"/>
                <w:szCs w:val="24"/>
              </w:rPr>
              <w:t xml:space="preserve">小红书</w:t>
            </w:r>
          </w:p>
        </w:tc>
        <w:tc>
          <w:tcPr>
            <w:tcW w:type="dxa" w:w="2500"/>
            <w:tcMar>
              <w:top w:type="dxa" w:w="80"/>
              <w:left w:type="dxa" w:w="100"/>
              <w:bottom w:type="dxa" w:w="80"/>
              <w:right w:type="dxa" w:w="100"/>
            </w:tcMar>
          </w:tcPr>
          <w:p>
            <w:pPr>
              <w:jc w:val="center"/>
            </w:pPr>
            <w:r>
              <w:rPr>
                <w:rFonts w:ascii="SimSun" w:cs="SimSun" w:eastAsia="SimSun" w:hAnsi="SimSun"/>
                <w:b w:val="false"/>
                <w:bCs w:val="false"/>
                <w:sz w:val="24"/>
                <w:szCs w:val="24"/>
              </w:rPr>
              <w:t xml:space="preserve">图文笔记</w:t>
            </w:r>
          </w:p>
        </w:tc>
        <w:tc>
          <w:tcPr>
            <w:tcW w:type="dxa" w:w="4400"/>
            <w:tcMar>
              <w:top w:type="dxa" w:w="80"/>
              <w:left w:type="dxa" w:w="100"/>
              <w:bottom w:type="dxa" w:w="80"/>
              <w:right w:type="dxa" w:w="100"/>
            </w:tcMar>
          </w:tcPr>
          <w:p>
            <w:pPr>
              <w:jc w:val="center"/>
            </w:pPr>
            <w:r>
              <w:rPr>
                <w:rFonts w:ascii="SimSun" w:cs="SimSun" w:eastAsia="SimSun" w:hAnsi="SimSun"/>
                <w:b w:val="false"/>
                <w:bCs w:val="false"/>
                <w:sz w:val="24"/>
                <w:szCs w:val="24"/>
              </w:rPr>
              <w:t xml:space="preserve">点赞200+</w:t>
            </w:r>
          </w:p>
        </w:tc>
      </w:tr>
    </w:tbl>
    <w:p>
      <w:pPr>
        <w:spacing w:before="160"/>
      </w:pPr>
    </w:p>
    <w:p>
      <w:pPr>
        <w:pStyle w:val="Heading2"/>
        <w:spacing w:after="120" w:before="160"/>
      </w:pPr>
      <w:r>
        <w:rPr>
          <w:rFonts w:ascii="SimSun" w:cs="SimSun" w:eastAsia="SimSun" w:hAnsi="SimSun"/>
          <w:b/>
          <w:bCs/>
          <w:sz w:val="26"/>
          <w:szCs w:val="26"/>
        </w:rPr>
        <w:t xml:space="preserve">2. 转化数据</w:t>
      </w:r>
    </w:p>
    <w:p>
      <w:pPr>
        <w:spacing w:after="120" w:line="360" w:lineRule="exact"/>
        <w:ind w:firstLine="431"/>
      </w:pPr>
      <w:r>
        <w:rPr>
          <w:rFonts w:ascii="SimSun" w:cs="SimSun" w:eastAsia="SimSun" w:hAnsi="SimSun"/>
          <w:sz w:val="24"/>
          <w:szCs w:val="24"/>
        </w:rPr>
        <w:t xml:space="preserve">小红书有用户通过私信联系，咨询并报名雅思督学/陪练课程，按150元/小时计费。由于向该用户提供了免费试听课，实际累计产生收入900余元。</w:t>
      </w:r>
    </w:p>
    <w:p>
      <w:pPr>
        <w:spacing w:after="120" w:line="360" w:lineRule="exact"/>
      </w:pPr>
      <w:r>
        <w:rPr>
          <w:rFonts w:ascii="SimSun" w:cs="SimSun" w:eastAsia="SimSun" w:hAnsi="SimSun"/>
          <w:sz w:val="24"/>
          <w:szCs w:val="24"/>
        </w:rPr>
        <w:t xml:space="preserve">（此处建议附上：抖音点赞/粉丝增长截图、小红书视频与笔记的点赞截图、私信咨询记录截图〔已做隐私处理〕作为证据材料。）</w:t>
      </w:r>
    </w:p>
    <w:p>
      <w:pPr>
        <w:pStyle w:val="Heading2"/>
        <w:spacing w:after="120" w:before="160"/>
      </w:pPr>
      <w:r>
        <w:rPr>
          <w:rFonts w:ascii="SimSun" w:cs="SimSun" w:eastAsia="SimSun" w:hAnsi="SimSun"/>
          <w:b/>
          <w:bCs/>
          <w:sz w:val="26"/>
          <w:szCs w:val="26"/>
        </w:rPr>
        <w:t xml:space="preserve">3. 效果分析</w:t>
      </w:r>
    </w:p>
    <w:p>
      <w:pPr>
        <w:spacing w:after="120" w:line="360" w:lineRule="exact"/>
        <w:ind w:firstLine="431"/>
      </w:pPr>
      <w:r>
        <w:rPr>
          <w:rFonts w:ascii="SimSun" w:cs="SimSun" w:eastAsia="SimSun" w:hAnsi="SimSun"/>
          <w:sz w:val="24"/>
          <w:szCs w:val="24"/>
        </w:rPr>
        <w:t xml:space="preserve">从数据对比可以看出，抖音与小红书在本次实践中呈现出明显不同的角色分工：抖音凭借算法推荐机制和短视频的强冲击力，带来了远高于小红书的点赞总量和涨粉速度，更适合承担“声量扩散”的功能；小红书的点赞数量相对较低，但由于其搜索属性和内容种草心智更强，带来的用户意图更精准，最终促成了从内容消费到私信咨询、再到实际付费的完整转化链路，这与社交商务理论中“社交互动可以降低决策不确定性、进而推动购买转化”的观点相印证[2]。</w:t>
      </w:r>
    </w:p>
    <w:p>
      <w:pPr>
        <w:spacing w:after="120" w:line="360" w:lineRule="exact"/>
        <w:ind w:firstLine="431"/>
      </w:pPr>
      <w:r>
        <w:rPr>
          <w:rFonts w:ascii="SimSun" w:cs="SimSun" w:eastAsia="SimSun" w:hAnsi="SimSun"/>
          <w:sz w:val="24"/>
          <w:szCs w:val="24"/>
        </w:rPr>
        <w:t xml:space="preserve">这一结果验证了项目设计之初的判断：雅思备考是具有真实付费意愿的刚需场景，只要内容定位准确、人设真实可信，营销效果不仅能体现在点赞、关注等浅层互动指标上，也能延伸至实际的商业转化。</w:t>
      </w:r>
    </w:p>
    <w:p>
      <w:pPr>
        <w:pStyle w:val="Heading1"/>
        <w:spacing w:after="160" w:before="240"/>
      </w:pPr>
      <w:r>
        <w:rPr>
          <w:rFonts w:ascii="SimSun" w:cs="SimSun" w:eastAsia="SimSun" w:hAnsi="SimSun"/>
          <w:b/>
          <w:bCs/>
          <w:sz w:val="28"/>
          <w:szCs w:val="28"/>
        </w:rPr>
        <w:t xml:space="preserve">六、总结与思考</w:t>
      </w:r>
    </w:p>
    <w:p>
      <w:pPr>
        <w:spacing w:after="120" w:line="360" w:lineRule="exact"/>
        <w:ind w:firstLine="431"/>
      </w:pPr>
      <w:r>
        <w:rPr>
          <w:rFonts w:ascii="SimSun" w:cs="SimSun" w:eastAsia="SimSun" w:hAnsi="SimSun"/>
          <w:sz w:val="24"/>
          <w:szCs w:val="24"/>
        </w:rPr>
        <w:t xml:space="preserve">本次实践最大的收获，是验证了“内容是否真正有用”最终需要由受众是否愿意为之付费来检验，而不只是点赞、评论等表层数据。雅思听力与阅读经验分享类内容由于受众需求明确、紧迫，且作者本人具备真实的高分背书，因此更容易跨越“围观”与“信任并付费”之间的门槛。</w:t>
      </w:r>
    </w:p>
    <w:p>
      <w:pPr>
        <w:spacing w:after="120" w:line="360" w:lineRule="exact"/>
        <w:ind w:firstLine="431"/>
      </w:pPr>
      <w:r>
        <w:rPr>
          <w:rFonts w:ascii="SimSun" w:cs="SimSun" w:eastAsia="SimSun" w:hAnsi="SimSun"/>
          <w:sz w:val="24"/>
          <w:szCs w:val="24"/>
        </w:rPr>
        <w:t xml:space="preserve">同时，本次实践也说明抖音与小红书在新媒体营销中并非简单的“同一套内容多平台分发”，而是需要结合平台特性采取差异化策略：抖音适合追求广度和声量，小红书适合追求精准度和转化。</w:t>
      </w:r>
    </w:p>
    <w:p>
      <w:pPr>
        <w:spacing w:after="120" w:line="360" w:lineRule="exact"/>
        <w:ind w:firstLine="431"/>
      </w:pPr>
      <w:r>
        <w:rPr>
          <w:rFonts w:ascii="SimSun" w:cs="SimSun" w:eastAsia="SimSun" w:hAnsi="SimSun"/>
          <w:sz w:val="24"/>
          <w:szCs w:val="24"/>
        </w:rPr>
        <w:t xml:space="preserve">后续若继续运营该账号，可以考虑：一是持续产出“阅读篇”系列内容，丰富账号的内容矩阵；二是跟进已促成试课转化的用户的后续留存情况，评估内容营销对长期付费关系的带动作用；三是进一步优化小红书笔记的关键词布局，提升搜索场景下的曝光效率。</w:t>
      </w:r>
    </w:p>
    <w:p>
      <w:pPr>
        <w:pStyle w:val="Heading1"/>
        <w:spacing w:after="160" w:before="240"/>
      </w:pPr>
      <w:r>
        <w:rPr>
          <w:rFonts w:ascii="SimSun" w:cs="SimSun" w:eastAsia="SimSun" w:hAnsi="SimSun"/>
          <w:b/>
          <w:bCs/>
          <w:sz w:val="28"/>
          <w:szCs w:val="28"/>
        </w:rPr>
        <w:t xml:space="preserve">参考文献</w:t>
      </w:r>
    </w:p>
    <w:p>
      <w:pPr>
        <w:spacing w:after="120" w:line="360" w:lineRule="exact"/>
      </w:pPr>
      <w:r>
        <w:rPr>
          <w:rFonts w:ascii="SimSun" w:cs="SimSun" w:eastAsia="SimSun" w:hAnsi="SimSun"/>
          <w:sz w:val="24"/>
          <w:szCs w:val="24"/>
        </w:rPr>
        <w:t xml:space="preserve">以下按GB/T 7714-2025《信息与文献 参考文献著录规则》顺序编码制格式列出，[3]的版本信息请核对后补全（课程参考书目仅给出书名与版次，未注明出版社和年份）。</w:t>
      </w:r>
    </w:p>
    <w:p>
      <w:pPr>
        <w:spacing w:after="120" w:line="360" w:lineRule="exact"/>
      </w:pPr>
      <w:r>
        <w:rPr>
          <w:rFonts w:ascii="SimSun" w:cs="SimSun" w:eastAsia="SimSun" w:hAnsi="SimSun"/>
          <w:sz w:val="24"/>
          <w:szCs w:val="24"/>
        </w:rPr>
        <w:t xml:space="preserve">[1] 杜鹏, 樊帅巾. 新媒体营销: 基础、策略与工具[M]. 北京: 清华大学出版社, 2024.</w:t>
      </w:r>
    </w:p>
    <w:p>
      <w:pPr>
        <w:spacing w:after="120" w:line="360" w:lineRule="exact"/>
      </w:pPr>
      <w:r>
        <w:rPr>
          <w:rFonts w:ascii="SimSun" w:cs="SimSun" w:eastAsia="SimSun" w:hAnsi="SimSun"/>
          <w:sz w:val="24"/>
          <w:szCs w:val="24"/>
        </w:rPr>
        <w:t xml:space="preserve">[2] TURBAN E, STRAUSS J, LAI L. Social Commerce: Marketing, Technology and Management[M]. 朱镇, 等译. 北京: 机械工业出版社, 2018.</w:t>
      </w:r>
    </w:p>
    <w:p>
      <w:pPr>
        <w:spacing w:after="120" w:line="360" w:lineRule="exact"/>
      </w:pPr>
      <w:r>
        <w:rPr>
          <w:rFonts w:ascii="SimSun" w:cs="SimSun" w:eastAsia="SimSun" w:hAnsi="SimSun"/>
          <w:sz w:val="24"/>
          <w:szCs w:val="24"/>
        </w:rPr>
        <w:t xml:space="preserve">[3] STRAUSS J, FROST R. E-Marketing[M]. 7th ed. ［出版社、出版年请核对后补全］.</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2026-10-26T08:51:59.186Z</dcterms:created>
  <dcterms:modified xsi:type="dcterms:W3CDTF">2026-10-26T08:51:59.195Z</dcterms:modified>
</cp:coreProperties>
</file>

<file path=docProps/custom.xml><?xml version="1.0" encoding="utf-8"?>
<Properties xmlns="http://schemas.openxmlformats.org/officeDocument/2006/custom-properties" xmlns:vt="http://schemas.openxmlformats.org/officeDocument/2006/docPropsVTypes"/>
</file>