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Joyce Mylle Pontes Farias Lemos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810"/>
        <w:gridCol w:w="6045"/>
        <w:gridCol w:w="1020"/>
        <w:tblGridChange w:id="0">
          <w:tblGrid>
            <w:gridCol w:w="780"/>
            <w:gridCol w:w="810"/>
            <w:gridCol w:w="604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 de R$ 55,00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Renovação de produtos cadastrados com 90 dias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Renovação de produtos cadastrados há 95 dias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máximo de 149 itens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máximo de 150 itens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Cadastro máximo de 151 itens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com autenticação, permitir cadastro de produtos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sem autenticação, permitir cadastro de produtos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Usuário não administrador com autenticação, permitir cadastro de produtos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Usuário não administrador sem autenticação, permitir cadastro de produtos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CT03 - Renovação de produtos cadastrados com 90 dias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CT07 - Cadastro máximo de 151 itens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CT08 - Administrador com autenticação, permitir cadastro de produtos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CT09 - Administrador sem autenticação, permitir cadastro de produtos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CT10 - Usuário não administrador com autenticação, permitir cadastro de produtos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CT11 - Usuário não administrador sem autenticação, permitir cadastro de produtos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CT04 - Renovação de produtos cadastrados há 95 dias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CT05 - Cadastro máximo de 149 itens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CT06 - Cadastro máximo de 150 itens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CT02 - Cadastro de produtos com valor de R$ 55,00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CT02 - Cadastro de produtos com valor de R$ 55,00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Caso a implementação dessa regra não tenha ocorrido corretamente, o usuário poderá ser impedido de registrar itens no sistema ainda que estes estejam atendendo a RN01 e a falta desse cadastro pode impactar o faturamento do negócio, pois, muito provável que o produto não possa ser comercializado sem registro sistêmico. Logo, apesar de uma </w:t>
      </w:r>
      <w:r w:rsidDel="00000000" w:rsidR="00000000" w:rsidRPr="00000000">
        <w:rPr>
          <w:shd w:fill="ffe599" w:val="clear"/>
          <w:rtl w:val="0"/>
        </w:rPr>
        <w:t xml:space="preserve">baixa probabilidade identifica-se um alto impacto.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CT08 - Administrador com autenticação, permitir cadastro de produtos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Caso a regra RN04 não funcione corretamente, assim como no CT02 o usuário será impedido de cadastrar um produto em sistema e a ausência desse cadastro poderá impactar no faturamento do negócio, daí o </w:t>
      </w:r>
      <w:r w:rsidDel="00000000" w:rsidR="00000000" w:rsidRPr="00000000">
        <w:rPr>
          <w:shd w:fill="ffe599" w:val="clear"/>
          <w:rtl w:val="0"/>
        </w:rPr>
        <w:t xml:space="preserve">alto impacto</w:t>
      </w:r>
      <w:r w:rsidDel="00000000" w:rsidR="00000000" w:rsidRPr="00000000">
        <w:rPr>
          <w:rtl w:val="0"/>
        </w:rPr>
        <w:t xml:space="preserve"> identificado. Aqui, entende-se que há uma </w:t>
      </w:r>
      <w:r w:rsidDel="00000000" w:rsidR="00000000" w:rsidRPr="00000000">
        <w:rPr>
          <w:shd w:fill="ffe599" w:val="clear"/>
          <w:rtl w:val="0"/>
        </w:rPr>
        <w:t xml:space="preserve">maior probabilidade</w:t>
      </w:r>
      <w:r w:rsidDel="00000000" w:rsidR="00000000" w:rsidRPr="00000000">
        <w:rPr>
          <w:rtl w:val="0"/>
        </w:rPr>
        <w:t xml:space="preserve"> de ocorrer falha devido ao processo de autenticação ter potencial de adicionar uma camada a mais de complexidade a implementação da regra.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CT09 - Administrador sem autenticação, permitir 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CT10 - Usuário não administrador com autenticação, permitir 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CT11 - Usuário não administrador sem autenticação, permitir cadastro de produtos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Os CT09, 10 e 11, partem do mesmo princípio para definição de </w:t>
      </w:r>
      <w:r w:rsidDel="00000000" w:rsidR="00000000" w:rsidRPr="00000000">
        <w:rPr>
          <w:shd w:fill="ffe599" w:val="clear"/>
          <w:rtl w:val="0"/>
        </w:rPr>
        <w:t xml:space="preserve">alta probabilidade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shd w:fill="ffe599" w:val="clear"/>
          <w:rtl w:val="0"/>
        </w:rPr>
        <w:t xml:space="preserve"> alto impacto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Em caso de erro na aplicação da regra RN04, pode-se permitir o cadastro de produtos por usuários indevidos que não tenham passado pela camada de segurança aferida pela autenticação. A </w:t>
      </w:r>
      <w:r w:rsidDel="00000000" w:rsidR="00000000" w:rsidRPr="00000000">
        <w:rPr>
          <w:shd w:fill="ffe599" w:val="clear"/>
          <w:rtl w:val="0"/>
        </w:rPr>
        <w:t xml:space="preserve">alta probabilidade</w:t>
      </w:r>
      <w:r w:rsidDel="00000000" w:rsidR="00000000" w:rsidRPr="00000000">
        <w:rPr>
          <w:rtl w:val="0"/>
        </w:rPr>
        <w:t xml:space="preserve"> se configura pela possível existência de múltiplos usuários, com diversos perfis, acessando ao sistema sem possuir as devidas orientações de uso.O </w:t>
      </w:r>
      <w:r w:rsidDel="00000000" w:rsidR="00000000" w:rsidRPr="00000000">
        <w:rPr>
          <w:shd w:fill="ffe599" w:val="clear"/>
          <w:rtl w:val="0"/>
        </w:rPr>
        <w:t xml:space="preserve">alto impacto</w:t>
      </w:r>
      <w:r w:rsidDel="00000000" w:rsidR="00000000" w:rsidRPr="00000000">
        <w:rPr>
          <w:rtl w:val="0"/>
        </w:rPr>
        <w:t xml:space="preserve"> se dá pela falha na segurança que pode ser acarretada caso o CT não resulte em inválido, além de um possível cadastro incorreto do item em sistema.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l4pj0cu2h/AOe1E7t2O6I45vQ==">CgMxLjAyCWlkLmdqZGd4czgAciExdnZlVTZjNGZ6a051SHJWSDhNYU5uc2llRXFEdGRvNUo=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</cp:coreProperties>
</file>