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5476D1" w14:textId="77777777" w:rsidR="006C5F8A" w:rsidRPr="002C51AE" w:rsidRDefault="000C2BD7" w:rsidP="002C51AE">
      <w:pPr>
        <w:spacing w:after="240"/>
        <w:contextualSpacing/>
        <w:rPr>
          <w:rFonts w:ascii="Times New Roman" w:hAnsi="Times New Roman"/>
          <w:bCs/>
          <w:spacing w:val="5"/>
        </w:rPr>
      </w:pPr>
      <w:r w:rsidRPr="002C51AE">
        <w:rPr>
          <w:rFonts w:ascii="Times New Roman" w:hAnsi="Times New Roman"/>
          <w:b/>
          <w:bCs/>
          <w:spacing w:val="5"/>
        </w:rPr>
        <w:t>Title of Program:</w:t>
      </w:r>
      <w:r w:rsidR="00717D3D" w:rsidRPr="002C51AE">
        <w:rPr>
          <w:rFonts w:ascii="Times New Roman" w:hAnsi="Times New Roman"/>
          <w:b/>
          <w:bCs/>
          <w:spacing w:val="5"/>
        </w:rPr>
        <w:t xml:space="preserve"> </w:t>
      </w:r>
      <w:r w:rsidR="008A7A33" w:rsidRPr="002C51AE">
        <w:rPr>
          <w:rFonts w:ascii="Times New Roman" w:hAnsi="Times New Roman"/>
          <w:bCs/>
          <w:spacing w:val="5"/>
        </w:rPr>
        <w:t xml:space="preserve">Modeling to Learn, </w:t>
      </w:r>
      <w:r w:rsidR="006C5F8A" w:rsidRPr="002C51AE">
        <w:rPr>
          <w:rFonts w:ascii="Times New Roman" w:hAnsi="Times New Roman"/>
          <w:bCs/>
          <w:spacing w:val="5"/>
        </w:rPr>
        <w:t>Session Three: Care Coordination Part I</w:t>
      </w:r>
    </w:p>
    <w:p w14:paraId="16957910" w14:textId="77777777" w:rsidR="00415870" w:rsidRPr="002C51AE" w:rsidRDefault="00415870" w:rsidP="002C51AE">
      <w:pPr>
        <w:spacing w:after="240"/>
        <w:contextualSpacing/>
        <w:rPr>
          <w:rFonts w:ascii="Times New Roman" w:hAnsi="Times New Roman"/>
          <w:b/>
          <w:bCs/>
          <w:spacing w:val="5"/>
        </w:rPr>
      </w:pPr>
    </w:p>
    <w:p w14:paraId="005F1F80" w14:textId="3D40F497" w:rsidR="000C2BD7" w:rsidRPr="002C51AE" w:rsidRDefault="000C2BD7" w:rsidP="002C51AE">
      <w:pPr>
        <w:spacing w:after="240"/>
        <w:contextualSpacing/>
        <w:rPr>
          <w:rFonts w:ascii="Times New Roman" w:hAnsi="Times New Roman"/>
          <w:bCs/>
          <w:spacing w:val="5"/>
        </w:rPr>
      </w:pPr>
      <w:r w:rsidRPr="002C51AE">
        <w:rPr>
          <w:rFonts w:ascii="Times New Roman" w:hAnsi="Times New Roman"/>
          <w:b/>
          <w:bCs/>
          <w:spacing w:val="5"/>
        </w:rPr>
        <w:t>Client Program Office:</w:t>
      </w:r>
      <w:r w:rsidR="00F319D6" w:rsidRPr="002C51AE">
        <w:rPr>
          <w:rFonts w:ascii="Times New Roman" w:hAnsi="Times New Roman"/>
          <w:b/>
          <w:bCs/>
          <w:spacing w:val="5"/>
        </w:rPr>
        <w:t xml:space="preserve"> </w:t>
      </w:r>
      <w:r w:rsidR="00C674BE">
        <w:rPr>
          <w:rFonts w:ascii="Times New Roman" w:hAnsi="Times New Roman"/>
          <w:bCs/>
          <w:spacing w:val="5"/>
        </w:rPr>
        <w:t>National Center for PTSD- Training and Dissemination Division</w:t>
      </w:r>
    </w:p>
    <w:p w14:paraId="7F52121B" w14:textId="77777777" w:rsidR="00415870" w:rsidRPr="002C51AE" w:rsidRDefault="00415870" w:rsidP="002C51AE">
      <w:pPr>
        <w:spacing w:after="240"/>
        <w:contextualSpacing/>
        <w:rPr>
          <w:rFonts w:ascii="Times New Roman" w:hAnsi="Times New Roman"/>
          <w:b/>
          <w:bCs/>
          <w:spacing w:val="5"/>
          <w:highlight w:val="yellow"/>
        </w:rPr>
      </w:pPr>
    </w:p>
    <w:p w14:paraId="5F1808B2" w14:textId="77777777" w:rsidR="002C51AE" w:rsidRDefault="000C2BD7" w:rsidP="002C51AE">
      <w:pPr>
        <w:spacing w:after="240"/>
        <w:contextualSpacing/>
        <w:rPr>
          <w:rFonts w:ascii="Times New Roman" w:hAnsi="Times New Roman"/>
          <w:b/>
          <w:bCs/>
          <w:spacing w:val="5"/>
          <w:highlight w:val="yellow"/>
        </w:rPr>
      </w:pPr>
      <w:r w:rsidRPr="002C51AE">
        <w:rPr>
          <w:rFonts w:ascii="Times New Roman" w:hAnsi="Times New Roman"/>
          <w:b/>
          <w:bCs/>
          <w:spacing w:val="5"/>
          <w:highlight w:val="yellow"/>
        </w:rPr>
        <w:t>Program Start Date(s) and time(s):</w:t>
      </w:r>
      <w:r w:rsidR="00415870" w:rsidRPr="002C51AE">
        <w:rPr>
          <w:rFonts w:ascii="Times New Roman" w:hAnsi="Times New Roman"/>
          <w:b/>
          <w:bCs/>
          <w:spacing w:val="5"/>
          <w:highlight w:val="yellow"/>
        </w:rPr>
        <w:t xml:space="preserve"> </w:t>
      </w:r>
    </w:p>
    <w:p w14:paraId="5C48105E" w14:textId="38127F83" w:rsidR="000C2BD7" w:rsidRPr="00C674BE" w:rsidRDefault="00415870" w:rsidP="002C51AE">
      <w:pPr>
        <w:spacing w:after="240"/>
        <w:contextualSpacing/>
        <w:rPr>
          <w:rFonts w:ascii="Times New Roman" w:hAnsi="Times New Roman"/>
          <w:bCs/>
          <w:spacing w:val="5"/>
          <w:highlight w:val="yellow"/>
        </w:rPr>
      </w:pPr>
      <w:r w:rsidRPr="00C674BE">
        <w:rPr>
          <w:rFonts w:ascii="Times New Roman" w:hAnsi="Times New Roman"/>
          <w:bCs/>
          <w:spacing w:val="5"/>
          <w:highlight w:val="yellow"/>
        </w:rPr>
        <w:t>To be specified</w:t>
      </w:r>
    </w:p>
    <w:p w14:paraId="0A8D97F6" w14:textId="77777777" w:rsidR="00415870" w:rsidRPr="002C51AE" w:rsidRDefault="00415870" w:rsidP="002C51AE">
      <w:pPr>
        <w:spacing w:after="240"/>
        <w:contextualSpacing/>
        <w:rPr>
          <w:rFonts w:ascii="Times New Roman" w:hAnsi="Times New Roman"/>
          <w:b/>
          <w:bCs/>
          <w:color w:val="000000"/>
          <w:spacing w:val="5"/>
        </w:rPr>
      </w:pPr>
    </w:p>
    <w:p w14:paraId="53A8E00F" w14:textId="77777777" w:rsidR="009030AE" w:rsidRPr="002C51AE" w:rsidRDefault="000C2BD7" w:rsidP="002C51AE">
      <w:pPr>
        <w:spacing w:after="240"/>
        <w:contextualSpacing/>
        <w:rPr>
          <w:rFonts w:ascii="Times New Roman" w:hAnsi="Times New Roman"/>
          <w:b/>
          <w:bCs/>
          <w:color w:val="000000"/>
          <w:spacing w:val="5"/>
        </w:rPr>
      </w:pPr>
      <w:commentRangeStart w:id="0"/>
      <w:r w:rsidRPr="002C51AE">
        <w:rPr>
          <w:rFonts w:ascii="Times New Roman" w:hAnsi="Times New Roman"/>
          <w:b/>
          <w:bCs/>
          <w:color w:val="000000"/>
          <w:spacing w:val="5"/>
        </w:rPr>
        <w:t>Purpose Statement:</w:t>
      </w:r>
      <w:r w:rsidR="009030AE" w:rsidRPr="002C51AE">
        <w:rPr>
          <w:rFonts w:ascii="Times New Roman" w:hAnsi="Times New Roman"/>
          <w:b/>
          <w:bCs/>
          <w:color w:val="000000"/>
          <w:spacing w:val="5"/>
        </w:rPr>
        <w:t xml:space="preserve">  </w:t>
      </w:r>
      <w:commentRangeEnd w:id="0"/>
      <w:r w:rsidR="008A7A33" w:rsidRPr="002C51AE">
        <w:rPr>
          <w:rStyle w:val="CommentReference"/>
          <w:rFonts w:ascii="Times New Roman" w:hAnsi="Times New Roman"/>
          <w:sz w:val="22"/>
          <w:szCs w:val="22"/>
        </w:rPr>
        <w:commentReference w:id="0"/>
      </w:r>
    </w:p>
    <w:p w14:paraId="1ACCCB5C" w14:textId="77777777" w:rsidR="00415870" w:rsidRPr="002C51AE" w:rsidRDefault="00415870" w:rsidP="002C51AE">
      <w:pPr>
        <w:spacing w:after="240"/>
        <w:contextualSpacing/>
        <w:rPr>
          <w:rFonts w:ascii="Times New Roman" w:hAnsi="Times New Roman"/>
          <w:b/>
          <w:bCs/>
          <w:color w:val="000000"/>
          <w:spacing w:val="5"/>
        </w:rPr>
      </w:pPr>
    </w:p>
    <w:p w14:paraId="10A8759F" w14:textId="1A8C7E0F" w:rsidR="009030AE" w:rsidRPr="002C51AE" w:rsidRDefault="009030AE" w:rsidP="002C51AE">
      <w:pPr>
        <w:spacing w:after="240"/>
        <w:contextualSpacing/>
        <w:rPr>
          <w:rFonts w:ascii="Times New Roman" w:hAnsi="Times New Roman"/>
          <w:b/>
          <w:bCs/>
          <w:color w:val="000000"/>
          <w:spacing w:val="5"/>
          <w:highlight w:val="yellow"/>
        </w:rPr>
      </w:pPr>
      <w:r w:rsidRPr="002C51AE">
        <w:rPr>
          <w:rFonts w:ascii="Times New Roman" w:hAnsi="Times New Roman"/>
          <w:color w:val="333333"/>
          <w:spacing w:val="2"/>
        </w:rPr>
        <w:t>Over the past decade, Veterans Health Administration has invested in the dissemination of evidence-based psychotherapies and pharmacotherapies (EBPs) in the outpatient mental health system.</w:t>
      </w:r>
      <w:r w:rsidR="00415870" w:rsidRPr="002C51AE">
        <w:rPr>
          <w:rStyle w:val="EndnoteReference"/>
          <w:rFonts w:ascii="Times New Roman" w:hAnsi="Times New Roman"/>
          <w:color w:val="333333"/>
          <w:spacing w:val="2"/>
        </w:rPr>
        <w:endnoteReference w:id="1"/>
      </w:r>
      <w:r w:rsidR="00415870" w:rsidRPr="002C51AE">
        <w:rPr>
          <w:rFonts w:ascii="Times New Roman" w:hAnsi="Times New Roman"/>
          <w:color w:val="333333"/>
          <w:spacing w:val="2"/>
          <w:vertAlign w:val="superscript"/>
        </w:rPr>
        <w:t>-</w:t>
      </w:r>
      <w:r w:rsidRPr="002C51AE">
        <w:rPr>
          <w:rFonts w:ascii="Times New Roman" w:hAnsi="Times New Roman"/>
          <w:color w:val="333333"/>
          <w:spacing w:val="2"/>
          <w:vertAlign w:val="superscript"/>
        </w:rPr>
        <w:t>3</w:t>
      </w:r>
      <w:r w:rsidRPr="002C51AE">
        <w:rPr>
          <w:rFonts w:ascii="Times New Roman" w:hAnsi="Times New Roman"/>
          <w:color w:val="333333"/>
          <w:spacing w:val="2"/>
        </w:rPr>
        <w:t xml:space="preserve"> based on substantial evidence of EBP effectiveness as compared to usual care. EBPs are high value treatments that meet veterans’ mental health care needs and can reduce chronic impairment, and prevent suicide and overdose.</w:t>
      </w:r>
      <w:r w:rsidRPr="002C51AE">
        <w:rPr>
          <w:rFonts w:ascii="Times New Roman" w:hAnsi="Times New Roman"/>
          <w:color w:val="333333"/>
          <w:spacing w:val="2"/>
          <w:vertAlign w:val="superscript"/>
        </w:rPr>
        <w:t>4-9</w:t>
      </w:r>
      <w:r w:rsidRPr="002C51AE">
        <w:rPr>
          <w:rFonts w:ascii="Times New Roman" w:hAnsi="Times New Roman"/>
          <w:color w:val="333333"/>
          <w:spacing w:val="2"/>
        </w:rPr>
        <w:t xml:space="preserve"> Despite the evidence of effectiveness, access to EBPs may not be timely and the reach of EBP for common and costly high risk concerns – PTSD, depression and opioid use disorder – can be low (3%- 28%).</w:t>
      </w:r>
      <w:r w:rsidRPr="002C51AE">
        <w:rPr>
          <w:rStyle w:val="FootnoteReference"/>
          <w:rFonts w:ascii="Times New Roman" w:hAnsi="Times New Roman"/>
          <w:color w:val="333333"/>
          <w:spacing w:val="2"/>
        </w:rPr>
        <w:t>10-12</w:t>
      </w:r>
      <w:r w:rsidRPr="002C51AE">
        <w:rPr>
          <w:rFonts w:ascii="Times New Roman" w:hAnsi="Times New Roman"/>
          <w:color w:val="333333"/>
          <w:spacing w:val="2"/>
        </w:rPr>
        <w:t xml:space="preserve">  As a result, the Veterans Administration prioritizes high-value quality improvement statements to increase timely Veteran access to effective mental health care.</w:t>
      </w:r>
    </w:p>
    <w:p w14:paraId="29B503E5" w14:textId="77777777" w:rsidR="009030AE" w:rsidRPr="002C51AE" w:rsidRDefault="009030AE" w:rsidP="002C51AE">
      <w:pPr>
        <w:autoSpaceDE w:val="0"/>
        <w:autoSpaceDN w:val="0"/>
        <w:adjustRightInd w:val="0"/>
        <w:spacing w:after="240"/>
        <w:contextualSpacing/>
        <w:rPr>
          <w:rFonts w:ascii="Times New Roman" w:hAnsi="Times New Roman"/>
          <w:iCs/>
        </w:rPr>
      </w:pPr>
      <w:r w:rsidRPr="002C51AE">
        <w:rPr>
          <w:rFonts w:ascii="Times New Roman" w:hAnsi="Times New Roman"/>
          <w:iCs/>
        </w:rPr>
        <w:t xml:space="preserve">Participatory systems dynamics modeling can be an effective process for local staff to employ to address these gaps in timely access to mental health care through process adjustments and rapid tests of change. </w:t>
      </w:r>
      <w:r w:rsidRPr="002C51AE">
        <w:rPr>
          <w:rFonts w:ascii="Times New Roman" w:hAnsi="Times New Roman"/>
        </w:rPr>
        <w:t>This training program is a series of remotely facilitated</w:t>
      </w:r>
      <w:r w:rsidRPr="002C51AE">
        <w:rPr>
          <w:rFonts w:ascii="Times New Roman" w:hAnsi="Times New Roman"/>
          <w:iCs/>
        </w:rPr>
        <w:t xml:space="preserve"> workshops with front line clinic teams to develop their systems thinking and systems dynamics modeling skill.</w:t>
      </w:r>
    </w:p>
    <w:p w14:paraId="20632556" w14:textId="77777777" w:rsidR="009030AE" w:rsidRPr="002C51AE" w:rsidRDefault="009030AE" w:rsidP="002C51AE">
      <w:pPr>
        <w:autoSpaceDE w:val="0"/>
        <w:autoSpaceDN w:val="0"/>
        <w:adjustRightInd w:val="0"/>
        <w:spacing w:after="240"/>
        <w:contextualSpacing/>
        <w:rPr>
          <w:rFonts w:ascii="Times New Roman" w:hAnsi="Times New Roman"/>
          <w:iCs/>
        </w:rPr>
      </w:pPr>
    </w:p>
    <w:p w14:paraId="169C101D" w14:textId="77777777" w:rsidR="009030AE" w:rsidRPr="002C51AE" w:rsidRDefault="009030AE" w:rsidP="002C51AE">
      <w:pPr>
        <w:autoSpaceDE w:val="0"/>
        <w:autoSpaceDN w:val="0"/>
        <w:adjustRightInd w:val="0"/>
        <w:spacing w:after="240"/>
        <w:contextualSpacing/>
        <w:rPr>
          <w:rFonts w:ascii="Times New Roman" w:hAnsi="Times New Roman"/>
          <w:iCs/>
        </w:rPr>
      </w:pPr>
      <w:r w:rsidRPr="002C51AE">
        <w:rPr>
          <w:rFonts w:ascii="Times New Roman" w:hAnsi="Times New Roman"/>
          <w:iCs/>
        </w:rPr>
        <w:t>The course provides data visualization and simulation tools that allow participating staff the opportunity to understand the factors that affect EBP reach, develop shared insights to improve team decision-making and implement  and test plans to determine which approaches are more likely to achieve desired outcomes related to timely access to mental health services.</w:t>
      </w:r>
    </w:p>
    <w:p w14:paraId="7C22E107" w14:textId="77777777" w:rsidR="0014227A" w:rsidRPr="002C51AE" w:rsidRDefault="0014227A" w:rsidP="002C51AE">
      <w:pPr>
        <w:autoSpaceDE w:val="0"/>
        <w:autoSpaceDN w:val="0"/>
        <w:adjustRightInd w:val="0"/>
        <w:spacing w:after="240"/>
        <w:contextualSpacing/>
        <w:rPr>
          <w:rFonts w:ascii="Times New Roman" w:hAnsi="Times New Roman"/>
          <w:iCs/>
        </w:rPr>
      </w:pPr>
    </w:p>
    <w:p w14:paraId="611FC818" w14:textId="77777777" w:rsidR="0014227A" w:rsidRPr="002C51AE" w:rsidRDefault="0014227A" w:rsidP="002C51AE">
      <w:pPr>
        <w:autoSpaceDE w:val="0"/>
        <w:autoSpaceDN w:val="0"/>
        <w:adjustRightInd w:val="0"/>
        <w:spacing w:after="240"/>
        <w:contextualSpacing/>
        <w:rPr>
          <w:rFonts w:ascii="Times New Roman" w:hAnsi="Times New Roman"/>
          <w:iCs/>
        </w:rPr>
      </w:pPr>
      <w:r w:rsidRPr="002C51AE">
        <w:rPr>
          <w:rFonts w:ascii="Times New Roman" w:hAnsi="Times New Roman"/>
          <w:iCs/>
        </w:rPr>
        <w:t>The purpose of the course is to enable local clinic staff to use their clinic data to make decisions for optimizing local EBP reach.</w:t>
      </w:r>
    </w:p>
    <w:p w14:paraId="1B4C38FB" w14:textId="77777777" w:rsidR="009030AE" w:rsidRPr="002C51AE" w:rsidRDefault="009030AE" w:rsidP="002C51AE">
      <w:pPr>
        <w:spacing w:after="240"/>
        <w:contextualSpacing/>
        <w:rPr>
          <w:rFonts w:ascii="Times New Roman" w:hAnsi="Times New Roman"/>
          <w:b/>
          <w:bCs/>
          <w:color w:val="000000"/>
          <w:spacing w:val="5"/>
          <w:highlight w:val="yellow"/>
        </w:rPr>
      </w:pPr>
    </w:p>
    <w:p w14:paraId="5632BD1D" w14:textId="3E7911DE" w:rsidR="004E220A" w:rsidRPr="002C51AE" w:rsidRDefault="000C2BD7" w:rsidP="002C51AE">
      <w:pPr>
        <w:spacing w:after="240"/>
        <w:contextualSpacing/>
        <w:rPr>
          <w:rFonts w:ascii="Times New Roman" w:hAnsi="Times New Roman"/>
        </w:rPr>
      </w:pPr>
      <w:r w:rsidRPr="002C51AE">
        <w:rPr>
          <w:rFonts w:ascii="Times New Roman" w:hAnsi="Times New Roman"/>
          <w:b/>
          <w:bCs/>
          <w:color w:val="000000"/>
          <w:spacing w:val="5"/>
        </w:rPr>
        <w:t>Target Audience:</w:t>
      </w:r>
      <w:r w:rsidR="00AB2848" w:rsidRPr="002C51AE">
        <w:rPr>
          <w:rFonts w:ascii="Times New Roman" w:hAnsi="Times New Roman"/>
          <w:b/>
          <w:bCs/>
          <w:color w:val="000000"/>
          <w:spacing w:val="5"/>
        </w:rPr>
        <w:t xml:space="preserve"> </w:t>
      </w:r>
      <w:r w:rsidR="001E2718" w:rsidRPr="002C51AE">
        <w:rPr>
          <w:rFonts w:ascii="Times New Roman" w:hAnsi="Times New Roman"/>
          <w:b/>
          <w:bCs/>
          <w:color w:val="000000"/>
          <w:spacing w:val="5"/>
        </w:rPr>
        <w:t xml:space="preserve"> </w:t>
      </w:r>
      <w:r w:rsidR="004E220A" w:rsidRPr="002C51AE">
        <w:rPr>
          <w:rFonts w:ascii="Times New Roman" w:hAnsi="Times New Roman"/>
          <w:shd w:val="clear" w:color="auto" w:fill="FFFFFF"/>
        </w:rPr>
        <w:t>Th</w:t>
      </w:r>
      <w:r w:rsidR="00415870" w:rsidRPr="002C51AE">
        <w:rPr>
          <w:rFonts w:ascii="Times New Roman" w:hAnsi="Times New Roman"/>
          <w:shd w:val="clear" w:color="auto" w:fill="FFFFFF"/>
        </w:rPr>
        <w:t>e</w:t>
      </w:r>
      <w:r w:rsidR="004E220A" w:rsidRPr="002C51AE">
        <w:rPr>
          <w:rFonts w:ascii="Times New Roman" w:hAnsi="Times New Roman"/>
          <w:shd w:val="clear" w:color="auto" w:fill="FFFFFF"/>
        </w:rPr>
        <w:t xml:space="preserve"> </w:t>
      </w:r>
      <w:r w:rsidR="004E220A" w:rsidRPr="002C51AE">
        <w:rPr>
          <w:rFonts w:ascii="Times New Roman" w:hAnsi="Times New Roman"/>
          <w:i/>
          <w:iCs/>
          <w:shd w:val="clear" w:color="auto" w:fill="FFFFFF"/>
        </w:rPr>
        <w:t>Modeling to Learn</w:t>
      </w:r>
      <w:r w:rsidR="004E220A" w:rsidRPr="002C51AE">
        <w:rPr>
          <w:rFonts w:ascii="Times New Roman" w:hAnsi="Times New Roman"/>
          <w:shd w:val="clear" w:color="auto" w:fill="FFFFFF"/>
        </w:rPr>
        <w:t xml:space="preserve"> workshop series is designed for t</w:t>
      </w:r>
      <w:r w:rsidR="004E220A" w:rsidRPr="002C51AE">
        <w:rPr>
          <w:rFonts w:ascii="Times New Roman" w:hAnsi="Times New Roman"/>
        </w:rPr>
        <w:t>eams of multidisciplinary staff in VAHS outpatient mental health, including psychiatrists, psychologists, social workers, nurses, counselors, certified peer-support specialists, other professional disciplin</w:t>
      </w:r>
      <w:r w:rsidR="00415870" w:rsidRPr="002C51AE">
        <w:rPr>
          <w:rFonts w:ascii="Times New Roman" w:hAnsi="Times New Roman"/>
        </w:rPr>
        <w:t>es, and trainees (e.g., practicum</w:t>
      </w:r>
      <w:r w:rsidR="004E220A" w:rsidRPr="002C51AE">
        <w:rPr>
          <w:rFonts w:ascii="Times New Roman" w:hAnsi="Times New Roman"/>
        </w:rPr>
        <w:t>, intern, resident and fellow).</w:t>
      </w:r>
    </w:p>
    <w:p w14:paraId="738DE9C2" w14:textId="77777777" w:rsidR="000C2BD7" w:rsidRPr="002C51AE" w:rsidRDefault="000C2BD7" w:rsidP="002C51AE">
      <w:pPr>
        <w:spacing w:after="240"/>
        <w:contextualSpacing/>
        <w:rPr>
          <w:rFonts w:ascii="Times New Roman" w:hAnsi="Times New Roman"/>
          <w:b/>
          <w:bCs/>
          <w:color w:val="000000"/>
          <w:spacing w:val="5"/>
          <w:highlight w:val="yellow"/>
        </w:rPr>
      </w:pPr>
    </w:p>
    <w:p w14:paraId="264DAAB8" w14:textId="77777777" w:rsidR="000C2BD7" w:rsidRPr="002C51AE" w:rsidRDefault="000C2BD7" w:rsidP="002C51AE">
      <w:pPr>
        <w:spacing w:after="240"/>
        <w:contextualSpacing/>
        <w:rPr>
          <w:rFonts w:ascii="Times New Roman" w:hAnsi="Times New Roman"/>
          <w:b/>
          <w:bCs/>
          <w:color w:val="000000"/>
          <w:spacing w:val="5"/>
        </w:rPr>
      </w:pPr>
      <w:commentRangeStart w:id="1"/>
      <w:r w:rsidRPr="002C51AE">
        <w:rPr>
          <w:rFonts w:ascii="Times New Roman" w:hAnsi="Times New Roman"/>
          <w:b/>
          <w:bCs/>
          <w:color w:val="000000"/>
          <w:spacing w:val="5"/>
        </w:rPr>
        <w:t>Objectives:</w:t>
      </w:r>
      <w:commentRangeEnd w:id="1"/>
      <w:r w:rsidR="008C6C0B" w:rsidRPr="002C51AE">
        <w:rPr>
          <w:rStyle w:val="CommentReference"/>
          <w:rFonts w:ascii="Times New Roman" w:hAnsi="Times New Roman"/>
          <w:sz w:val="22"/>
          <w:szCs w:val="22"/>
        </w:rPr>
        <w:commentReference w:id="1"/>
      </w:r>
      <w:r w:rsidRPr="002C51AE">
        <w:rPr>
          <w:rFonts w:ascii="Times New Roman" w:hAnsi="Times New Roman"/>
          <w:b/>
          <w:bCs/>
          <w:color w:val="000000"/>
          <w:spacing w:val="5"/>
        </w:rPr>
        <w:t xml:space="preserve"> </w:t>
      </w:r>
    </w:p>
    <w:p w14:paraId="45AF5681" w14:textId="77777777" w:rsidR="00415870" w:rsidRPr="002C51AE" w:rsidRDefault="00415870" w:rsidP="002C51AE">
      <w:pPr>
        <w:spacing w:after="240"/>
        <w:contextualSpacing/>
        <w:rPr>
          <w:rFonts w:ascii="Times New Roman" w:hAnsi="Times New Roman"/>
          <w:b/>
          <w:bCs/>
          <w:color w:val="000000"/>
          <w:spacing w:val="5"/>
        </w:rPr>
      </w:pPr>
    </w:p>
    <w:p w14:paraId="0C9B1669" w14:textId="77777777" w:rsidR="006D5E61" w:rsidRPr="002C51AE" w:rsidRDefault="006D5E61" w:rsidP="002C51AE">
      <w:pPr>
        <w:numPr>
          <w:ilvl w:val="0"/>
          <w:numId w:val="4"/>
        </w:numPr>
        <w:spacing w:after="240"/>
        <w:contextualSpacing/>
        <w:rPr>
          <w:rFonts w:ascii="Times New Roman" w:eastAsia="Times New Roman" w:hAnsi="Times New Roman"/>
        </w:rPr>
      </w:pPr>
      <w:r w:rsidRPr="002C51AE">
        <w:rPr>
          <w:rFonts w:ascii="Times New Roman" w:eastAsia="Times New Roman" w:hAnsi="Times New Roman"/>
        </w:rPr>
        <w:t>Explain how a team’s choice to work more care coordination hours through overbooking can have unintended consequences for scheduling.</w:t>
      </w:r>
    </w:p>
    <w:p w14:paraId="34B76B26" w14:textId="77777777" w:rsidR="006D5E61" w:rsidRPr="002C51AE" w:rsidRDefault="006D5E61" w:rsidP="002C51AE">
      <w:pPr>
        <w:numPr>
          <w:ilvl w:val="0"/>
          <w:numId w:val="4"/>
        </w:numPr>
        <w:spacing w:after="240"/>
        <w:contextualSpacing/>
        <w:rPr>
          <w:rFonts w:ascii="Times New Roman" w:eastAsia="Times New Roman" w:hAnsi="Times New Roman"/>
        </w:rPr>
      </w:pPr>
      <w:r w:rsidRPr="002C51AE">
        <w:rPr>
          <w:rFonts w:ascii="Times New Roman" w:eastAsia="Times New Roman" w:hAnsi="Times New Roman"/>
        </w:rPr>
        <w:t xml:space="preserve">Describe trade-offs between allocating appointments for new versus existing patients in terms of rates of completion of evidence-based treatments. </w:t>
      </w:r>
    </w:p>
    <w:p w14:paraId="7B9662B3" w14:textId="77777777" w:rsidR="006D5E61" w:rsidRPr="002C51AE" w:rsidRDefault="006D5E61" w:rsidP="002C51AE">
      <w:pPr>
        <w:numPr>
          <w:ilvl w:val="0"/>
          <w:numId w:val="4"/>
        </w:numPr>
        <w:spacing w:after="240"/>
        <w:contextualSpacing/>
        <w:rPr>
          <w:rFonts w:ascii="Times New Roman" w:eastAsia="Times New Roman" w:hAnsi="Times New Roman"/>
        </w:rPr>
      </w:pPr>
      <w:r w:rsidRPr="002C51AE">
        <w:rPr>
          <w:rFonts w:ascii="Times New Roman" w:eastAsia="Times New Roman" w:hAnsi="Times New Roman"/>
        </w:rPr>
        <w:t xml:space="preserve">Articulate two decisions within a team’s control that can help it optimize the reach of evidence-based practices among veterans it serves. </w:t>
      </w:r>
    </w:p>
    <w:p w14:paraId="53555B52" w14:textId="77777777" w:rsidR="006D5E61" w:rsidRPr="002C51AE" w:rsidRDefault="006D5E61" w:rsidP="002C51AE">
      <w:pPr>
        <w:spacing w:after="240"/>
        <w:contextualSpacing/>
        <w:rPr>
          <w:rFonts w:ascii="Times New Roman" w:hAnsi="Times New Roman"/>
          <w:b/>
          <w:bCs/>
          <w:color w:val="000000"/>
          <w:spacing w:val="5"/>
          <w:highlight w:val="yellow"/>
        </w:rPr>
      </w:pPr>
    </w:p>
    <w:p w14:paraId="50310BC5" w14:textId="41C50CE5" w:rsidR="00415870" w:rsidRPr="002C51AE" w:rsidRDefault="000C2BD7" w:rsidP="002C51AE">
      <w:pPr>
        <w:spacing w:after="240"/>
        <w:contextualSpacing/>
        <w:rPr>
          <w:rFonts w:ascii="Times New Roman" w:hAnsi="Times New Roman"/>
          <w:b/>
          <w:bCs/>
          <w:spacing w:val="5"/>
        </w:rPr>
      </w:pPr>
      <w:r w:rsidRPr="002C51AE">
        <w:rPr>
          <w:rFonts w:ascii="Times New Roman" w:hAnsi="Times New Roman"/>
          <w:b/>
          <w:bCs/>
          <w:spacing w:val="5"/>
        </w:rPr>
        <w:t>Pre</w:t>
      </w:r>
      <w:r w:rsidR="00415870" w:rsidRPr="002C51AE">
        <w:rPr>
          <w:rFonts w:ascii="Times New Roman" w:hAnsi="Times New Roman"/>
          <w:b/>
          <w:bCs/>
          <w:spacing w:val="5"/>
        </w:rPr>
        <w:t>-Test: No</w:t>
      </w:r>
      <w:r w:rsidR="002C51AE">
        <w:rPr>
          <w:rFonts w:ascii="Times New Roman" w:hAnsi="Times New Roman"/>
          <w:b/>
          <w:bCs/>
          <w:spacing w:val="5"/>
        </w:rPr>
        <w:t xml:space="preserve">; </w:t>
      </w:r>
    </w:p>
    <w:p w14:paraId="11365679" w14:textId="77777777" w:rsidR="00415870" w:rsidRPr="002C51AE" w:rsidRDefault="00415870" w:rsidP="002C51AE">
      <w:pPr>
        <w:spacing w:after="240"/>
        <w:contextualSpacing/>
        <w:rPr>
          <w:rFonts w:ascii="Times New Roman" w:hAnsi="Times New Roman"/>
          <w:b/>
          <w:bCs/>
          <w:spacing w:val="5"/>
        </w:rPr>
      </w:pPr>
    </w:p>
    <w:p w14:paraId="0C9D4105" w14:textId="15ADE9CD" w:rsidR="000C2BD7" w:rsidRPr="002C51AE" w:rsidRDefault="00415870" w:rsidP="002C51AE">
      <w:pPr>
        <w:spacing w:after="240"/>
        <w:contextualSpacing/>
        <w:rPr>
          <w:rFonts w:ascii="Times New Roman" w:hAnsi="Times New Roman"/>
          <w:b/>
          <w:bCs/>
          <w:spacing w:val="5"/>
        </w:rPr>
      </w:pPr>
      <w:r w:rsidRPr="002C51AE">
        <w:rPr>
          <w:rFonts w:ascii="Times New Roman" w:hAnsi="Times New Roman"/>
          <w:b/>
          <w:bCs/>
          <w:spacing w:val="5"/>
        </w:rPr>
        <w:t>Post-</w:t>
      </w:r>
      <w:r w:rsidR="000C2BD7" w:rsidRPr="002C51AE">
        <w:rPr>
          <w:rFonts w:ascii="Times New Roman" w:hAnsi="Times New Roman"/>
          <w:b/>
          <w:bCs/>
          <w:spacing w:val="5"/>
        </w:rPr>
        <w:t xml:space="preserve">Test: </w:t>
      </w:r>
      <w:r w:rsidRPr="002C51AE">
        <w:rPr>
          <w:rFonts w:ascii="Times New Roman" w:hAnsi="Times New Roman"/>
          <w:b/>
          <w:bCs/>
          <w:spacing w:val="5"/>
        </w:rPr>
        <w:t>Yes (</w:t>
      </w:r>
      <w:r w:rsidR="002C51AE">
        <w:rPr>
          <w:rFonts w:ascii="Times New Roman" w:hAnsi="Times New Roman"/>
          <w:b/>
          <w:bCs/>
          <w:spacing w:val="5"/>
        </w:rPr>
        <w:t>see</w:t>
      </w:r>
      <w:r w:rsidRPr="002C51AE">
        <w:rPr>
          <w:rFonts w:ascii="Times New Roman" w:hAnsi="Times New Roman"/>
          <w:b/>
          <w:bCs/>
          <w:spacing w:val="5"/>
        </w:rPr>
        <w:t xml:space="preserve"> below)</w:t>
      </w:r>
    </w:p>
    <w:p w14:paraId="729666B5" w14:textId="77777777" w:rsidR="00415870" w:rsidRPr="002C51AE" w:rsidRDefault="00415870" w:rsidP="002C51AE">
      <w:pPr>
        <w:spacing w:after="240"/>
        <w:contextualSpacing/>
        <w:rPr>
          <w:rFonts w:ascii="Times New Roman" w:hAnsi="Times New Roman"/>
          <w:b/>
          <w:bCs/>
          <w:color w:val="000000"/>
          <w:spacing w:val="5"/>
        </w:rPr>
      </w:pPr>
    </w:p>
    <w:p w14:paraId="07D40355" w14:textId="77777777" w:rsidR="000C2BD7" w:rsidRPr="002C51AE" w:rsidRDefault="000C2BD7" w:rsidP="002C51AE">
      <w:pPr>
        <w:spacing w:after="240"/>
        <w:contextualSpacing/>
        <w:rPr>
          <w:rFonts w:ascii="Times New Roman" w:hAnsi="Times New Roman"/>
          <w:b/>
          <w:bCs/>
          <w:color w:val="000000"/>
          <w:spacing w:val="5"/>
        </w:rPr>
      </w:pPr>
      <w:r w:rsidRPr="002C51AE">
        <w:rPr>
          <w:rFonts w:ascii="Times New Roman" w:hAnsi="Times New Roman"/>
          <w:b/>
          <w:bCs/>
          <w:color w:val="000000"/>
          <w:spacing w:val="5"/>
        </w:rPr>
        <w:t xml:space="preserve">Accreditations: </w:t>
      </w:r>
      <w:r w:rsidR="00AB2848" w:rsidRPr="002C51AE">
        <w:rPr>
          <w:rFonts w:ascii="Times New Roman" w:hAnsi="Times New Roman"/>
        </w:rPr>
        <w:t>ACCME, APA, ANCC, NBCC, ASWB, NYSED</w:t>
      </w:r>
    </w:p>
    <w:p w14:paraId="0EEF1169" w14:textId="77777777" w:rsidR="00415870" w:rsidRPr="002C51AE" w:rsidRDefault="00415870" w:rsidP="002C51AE">
      <w:pPr>
        <w:spacing w:after="240"/>
        <w:contextualSpacing/>
        <w:rPr>
          <w:rFonts w:ascii="Times New Roman" w:hAnsi="Times New Roman"/>
          <w:b/>
          <w:bCs/>
          <w:spacing w:val="5"/>
        </w:rPr>
      </w:pPr>
    </w:p>
    <w:p w14:paraId="6B90954A" w14:textId="77777777" w:rsidR="000C2BD7" w:rsidRPr="002C51AE" w:rsidRDefault="000C2BD7" w:rsidP="002C51AE">
      <w:pPr>
        <w:spacing w:after="240"/>
        <w:contextualSpacing/>
        <w:rPr>
          <w:rFonts w:ascii="Times New Roman" w:hAnsi="Times New Roman"/>
          <w:b/>
          <w:bCs/>
          <w:spacing w:val="5"/>
        </w:rPr>
      </w:pPr>
      <w:r w:rsidRPr="002C51AE">
        <w:rPr>
          <w:rFonts w:ascii="Times New Roman" w:hAnsi="Times New Roman"/>
          <w:b/>
          <w:bCs/>
          <w:spacing w:val="5"/>
        </w:rPr>
        <w:t>Agenda:</w:t>
      </w:r>
    </w:p>
    <w:p w14:paraId="047BB31A" w14:textId="77777777" w:rsidR="00415870" w:rsidRPr="002C51AE" w:rsidRDefault="00415870" w:rsidP="002C51AE">
      <w:pPr>
        <w:spacing w:after="240"/>
        <w:contextualSpacing/>
        <w:rPr>
          <w:rFonts w:ascii="Times New Roman" w:hAnsi="Times New Roman"/>
          <w:b/>
          <w:bCs/>
          <w:color w:val="000000"/>
          <w:spacing w:val="5"/>
        </w:rPr>
      </w:pPr>
    </w:p>
    <w:tbl>
      <w:tblPr>
        <w:tblW w:w="0" w:type="auto"/>
        <w:tblCellMar>
          <w:left w:w="0" w:type="dxa"/>
          <w:right w:w="0" w:type="dxa"/>
        </w:tblCellMar>
        <w:tblLook w:val="04A0" w:firstRow="1" w:lastRow="0" w:firstColumn="1" w:lastColumn="0" w:noHBand="0" w:noVBand="1"/>
      </w:tblPr>
      <w:tblGrid>
        <w:gridCol w:w="1825"/>
        <w:gridCol w:w="5583"/>
        <w:gridCol w:w="1932"/>
      </w:tblGrid>
      <w:tr w:rsidR="000C2BD7" w:rsidRPr="002C51AE" w14:paraId="0984E7A1" w14:textId="77777777" w:rsidTr="000C2BD7">
        <w:trPr>
          <w:cantSplit/>
          <w:trHeight w:val="269"/>
          <w:tblHeader/>
        </w:trPr>
        <w:tc>
          <w:tcPr>
            <w:tcW w:w="1825" w:type="dxa"/>
            <w:tcBorders>
              <w:top w:val="single" w:sz="8" w:space="0" w:color="auto"/>
              <w:left w:val="single" w:sz="8" w:space="0" w:color="auto"/>
              <w:bottom w:val="single" w:sz="8" w:space="0" w:color="auto"/>
              <w:right w:val="single" w:sz="8" w:space="0" w:color="auto"/>
            </w:tcBorders>
            <w:tcMar>
              <w:top w:w="43" w:type="dxa"/>
              <w:left w:w="115" w:type="dxa"/>
              <w:bottom w:w="43" w:type="dxa"/>
              <w:right w:w="115" w:type="dxa"/>
            </w:tcMar>
            <w:vAlign w:val="center"/>
            <w:hideMark/>
          </w:tcPr>
          <w:p w14:paraId="24BC27AE" w14:textId="77777777" w:rsidR="000C2BD7" w:rsidRPr="002C51AE" w:rsidRDefault="000C2BD7" w:rsidP="002C51AE">
            <w:pPr>
              <w:contextualSpacing/>
              <w:rPr>
                <w:rFonts w:ascii="Times New Roman" w:hAnsi="Times New Roman"/>
                <w:b/>
                <w:bCs/>
                <w:color w:val="000000"/>
              </w:rPr>
            </w:pPr>
            <w:r w:rsidRPr="002C51AE">
              <w:rPr>
                <w:rFonts w:ascii="Times New Roman" w:eastAsia="Times New Roman" w:hAnsi="Times New Roman"/>
                <w:b/>
                <w:bCs/>
                <w:color w:val="000000"/>
              </w:rPr>
              <w:br w:type="page"/>
            </w:r>
            <w:r w:rsidRPr="002C51AE">
              <w:rPr>
                <w:rFonts w:ascii="Times New Roman" w:hAnsi="Times New Roman"/>
                <w:b/>
                <w:bCs/>
                <w:color w:val="000000"/>
              </w:rPr>
              <w:t>Time</w:t>
            </w:r>
          </w:p>
        </w:tc>
        <w:tc>
          <w:tcPr>
            <w:tcW w:w="5583" w:type="dxa"/>
            <w:tcBorders>
              <w:top w:val="single" w:sz="8" w:space="0" w:color="auto"/>
              <w:left w:val="nil"/>
              <w:bottom w:val="single" w:sz="8" w:space="0" w:color="auto"/>
              <w:right w:val="single" w:sz="8" w:space="0" w:color="auto"/>
            </w:tcBorders>
            <w:tcMar>
              <w:top w:w="43" w:type="dxa"/>
              <w:left w:w="115" w:type="dxa"/>
              <w:bottom w:w="43" w:type="dxa"/>
              <w:right w:w="115" w:type="dxa"/>
            </w:tcMar>
            <w:vAlign w:val="center"/>
            <w:hideMark/>
          </w:tcPr>
          <w:p w14:paraId="614AF1FC" w14:textId="77777777" w:rsidR="000C2BD7" w:rsidRPr="002C51AE" w:rsidRDefault="000C2BD7" w:rsidP="002C51AE">
            <w:pPr>
              <w:contextualSpacing/>
              <w:rPr>
                <w:rFonts w:ascii="Times New Roman" w:hAnsi="Times New Roman"/>
                <w:b/>
                <w:bCs/>
                <w:color w:val="000000"/>
              </w:rPr>
            </w:pPr>
            <w:bookmarkStart w:id="2" w:name="_Objectives"/>
            <w:bookmarkEnd w:id="2"/>
            <w:r w:rsidRPr="002C51AE">
              <w:rPr>
                <w:rFonts w:ascii="Times New Roman" w:hAnsi="Times New Roman"/>
                <w:b/>
                <w:bCs/>
                <w:color w:val="000000"/>
              </w:rPr>
              <w:t>Topic/Title</w:t>
            </w:r>
          </w:p>
        </w:tc>
        <w:tc>
          <w:tcPr>
            <w:tcW w:w="0" w:type="auto"/>
            <w:tcBorders>
              <w:top w:val="single" w:sz="8" w:space="0" w:color="auto"/>
              <w:left w:val="nil"/>
              <w:bottom w:val="single" w:sz="8" w:space="0" w:color="auto"/>
              <w:right w:val="single" w:sz="8" w:space="0" w:color="auto"/>
            </w:tcBorders>
            <w:tcMar>
              <w:top w:w="43" w:type="dxa"/>
              <w:left w:w="115" w:type="dxa"/>
              <w:bottom w:w="43" w:type="dxa"/>
              <w:right w:w="115" w:type="dxa"/>
            </w:tcMar>
            <w:vAlign w:val="center"/>
            <w:hideMark/>
          </w:tcPr>
          <w:p w14:paraId="13323E18" w14:textId="77777777" w:rsidR="000C2BD7" w:rsidRPr="002C51AE" w:rsidRDefault="000C2BD7" w:rsidP="002C51AE">
            <w:pPr>
              <w:contextualSpacing/>
              <w:rPr>
                <w:rFonts w:ascii="Times New Roman" w:hAnsi="Times New Roman"/>
                <w:b/>
                <w:bCs/>
                <w:color w:val="000000"/>
              </w:rPr>
            </w:pPr>
            <w:r w:rsidRPr="002C51AE">
              <w:rPr>
                <w:rFonts w:ascii="Times New Roman" w:hAnsi="Times New Roman"/>
                <w:b/>
                <w:bCs/>
                <w:color w:val="000000"/>
              </w:rPr>
              <w:t>Faculty</w:t>
            </w:r>
          </w:p>
        </w:tc>
      </w:tr>
      <w:tr w:rsidR="006D5E61" w:rsidRPr="002C51AE" w14:paraId="29EA048A" w14:textId="77777777" w:rsidTr="000C2BD7">
        <w:trPr>
          <w:cantSplit/>
          <w:trHeight w:val="269"/>
        </w:trPr>
        <w:tc>
          <w:tcPr>
            <w:tcW w:w="1825" w:type="dxa"/>
            <w:tcBorders>
              <w:top w:val="nil"/>
              <w:left w:val="single" w:sz="8" w:space="0" w:color="auto"/>
              <w:bottom w:val="single" w:sz="8" w:space="0" w:color="auto"/>
              <w:right w:val="single" w:sz="8" w:space="0" w:color="auto"/>
            </w:tcBorders>
            <w:tcMar>
              <w:top w:w="43" w:type="dxa"/>
              <w:left w:w="115" w:type="dxa"/>
              <w:bottom w:w="43" w:type="dxa"/>
              <w:right w:w="115" w:type="dxa"/>
            </w:tcMar>
          </w:tcPr>
          <w:p w14:paraId="4AB6B4D9" w14:textId="0CB83162" w:rsidR="006D5E61" w:rsidRPr="002C51AE" w:rsidRDefault="00415870" w:rsidP="002C51AE">
            <w:pPr>
              <w:contextualSpacing/>
              <w:rPr>
                <w:rFonts w:ascii="Times New Roman" w:hAnsi="Times New Roman"/>
              </w:rPr>
            </w:pPr>
            <w:r w:rsidRPr="002C51AE">
              <w:rPr>
                <w:rFonts w:ascii="Times New Roman" w:hAnsi="Times New Roman"/>
              </w:rPr>
              <w:t>1:00 – 1:10</w:t>
            </w:r>
          </w:p>
        </w:tc>
        <w:tc>
          <w:tcPr>
            <w:tcW w:w="5583" w:type="dxa"/>
            <w:tcBorders>
              <w:top w:val="nil"/>
              <w:left w:val="nil"/>
              <w:bottom w:val="single" w:sz="8" w:space="0" w:color="auto"/>
              <w:right w:val="single" w:sz="8" w:space="0" w:color="auto"/>
            </w:tcBorders>
            <w:tcMar>
              <w:top w:w="43" w:type="dxa"/>
              <w:left w:w="115" w:type="dxa"/>
              <w:bottom w:w="43" w:type="dxa"/>
              <w:right w:w="115" w:type="dxa"/>
            </w:tcMar>
            <w:hideMark/>
          </w:tcPr>
          <w:p w14:paraId="431477CA" w14:textId="034452BC" w:rsidR="00415870" w:rsidRPr="002C51AE" w:rsidRDefault="006D5E61" w:rsidP="002C51AE">
            <w:pPr>
              <w:contextualSpacing/>
              <w:rPr>
                <w:rFonts w:ascii="Times New Roman" w:hAnsi="Times New Roman"/>
              </w:rPr>
            </w:pPr>
            <w:r w:rsidRPr="002C51AE">
              <w:rPr>
                <w:rFonts w:ascii="Times New Roman" w:hAnsi="Times New Roman"/>
              </w:rPr>
              <w:t>Done and Do</w:t>
            </w:r>
          </w:p>
          <w:p w14:paraId="10740092" w14:textId="77777777" w:rsidR="006D5E61" w:rsidRPr="002C51AE" w:rsidRDefault="006D5E61" w:rsidP="002C51AE">
            <w:pPr>
              <w:pStyle w:val="ListParagraph"/>
              <w:numPr>
                <w:ilvl w:val="0"/>
                <w:numId w:val="5"/>
              </w:numPr>
              <w:rPr>
                <w:rFonts w:ascii="Times New Roman" w:hAnsi="Times New Roman"/>
              </w:rPr>
            </w:pPr>
            <w:r w:rsidRPr="002C51AE">
              <w:rPr>
                <w:rFonts w:ascii="Times New Roman" w:hAnsi="Times New Roman"/>
              </w:rPr>
              <w:t>Review accomplishments and preview objectives and agenda for session</w:t>
            </w:r>
          </w:p>
        </w:tc>
        <w:tc>
          <w:tcPr>
            <w:tcW w:w="0" w:type="auto"/>
            <w:tcBorders>
              <w:top w:val="nil"/>
              <w:left w:val="nil"/>
              <w:bottom w:val="single" w:sz="8" w:space="0" w:color="auto"/>
              <w:right w:val="single" w:sz="8" w:space="0" w:color="auto"/>
            </w:tcBorders>
            <w:tcMar>
              <w:top w:w="43" w:type="dxa"/>
              <w:left w:w="115" w:type="dxa"/>
              <w:bottom w:w="43" w:type="dxa"/>
              <w:right w:w="115" w:type="dxa"/>
            </w:tcMar>
            <w:hideMark/>
          </w:tcPr>
          <w:p w14:paraId="4D46A30D" w14:textId="77777777" w:rsidR="006D5E61" w:rsidRPr="002C51AE" w:rsidRDefault="006D5E61" w:rsidP="002C51AE">
            <w:pPr>
              <w:contextualSpacing/>
              <w:rPr>
                <w:rFonts w:ascii="Times New Roman" w:hAnsi="Times New Roman"/>
              </w:rPr>
            </w:pPr>
            <w:r w:rsidRPr="002C51AE">
              <w:rPr>
                <w:rFonts w:ascii="Times New Roman" w:hAnsi="Times New Roman"/>
              </w:rPr>
              <w:t>Zimmerman</w:t>
            </w:r>
          </w:p>
        </w:tc>
      </w:tr>
      <w:tr w:rsidR="000C2BD7" w:rsidRPr="002C51AE" w14:paraId="2EB0671A" w14:textId="77777777" w:rsidTr="000C2BD7">
        <w:trPr>
          <w:cantSplit/>
          <w:trHeight w:val="269"/>
        </w:trPr>
        <w:tc>
          <w:tcPr>
            <w:tcW w:w="1825" w:type="dxa"/>
            <w:tcBorders>
              <w:top w:val="nil"/>
              <w:left w:val="single" w:sz="8" w:space="0" w:color="auto"/>
              <w:bottom w:val="single" w:sz="8" w:space="0" w:color="auto"/>
              <w:right w:val="single" w:sz="8" w:space="0" w:color="auto"/>
            </w:tcBorders>
            <w:tcMar>
              <w:top w:w="43" w:type="dxa"/>
              <w:left w:w="115" w:type="dxa"/>
              <w:bottom w:w="43" w:type="dxa"/>
              <w:right w:w="115" w:type="dxa"/>
            </w:tcMar>
            <w:hideMark/>
          </w:tcPr>
          <w:p w14:paraId="11BCDB4E" w14:textId="3AB168F6" w:rsidR="000C2BD7" w:rsidRPr="002C51AE" w:rsidRDefault="00415870" w:rsidP="002C51AE">
            <w:pPr>
              <w:contextualSpacing/>
              <w:rPr>
                <w:rFonts w:ascii="Times New Roman" w:hAnsi="Times New Roman"/>
              </w:rPr>
            </w:pPr>
            <w:r w:rsidRPr="002C51AE">
              <w:rPr>
                <w:rFonts w:ascii="Times New Roman" w:hAnsi="Times New Roman"/>
              </w:rPr>
              <w:t>1:10 – 1:</w:t>
            </w:r>
            <w:r w:rsidR="006D5E61" w:rsidRPr="002C51AE">
              <w:rPr>
                <w:rFonts w:ascii="Times New Roman" w:hAnsi="Times New Roman"/>
              </w:rPr>
              <w:t>30</w:t>
            </w:r>
            <w:r w:rsidRPr="002C51AE">
              <w:rPr>
                <w:rFonts w:ascii="Times New Roman" w:hAnsi="Times New Roman"/>
              </w:rPr>
              <w:t xml:space="preserve">  </w:t>
            </w:r>
          </w:p>
        </w:tc>
        <w:tc>
          <w:tcPr>
            <w:tcW w:w="5583" w:type="dxa"/>
            <w:tcBorders>
              <w:top w:val="nil"/>
              <w:left w:val="nil"/>
              <w:bottom w:val="single" w:sz="8" w:space="0" w:color="auto"/>
              <w:right w:val="single" w:sz="8" w:space="0" w:color="auto"/>
            </w:tcBorders>
            <w:tcMar>
              <w:top w:w="43" w:type="dxa"/>
              <w:left w:w="115" w:type="dxa"/>
              <w:bottom w:w="43" w:type="dxa"/>
              <w:right w:w="115" w:type="dxa"/>
            </w:tcMar>
            <w:hideMark/>
          </w:tcPr>
          <w:p w14:paraId="15360985" w14:textId="77777777" w:rsidR="000C2BD7" w:rsidRPr="002C51AE" w:rsidRDefault="006D5E61" w:rsidP="002C51AE">
            <w:pPr>
              <w:contextualSpacing/>
              <w:rPr>
                <w:rFonts w:ascii="Times New Roman" w:hAnsi="Times New Roman"/>
              </w:rPr>
            </w:pPr>
            <w:r w:rsidRPr="002C51AE">
              <w:rPr>
                <w:rFonts w:ascii="Times New Roman" w:hAnsi="Times New Roman"/>
              </w:rPr>
              <w:t>Balancing Existing and New Patients</w:t>
            </w:r>
          </w:p>
          <w:p w14:paraId="5517E00C" w14:textId="77777777" w:rsidR="006D5E61" w:rsidRPr="002C51AE" w:rsidRDefault="006D5E61" w:rsidP="002C51AE">
            <w:pPr>
              <w:pStyle w:val="ListParagraph"/>
              <w:numPr>
                <w:ilvl w:val="0"/>
                <w:numId w:val="5"/>
              </w:numPr>
              <w:rPr>
                <w:rFonts w:ascii="Times New Roman" w:hAnsi="Times New Roman"/>
              </w:rPr>
            </w:pPr>
            <w:r w:rsidRPr="002C51AE">
              <w:rPr>
                <w:rFonts w:ascii="Times New Roman" w:hAnsi="Times New Roman"/>
              </w:rPr>
              <w:t>Modeling experiment to test hypotheses and gain insight into the dynamic relationship between scheduling of new and existing patients</w:t>
            </w:r>
          </w:p>
        </w:tc>
        <w:tc>
          <w:tcPr>
            <w:tcW w:w="0" w:type="auto"/>
            <w:tcBorders>
              <w:top w:val="nil"/>
              <w:left w:val="nil"/>
              <w:bottom w:val="single" w:sz="8" w:space="0" w:color="auto"/>
              <w:right w:val="single" w:sz="8" w:space="0" w:color="auto"/>
            </w:tcBorders>
            <w:tcMar>
              <w:top w:w="43" w:type="dxa"/>
              <w:left w:w="115" w:type="dxa"/>
              <w:bottom w:w="43" w:type="dxa"/>
              <w:right w:w="115" w:type="dxa"/>
            </w:tcMar>
          </w:tcPr>
          <w:p w14:paraId="0FFB170F" w14:textId="77777777" w:rsidR="000C2BD7" w:rsidRPr="002C51AE" w:rsidRDefault="006D5E61" w:rsidP="002C51AE">
            <w:pPr>
              <w:contextualSpacing/>
              <w:rPr>
                <w:rFonts w:ascii="Times New Roman" w:hAnsi="Times New Roman"/>
              </w:rPr>
            </w:pPr>
            <w:r w:rsidRPr="002C51AE">
              <w:rPr>
                <w:rFonts w:ascii="Times New Roman" w:hAnsi="Times New Roman"/>
              </w:rPr>
              <w:t>Team Activity, Zimmerman facilitates</w:t>
            </w:r>
          </w:p>
        </w:tc>
      </w:tr>
      <w:tr w:rsidR="000C2BD7" w:rsidRPr="002C51AE" w14:paraId="3A1BF5FB" w14:textId="77777777" w:rsidTr="000C2BD7">
        <w:trPr>
          <w:cantSplit/>
          <w:trHeight w:val="269"/>
        </w:trPr>
        <w:tc>
          <w:tcPr>
            <w:tcW w:w="1825" w:type="dxa"/>
            <w:tcBorders>
              <w:top w:val="nil"/>
              <w:left w:val="single" w:sz="8" w:space="0" w:color="auto"/>
              <w:bottom w:val="single" w:sz="8" w:space="0" w:color="auto"/>
              <w:right w:val="single" w:sz="8" w:space="0" w:color="auto"/>
            </w:tcBorders>
            <w:tcMar>
              <w:top w:w="43" w:type="dxa"/>
              <w:left w:w="115" w:type="dxa"/>
              <w:bottom w:w="43" w:type="dxa"/>
              <w:right w:w="115" w:type="dxa"/>
            </w:tcMar>
            <w:hideMark/>
          </w:tcPr>
          <w:p w14:paraId="40702351" w14:textId="58E7B6C5" w:rsidR="000C2BD7" w:rsidRPr="002C51AE" w:rsidRDefault="00415870" w:rsidP="002C51AE">
            <w:pPr>
              <w:contextualSpacing/>
              <w:rPr>
                <w:rFonts w:ascii="Times New Roman" w:hAnsi="Times New Roman"/>
              </w:rPr>
            </w:pPr>
            <w:r w:rsidRPr="002C51AE">
              <w:rPr>
                <w:rFonts w:ascii="Times New Roman" w:hAnsi="Times New Roman"/>
              </w:rPr>
              <w:t>1</w:t>
            </w:r>
            <w:r w:rsidR="006D5E61" w:rsidRPr="002C51AE">
              <w:rPr>
                <w:rFonts w:ascii="Times New Roman" w:hAnsi="Times New Roman"/>
              </w:rPr>
              <w:t xml:space="preserve">:30 – </w:t>
            </w:r>
            <w:r w:rsidRPr="002C51AE">
              <w:rPr>
                <w:rFonts w:ascii="Times New Roman" w:hAnsi="Times New Roman"/>
              </w:rPr>
              <w:t>1</w:t>
            </w:r>
            <w:r w:rsidR="006D5E61" w:rsidRPr="002C51AE">
              <w:rPr>
                <w:rFonts w:ascii="Times New Roman" w:hAnsi="Times New Roman"/>
              </w:rPr>
              <w:t>:50</w:t>
            </w:r>
          </w:p>
        </w:tc>
        <w:tc>
          <w:tcPr>
            <w:tcW w:w="5583" w:type="dxa"/>
            <w:tcBorders>
              <w:top w:val="nil"/>
              <w:left w:val="nil"/>
              <w:bottom w:val="single" w:sz="8" w:space="0" w:color="auto"/>
              <w:right w:val="single" w:sz="8" w:space="0" w:color="auto"/>
            </w:tcBorders>
            <w:tcMar>
              <w:top w:w="43" w:type="dxa"/>
              <w:left w:w="115" w:type="dxa"/>
              <w:bottom w:w="43" w:type="dxa"/>
              <w:right w:w="115" w:type="dxa"/>
            </w:tcMar>
            <w:hideMark/>
          </w:tcPr>
          <w:p w14:paraId="2907B038" w14:textId="77777777" w:rsidR="000C2BD7" w:rsidRPr="002C51AE" w:rsidRDefault="006D5E61" w:rsidP="002C51AE">
            <w:pPr>
              <w:contextualSpacing/>
              <w:rPr>
                <w:rFonts w:ascii="Times New Roman" w:hAnsi="Times New Roman"/>
              </w:rPr>
            </w:pPr>
            <w:r w:rsidRPr="002C51AE">
              <w:rPr>
                <w:rFonts w:ascii="Times New Roman" w:hAnsi="Times New Roman"/>
              </w:rPr>
              <w:t>Effect of Overbook on No-Shows</w:t>
            </w:r>
          </w:p>
          <w:p w14:paraId="27002D5C" w14:textId="77777777" w:rsidR="006D5E61" w:rsidRPr="002C51AE" w:rsidRDefault="006D5E61" w:rsidP="002C51AE">
            <w:pPr>
              <w:pStyle w:val="ListParagraph"/>
              <w:numPr>
                <w:ilvl w:val="0"/>
                <w:numId w:val="5"/>
              </w:numPr>
              <w:rPr>
                <w:rFonts w:ascii="Times New Roman" w:hAnsi="Times New Roman"/>
              </w:rPr>
            </w:pPr>
            <w:r w:rsidRPr="002C51AE">
              <w:rPr>
                <w:rFonts w:ascii="Times New Roman" w:hAnsi="Times New Roman"/>
              </w:rPr>
              <w:t>Modeling experiment to test hypotheses and gain insight into how team decisions to address patient load through overbooking can influence patient no-shows and need for rescheduling</w:t>
            </w:r>
          </w:p>
        </w:tc>
        <w:tc>
          <w:tcPr>
            <w:tcW w:w="0" w:type="auto"/>
            <w:tcBorders>
              <w:top w:val="nil"/>
              <w:left w:val="nil"/>
              <w:bottom w:val="single" w:sz="8" w:space="0" w:color="auto"/>
              <w:right w:val="single" w:sz="8" w:space="0" w:color="auto"/>
            </w:tcBorders>
            <w:tcMar>
              <w:top w:w="43" w:type="dxa"/>
              <w:left w:w="115" w:type="dxa"/>
              <w:bottom w:w="43" w:type="dxa"/>
              <w:right w:w="115" w:type="dxa"/>
            </w:tcMar>
          </w:tcPr>
          <w:p w14:paraId="4CD8F42B" w14:textId="77777777" w:rsidR="000C2BD7" w:rsidRPr="002C51AE" w:rsidRDefault="006D5E61" w:rsidP="002C51AE">
            <w:pPr>
              <w:contextualSpacing/>
              <w:rPr>
                <w:rFonts w:ascii="Times New Roman" w:hAnsi="Times New Roman"/>
              </w:rPr>
            </w:pPr>
            <w:r w:rsidRPr="002C51AE">
              <w:rPr>
                <w:rFonts w:ascii="Times New Roman" w:hAnsi="Times New Roman"/>
              </w:rPr>
              <w:t>Team Activity, Zimmerman facilitates</w:t>
            </w:r>
          </w:p>
        </w:tc>
      </w:tr>
      <w:tr w:rsidR="000C2BD7" w:rsidRPr="002C51AE" w14:paraId="00080A1D" w14:textId="77777777" w:rsidTr="000C2BD7">
        <w:trPr>
          <w:cantSplit/>
          <w:trHeight w:val="269"/>
        </w:trPr>
        <w:tc>
          <w:tcPr>
            <w:tcW w:w="1825" w:type="dxa"/>
            <w:tcBorders>
              <w:top w:val="nil"/>
              <w:left w:val="single" w:sz="8" w:space="0" w:color="auto"/>
              <w:bottom w:val="single" w:sz="8" w:space="0" w:color="auto"/>
              <w:right w:val="single" w:sz="8" w:space="0" w:color="auto"/>
            </w:tcBorders>
            <w:tcMar>
              <w:top w:w="43" w:type="dxa"/>
              <w:left w:w="115" w:type="dxa"/>
              <w:bottom w:w="43" w:type="dxa"/>
              <w:right w:w="115" w:type="dxa"/>
            </w:tcMar>
            <w:hideMark/>
          </w:tcPr>
          <w:p w14:paraId="5DB86849" w14:textId="0BC3A643" w:rsidR="000C2BD7" w:rsidRPr="002C51AE" w:rsidRDefault="00415870" w:rsidP="002C51AE">
            <w:pPr>
              <w:contextualSpacing/>
              <w:rPr>
                <w:rFonts w:ascii="Times New Roman" w:hAnsi="Times New Roman"/>
              </w:rPr>
            </w:pPr>
            <w:r w:rsidRPr="002C51AE">
              <w:rPr>
                <w:rFonts w:ascii="Times New Roman" w:hAnsi="Times New Roman"/>
              </w:rPr>
              <w:t>1:50 – 2</w:t>
            </w:r>
            <w:r w:rsidR="006D5E61" w:rsidRPr="002C51AE">
              <w:rPr>
                <w:rFonts w:ascii="Times New Roman" w:hAnsi="Times New Roman"/>
              </w:rPr>
              <w:t>:</w:t>
            </w:r>
            <w:r w:rsidRPr="002C51AE">
              <w:rPr>
                <w:rFonts w:ascii="Times New Roman" w:hAnsi="Times New Roman"/>
              </w:rPr>
              <w:t>0</w:t>
            </w:r>
            <w:r w:rsidR="006D5E61" w:rsidRPr="002C51AE">
              <w:rPr>
                <w:rFonts w:ascii="Times New Roman" w:hAnsi="Times New Roman"/>
              </w:rPr>
              <w:t>0</w:t>
            </w:r>
          </w:p>
        </w:tc>
        <w:tc>
          <w:tcPr>
            <w:tcW w:w="5583" w:type="dxa"/>
            <w:tcBorders>
              <w:top w:val="nil"/>
              <w:left w:val="nil"/>
              <w:bottom w:val="single" w:sz="8" w:space="0" w:color="auto"/>
              <w:right w:val="single" w:sz="8" w:space="0" w:color="auto"/>
            </w:tcBorders>
            <w:tcMar>
              <w:top w:w="43" w:type="dxa"/>
              <w:left w:w="115" w:type="dxa"/>
              <w:bottom w:w="43" w:type="dxa"/>
              <w:right w:w="115" w:type="dxa"/>
            </w:tcMar>
            <w:hideMark/>
          </w:tcPr>
          <w:p w14:paraId="0685AB04" w14:textId="77777777" w:rsidR="000C2BD7" w:rsidRPr="002C51AE" w:rsidRDefault="006D5E61" w:rsidP="002C51AE">
            <w:pPr>
              <w:contextualSpacing/>
              <w:rPr>
                <w:rFonts w:ascii="Times New Roman" w:hAnsi="Times New Roman"/>
              </w:rPr>
            </w:pPr>
            <w:r w:rsidRPr="002C51AE">
              <w:rPr>
                <w:rFonts w:ascii="Times New Roman" w:hAnsi="Times New Roman"/>
              </w:rPr>
              <w:t>Done and Do</w:t>
            </w:r>
          </w:p>
          <w:p w14:paraId="50FE5A8B" w14:textId="77777777" w:rsidR="006D5E61" w:rsidRPr="002C51AE" w:rsidRDefault="006D5E61" w:rsidP="002C51AE">
            <w:pPr>
              <w:pStyle w:val="ListParagraph"/>
              <w:numPr>
                <w:ilvl w:val="0"/>
                <w:numId w:val="5"/>
              </w:numPr>
              <w:rPr>
                <w:rFonts w:ascii="Times New Roman" w:hAnsi="Times New Roman"/>
              </w:rPr>
            </w:pPr>
            <w:r w:rsidRPr="002C51AE">
              <w:rPr>
                <w:rFonts w:ascii="Times New Roman" w:hAnsi="Times New Roman"/>
              </w:rPr>
              <w:t>Review accomplishments of session and preview next steps</w:t>
            </w:r>
          </w:p>
        </w:tc>
        <w:tc>
          <w:tcPr>
            <w:tcW w:w="0" w:type="auto"/>
            <w:tcBorders>
              <w:top w:val="nil"/>
              <w:left w:val="nil"/>
              <w:bottom w:val="single" w:sz="8" w:space="0" w:color="auto"/>
              <w:right w:val="single" w:sz="8" w:space="0" w:color="auto"/>
            </w:tcBorders>
            <w:tcMar>
              <w:top w:w="43" w:type="dxa"/>
              <w:left w:w="115" w:type="dxa"/>
              <w:bottom w:w="43" w:type="dxa"/>
              <w:right w:w="115" w:type="dxa"/>
            </w:tcMar>
          </w:tcPr>
          <w:p w14:paraId="48E47923" w14:textId="77777777" w:rsidR="000C2BD7" w:rsidRPr="002C51AE" w:rsidRDefault="006D5E61" w:rsidP="002C51AE">
            <w:pPr>
              <w:contextualSpacing/>
              <w:rPr>
                <w:rFonts w:ascii="Times New Roman" w:hAnsi="Times New Roman"/>
              </w:rPr>
            </w:pPr>
            <w:r w:rsidRPr="002C51AE">
              <w:rPr>
                <w:rFonts w:ascii="Times New Roman" w:hAnsi="Times New Roman"/>
              </w:rPr>
              <w:t>Zimmerman</w:t>
            </w:r>
          </w:p>
        </w:tc>
      </w:tr>
      <w:tr w:rsidR="000C2BD7" w:rsidRPr="002C51AE" w14:paraId="7E3FF71D" w14:textId="77777777" w:rsidTr="000C2BD7">
        <w:trPr>
          <w:cantSplit/>
          <w:trHeight w:val="269"/>
        </w:trPr>
        <w:tc>
          <w:tcPr>
            <w:tcW w:w="1825" w:type="dxa"/>
            <w:tcBorders>
              <w:top w:val="nil"/>
              <w:left w:val="single" w:sz="8" w:space="0" w:color="auto"/>
              <w:bottom w:val="single" w:sz="8" w:space="0" w:color="auto"/>
              <w:right w:val="single" w:sz="8" w:space="0" w:color="auto"/>
            </w:tcBorders>
            <w:tcMar>
              <w:top w:w="43" w:type="dxa"/>
              <w:left w:w="115" w:type="dxa"/>
              <w:bottom w:w="43" w:type="dxa"/>
              <w:right w:w="115" w:type="dxa"/>
            </w:tcMar>
            <w:hideMark/>
          </w:tcPr>
          <w:p w14:paraId="4F789835" w14:textId="3EBF2FD0" w:rsidR="000C2BD7" w:rsidRPr="002C51AE" w:rsidRDefault="00415870" w:rsidP="002C51AE">
            <w:pPr>
              <w:contextualSpacing/>
              <w:rPr>
                <w:rFonts w:ascii="Times New Roman" w:hAnsi="Times New Roman"/>
              </w:rPr>
            </w:pPr>
            <w:r w:rsidRPr="002C51AE">
              <w:rPr>
                <w:rFonts w:ascii="Times New Roman" w:hAnsi="Times New Roman"/>
              </w:rPr>
              <w:t>2:00</w:t>
            </w:r>
          </w:p>
        </w:tc>
        <w:tc>
          <w:tcPr>
            <w:tcW w:w="5583" w:type="dxa"/>
            <w:tcBorders>
              <w:top w:val="nil"/>
              <w:left w:val="nil"/>
              <w:bottom w:val="single" w:sz="8" w:space="0" w:color="auto"/>
              <w:right w:val="single" w:sz="8" w:space="0" w:color="auto"/>
            </w:tcBorders>
            <w:tcMar>
              <w:top w:w="43" w:type="dxa"/>
              <w:left w:w="115" w:type="dxa"/>
              <w:bottom w:w="43" w:type="dxa"/>
              <w:right w:w="115" w:type="dxa"/>
            </w:tcMar>
            <w:hideMark/>
          </w:tcPr>
          <w:p w14:paraId="60740065" w14:textId="77777777" w:rsidR="000C2BD7" w:rsidRPr="002C51AE" w:rsidRDefault="000C2BD7" w:rsidP="002C51AE">
            <w:pPr>
              <w:contextualSpacing/>
              <w:rPr>
                <w:rFonts w:ascii="Times New Roman" w:hAnsi="Times New Roman"/>
              </w:rPr>
            </w:pPr>
            <w:r w:rsidRPr="002C51AE">
              <w:rPr>
                <w:rFonts w:ascii="Times New Roman" w:hAnsi="Times New Roman"/>
              </w:rPr>
              <w:t>Adjourn</w:t>
            </w:r>
          </w:p>
        </w:tc>
        <w:tc>
          <w:tcPr>
            <w:tcW w:w="0" w:type="auto"/>
            <w:tcBorders>
              <w:top w:val="nil"/>
              <w:left w:val="nil"/>
              <w:bottom w:val="single" w:sz="8" w:space="0" w:color="auto"/>
              <w:right w:val="single" w:sz="8" w:space="0" w:color="auto"/>
            </w:tcBorders>
            <w:tcMar>
              <w:top w:w="43" w:type="dxa"/>
              <w:left w:w="115" w:type="dxa"/>
              <w:bottom w:w="43" w:type="dxa"/>
              <w:right w:w="115" w:type="dxa"/>
            </w:tcMar>
          </w:tcPr>
          <w:p w14:paraId="5D4013AF" w14:textId="77777777" w:rsidR="000C2BD7" w:rsidRPr="002C51AE" w:rsidRDefault="000C2BD7" w:rsidP="002C51AE">
            <w:pPr>
              <w:contextualSpacing/>
              <w:rPr>
                <w:rFonts w:ascii="Times New Roman" w:hAnsi="Times New Roman"/>
              </w:rPr>
            </w:pPr>
          </w:p>
        </w:tc>
      </w:tr>
    </w:tbl>
    <w:p w14:paraId="4BEF0A94" w14:textId="77777777" w:rsidR="002C51AE" w:rsidRDefault="002C51AE" w:rsidP="002C51AE">
      <w:pPr>
        <w:keepNext/>
        <w:spacing w:after="240"/>
        <w:contextualSpacing/>
        <w:rPr>
          <w:rFonts w:ascii="Times New Roman" w:hAnsi="Times New Roman"/>
          <w:b/>
          <w:bCs/>
          <w:color w:val="000000"/>
          <w:highlight w:val="yellow"/>
        </w:rPr>
      </w:pPr>
    </w:p>
    <w:p w14:paraId="6FE6FF23" w14:textId="77777777" w:rsidR="00415870" w:rsidRPr="002C51AE" w:rsidRDefault="000C2BD7" w:rsidP="002C51AE">
      <w:pPr>
        <w:keepNext/>
        <w:spacing w:after="240"/>
        <w:contextualSpacing/>
        <w:rPr>
          <w:rFonts w:ascii="Times New Roman" w:hAnsi="Times New Roman"/>
          <w:b/>
          <w:bCs/>
          <w:color w:val="000000"/>
          <w:highlight w:val="yellow"/>
        </w:rPr>
      </w:pPr>
      <w:commentRangeStart w:id="3"/>
      <w:r w:rsidRPr="002C51AE">
        <w:rPr>
          <w:rFonts w:ascii="Times New Roman" w:hAnsi="Times New Roman"/>
          <w:b/>
          <w:bCs/>
          <w:color w:val="000000"/>
          <w:highlight w:val="yellow"/>
        </w:rPr>
        <w:t xml:space="preserve">Faculty and Planning Committee Listing: </w:t>
      </w:r>
      <w:commentRangeEnd w:id="3"/>
      <w:r w:rsidR="00A311FB">
        <w:rPr>
          <w:rStyle w:val="CommentReference"/>
        </w:rPr>
        <w:commentReference w:id="3"/>
      </w:r>
    </w:p>
    <w:p w14:paraId="24EC3910" w14:textId="7FE65BAF" w:rsidR="000C2BD7" w:rsidRPr="002C51AE" w:rsidRDefault="00415870" w:rsidP="002C51AE">
      <w:pPr>
        <w:keepNext/>
        <w:spacing w:after="240"/>
        <w:contextualSpacing/>
        <w:rPr>
          <w:rFonts w:ascii="Times New Roman" w:hAnsi="Times New Roman"/>
          <w:b/>
          <w:bCs/>
          <w:color w:val="000000"/>
          <w:highlight w:val="yellow"/>
        </w:rPr>
      </w:pPr>
      <w:r w:rsidRPr="002C51AE">
        <w:rPr>
          <w:rFonts w:ascii="Times New Roman" w:hAnsi="Times New Roman"/>
          <w:i/>
          <w:iCs/>
          <w:color w:val="000000"/>
          <w:highlight w:val="yellow"/>
        </w:rPr>
        <w:t>Representative</w:t>
      </w:r>
      <w:r w:rsidR="000C2BD7" w:rsidRPr="002C51AE">
        <w:rPr>
          <w:rFonts w:ascii="Times New Roman" w:hAnsi="Times New Roman"/>
          <w:i/>
          <w:iCs/>
          <w:color w:val="000000"/>
          <w:highlight w:val="yellow"/>
        </w:rPr>
        <w:t xml:space="preserve"> for each</w:t>
      </w:r>
      <w:r w:rsidRPr="002C51AE">
        <w:rPr>
          <w:rFonts w:ascii="Times New Roman" w:hAnsi="Times New Roman"/>
          <w:i/>
          <w:iCs/>
          <w:color w:val="000000"/>
          <w:highlight w:val="yellow"/>
        </w:rPr>
        <w:t xml:space="preserve"> a</w:t>
      </w:r>
      <w:r w:rsidR="000C2BD7" w:rsidRPr="002C51AE">
        <w:rPr>
          <w:rFonts w:ascii="Times New Roman" w:hAnsi="Times New Roman"/>
          <w:i/>
          <w:iCs/>
          <w:color w:val="000000"/>
          <w:highlight w:val="yellow"/>
        </w:rPr>
        <w:t xml:space="preserve">ccreditation </w:t>
      </w:r>
      <w:r w:rsidRPr="002C51AE">
        <w:rPr>
          <w:rFonts w:ascii="Times New Roman" w:hAnsi="Times New Roman"/>
          <w:i/>
          <w:iCs/>
          <w:color w:val="000000"/>
          <w:highlight w:val="yellow"/>
        </w:rPr>
        <w:t>to be added</w:t>
      </w:r>
      <w:r w:rsidR="000C2BD7" w:rsidRPr="002C51AE">
        <w:rPr>
          <w:rFonts w:ascii="Times New Roman" w:hAnsi="Times New Roman"/>
          <w:i/>
          <w:iCs/>
          <w:color w:val="000000"/>
          <w:highlight w:val="yellow"/>
        </w:rPr>
        <w:t>.</w:t>
      </w:r>
    </w:p>
    <w:p w14:paraId="1B7B14A8" w14:textId="77777777" w:rsidR="000C2BD7" w:rsidRPr="002C51AE" w:rsidRDefault="000C2BD7" w:rsidP="002C51AE">
      <w:pPr>
        <w:spacing w:after="240"/>
        <w:contextualSpacing/>
        <w:rPr>
          <w:rFonts w:ascii="Times New Roman" w:hAnsi="Times New Roman"/>
          <w:highlight w:val="yellow"/>
        </w:rPr>
      </w:pPr>
      <w:r w:rsidRPr="002C51AE">
        <w:rPr>
          <w:rFonts w:ascii="Times New Roman" w:hAnsi="Times New Roman"/>
          <w:highlight w:val="yellow"/>
        </w:rPr>
        <w:t xml:space="preserve">Name with Credentials (MA, PhD, MD, RN, </w:t>
      </w:r>
      <w:proofErr w:type="spellStart"/>
      <w:proofErr w:type="gramStart"/>
      <w:r w:rsidRPr="002C51AE">
        <w:rPr>
          <w:rFonts w:ascii="Times New Roman" w:hAnsi="Times New Roman"/>
          <w:highlight w:val="yellow"/>
        </w:rPr>
        <w:t>ect</w:t>
      </w:r>
      <w:proofErr w:type="spellEnd"/>
      <w:proofErr w:type="gramEnd"/>
      <w:r w:rsidRPr="002C51AE">
        <w:rPr>
          <w:rFonts w:ascii="Times New Roman" w:hAnsi="Times New Roman"/>
          <w:highlight w:val="yellow"/>
        </w:rPr>
        <w:t>)</w:t>
      </w:r>
    </w:p>
    <w:p w14:paraId="5BD42B8D" w14:textId="77777777" w:rsidR="000C2BD7" w:rsidRPr="002C51AE" w:rsidRDefault="000C2BD7" w:rsidP="002C51AE">
      <w:pPr>
        <w:spacing w:after="240"/>
        <w:contextualSpacing/>
        <w:rPr>
          <w:rFonts w:ascii="Times New Roman" w:hAnsi="Times New Roman"/>
          <w:highlight w:val="yellow"/>
        </w:rPr>
      </w:pPr>
      <w:r w:rsidRPr="002C51AE">
        <w:rPr>
          <w:rFonts w:ascii="Times New Roman" w:hAnsi="Times New Roman"/>
          <w:highlight w:val="yellow"/>
        </w:rPr>
        <w:t>Title</w:t>
      </w:r>
    </w:p>
    <w:p w14:paraId="759794BD" w14:textId="77777777" w:rsidR="000C2BD7" w:rsidRPr="002C51AE" w:rsidRDefault="000C2BD7" w:rsidP="002C51AE">
      <w:pPr>
        <w:spacing w:after="240"/>
        <w:contextualSpacing/>
        <w:rPr>
          <w:rFonts w:ascii="Times New Roman" w:hAnsi="Times New Roman"/>
          <w:highlight w:val="yellow"/>
        </w:rPr>
      </w:pPr>
      <w:r w:rsidRPr="002C51AE">
        <w:rPr>
          <w:rFonts w:ascii="Times New Roman" w:hAnsi="Times New Roman"/>
          <w:highlight w:val="yellow"/>
        </w:rPr>
        <w:t>Office/Facility</w:t>
      </w:r>
    </w:p>
    <w:p w14:paraId="533212AA" w14:textId="77777777" w:rsidR="000C2BD7" w:rsidRPr="002C51AE" w:rsidRDefault="000C2BD7" w:rsidP="002C51AE">
      <w:pPr>
        <w:spacing w:after="240"/>
        <w:contextualSpacing/>
        <w:rPr>
          <w:rFonts w:ascii="Times New Roman" w:hAnsi="Times New Roman"/>
          <w:highlight w:val="yellow"/>
        </w:rPr>
      </w:pPr>
      <w:r w:rsidRPr="002C51AE">
        <w:rPr>
          <w:rFonts w:ascii="Times New Roman" w:hAnsi="Times New Roman"/>
          <w:highlight w:val="yellow"/>
        </w:rPr>
        <w:t xml:space="preserve">City, State </w:t>
      </w:r>
    </w:p>
    <w:p w14:paraId="4302F546" w14:textId="77777777" w:rsidR="000C2BD7" w:rsidRPr="002C51AE" w:rsidRDefault="000C2BD7" w:rsidP="002C51AE">
      <w:pPr>
        <w:spacing w:after="240"/>
        <w:contextualSpacing/>
        <w:rPr>
          <w:rFonts w:ascii="Times New Roman" w:hAnsi="Times New Roman"/>
        </w:rPr>
      </w:pPr>
      <w:r w:rsidRPr="002C51AE">
        <w:rPr>
          <w:rFonts w:ascii="Times New Roman" w:hAnsi="Times New Roman"/>
          <w:highlight w:val="yellow"/>
        </w:rPr>
        <w:t>Planning Member for ___________.</w:t>
      </w:r>
    </w:p>
    <w:p w14:paraId="63885F63" w14:textId="29301DC6" w:rsidR="002C51AE" w:rsidRPr="002C51AE" w:rsidRDefault="002C51AE" w:rsidP="002C51AE">
      <w:pPr>
        <w:spacing w:after="240"/>
        <w:contextualSpacing/>
        <w:rPr>
          <w:rFonts w:ascii="Times New Roman" w:hAnsi="Times New Roman"/>
        </w:rPr>
      </w:pPr>
    </w:p>
    <w:p w14:paraId="2C75B6F2" w14:textId="37917257" w:rsidR="002C51AE" w:rsidRPr="002C51AE" w:rsidRDefault="002C51AE" w:rsidP="002C51AE">
      <w:pPr>
        <w:spacing w:after="240"/>
        <w:contextualSpacing/>
        <w:rPr>
          <w:rFonts w:ascii="Times New Roman" w:hAnsi="Times New Roman"/>
        </w:rPr>
      </w:pPr>
      <w:commentRangeStart w:id="4"/>
      <w:r w:rsidRPr="002C51AE">
        <w:rPr>
          <w:rFonts w:ascii="Times New Roman" w:hAnsi="Times New Roman"/>
          <w:b/>
        </w:rPr>
        <w:t>Post-Test:</w:t>
      </w:r>
      <w:r w:rsidRPr="002C51AE">
        <w:rPr>
          <w:rFonts w:ascii="Times New Roman" w:hAnsi="Times New Roman"/>
        </w:rPr>
        <w:t xml:space="preserve"> (minimum 2 of 3 correct answers or 66% required to pass)</w:t>
      </w:r>
      <w:commentRangeEnd w:id="4"/>
      <w:r w:rsidR="00CA2BB9">
        <w:rPr>
          <w:rStyle w:val="CommentReference"/>
        </w:rPr>
        <w:commentReference w:id="4"/>
      </w:r>
    </w:p>
    <w:p w14:paraId="27C462AF" w14:textId="5B08C71C" w:rsidR="002C51AE" w:rsidRPr="002C51AE" w:rsidRDefault="002C51AE" w:rsidP="002C51AE">
      <w:pPr>
        <w:pStyle w:val="ListParagraph"/>
        <w:numPr>
          <w:ilvl w:val="0"/>
          <w:numId w:val="9"/>
        </w:numPr>
        <w:spacing w:after="240"/>
        <w:rPr>
          <w:rFonts w:ascii="Times New Roman" w:hAnsi="Times New Roman"/>
        </w:rPr>
      </w:pPr>
      <w:r w:rsidRPr="002C51AE">
        <w:rPr>
          <w:rFonts w:ascii="Times New Roman" w:hAnsi="Times New Roman"/>
        </w:rPr>
        <w:t xml:space="preserve">A team’s decision to meet high care coordination demand through overbooking its staff can increase: </w:t>
      </w:r>
    </w:p>
    <w:p w14:paraId="340A9104" w14:textId="77777777" w:rsidR="002C51AE" w:rsidRPr="002C51AE" w:rsidRDefault="002C51AE" w:rsidP="002C51AE">
      <w:pPr>
        <w:pStyle w:val="ListParagraph"/>
        <w:numPr>
          <w:ilvl w:val="0"/>
          <w:numId w:val="6"/>
        </w:numPr>
        <w:spacing w:after="240"/>
        <w:rPr>
          <w:rFonts w:ascii="Times New Roman" w:hAnsi="Times New Roman"/>
        </w:rPr>
      </w:pPr>
      <w:r w:rsidRPr="002C51AE">
        <w:rPr>
          <w:rFonts w:ascii="Times New Roman" w:hAnsi="Times New Roman"/>
        </w:rPr>
        <w:t>The number of care coordination appointment slots available</w:t>
      </w:r>
    </w:p>
    <w:p w14:paraId="146A1E32" w14:textId="77777777" w:rsidR="002C51AE" w:rsidRPr="002C51AE" w:rsidRDefault="002C51AE" w:rsidP="002C51AE">
      <w:pPr>
        <w:pStyle w:val="ListParagraph"/>
        <w:numPr>
          <w:ilvl w:val="0"/>
          <w:numId w:val="6"/>
        </w:numPr>
        <w:spacing w:after="240"/>
        <w:rPr>
          <w:rFonts w:ascii="Times New Roman" w:hAnsi="Times New Roman"/>
        </w:rPr>
      </w:pPr>
      <w:r w:rsidRPr="002C51AE">
        <w:rPr>
          <w:rFonts w:ascii="Times New Roman" w:hAnsi="Times New Roman"/>
        </w:rPr>
        <w:t>The number of care coordination appointments missed</w:t>
      </w:r>
    </w:p>
    <w:p w14:paraId="4615328A" w14:textId="77777777" w:rsidR="002C51AE" w:rsidRPr="002C51AE" w:rsidRDefault="002C51AE" w:rsidP="002C51AE">
      <w:pPr>
        <w:pStyle w:val="ListParagraph"/>
        <w:numPr>
          <w:ilvl w:val="0"/>
          <w:numId w:val="6"/>
        </w:numPr>
        <w:spacing w:after="240"/>
        <w:rPr>
          <w:rFonts w:ascii="Times New Roman" w:hAnsi="Times New Roman"/>
        </w:rPr>
      </w:pPr>
      <w:r w:rsidRPr="002C51AE">
        <w:rPr>
          <w:rFonts w:ascii="Times New Roman" w:hAnsi="Times New Roman"/>
        </w:rPr>
        <w:t>The amount of scheduling effort required for care coordination</w:t>
      </w:r>
    </w:p>
    <w:p w14:paraId="3640B1D3" w14:textId="77777777" w:rsidR="002C51AE" w:rsidRPr="002C51AE" w:rsidRDefault="002C51AE" w:rsidP="002C51AE">
      <w:pPr>
        <w:pStyle w:val="ListParagraph"/>
        <w:numPr>
          <w:ilvl w:val="0"/>
          <w:numId w:val="6"/>
        </w:numPr>
        <w:spacing w:after="240"/>
        <w:rPr>
          <w:rFonts w:ascii="Times New Roman" w:hAnsi="Times New Roman"/>
        </w:rPr>
      </w:pPr>
      <w:r w:rsidRPr="002C51AE">
        <w:rPr>
          <w:rFonts w:ascii="Times New Roman" w:hAnsi="Times New Roman"/>
        </w:rPr>
        <w:t xml:space="preserve">All of the above  </w:t>
      </w:r>
    </w:p>
    <w:p w14:paraId="453D8E5E" w14:textId="77777777" w:rsidR="002C51AE" w:rsidRPr="002C51AE" w:rsidRDefault="002C51AE" w:rsidP="002C51AE">
      <w:pPr>
        <w:spacing w:after="240"/>
        <w:contextualSpacing/>
        <w:rPr>
          <w:rFonts w:ascii="Times New Roman" w:hAnsi="Times New Roman"/>
        </w:rPr>
      </w:pPr>
      <w:r w:rsidRPr="002C51AE">
        <w:rPr>
          <w:rFonts w:ascii="Times New Roman" w:hAnsi="Times New Roman"/>
        </w:rPr>
        <w:t xml:space="preserve">Correct answer: d. All of the above. </w:t>
      </w:r>
    </w:p>
    <w:p w14:paraId="335B3B32" w14:textId="77777777" w:rsidR="002C51AE" w:rsidRPr="002C51AE" w:rsidRDefault="002C51AE" w:rsidP="002C51AE">
      <w:pPr>
        <w:spacing w:after="240"/>
        <w:contextualSpacing/>
        <w:rPr>
          <w:rFonts w:ascii="Times New Roman" w:hAnsi="Times New Roman"/>
        </w:rPr>
      </w:pPr>
    </w:p>
    <w:p w14:paraId="5727ACD2" w14:textId="4DFACBDF" w:rsidR="002C51AE" w:rsidRPr="002C51AE" w:rsidRDefault="002C51AE" w:rsidP="002C51AE">
      <w:pPr>
        <w:spacing w:after="240"/>
        <w:contextualSpacing/>
        <w:rPr>
          <w:rFonts w:ascii="Times New Roman" w:hAnsi="Times New Roman"/>
        </w:rPr>
      </w:pPr>
      <w:r w:rsidRPr="002C51AE">
        <w:rPr>
          <w:rFonts w:ascii="Times New Roman" w:hAnsi="Times New Roman"/>
        </w:rPr>
        <w:t>Explanation: Overbooking creates additional time slots available for scheduling appointments from staff’s lunch time, break time, charting time, etc. By taking away time for following up with existing patients, sending reminders, etc., however, overbooking can ultimately result in more missed appointments, which increases the scheduling effort required.</w:t>
      </w:r>
    </w:p>
    <w:p w14:paraId="7B3F4A98" w14:textId="5B438B3D" w:rsidR="002C51AE" w:rsidRPr="002C51AE" w:rsidRDefault="002C51AE" w:rsidP="002C51AE">
      <w:pPr>
        <w:pStyle w:val="ListParagraph"/>
        <w:numPr>
          <w:ilvl w:val="0"/>
          <w:numId w:val="9"/>
        </w:numPr>
        <w:spacing w:after="240"/>
        <w:rPr>
          <w:rFonts w:ascii="Times New Roman" w:hAnsi="Times New Roman"/>
        </w:rPr>
      </w:pPr>
      <w:r w:rsidRPr="002C51AE">
        <w:rPr>
          <w:rFonts w:ascii="Times New Roman" w:hAnsi="Times New Roman"/>
        </w:rPr>
        <w:t>With a constant demand for services and constant staffing, there are no decisions within a team’s control that affect the number of patients completing services over time.</w:t>
      </w:r>
    </w:p>
    <w:p w14:paraId="461D9D22" w14:textId="77777777" w:rsidR="002C51AE" w:rsidRPr="002C51AE" w:rsidRDefault="002C51AE" w:rsidP="002C51AE">
      <w:pPr>
        <w:pStyle w:val="ListParagraph"/>
        <w:numPr>
          <w:ilvl w:val="1"/>
          <w:numId w:val="4"/>
        </w:numPr>
        <w:spacing w:after="240"/>
        <w:rPr>
          <w:rFonts w:ascii="Times New Roman" w:hAnsi="Times New Roman"/>
        </w:rPr>
      </w:pPr>
      <w:r w:rsidRPr="002C51AE">
        <w:rPr>
          <w:rFonts w:ascii="Times New Roman" w:hAnsi="Times New Roman"/>
        </w:rPr>
        <w:t>True</w:t>
      </w:r>
    </w:p>
    <w:p w14:paraId="7921FB30" w14:textId="77777777" w:rsidR="002C51AE" w:rsidRPr="002C51AE" w:rsidRDefault="002C51AE" w:rsidP="002C51AE">
      <w:pPr>
        <w:pStyle w:val="ListParagraph"/>
        <w:numPr>
          <w:ilvl w:val="1"/>
          <w:numId w:val="4"/>
        </w:numPr>
        <w:spacing w:after="240"/>
        <w:rPr>
          <w:rFonts w:ascii="Times New Roman" w:hAnsi="Times New Roman"/>
        </w:rPr>
      </w:pPr>
      <w:r w:rsidRPr="002C51AE">
        <w:rPr>
          <w:rFonts w:ascii="Times New Roman" w:hAnsi="Times New Roman"/>
        </w:rPr>
        <w:t>False</w:t>
      </w:r>
    </w:p>
    <w:p w14:paraId="1FD9F538" w14:textId="07A12869" w:rsidR="002C51AE" w:rsidRDefault="002C51AE" w:rsidP="002C51AE">
      <w:pPr>
        <w:spacing w:after="240"/>
        <w:contextualSpacing/>
        <w:rPr>
          <w:rFonts w:ascii="Times New Roman" w:hAnsi="Times New Roman"/>
        </w:rPr>
      </w:pPr>
      <w:r w:rsidRPr="002C51AE">
        <w:rPr>
          <w:rFonts w:ascii="Times New Roman" w:hAnsi="Times New Roman"/>
        </w:rPr>
        <w:t>Correct answer: b. False.</w:t>
      </w:r>
    </w:p>
    <w:p w14:paraId="33466C8E" w14:textId="254CE08A" w:rsidR="002C51AE" w:rsidRPr="002C51AE" w:rsidRDefault="002C51AE" w:rsidP="002C51AE">
      <w:pPr>
        <w:spacing w:after="240"/>
        <w:rPr>
          <w:rFonts w:ascii="Times New Roman" w:hAnsi="Times New Roman"/>
        </w:rPr>
      </w:pPr>
      <w:r w:rsidRPr="002C51AE">
        <w:rPr>
          <w:rFonts w:ascii="Times New Roman" w:hAnsi="Times New Roman"/>
        </w:rPr>
        <w:lastRenderedPageBreak/>
        <w:t>Explanation: Teams can optimize their balance of new and existing patients – and therefore the number of patients completing services over time – by adjusting their targeted return visit interval.</w:t>
      </w:r>
    </w:p>
    <w:p w14:paraId="6684F37F" w14:textId="77777777" w:rsidR="002C51AE" w:rsidRPr="002C51AE" w:rsidRDefault="002C51AE" w:rsidP="002C51AE">
      <w:pPr>
        <w:pStyle w:val="ListParagraph"/>
        <w:numPr>
          <w:ilvl w:val="0"/>
          <w:numId w:val="9"/>
        </w:numPr>
        <w:spacing w:after="240"/>
        <w:rPr>
          <w:rFonts w:ascii="Times New Roman" w:hAnsi="Times New Roman"/>
        </w:rPr>
      </w:pPr>
      <w:r w:rsidRPr="002C51AE">
        <w:rPr>
          <w:rFonts w:ascii="Times New Roman" w:hAnsi="Times New Roman"/>
        </w:rPr>
        <w:t>A team can adjust the balance between having care coordination appointments available for new and existing patients by changing its target return visit interval for existing patients.</w:t>
      </w:r>
    </w:p>
    <w:p w14:paraId="157E2B4D" w14:textId="77777777" w:rsidR="002C51AE" w:rsidRPr="002C51AE" w:rsidRDefault="002C51AE" w:rsidP="002C51AE">
      <w:pPr>
        <w:pStyle w:val="ListParagraph"/>
        <w:numPr>
          <w:ilvl w:val="0"/>
          <w:numId w:val="8"/>
        </w:numPr>
        <w:spacing w:after="240"/>
        <w:rPr>
          <w:rFonts w:ascii="Times New Roman" w:hAnsi="Times New Roman"/>
        </w:rPr>
      </w:pPr>
      <w:r w:rsidRPr="002C51AE">
        <w:rPr>
          <w:rFonts w:ascii="Times New Roman" w:hAnsi="Times New Roman"/>
        </w:rPr>
        <w:t>True</w:t>
      </w:r>
    </w:p>
    <w:p w14:paraId="244FEC7C" w14:textId="77777777" w:rsidR="002C51AE" w:rsidRPr="002C51AE" w:rsidRDefault="002C51AE" w:rsidP="002C51AE">
      <w:pPr>
        <w:pStyle w:val="ListParagraph"/>
        <w:numPr>
          <w:ilvl w:val="0"/>
          <w:numId w:val="8"/>
        </w:numPr>
        <w:spacing w:after="240"/>
        <w:rPr>
          <w:rFonts w:ascii="Times New Roman" w:hAnsi="Times New Roman"/>
        </w:rPr>
      </w:pPr>
      <w:r w:rsidRPr="002C51AE">
        <w:rPr>
          <w:rFonts w:ascii="Times New Roman" w:hAnsi="Times New Roman"/>
        </w:rPr>
        <w:t>False</w:t>
      </w:r>
    </w:p>
    <w:p w14:paraId="546452AC" w14:textId="177457AE" w:rsidR="00FB621C" w:rsidRPr="002C51AE" w:rsidRDefault="002C51AE" w:rsidP="002C51AE">
      <w:pPr>
        <w:spacing w:after="240"/>
        <w:contextualSpacing/>
        <w:rPr>
          <w:rFonts w:ascii="Times New Roman" w:hAnsi="Times New Roman"/>
        </w:rPr>
      </w:pPr>
      <w:r w:rsidRPr="002C51AE">
        <w:rPr>
          <w:rFonts w:ascii="Times New Roman" w:hAnsi="Times New Roman"/>
        </w:rPr>
        <w:t>Correct answer: a. True</w:t>
      </w:r>
    </w:p>
    <w:p w14:paraId="50001795" w14:textId="77777777" w:rsidR="002C51AE" w:rsidRPr="002C51AE" w:rsidRDefault="002C51AE" w:rsidP="002C51AE">
      <w:pPr>
        <w:spacing w:after="240"/>
        <w:contextualSpacing/>
        <w:rPr>
          <w:rFonts w:ascii="Times New Roman" w:hAnsi="Times New Roman"/>
        </w:rPr>
      </w:pPr>
    </w:p>
    <w:p w14:paraId="114ECF53" w14:textId="53F2D24E" w:rsidR="002C51AE" w:rsidRPr="002C51AE" w:rsidRDefault="002C51AE" w:rsidP="002C51AE">
      <w:pPr>
        <w:spacing w:after="240"/>
        <w:contextualSpacing/>
        <w:rPr>
          <w:rFonts w:ascii="Times New Roman" w:hAnsi="Times New Roman"/>
        </w:rPr>
      </w:pPr>
      <w:r w:rsidRPr="002C51AE">
        <w:rPr>
          <w:rFonts w:ascii="Times New Roman" w:hAnsi="Times New Roman"/>
        </w:rPr>
        <w:t>Explanation: Lengthening the target return visit interval for existing patients makes more appointment slots available for new patients; reducing the return visit interval shifts the balance toward more appointments used by existing patients and less by new patients.</w:t>
      </w:r>
    </w:p>
    <w:p w14:paraId="563A9865" w14:textId="77777777" w:rsidR="00A311FB" w:rsidRPr="002C51AE" w:rsidRDefault="00A311FB" w:rsidP="002C51AE">
      <w:pPr>
        <w:spacing w:after="240"/>
        <w:contextualSpacing/>
        <w:rPr>
          <w:rFonts w:ascii="Times New Roman" w:hAnsi="Times New Roman"/>
        </w:rPr>
      </w:pPr>
    </w:p>
    <w:sectPr w:rsidR="00A311FB" w:rsidRPr="002C51A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hapm" w:date="2018-01-26T14:48:00Z" w:initials="a">
    <w:p w14:paraId="16EC95F4" w14:textId="7D6A4B98" w:rsidR="008A7A33" w:rsidRDefault="008A7A33">
      <w:pPr>
        <w:pStyle w:val="CommentText"/>
      </w:pPr>
      <w:r>
        <w:rPr>
          <w:rStyle w:val="CommentReference"/>
        </w:rPr>
        <w:annotationRef/>
      </w:r>
      <w:r>
        <w:rPr>
          <w:noProof/>
        </w:rPr>
        <w:t xml:space="preserve">We plan to use this purpose statement </w:t>
      </w:r>
      <w:r w:rsidR="00415870">
        <w:rPr>
          <w:noProof/>
        </w:rPr>
        <w:t xml:space="preserve">and statement of need </w:t>
      </w:r>
      <w:r>
        <w:rPr>
          <w:noProof/>
        </w:rPr>
        <w:t>for all 12 sessions in the workshop series</w:t>
      </w:r>
    </w:p>
  </w:comment>
  <w:comment w:id="1" w:author="alhapm" w:date="2018-01-26T14:54:00Z" w:initials="a">
    <w:p w14:paraId="2D728B06" w14:textId="1E4C3821" w:rsidR="008C6C0B" w:rsidRDefault="008C6C0B">
      <w:pPr>
        <w:pStyle w:val="CommentText"/>
      </w:pPr>
      <w:r>
        <w:rPr>
          <w:rStyle w:val="CommentReference"/>
        </w:rPr>
        <w:annotationRef/>
      </w:r>
      <w:r>
        <w:rPr>
          <w:noProof/>
        </w:rPr>
        <w:t>Plan to have leanring objectives that align with content for each of the 12 sessions</w:t>
      </w:r>
    </w:p>
  </w:comment>
  <w:comment w:id="3" w:author="Amanda P. Martinez" w:date="2018-01-29T07:55:00Z" w:initials="APM">
    <w:p w14:paraId="7FE5BCEB" w14:textId="6F63798A" w:rsidR="00A311FB" w:rsidRDefault="00A311FB">
      <w:pPr>
        <w:pStyle w:val="CommentText"/>
      </w:pPr>
      <w:r>
        <w:rPr>
          <w:rStyle w:val="CommentReference"/>
        </w:rPr>
        <w:annotationRef/>
      </w:r>
      <w:r>
        <w:t xml:space="preserve">Lindsey and team will pull together and share information with you on the Planning </w:t>
      </w:r>
      <w:proofErr w:type="spellStart"/>
      <w:r>
        <w:t>Cmte</w:t>
      </w:r>
      <w:proofErr w:type="spellEnd"/>
      <w:r>
        <w:t xml:space="preserve"> members. Are there standard forms for Conflict of Interest Disclosure and Consent to be Recorded?</w:t>
      </w:r>
    </w:p>
  </w:comment>
  <w:comment w:id="4" w:author="Amanda P. Martinez" w:date="2018-02-08T13:28:00Z" w:initials="APM">
    <w:p w14:paraId="64E582B8" w14:textId="543CAD2A" w:rsidR="00CA2BB9" w:rsidRDefault="00CA2BB9">
      <w:pPr>
        <w:pStyle w:val="CommentText"/>
      </w:pPr>
      <w:r>
        <w:rPr>
          <w:rStyle w:val="CommentReference"/>
        </w:rPr>
        <w:annotationRef/>
      </w:r>
      <w:r>
        <w:t xml:space="preserve">Note: This will need to be expanded to 10 </w:t>
      </w:r>
      <w:r>
        <w:t>Qs.</w:t>
      </w:r>
      <w:bookmarkStart w:id="5" w:name="_GoBack"/>
      <w:bookmarkEnd w:id="5"/>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EC95F4" w15:done="0"/>
  <w15:commentEx w15:paraId="2D728B06" w15:done="0"/>
  <w15:commentEx w15:paraId="7FE5BCEB" w15:done="0"/>
  <w15:commentEx w15:paraId="64E582B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FCD8CE" w14:textId="77777777" w:rsidR="009030AE" w:rsidRDefault="009030AE" w:rsidP="009030AE">
      <w:r>
        <w:separator/>
      </w:r>
    </w:p>
  </w:endnote>
  <w:endnote w:type="continuationSeparator" w:id="0">
    <w:p w14:paraId="0756858B" w14:textId="77777777" w:rsidR="009030AE" w:rsidRDefault="009030AE" w:rsidP="009030AE">
      <w:r>
        <w:continuationSeparator/>
      </w:r>
    </w:p>
  </w:endnote>
  <w:endnote w:id="1">
    <w:p w14:paraId="45FDBDA6" w14:textId="1AC3AC52" w:rsidR="00415870" w:rsidRPr="00A14438" w:rsidRDefault="00415870" w:rsidP="009030AE">
      <w:pPr>
        <w:autoSpaceDE w:val="0"/>
        <w:autoSpaceDN w:val="0"/>
        <w:rPr>
          <w:sz w:val="18"/>
          <w:szCs w:val="18"/>
        </w:rPr>
      </w:pPr>
      <w:r w:rsidRPr="00A14438">
        <w:rPr>
          <w:sz w:val="18"/>
          <w:szCs w:val="18"/>
          <w:vertAlign w:val="superscript"/>
        </w:rPr>
        <w:t>1</w:t>
      </w:r>
      <w:r w:rsidRPr="00A14438">
        <w:rPr>
          <w:sz w:val="18"/>
          <w:szCs w:val="18"/>
        </w:rPr>
        <w:t>Karlin BE, &amp; Cross G. From the laboratory to the therapy room: National dissemination and</w:t>
      </w:r>
      <w:r>
        <w:rPr>
          <w:sz w:val="18"/>
          <w:szCs w:val="18"/>
        </w:rPr>
        <w:t xml:space="preserve"> </w:t>
      </w:r>
      <w:r w:rsidRPr="00A14438">
        <w:rPr>
          <w:sz w:val="18"/>
          <w:szCs w:val="18"/>
        </w:rPr>
        <w:t>implementation of evidence-based psychotherapies in the U.S. Department of Veterans Affairs Health</w:t>
      </w:r>
      <w:r>
        <w:rPr>
          <w:sz w:val="18"/>
          <w:szCs w:val="18"/>
        </w:rPr>
        <w:t xml:space="preserve"> </w:t>
      </w:r>
      <w:r w:rsidRPr="00A14438">
        <w:rPr>
          <w:sz w:val="18"/>
          <w:szCs w:val="18"/>
        </w:rPr>
        <w:t xml:space="preserve">Care System. </w:t>
      </w:r>
      <w:r w:rsidRPr="00A14438">
        <w:rPr>
          <w:i/>
          <w:iCs/>
          <w:sz w:val="18"/>
          <w:szCs w:val="18"/>
        </w:rPr>
        <w:t>Am Psychol</w:t>
      </w:r>
      <w:r w:rsidRPr="00A14438">
        <w:rPr>
          <w:sz w:val="18"/>
          <w:szCs w:val="18"/>
        </w:rPr>
        <w:t>. 2014</w:t>
      </w:r>
      <w:proofErr w:type="gramStart"/>
      <w:r w:rsidRPr="00A14438">
        <w:rPr>
          <w:sz w:val="18"/>
          <w:szCs w:val="18"/>
        </w:rPr>
        <w:t>;69:19</w:t>
      </w:r>
      <w:proofErr w:type="gramEnd"/>
      <w:r w:rsidRPr="00A14438">
        <w:rPr>
          <w:sz w:val="18"/>
          <w:szCs w:val="18"/>
        </w:rPr>
        <w:t>–33.</w:t>
      </w:r>
    </w:p>
    <w:p w14:paraId="3261525C" w14:textId="77777777" w:rsidR="00415870" w:rsidRPr="00A14438" w:rsidRDefault="00415870" w:rsidP="009030AE">
      <w:pPr>
        <w:pStyle w:val="EndnoteText"/>
        <w:rPr>
          <w:sz w:val="18"/>
          <w:szCs w:val="18"/>
        </w:rPr>
      </w:pPr>
    </w:p>
    <w:p w14:paraId="7841E5E6" w14:textId="02DFCF32" w:rsidR="00415870" w:rsidRPr="00A14438" w:rsidRDefault="00415870" w:rsidP="009030AE">
      <w:pPr>
        <w:autoSpaceDE w:val="0"/>
        <w:autoSpaceDN w:val="0"/>
        <w:rPr>
          <w:sz w:val="18"/>
          <w:szCs w:val="18"/>
        </w:rPr>
      </w:pPr>
      <w:r w:rsidRPr="00A14438">
        <w:rPr>
          <w:sz w:val="18"/>
          <w:szCs w:val="18"/>
          <w:vertAlign w:val="superscript"/>
        </w:rPr>
        <w:t>2</w:t>
      </w:r>
      <w:r w:rsidRPr="00A14438">
        <w:rPr>
          <w:sz w:val="18"/>
          <w:szCs w:val="18"/>
        </w:rPr>
        <w:t xml:space="preserve"> </w:t>
      </w:r>
      <w:proofErr w:type="spellStart"/>
      <w:r w:rsidRPr="00A14438">
        <w:rPr>
          <w:sz w:val="18"/>
          <w:szCs w:val="18"/>
        </w:rPr>
        <w:t>Karlin</w:t>
      </w:r>
      <w:proofErr w:type="spellEnd"/>
      <w:r w:rsidRPr="00A14438">
        <w:rPr>
          <w:sz w:val="18"/>
          <w:szCs w:val="18"/>
        </w:rPr>
        <w:t xml:space="preserve"> BE, Brown GK, </w:t>
      </w:r>
      <w:proofErr w:type="spellStart"/>
      <w:r w:rsidRPr="00A14438">
        <w:rPr>
          <w:sz w:val="18"/>
          <w:szCs w:val="18"/>
        </w:rPr>
        <w:t>Trockel</w:t>
      </w:r>
      <w:proofErr w:type="spellEnd"/>
      <w:r w:rsidRPr="00A14438">
        <w:rPr>
          <w:sz w:val="18"/>
          <w:szCs w:val="18"/>
        </w:rPr>
        <w:t xml:space="preserve"> M, et al. National dissemination of cognitive behavioral therapy for</w:t>
      </w:r>
      <w:r>
        <w:rPr>
          <w:sz w:val="18"/>
          <w:szCs w:val="18"/>
        </w:rPr>
        <w:t xml:space="preserve"> </w:t>
      </w:r>
      <w:r w:rsidRPr="00A14438">
        <w:rPr>
          <w:sz w:val="18"/>
          <w:szCs w:val="18"/>
        </w:rPr>
        <w:t xml:space="preserve">depression in the department of </w:t>
      </w:r>
      <w:proofErr w:type="gramStart"/>
      <w:r w:rsidRPr="00A14438">
        <w:rPr>
          <w:sz w:val="18"/>
          <w:szCs w:val="18"/>
        </w:rPr>
        <w:t>veterans</w:t>
      </w:r>
      <w:proofErr w:type="gramEnd"/>
      <w:r w:rsidRPr="00A14438">
        <w:rPr>
          <w:sz w:val="18"/>
          <w:szCs w:val="18"/>
        </w:rPr>
        <w:t xml:space="preserve"> affairs health care system: Therapist and patient-level</w:t>
      </w:r>
      <w:r>
        <w:rPr>
          <w:sz w:val="18"/>
          <w:szCs w:val="18"/>
        </w:rPr>
        <w:t xml:space="preserve"> </w:t>
      </w:r>
      <w:r w:rsidRPr="00A14438">
        <w:rPr>
          <w:sz w:val="18"/>
          <w:szCs w:val="18"/>
        </w:rPr>
        <w:t xml:space="preserve">outcomes. </w:t>
      </w:r>
      <w:r w:rsidRPr="00A14438">
        <w:rPr>
          <w:i/>
          <w:iCs/>
          <w:sz w:val="18"/>
          <w:szCs w:val="18"/>
        </w:rPr>
        <w:t xml:space="preserve">J Consult </w:t>
      </w:r>
      <w:proofErr w:type="spellStart"/>
      <w:r w:rsidRPr="00A14438">
        <w:rPr>
          <w:i/>
          <w:iCs/>
          <w:sz w:val="18"/>
          <w:szCs w:val="18"/>
        </w:rPr>
        <w:t>Clin</w:t>
      </w:r>
      <w:proofErr w:type="spellEnd"/>
      <w:r w:rsidRPr="00A14438">
        <w:rPr>
          <w:i/>
          <w:iCs/>
          <w:sz w:val="18"/>
          <w:szCs w:val="18"/>
        </w:rPr>
        <w:t xml:space="preserve"> Psychol</w:t>
      </w:r>
      <w:r w:rsidRPr="00A14438">
        <w:rPr>
          <w:sz w:val="18"/>
          <w:szCs w:val="18"/>
        </w:rPr>
        <w:t>. 2012</w:t>
      </w:r>
      <w:proofErr w:type="gramStart"/>
      <w:r w:rsidRPr="00A14438">
        <w:rPr>
          <w:sz w:val="18"/>
          <w:szCs w:val="18"/>
        </w:rPr>
        <w:t>;80:707</w:t>
      </w:r>
      <w:proofErr w:type="gramEnd"/>
      <w:r w:rsidRPr="00A14438">
        <w:rPr>
          <w:sz w:val="18"/>
          <w:szCs w:val="18"/>
        </w:rPr>
        <w:t>–718.</w:t>
      </w:r>
    </w:p>
    <w:p w14:paraId="131DB041" w14:textId="77777777" w:rsidR="00415870" w:rsidRPr="00A14438" w:rsidRDefault="00415870" w:rsidP="009030AE">
      <w:pPr>
        <w:autoSpaceDE w:val="0"/>
        <w:autoSpaceDN w:val="0"/>
        <w:rPr>
          <w:sz w:val="18"/>
          <w:szCs w:val="18"/>
        </w:rPr>
      </w:pPr>
    </w:p>
    <w:p w14:paraId="03F78423" w14:textId="6792B822" w:rsidR="00415870" w:rsidRDefault="00415870" w:rsidP="009030AE">
      <w:pPr>
        <w:autoSpaceDE w:val="0"/>
        <w:autoSpaceDN w:val="0"/>
        <w:rPr>
          <w:sz w:val="18"/>
          <w:szCs w:val="18"/>
        </w:rPr>
      </w:pPr>
      <w:r w:rsidRPr="00A14438">
        <w:rPr>
          <w:sz w:val="18"/>
          <w:szCs w:val="18"/>
          <w:vertAlign w:val="superscript"/>
        </w:rPr>
        <w:t>3</w:t>
      </w:r>
      <w:r w:rsidRPr="00A14438">
        <w:rPr>
          <w:sz w:val="18"/>
          <w:szCs w:val="18"/>
        </w:rPr>
        <w:t xml:space="preserve"> </w:t>
      </w:r>
      <w:proofErr w:type="spellStart"/>
      <w:r w:rsidRPr="00A14438">
        <w:rPr>
          <w:sz w:val="18"/>
          <w:szCs w:val="18"/>
        </w:rPr>
        <w:t>Ruzek</w:t>
      </w:r>
      <w:proofErr w:type="spellEnd"/>
      <w:r w:rsidRPr="00A14438">
        <w:rPr>
          <w:sz w:val="18"/>
          <w:szCs w:val="18"/>
        </w:rPr>
        <w:t xml:space="preserve"> JI, </w:t>
      </w:r>
      <w:proofErr w:type="spellStart"/>
      <w:r w:rsidRPr="00A14438">
        <w:rPr>
          <w:sz w:val="18"/>
          <w:szCs w:val="18"/>
        </w:rPr>
        <w:t>Karlin</w:t>
      </w:r>
      <w:proofErr w:type="spellEnd"/>
      <w:r w:rsidRPr="00A14438">
        <w:rPr>
          <w:sz w:val="18"/>
          <w:szCs w:val="18"/>
        </w:rPr>
        <w:t xml:space="preserve"> BE, &amp; Zeiss AM. Implementation of Evidence-Based Psychological Treatments in the</w:t>
      </w:r>
      <w:r>
        <w:rPr>
          <w:sz w:val="18"/>
          <w:szCs w:val="18"/>
        </w:rPr>
        <w:t xml:space="preserve"> </w:t>
      </w:r>
      <w:r w:rsidRPr="00A14438">
        <w:rPr>
          <w:sz w:val="18"/>
          <w:szCs w:val="18"/>
        </w:rPr>
        <w:t>Veterans Health Administration. In: McHugh RK, Barlow DH, eds. Dissemination of evidence-based psychological treatments. New York, NY: Oxford University Press. , 2012.</w:t>
      </w:r>
    </w:p>
    <w:p w14:paraId="009F8C8D" w14:textId="77777777" w:rsidR="00415870" w:rsidRPr="00A14438" w:rsidRDefault="00415870" w:rsidP="009030AE">
      <w:pPr>
        <w:autoSpaceDE w:val="0"/>
        <w:autoSpaceDN w:val="0"/>
        <w:rPr>
          <w:sz w:val="18"/>
          <w:szCs w:val="18"/>
        </w:rPr>
      </w:pPr>
    </w:p>
    <w:p w14:paraId="6DD753EC" w14:textId="3895E8AC" w:rsidR="00415870" w:rsidRPr="00A14438" w:rsidRDefault="00415870" w:rsidP="009030AE">
      <w:pPr>
        <w:autoSpaceDE w:val="0"/>
        <w:autoSpaceDN w:val="0"/>
        <w:adjustRightInd w:val="0"/>
        <w:rPr>
          <w:rFonts w:cs="ArialMT"/>
          <w:sz w:val="18"/>
          <w:szCs w:val="18"/>
        </w:rPr>
      </w:pPr>
      <w:r w:rsidRPr="00A14438">
        <w:rPr>
          <w:rStyle w:val="EndnoteReference"/>
          <w:sz w:val="18"/>
          <w:szCs w:val="18"/>
        </w:rPr>
        <w:t>4</w:t>
      </w:r>
      <w:r w:rsidRPr="00A14438">
        <w:rPr>
          <w:rFonts w:cs="ArialMT"/>
          <w:sz w:val="18"/>
          <w:szCs w:val="18"/>
        </w:rPr>
        <w:t xml:space="preserve">Lin LA, </w:t>
      </w:r>
      <w:proofErr w:type="spellStart"/>
      <w:r w:rsidRPr="00A14438">
        <w:rPr>
          <w:rFonts w:cs="ArialMT"/>
          <w:sz w:val="18"/>
          <w:szCs w:val="18"/>
        </w:rPr>
        <w:t>Bohnert</w:t>
      </w:r>
      <w:proofErr w:type="spellEnd"/>
      <w:r w:rsidRPr="00A14438">
        <w:rPr>
          <w:rFonts w:cs="ArialMT"/>
          <w:sz w:val="18"/>
          <w:szCs w:val="18"/>
        </w:rPr>
        <w:t xml:space="preserve"> AS, </w:t>
      </w:r>
      <w:proofErr w:type="spellStart"/>
      <w:r w:rsidRPr="00A14438">
        <w:rPr>
          <w:rFonts w:cs="ArialMT"/>
          <w:sz w:val="18"/>
          <w:szCs w:val="18"/>
        </w:rPr>
        <w:t>Ilgen</w:t>
      </w:r>
      <w:proofErr w:type="spellEnd"/>
      <w:r w:rsidRPr="00A14438">
        <w:rPr>
          <w:rFonts w:cs="ArialMT"/>
          <w:sz w:val="18"/>
          <w:szCs w:val="18"/>
        </w:rPr>
        <w:t xml:space="preserve"> MA, et al. Outpatient provider contact prior to unintentional opioid overdose</w:t>
      </w:r>
      <w:r>
        <w:rPr>
          <w:rFonts w:cs="ArialMT"/>
          <w:sz w:val="18"/>
          <w:szCs w:val="18"/>
        </w:rPr>
        <w:t xml:space="preserve"> </w:t>
      </w:r>
      <w:r w:rsidRPr="00A14438">
        <w:rPr>
          <w:rFonts w:cs="ArialMT"/>
          <w:sz w:val="18"/>
          <w:szCs w:val="18"/>
        </w:rPr>
        <w:t xml:space="preserve">among VHA service users. </w:t>
      </w:r>
      <w:proofErr w:type="spellStart"/>
      <w:r w:rsidRPr="00A14438">
        <w:rPr>
          <w:rFonts w:cs="Arial-ItalicMT"/>
          <w:i/>
          <w:iCs/>
          <w:sz w:val="18"/>
          <w:szCs w:val="18"/>
        </w:rPr>
        <w:t>Psychiatr</w:t>
      </w:r>
      <w:proofErr w:type="spellEnd"/>
      <w:r w:rsidRPr="00A14438">
        <w:rPr>
          <w:rFonts w:cs="Arial-ItalicMT"/>
          <w:i/>
          <w:iCs/>
          <w:sz w:val="18"/>
          <w:szCs w:val="18"/>
        </w:rPr>
        <w:t xml:space="preserve"> Serv</w:t>
      </w:r>
      <w:r w:rsidRPr="00A14438">
        <w:rPr>
          <w:rFonts w:cs="ArialMT"/>
          <w:sz w:val="18"/>
          <w:szCs w:val="18"/>
        </w:rPr>
        <w:t>. 2015.</w:t>
      </w:r>
    </w:p>
    <w:p w14:paraId="78BB7666" w14:textId="77777777" w:rsidR="00415870" w:rsidRPr="00A14438" w:rsidRDefault="00415870" w:rsidP="009030AE">
      <w:pPr>
        <w:autoSpaceDE w:val="0"/>
        <w:autoSpaceDN w:val="0"/>
        <w:adjustRightInd w:val="0"/>
        <w:rPr>
          <w:rFonts w:cs="ArialMT"/>
          <w:sz w:val="18"/>
          <w:szCs w:val="18"/>
        </w:rPr>
      </w:pPr>
    </w:p>
    <w:p w14:paraId="71F6D6B6" w14:textId="55F0E378" w:rsidR="00415870" w:rsidRPr="00A14438" w:rsidRDefault="00415870" w:rsidP="009030AE">
      <w:pPr>
        <w:autoSpaceDE w:val="0"/>
        <w:autoSpaceDN w:val="0"/>
        <w:adjustRightInd w:val="0"/>
        <w:rPr>
          <w:rFonts w:cs="ArialMT"/>
          <w:sz w:val="18"/>
          <w:szCs w:val="18"/>
        </w:rPr>
      </w:pPr>
      <w:r w:rsidRPr="00A14438">
        <w:rPr>
          <w:rFonts w:cs="ArialMT"/>
          <w:sz w:val="18"/>
          <w:szCs w:val="18"/>
          <w:vertAlign w:val="superscript"/>
        </w:rPr>
        <w:t xml:space="preserve">5 </w:t>
      </w:r>
      <w:r w:rsidRPr="00A14438">
        <w:rPr>
          <w:rFonts w:cs="ArialMT"/>
          <w:sz w:val="18"/>
          <w:szCs w:val="18"/>
        </w:rPr>
        <w:t xml:space="preserve">Harris AHS, Bowe T, </w:t>
      </w:r>
      <w:proofErr w:type="gramStart"/>
      <w:r w:rsidRPr="00A14438">
        <w:rPr>
          <w:rFonts w:cs="ArialMT"/>
          <w:sz w:val="18"/>
          <w:szCs w:val="18"/>
        </w:rPr>
        <w:t>Del</w:t>
      </w:r>
      <w:proofErr w:type="gramEnd"/>
      <w:r w:rsidRPr="00A14438">
        <w:rPr>
          <w:rFonts w:cs="ArialMT"/>
          <w:sz w:val="18"/>
          <w:szCs w:val="18"/>
        </w:rPr>
        <w:t xml:space="preserve"> Re AC, et al. Extended Release Naltrexone for Alcohol Use Disorders: Quasi-Experimental Effects on Mortality and Subsequent Detoxification Episodes. </w:t>
      </w:r>
      <w:r w:rsidRPr="00A14438">
        <w:rPr>
          <w:rFonts w:cs="Arial-ItalicMT"/>
          <w:i/>
          <w:iCs/>
          <w:sz w:val="18"/>
          <w:szCs w:val="18"/>
        </w:rPr>
        <w:t xml:space="preserve">Alcohol </w:t>
      </w:r>
      <w:proofErr w:type="spellStart"/>
      <w:r w:rsidRPr="00A14438">
        <w:rPr>
          <w:rFonts w:cs="Arial-ItalicMT"/>
          <w:i/>
          <w:iCs/>
          <w:sz w:val="18"/>
          <w:szCs w:val="18"/>
        </w:rPr>
        <w:t>Clin</w:t>
      </w:r>
      <w:proofErr w:type="spellEnd"/>
      <w:r w:rsidRPr="00A14438">
        <w:rPr>
          <w:rFonts w:cs="Arial-ItalicMT"/>
          <w:i/>
          <w:iCs/>
          <w:sz w:val="18"/>
          <w:szCs w:val="18"/>
        </w:rPr>
        <w:t xml:space="preserve"> </w:t>
      </w:r>
      <w:proofErr w:type="spellStart"/>
      <w:r w:rsidRPr="00A14438">
        <w:rPr>
          <w:rFonts w:cs="Arial-ItalicMT"/>
          <w:i/>
          <w:iCs/>
          <w:sz w:val="18"/>
          <w:szCs w:val="18"/>
        </w:rPr>
        <w:t>Exp</w:t>
      </w:r>
      <w:proofErr w:type="spellEnd"/>
      <w:r w:rsidRPr="00A14438">
        <w:rPr>
          <w:rFonts w:cs="Arial-ItalicMT"/>
          <w:i/>
          <w:iCs/>
          <w:sz w:val="18"/>
          <w:szCs w:val="18"/>
        </w:rPr>
        <w:t xml:space="preserve"> Res</w:t>
      </w:r>
      <w:r w:rsidRPr="00A14438">
        <w:rPr>
          <w:rFonts w:cs="ArialMT"/>
          <w:sz w:val="18"/>
          <w:szCs w:val="18"/>
        </w:rPr>
        <w:t>.</w:t>
      </w:r>
      <w:r>
        <w:rPr>
          <w:rFonts w:cs="ArialMT"/>
          <w:sz w:val="18"/>
          <w:szCs w:val="18"/>
        </w:rPr>
        <w:t xml:space="preserve"> </w:t>
      </w:r>
      <w:r w:rsidRPr="00A14438">
        <w:rPr>
          <w:rFonts w:cs="ArialMT"/>
          <w:sz w:val="18"/>
          <w:szCs w:val="18"/>
        </w:rPr>
        <w:t>2015</w:t>
      </w:r>
      <w:proofErr w:type="gramStart"/>
      <w:r w:rsidRPr="00A14438">
        <w:rPr>
          <w:rFonts w:cs="ArialMT"/>
          <w:sz w:val="18"/>
          <w:szCs w:val="18"/>
        </w:rPr>
        <w:t>;39:79</w:t>
      </w:r>
      <w:proofErr w:type="gramEnd"/>
      <w:r w:rsidRPr="00A14438">
        <w:rPr>
          <w:rFonts w:cs="ArialMT"/>
          <w:sz w:val="18"/>
          <w:szCs w:val="18"/>
        </w:rPr>
        <w:t>–83.</w:t>
      </w:r>
    </w:p>
    <w:p w14:paraId="2597EB25" w14:textId="77777777" w:rsidR="00415870" w:rsidRPr="00A14438" w:rsidRDefault="00415870" w:rsidP="009030AE">
      <w:pPr>
        <w:autoSpaceDE w:val="0"/>
        <w:autoSpaceDN w:val="0"/>
        <w:adjustRightInd w:val="0"/>
        <w:rPr>
          <w:rFonts w:cs="ArialMT"/>
          <w:sz w:val="18"/>
          <w:szCs w:val="18"/>
        </w:rPr>
      </w:pPr>
    </w:p>
    <w:p w14:paraId="2C265FDE" w14:textId="38EA0183" w:rsidR="00415870" w:rsidRDefault="00415870" w:rsidP="009030AE">
      <w:pPr>
        <w:autoSpaceDE w:val="0"/>
        <w:autoSpaceDN w:val="0"/>
        <w:adjustRightInd w:val="0"/>
        <w:rPr>
          <w:rFonts w:cs="ArialMT"/>
          <w:sz w:val="18"/>
          <w:szCs w:val="18"/>
        </w:rPr>
      </w:pPr>
      <w:r w:rsidRPr="00A14438">
        <w:rPr>
          <w:rFonts w:cs="ArialMT"/>
          <w:sz w:val="18"/>
          <w:szCs w:val="18"/>
          <w:vertAlign w:val="superscript"/>
        </w:rPr>
        <w:t xml:space="preserve">6 </w:t>
      </w:r>
      <w:proofErr w:type="spellStart"/>
      <w:r w:rsidRPr="00A14438">
        <w:rPr>
          <w:rFonts w:cs="ArialMT"/>
          <w:sz w:val="18"/>
          <w:szCs w:val="18"/>
        </w:rPr>
        <w:t>Degenhardt</w:t>
      </w:r>
      <w:proofErr w:type="spellEnd"/>
      <w:r w:rsidRPr="00A14438">
        <w:rPr>
          <w:rFonts w:cs="ArialMT"/>
          <w:sz w:val="18"/>
          <w:szCs w:val="18"/>
        </w:rPr>
        <w:t xml:space="preserve"> L, </w:t>
      </w:r>
      <w:proofErr w:type="spellStart"/>
      <w:r w:rsidRPr="00A14438">
        <w:rPr>
          <w:rFonts w:cs="ArialMT"/>
          <w:sz w:val="18"/>
          <w:szCs w:val="18"/>
        </w:rPr>
        <w:t>Bucello</w:t>
      </w:r>
      <w:proofErr w:type="spellEnd"/>
      <w:r w:rsidRPr="00A14438">
        <w:rPr>
          <w:rFonts w:cs="ArialMT"/>
          <w:sz w:val="18"/>
          <w:szCs w:val="18"/>
        </w:rPr>
        <w:t xml:space="preserve"> C, Mathers B, et al. Mortality among regular or dependent users of heroin and</w:t>
      </w:r>
      <w:r>
        <w:rPr>
          <w:rFonts w:cs="ArialMT"/>
          <w:sz w:val="18"/>
          <w:szCs w:val="18"/>
        </w:rPr>
        <w:t xml:space="preserve"> </w:t>
      </w:r>
      <w:r w:rsidRPr="00A14438">
        <w:rPr>
          <w:rFonts w:cs="ArialMT"/>
          <w:sz w:val="18"/>
          <w:szCs w:val="18"/>
        </w:rPr>
        <w:t xml:space="preserve">other opioids: A systematic review and meta-analysis of cohort studies. </w:t>
      </w:r>
      <w:r w:rsidRPr="00A14438">
        <w:rPr>
          <w:rFonts w:cs="Arial-ItalicMT"/>
          <w:i/>
          <w:iCs/>
          <w:sz w:val="18"/>
          <w:szCs w:val="18"/>
        </w:rPr>
        <w:t>Addiction</w:t>
      </w:r>
      <w:r w:rsidRPr="00A14438">
        <w:rPr>
          <w:rFonts w:cs="ArialMT"/>
          <w:sz w:val="18"/>
          <w:szCs w:val="18"/>
        </w:rPr>
        <w:t>. 2010</w:t>
      </w:r>
      <w:proofErr w:type="gramStart"/>
      <w:r w:rsidRPr="00A14438">
        <w:rPr>
          <w:rFonts w:cs="ArialMT"/>
          <w:sz w:val="18"/>
          <w:szCs w:val="18"/>
        </w:rPr>
        <w:t>;106:32</w:t>
      </w:r>
      <w:proofErr w:type="gramEnd"/>
      <w:r w:rsidRPr="00A14438">
        <w:rPr>
          <w:rFonts w:cs="ArialMT"/>
          <w:sz w:val="18"/>
          <w:szCs w:val="18"/>
        </w:rPr>
        <w:t>–51.</w:t>
      </w:r>
    </w:p>
    <w:p w14:paraId="573886F6" w14:textId="77777777" w:rsidR="00415870" w:rsidRPr="00A14438" w:rsidRDefault="00415870" w:rsidP="009030AE">
      <w:pPr>
        <w:autoSpaceDE w:val="0"/>
        <w:autoSpaceDN w:val="0"/>
        <w:adjustRightInd w:val="0"/>
        <w:rPr>
          <w:rFonts w:cs="ArialMT"/>
          <w:sz w:val="18"/>
          <w:szCs w:val="18"/>
        </w:rPr>
      </w:pPr>
    </w:p>
    <w:p w14:paraId="2E9E77DD" w14:textId="77777777" w:rsidR="00415870" w:rsidRPr="00A14438" w:rsidRDefault="00415870" w:rsidP="009030AE">
      <w:pPr>
        <w:autoSpaceDE w:val="0"/>
        <w:autoSpaceDN w:val="0"/>
        <w:adjustRightInd w:val="0"/>
        <w:rPr>
          <w:rFonts w:cs="ArialMT"/>
          <w:sz w:val="18"/>
          <w:szCs w:val="18"/>
        </w:rPr>
      </w:pPr>
      <w:r w:rsidRPr="00A14438">
        <w:rPr>
          <w:rFonts w:cs="ArialMT"/>
          <w:sz w:val="18"/>
          <w:szCs w:val="18"/>
          <w:vertAlign w:val="superscript"/>
        </w:rPr>
        <w:t>7</w:t>
      </w:r>
      <w:r w:rsidRPr="00A14438">
        <w:rPr>
          <w:rFonts w:cs="ArialMT"/>
          <w:sz w:val="18"/>
          <w:szCs w:val="18"/>
        </w:rPr>
        <w:t xml:space="preserve"> Kaplan MS, </w:t>
      </w:r>
      <w:proofErr w:type="spellStart"/>
      <w:r w:rsidRPr="00A14438">
        <w:rPr>
          <w:rFonts w:cs="ArialMT"/>
          <w:sz w:val="18"/>
          <w:szCs w:val="18"/>
        </w:rPr>
        <w:t>Huguet</w:t>
      </w:r>
      <w:proofErr w:type="spellEnd"/>
      <w:r w:rsidRPr="00A14438">
        <w:rPr>
          <w:rFonts w:cs="ArialMT"/>
          <w:sz w:val="18"/>
          <w:szCs w:val="18"/>
        </w:rPr>
        <w:t xml:space="preserve"> N, McFarland BH, et al. Suicide among male veterans: a prospective population-based study. </w:t>
      </w:r>
      <w:r w:rsidRPr="00A14438">
        <w:rPr>
          <w:rFonts w:cs="Arial-ItalicMT"/>
          <w:i/>
          <w:iCs/>
          <w:sz w:val="18"/>
          <w:szCs w:val="18"/>
        </w:rPr>
        <w:t xml:space="preserve">J </w:t>
      </w:r>
      <w:proofErr w:type="spellStart"/>
      <w:r w:rsidRPr="00A14438">
        <w:rPr>
          <w:rFonts w:cs="Arial-ItalicMT"/>
          <w:i/>
          <w:iCs/>
          <w:sz w:val="18"/>
          <w:szCs w:val="18"/>
        </w:rPr>
        <w:t>Epidemiol</w:t>
      </w:r>
      <w:proofErr w:type="spellEnd"/>
      <w:r w:rsidRPr="00A14438">
        <w:rPr>
          <w:rFonts w:cs="Arial-ItalicMT"/>
          <w:i/>
          <w:iCs/>
          <w:sz w:val="18"/>
          <w:szCs w:val="18"/>
        </w:rPr>
        <w:t xml:space="preserve"> Community Health</w:t>
      </w:r>
      <w:r w:rsidRPr="00A14438">
        <w:rPr>
          <w:rFonts w:cs="ArialMT"/>
          <w:sz w:val="18"/>
          <w:szCs w:val="18"/>
        </w:rPr>
        <w:t>. 2007</w:t>
      </w:r>
      <w:proofErr w:type="gramStart"/>
      <w:r w:rsidRPr="00A14438">
        <w:rPr>
          <w:rFonts w:cs="ArialMT"/>
          <w:sz w:val="18"/>
          <w:szCs w:val="18"/>
        </w:rPr>
        <w:t>;61:619</w:t>
      </w:r>
      <w:proofErr w:type="gramEnd"/>
      <w:r w:rsidRPr="00A14438">
        <w:rPr>
          <w:rFonts w:cs="ArialMT"/>
          <w:sz w:val="18"/>
          <w:szCs w:val="18"/>
        </w:rPr>
        <w:t>–624.</w:t>
      </w:r>
    </w:p>
    <w:p w14:paraId="106933BA" w14:textId="77777777" w:rsidR="00415870" w:rsidRPr="00A14438" w:rsidRDefault="00415870" w:rsidP="009030AE">
      <w:pPr>
        <w:autoSpaceDE w:val="0"/>
        <w:autoSpaceDN w:val="0"/>
        <w:adjustRightInd w:val="0"/>
        <w:rPr>
          <w:rFonts w:cs="ArialMT"/>
          <w:sz w:val="18"/>
          <w:szCs w:val="18"/>
        </w:rPr>
      </w:pPr>
    </w:p>
    <w:p w14:paraId="1A3FA020" w14:textId="7964887A" w:rsidR="00415870" w:rsidRPr="00A14438" w:rsidRDefault="00415870" w:rsidP="009030AE">
      <w:pPr>
        <w:autoSpaceDE w:val="0"/>
        <w:autoSpaceDN w:val="0"/>
        <w:adjustRightInd w:val="0"/>
        <w:rPr>
          <w:rFonts w:cs="ArialMT"/>
          <w:sz w:val="18"/>
          <w:szCs w:val="18"/>
        </w:rPr>
      </w:pPr>
      <w:r w:rsidRPr="00A14438">
        <w:rPr>
          <w:rFonts w:cs="ArialMT"/>
          <w:sz w:val="18"/>
          <w:szCs w:val="18"/>
          <w:vertAlign w:val="superscript"/>
        </w:rPr>
        <w:t xml:space="preserve">8 </w:t>
      </w:r>
      <w:r w:rsidRPr="00A14438">
        <w:rPr>
          <w:rFonts w:cs="ArialMT"/>
          <w:sz w:val="18"/>
          <w:szCs w:val="18"/>
        </w:rPr>
        <w:t xml:space="preserve">Desai RA, </w:t>
      </w:r>
      <w:proofErr w:type="spellStart"/>
      <w:r w:rsidRPr="00A14438">
        <w:rPr>
          <w:rFonts w:cs="ArialMT"/>
          <w:sz w:val="18"/>
          <w:szCs w:val="18"/>
        </w:rPr>
        <w:t>Dausey</w:t>
      </w:r>
      <w:proofErr w:type="spellEnd"/>
      <w:r w:rsidRPr="00A14438">
        <w:rPr>
          <w:rFonts w:cs="ArialMT"/>
          <w:sz w:val="18"/>
          <w:szCs w:val="18"/>
        </w:rPr>
        <w:t xml:space="preserve"> DJ, &amp; </w:t>
      </w:r>
      <w:proofErr w:type="spellStart"/>
      <w:r w:rsidRPr="00A14438">
        <w:rPr>
          <w:rFonts w:cs="ArialMT"/>
          <w:sz w:val="18"/>
          <w:szCs w:val="18"/>
        </w:rPr>
        <w:t>Rosenheck</w:t>
      </w:r>
      <w:proofErr w:type="spellEnd"/>
      <w:r w:rsidRPr="00A14438">
        <w:rPr>
          <w:rFonts w:cs="ArialMT"/>
          <w:sz w:val="18"/>
          <w:szCs w:val="18"/>
        </w:rPr>
        <w:t xml:space="preserve"> RA. Mental health service delivery and suicide risk: The role of</w:t>
      </w:r>
      <w:r>
        <w:rPr>
          <w:rFonts w:cs="ArialMT"/>
          <w:sz w:val="18"/>
          <w:szCs w:val="18"/>
        </w:rPr>
        <w:t xml:space="preserve"> </w:t>
      </w:r>
      <w:r w:rsidRPr="00A14438">
        <w:rPr>
          <w:rFonts w:cs="ArialMT"/>
          <w:sz w:val="18"/>
          <w:szCs w:val="18"/>
        </w:rPr>
        <w:t xml:space="preserve">individual patient and facility factors. </w:t>
      </w:r>
      <w:r w:rsidRPr="00A14438">
        <w:rPr>
          <w:rFonts w:cs="Arial-ItalicMT"/>
          <w:i/>
          <w:iCs/>
          <w:sz w:val="18"/>
          <w:szCs w:val="18"/>
        </w:rPr>
        <w:t>Am J Psychiatry</w:t>
      </w:r>
      <w:r w:rsidRPr="00A14438">
        <w:rPr>
          <w:rFonts w:cs="ArialMT"/>
          <w:sz w:val="18"/>
          <w:szCs w:val="18"/>
        </w:rPr>
        <w:t>. 2014.</w:t>
      </w:r>
    </w:p>
    <w:p w14:paraId="15EEBCDA" w14:textId="77777777" w:rsidR="00415870" w:rsidRPr="00A14438" w:rsidRDefault="00415870" w:rsidP="009030AE">
      <w:pPr>
        <w:autoSpaceDE w:val="0"/>
        <w:autoSpaceDN w:val="0"/>
        <w:adjustRightInd w:val="0"/>
        <w:rPr>
          <w:rFonts w:cs="ArialMT"/>
          <w:sz w:val="18"/>
          <w:szCs w:val="18"/>
        </w:rPr>
      </w:pPr>
    </w:p>
    <w:p w14:paraId="733DE0E1" w14:textId="16CA815E" w:rsidR="00415870" w:rsidRDefault="00415870" w:rsidP="00415870">
      <w:pPr>
        <w:autoSpaceDE w:val="0"/>
        <w:autoSpaceDN w:val="0"/>
        <w:adjustRightInd w:val="0"/>
        <w:rPr>
          <w:rFonts w:cs="ArialMT"/>
          <w:sz w:val="18"/>
          <w:szCs w:val="18"/>
        </w:rPr>
      </w:pPr>
      <w:r w:rsidRPr="00A14438">
        <w:rPr>
          <w:rFonts w:cs="ArialMT"/>
          <w:sz w:val="18"/>
          <w:szCs w:val="18"/>
          <w:vertAlign w:val="superscript"/>
        </w:rPr>
        <w:t xml:space="preserve">9 </w:t>
      </w:r>
      <w:r w:rsidRPr="00A14438">
        <w:rPr>
          <w:rFonts w:cs="ArialMT"/>
          <w:sz w:val="18"/>
          <w:szCs w:val="18"/>
        </w:rPr>
        <w:t xml:space="preserve">Gradus JL, </w:t>
      </w:r>
      <w:proofErr w:type="spellStart"/>
      <w:r w:rsidRPr="00A14438">
        <w:rPr>
          <w:rFonts w:cs="ArialMT"/>
          <w:sz w:val="18"/>
          <w:szCs w:val="18"/>
        </w:rPr>
        <w:t>Suvak</w:t>
      </w:r>
      <w:proofErr w:type="spellEnd"/>
      <w:r w:rsidRPr="00A14438">
        <w:rPr>
          <w:rFonts w:cs="ArialMT"/>
          <w:sz w:val="18"/>
          <w:szCs w:val="18"/>
        </w:rPr>
        <w:t xml:space="preserve"> MK, </w:t>
      </w:r>
      <w:proofErr w:type="spellStart"/>
      <w:r w:rsidRPr="00A14438">
        <w:rPr>
          <w:rFonts w:cs="ArialMT"/>
          <w:sz w:val="18"/>
          <w:szCs w:val="18"/>
        </w:rPr>
        <w:t>Wisco</w:t>
      </w:r>
      <w:proofErr w:type="spellEnd"/>
      <w:r w:rsidRPr="00A14438">
        <w:rPr>
          <w:rFonts w:cs="ArialMT"/>
          <w:sz w:val="18"/>
          <w:szCs w:val="18"/>
        </w:rPr>
        <w:t xml:space="preserve"> BE, et al. Treatment of posttraumatic stress disorder reduces suicidal</w:t>
      </w:r>
      <w:r>
        <w:rPr>
          <w:rFonts w:cs="ArialMT"/>
          <w:sz w:val="18"/>
          <w:szCs w:val="18"/>
        </w:rPr>
        <w:t xml:space="preserve"> </w:t>
      </w:r>
      <w:r w:rsidRPr="00A14438">
        <w:rPr>
          <w:rFonts w:cs="ArialMT"/>
          <w:sz w:val="18"/>
          <w:szCs w:val="18"/>
        </w:rPr>
        <w:t xml:space="preserve">ideation. </w:t>
      </w:r>
      <w:r w:rsidRPr="00A14438">
        <w:rPr>
          <w:rFonts w:cs="Arial-ItalicMT"/>
          <w:i/>
          <w:iCs/>
          <w:sz w:val="18"/>
          <w:szCs w:val="18"/>
        </w:rPr>
        <w:t>Depress Anxiety</w:t>
      </w:r>
      <w:r w:rsidRPr="00A14438">
        <w:rPr>
          <w:rFonts w:cs="ArialMT"/>
          <w:sz w:val="18"/>
          <w:szCs w:val="18"/>
        </w:rPr>
        <w:t>. 2013</w:t>
      </w:r>
      <w:proofErr w:type="gramStart"/>
      <w:r w:rsidRPr="00A14438">
        <w:rPr>
          <w:rFonts w:cs="ArialMT"/>
          <w:sz w:val="18"/>
          <w:szCs w:val="18"/>
        </w:rPr>
        <w:t>;30:1046</w:t>
      </w:r>
      <w:proofErr w:type="gramEnd"/>
      <w:r w:rsidRPr="00A14438">
        <w:rPr>
          <w:rFonts w:cs="ArialMT"/>
          <w:sz w:val="18"/>
          <w:szCs w:val="18"/>
        </w:rPr>
        <w:t>–1053.</w:t>
      </w:r>
    </w:p>
    <w:p w14:paraId="4358324C" w14:textId="77777777" w:rsidR="00415870" w:rsidRPr="00A14438" w:rsidRDefault="00415870" w:rsidP="009030AE">
      <w:pPr>
        <w:rPr>
          <w:rFonts w:cs="ArialMT"/>
          <w:sz w:val="18"/>
          <w:szCs w:val="18"/>
        </w:rPr>
      </w:pPr>
    </w:p>
    <w:p w14:paraId="27E9079C" w14:textId="77777777" w:rsidR="00415870" w:rsidRDefault="00415870" w:rsidP="009030AE">
      <w:pPr>
        <w:rPr>
          <w:sz w:val="18"/>
          <w:szCs w:val="18"/>
        </w:rPr>
      </w:pPr>
      <w:r w:rsidRPr="00A14438">
        <w:rPr>
          <w:rFonts w:cs="ArialMT"/>
          <w:sz w:val="18"/>
          <w:szCs w:val="18"/>
          <w:vertAlign w:val="superscript"/>
        </w:rPr>
        <w:t>10</w:t>
      </w:r>
      <w:r w:rsidRPr="00A14438">
        <w:rPr>
          <w:rFonts w:cs="ArialMT"/>
          <w:sz w:val="18"/>
          <w:szCs w:val="18"/>
        </w:rPr>
        <w:t xml:space="preserve"> </w:t>
      </w:r>
      <w:proofErr w:type="spellStart"/>
      <w:r w:rsidRPr="00A14438">
        <w:rPr>
          <w:sz w:val="18"/>
          <w:szCs w:val="18"/>
        </w:rPr>
        <w:t>Hankin</w:t>
      </w:r>
      <w:proofErr w:type="spellEnd"/>
      <w:r w:rsidRPr="00A14438">
        <w:rPr>
          <w:sz w:val="18"/>
          <w:szCs w:val="18"/>
        </w:rPr>
        <w:t xml:space="preserve"> CS, Spiro III A, Miller DR, et al. Mental disorders and mental health treatment among US Department of Veterans Affairs outpatients: The Veterans Health Study. </w:t>
      </w:r>
      <w:r w:rsidRPr="00A14438">
        <w:rPr>
          <w:i/>
          <w:iCs/>
          <w:sz w:val="18"/>
          <w:szCs w:val="18"/>
        </w:rPr>
        <w:t>Am J Psychiatry</w:t>
      </w:r>
      <w:r w:rsidRPr="00A14438">
        <w:rPr>
          <w:sz w:val="18"/>
          <w:szCs w:val="18"/>
        </w:rPr>
        <w:t>. 2014.</w:t>
      </w:r>
    </w:p>
    <w:p w14:paraId="298E72D7" w14:textId="77777777" w:rsidR="00415870" w:rsidRPr="003F48C3" w:rsidRDefault="00415870" w:rsidP="009030AE">
      <w:pPr>
        <w:rPr>
          <w:rFonts w:cs="ArialMT"/>
          <w:sz w:val="18"/>
          <w:szCs w:val="18"/>
        </w:rPr>
      </w:pPr>
    </w:p>
    <w:p w14:paraId="31D5BD6B" w14:textId="77777777" w:rsidR="00415870" w:rsidRDefault="00415870" w:rsidP="009030AE">
      <w:pPr>
        <w:pStyle w:val="ListParagraph"/>
        <w:autoSpaceDE w:val="0"/>
        <w:autoSpaceDN w:val="0"/>
        <w:ind w:left="0"/>
        <w:rPr>
          <w:sz w:val="18"/>
          <w:szCs w:val="18"/>
        </w:rPr>
      </w:pPr>
      <w:r w:rsidRPr="00A14438">
        <w:rPr>
          <w:rStyle w:val="EndnoteReference"/>
          <w:sz w:val="18"/>
          <w:szCs w:val="18"/>
        </w:rPr>
        <w:t xml:space="preserve">11 </w:t>
      </w:r>
      <w:proofErr w:type="spellStart"/>
      <w:r w:rsidRPr="00A14438">
        <w:rPr>
          <w:sz w:val="18"/>
          <w:szCs w:val="18"/>
        </w:rPr>
        <w:t>Hoggatt</w:t>
      </w:r>
      <w:proofErr w:type="spellEnd"/>
      <w:r w:rsidRPr="00A14438">
        <w:rPr>
          <w:sz w:val="18"/>
          <w:szCs w:val="18"/>
        </w:rPr>
        <w:t xml:space="preserve"> KJ, Williams EC, Der-</w:t>
      </w:r>
      <w:proofErr w:type="spellStart"/>
      <w:r w:rsidRPr="00A14438">
        <w:rPr>
          <w:sz w:val="18"/>
          <w:szCs w:val="18"/>
        </w:rPr>
        <w:t>Martirosian</w:t>
      </w:r>
      <w:proofErr w:type="spellEnd"/>
      <w:r w:rsidRPr="00A14438">
        <w:rPr>
          <w:sz w:val="18"/>
          <w:szCs w:val="18"/>
        </w:rPr>
        <w:t xml:space="preserve"> C, et al. National prevalence and correlates of alcohol misuse</w:t>
      </w:r>
      <w:r>
        <w:rPr>
          <w:sz w:val="18"/>
          <w:szCs w:val="18"/>
        </w:rPr>
        <w:t xml:space="preserve"> </w:t>
      </w:r>
      <w:r w:rsidRPr="00A14438">
        <w:rPr>
          <w:sz w:val="18"/>
          <w:szCs w:val="18"/>
        </w:rPr>
        <w:t xml:space="preserve">in women Veterans. </w:t>
      </w:r>
      <w:r w:rsidRPr="00A14438">
        <w:rPr>
          <w:i/>
          <w:iCs/>
          <w:sz w:val="18"/>
          <w:szCs w:val="18"/>
        </w:rPr>
        <w:t xml:space="preserve">J </w:t>
      </w:r>
      <w:proofErr w:type="spellStart"/>
      <w:r w:rsidRPr="00A14438">
        <w:rPr>
          <w:i/>
          <w:iCs/>
          <w:sz w:val="18"/>
          <w:szCs w:val="18"/>
        </w:rPr>
        <w:t>Subst</w:t>
      </w:r>
      <w:proofErr w:type="spellEnd"/>
      <w:r w:rsidRPr="00A14438">
        <w:rPr>
          <w:i/>
          <w:iCs/>
          <w:sz w:val="18"/>
          <w:szCs w:val="18"/>
        </w:rPr>
        <w:t xml:space="preserve"> Abuse Treat</w:t>
      </w:r>
      <w:r w:rsidRPr="00A14438">
        <w:rPr>
          <w:sz w:val="18"/>
          <w:szCs w:val="18"/>
        </w:rPr>
        <w:t>. 2015</w:t>
      </w:r>
      <w:proofErr w:type="gramStart"/>
      <w:r w:rsidRPr="00A14438">
        <w:rPr>
          <w:sz w:val="18"/>
          <w:szCs w:val="18"/>
        </w:rPr>
        <w:t>;52:10</w:t>
      </w:r>
      <w:proofErr w:type="gramEnd"/>
      <w:r w:rsidRPr="00A14438">
        <w:rPr>
          <w:sz w:val="18"/>
          <w:szCs w:val="18"/>
        </w:rPr>
        <w:t>–16.</w:t>
      </w:r>
    </w:p>
    <w:p w14:paraId="58D864CA" w14:textId="77777777" w:rsidR="00415870" w:rsidRPr="00A14438" w:rsidRDefault="00415870" w:rsidP="009030AE">
      <w:pPr>
        <w:pStyle w:val="ListParagraph"/>
        <w:autoSpaceDE w:val="0"/>
        <w:autoSpaceDN w:val="0"/>
        <w:ind w:left="0"/>
        <w:rPr>
          <w:sz w:val="18"/>
          <w:szCs w:val="18"/>
        </w:rPr>
      </w:pPr>
    </w:p>
    <w:p w14:paraId="6FD0923A" w14:textId="77777777" w:rsidR="00415870" w:rsidRPr="00A14438" w:rsidRDefault="00415870" w:rsidP="009030AE">
      <w:pPr>
        <w:autoSpaceDE w:val="0"/>
        <w:autoSpaceDN w:val="0"/>
        <w:rPr>
          <w:sz w:val="18"/>
          <w:szCs w:val="18"/>
        </w:rPr>
      </w:pPr>
      <w:r w:rsidRPr="00A14438">
        <w:rPr>
          <w:rStyle w:val="EndnoteReference"/>
          <w:sz w:val="18"/>
          <w:szCs w:val="18"/>
        </w:rPr>
        <w:t xml:space="preserve">12 </w:t>
      </w:r>
      <w:r w:rsidRPr="00A14438">
        <w:rPr>
          <w:sz w:val="18"/>
          <w:szCs w:val="18"/>
        </w:rPr>
        <w:t xml:space="preserve">Fulton JJ, Calhoun PS, Wagner HR, et al. The prevalence of posttraumatic stress disorder in Operation Enduring Freedom/Operation Iraqi Freedom (OEF/OIF) Veterans: A meta-analysis. </w:t>
      </w:r>
      <w:r w:rsidRPr="00A14438">
        <w:rPr>
          <w:i/>
          <w:iCs/>
          <w:sz w:val="18"/>
          <w:szCs w:val="18"/>
        </w:rPr>
        <w:t xml:space="preserve">J Anxiety </w:t>
      </w:r>
      <w:proofErr w:type="spellStart"/>
      <w:r w:rsidRPr="00A14438">
        <w:rPr>
          <w:i/>
          <w:iCs/>
          <w:sz w:val="18"/>
          <w:szCs w:val="18"/>
        </w:rPr>
        <w:t>Disord</w:t>
      </w:r>
      <w:proofErr w:type="spellEnd"/>
      <w:r w:rsidRPr="00A14438">
        <w:rPr>
          <w:sz w:val="18"/>
          <w:szCs w:val="18"/>
        </w:rPr>
        <w:t>. 2015</w:t>
      </w:r>
      <w:proofErr w:type="gramStart"/>
      <w:r w:rsidRPr="00A14438">
        <w:rPr>
          <w:sz w:val="18"/>
          <w:szCs w:val="18"/>
        </w:rPr>
        <w:t>;31:98</w:t>
      </w:r>
      <w:proofErr w:type="gramEnd"/>
      <w:r w:rsidRPr="00A14438">
        <w:rPr>
          <w:sz w:val="18"/>
          <w:szCs w:val="18"/>
        </w:rPr>
        <w:t>–107.</w:t>
      </w:r>
    </w:p>
    <w:p w14:paraId="2F86AB8A" w14:textId="77777777" w:rsidR="00415870" w:rsidRDefault="00415870" w:rsidP="009030AE">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Times New Roman"/>
    <w:charset w:val="00"/>
    <w:family w:val="auto"/>
    <w:pitch w:val="default"/>
    <w:sig w:usb0="00000003" w:usb1="00000000" w:usb2="00000000" w:usb3="00000000" w:csb0="00000001" w:csb1="00000000"/>
  </w:font>
  <w:font w:name="Arial-ItalicMT">
    <w:altName w:val="Times New Roman"/>
    <w:charset w:val="00"/>
    <w:family w:val="auto"/>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88143" w14:textId="77777777" w:rsidR="00C674BE" w:rsidRDefault="00C674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CA3AE" w14:textId="77777777" w:rsidR="00C674BE" w:rsidRDefault="00C674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F2BD62" w14:textId="77777777" w:rsidR="00C674BE" w:rsidRDefault="00C674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65F851" w14:textId="77777777" w:rsidR="009030AE" w:rsidRDefault="009030AE" w:rsidP="009030AE">
      <w:r>
        <w:separator/>
      </w:r>
    </w:p>
  </w:footnote>
  <w:footnote w:type="continuationSeparator" w:id="0">
    <w:p w14:paraId="0B4595DF" w14:textId="77777777" w:rsidR="009030AE" w:rsidRDefault="009030AE" w:rsidP="009030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44047F" w14:textId="77777777" w:rsidR="00C674BE" w:rsidRDefault="00C674B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7704863"/>
      <w:docPartObj>
        <w:docPartGallery w:val="Watermarks"/>
        <w:docPartUnique/>
      </w:docPartObj>
    </w:sdtPr>
    <w:sdtEndPr/>
    <w:sdtContent>
      <w:p w14:paraId="126ECD30" w14:textId="75249A84" w:rsidR="00C674BE" w:rsidRDefault="00CA2BB9">
        <w:pPr>
          <w:pStyle w:val="Header"/>
        </w:pPr>
        <w:r>
          <w:rPr>
            <w:noProof/>
          </w:rPr>
          <w:pict w14:anchorId="3D582A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5677F4" w14:textId="77777777" w:rsidR="00C674BE" w:rsidRDefault="00C674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680778"/>
    <w:multiLevelType w:val="hybridMultilevel"/>
    <w:tmpl w:val="4D2A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F221F"/>
    <w:multiLevelType w:val="hybridMultilevel"/>
    <w:tmpl w:val="D5E67596"/>
    <w:lvl w:ilvl="0" w:tplc="04090001">
      <w:start w:val="1"/>
      <w:numFmt w:val="bullet"/>
      <w:lvlText w:val=""/>
      <w:lvlJc w:val="left"/>
      <w:pPr>
        <w:ind w:left="310" w:hanging="360"/>
      </w:pPr>
      <w:rPr>
        <w:rFonts w:ascii="Symbol" w:hAnsi="Symbol" w:hint="default"/>
      </w:rPr>
    </w:lvl>
    <w:lvl w:ilvl="1" w:tplc="04090003">
      <w:start w:val="1"/>
      <w:numFmt w:val="bullet"/>
      <w:lvlText w:val="o"/>
      <w:lvlJc w:val="left"/>
      <w:pPr>
        <w:ind w:left="1030" w:hanging="360"/>
      </w:pPr>
      <w:rPr>
        <w:rFonts w:ascii="Courier New" w:hAnsi="Courier New" w:cs="Courier New" w:hint="default"/>
      </w:rPr>
    </w:lvl>
    <w:lvl w:ilvl="2" w:tplc="04090005">
      <w:start w:val="1"/>
      <w:numFmt w:val="bullet"/>
      <w:lvlText w:val=""/>
      <w:lvlJc w:val="left"/>
      <w:pPr>
        <w:ind w:left="1750" w:hanging="360"/>
      </w:pPr>
      <w:rPr>
        <w:rFonts w:ascii="Wingdings" w:hAnsi="Wingdings" w:hint="default"/>
      </w:rPr>
    </w:lvl>
    <w:lvl w:ilvl="3" w:tplc="04090001">
      <w:start w:val="1"/>
      <w:numFmt w:val="bullet"/>
      <w:lvlText w:val=""/>
      <w:lvlJc w:val="left"/>
      <w:pPr>
        <w:ind w:left="2470" w:hanging="360"/>
      </w:pPr>
      <w:rPr>
        <w:rFonts w:ascii="Symbol" w:hAnsi="Symbol" w:hint="default"/>
      </w:rPr>
    </w:lvl>
    <w:lvl w:ilvl="4" w:tplc="04090003">
      <w:start w:val="1"/>
      <w:numFmt w:val="bullet"/>
      <w:lvlText w:val="o"/>
      <w:lvlJc w:val="left"/>
      <w:pPr>
        <w:ind w:left="3190" w:hanging="360"/>
      </w:pPr>
      <w:rPr>
        <w:rFonts w:ascii="Courier New" w:hAnsi="Courier New" w:cs="Courier New" w:hint="default"/>
      </w:rPr>
    </w:lvl>
    <w:lvl w:ilvl="5" w:tplc="04090005">
      <w:start w:val="1"/>
      <w:numFmt w:val="bullet"/>
      <w:lvlText w:val=""/>
      <w:lvlJc w:val="left"/>
      <w:pPr>
        <w:ind w:left="3910" w:hanging="360"/>
      </w:pPr>
      <w:rPr>
        <w:rFonts w:ascii="Wingdings" w:hAnsi="Wingdings" w:hint="default"/>
      </w:rPr>
    </w:lvl>
    <w:lvl w:ilvl="6" w:tplc="04090001">
      <w:start w:val="1"/>
      <w:numFmt w:val="bullet"/>
      <w:lvlText w:val=""/>
      <w:lvlJc w:val="left"/>
      <w:pPr>
        <w:ind w:left="4630" w:hanging="360"/>
      </w:pPr>
      <w:rPr>
        <w:rFonts w:ascii="Symbol" w:hAnsi="Symbol" w:hint="default"/>
      </w:rPr>
    </w:lvl>
    <w:lvl w:ilvl="7" w:tplc="04090003">
      <w:start w:val="1"/>
      <w:numFmt w:val="bullet"/>
      <w:lvlText w:val="o"/>
      <w:lvlJc w:val="left"/>
      <w:pPr>
        <w:ind w:left="5350" w:hanging="360"/>
      </w:pPr>
      <w:rPr>
        <w:rFonts w:ascii="Courier New" w:hAnsi="Courier New" w:cs="Courier New" w:hint="default"/>
      </w:rPr>
    </w:lvl>
    <w:lvl w:ilvl="8" w:tplc="04090005">
      <w:start w:val="1"/>
      <w:numFmt w:val="bullet"/>
      <w:lvlText w:val=""/>
      <w:lvlJc w:val="left"/>
      <w:pPr>
        <w:ind w:left="6070" w:hanging="360"/>
      </w:pPr>
      <w:rPr>
        <w:rFonts w:ascii="Wingdings" w:hAnsi="Wingdings" w:hint="default"/>
      </w:rPr>
    </w:lvl>
  </w:abstractNum>
  <w:abstractNum w:abstractNumId="2" w15:restartNumberingAfterBreak="0">
    <w:nsid w:val="27CB51CA"/>
    <w:multiLevelType w:val="multilevel"/>
    <w:tmpl w:val="CDA60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953BB9"/>
    <w:multiLevelType w:val="hybridMultilevel"/>
    <w:tmpl w:val="C3CAD0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B335F3C"/>
    <w:multiLevelType w:val="hybridMultilevel"/>
    <w:tmpl w:val="0EE6D20E"/>
    <w:lvl w:ilvl="0" w:tplc="0554C3B8">
      <w:numFmt w:val="bullet"/>
      <w:lvlText w:val="-"/>
      <w:lvlJc w:val="left"/>
      <w:pPr>
        <w:ind w:left="360" w:hanging="360"/>
      </w:pPr>
      <w:rPr>
        <w:rFonts w:ascii="Calibri" w:eastAsiaTheme="minorHAns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D325A22"/>
    <w:multiLevelType w:val="hybridMultilevel"/>
    <w:tmpl w:val="0CCC3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B0B27BA"/>
    <w:multiLevelType w:val="hybridMultilevel"/>
    <w:tmpl w:val="9578B9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CA6856"/>
    <w:multiLevelType w:val="hybridMultilevel"/>
    <w:tmpl w:val="B62EB8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6"/>
  </w:num>
  <w:num w:numId="7">
    <w:abstractNumId w:val="5"/>
  </w:num>
  <w:num w:numId="8">
    <w:abstractNumId w:val="3"/>
  </w:num>
  <w:num w:numId="9">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hapm">
    <w15:presenceInfo w15:providerId="None" w15:userId="alhapm"/>
  </w15:person>
  <w15:person w15:author="Amanda P. Martinez">
    <w15:presenceInfo w15:providerId="AD" w15:userId="S-1-5-21-2482117454-3359243091-2387698914-197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BD7"/>
    <w:rsid w:val="000C2BD7"/>
    <w:rsid w:val="0014227A"/>
    <w:rsid w:val="001A55FA"/>
    <w:rsid w:val="001E2718"/>
    <w:rsid w:val="00260687"/>
    <w:rsid w:val="002C51AE"/>
    <w:rsid w:val="003D2B93"/>
    <w:rsid w:val="00415870"/>
    <w:rsid w:val="00426C76"/>
    <w:rsid w:val="004E220A"/>
    <w:rsid w:val="005D19FA"/>
    <w:rsid w:val="006C5F8A"/>
    <w:rsid w:val="006D5E61"/>
    <w:rsid w:val="00717D3D"/>
    <w:rsid w:val="00787441"/>
    <w:rsid w:val="008A7A33"/>
    <w:rsid w:val="008C6C0B"/>
    <w:rsid w:val="009030AE"/>
    <w:rsid w:val="009B08B1"/>
    <w:rsid w:val="00A13598"/>
    <w:rsid w:val="00A311FB"/>
    <w:rsid w:val="00AB2848"/>
    <w:rsid w:val="00C674BE"/>
    <w:rsid w:val="00CA2BB9"/>
    <w:rsid w:val="00E01366"/>
    <w:rsid w:val="00F31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3BA3181"/>
  <w15:docId w15:val="{5E6CF1FD-95B3-428B-984F-0D0F9DC97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2BD7"/>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2BD7"/>
    <w:rPr>
      <w:rFonts w:ascii="Tahoma" w:hAnsi="Tahoma" w:cs="Tahoma"/>
      <w:sz w:val="16"/>
      <w:szCs w:val="16"/>
    </w:rPr>
  </w:style>
  <w:style w:type="character" w:customStyle="1" w:styleId="BalloonTextChar">
    <w:name w:val="Balloon Text Char"/>
    <w:basedOn w:val="DefaultParagraphFont"/>
    <w:link w:val="BalloonText"/>
    <w:uiPriority w:val="99"/>
    <w:semiHidden/>
    <w:rsid w:val="000C2BD7"/>
    <w:rPr>
      <w:rFonts w:ascii="Tahoma" w:hAnsi="Tahoma" w:cs="Tahoma"/>
      <w:sz w:val="16"/>
      <w:szCs w:val="16"/>
    </w:rPr>
  </w:style>
  <w:style w:type="paragraph" w:styleId="ListParagraph">
    <w:name w:val="List Paragraph"/>
    <w:basedOn w:val="Normal"/>
    <w:uiPriority w:val="34"/>
    <w:qFormat/>
    <w:rsid w:val="00AB2848"/>
    <w:pPr>
      <w:ind w:left="720"/>
      <w:contextualSpacing/>
    </w:pPr>
  </w:style>
  <w:style w:type="paragraph" w:customStyle="1" w:styleId="para">
    <w:name w:val="para"/>
    <w:basedOn w:val="Normal"/>
    <w:rsid w:val="009030AE"/>
    <w:pPr>
      <w:spacing w:before="100" w:beforeAutospacing="1" w:after="100" w:afterAutospacing="1"/>
    </w:pPr>
    <w:rPr>
      <w:rFonts w:ascii="Times New Roman" w:eastAsia="Times New Roman" w:hAnsi="Times New Roman"/>
      <w:sz w:val="24"/>
      <w:szCs w:val="24"/>
    </w:rPr>
  </w:style>
  <w:style w:type="paragraph" w:styleId="FootnoteText">
    <w:name w:val="footnote text"/>
    <w:basedOn w:val="Normal"/>
    <w:link w:val="FootnoteTextChar"/>
    <w:uiPriority w:val="99"/>
    <w:semiHidden/>
    <w:unhideWhenUsed/>
    <w:rsid w:val="009030AE"/>
    <w:rPr>
      <w:rFonts w:ascii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9030AE"/>
    <w:rPr>
      <w:sz w:val="20"/>
      <w:szCs w:val="20"/>
    </w:rPr>
  </w:style>
  <w:style w:type="character" w:styleId="FootnoteReference">
    <w:name w:val="footnote reference"/>
    <w:basedOn w:val="DefaultParagraphFont"/>
    <w:uiPriority w:val="99"/>
    <w:semiHidden/>
    <w:unhideWhenUsed/>
    <w:rsid w:val="009030AE"/>
    <w:rPr>
      <w:vertAlign w:val="superscript"/>
    </w:rPr>
  </w:style>
  <w:style w:type="character" w:styleId="CommentReference">
    <w:name w:val="annotation reference"/>
    <w:basedOn w:val="DefaultParagraphFont"/>
    <w:uiPriority w:val="99"/>
    <w:semiHidden/>
    <w:unhideWhenUsed/>
    <w:rsid w:val="008A7A33"/>
    <w:rPr>
      <w:sz w:val="16"/>
      <w:szCs w:val="16"/>
    </w:rPr>
  </w:style>
  <w:style w:type="paragraph" w:styleId="CommentText">
    <w:name w:val="annotation text"/>
    <w:basedOn w:val="Normal"/>
    <w:link w:val="CommentTextChar"/>
    <w:uiPriority w:val="99"/>
    <w:semiHidden/>
    <w:unhideWhenUsed/>
    <w:rsid w:val="008A7A33"/>
    <w:rPr>
      <w:sz w:val="20"/>
      <w:szCs w:val="20"/>
    </w:rPr>
  </w:style>
  <w:style w:type="character" w:customStyle="1" w:styleId="CommentTextChar">
    <w:name w:val="Comment Text Char"/>
    <w:basedOn w:val="DefaultParagraphFont"/>
    <w:link w:val="CommentText"/>
    <w:uiPriority w:val="99"/>
    <w:semiHidden/>
    <w:rsid w:val="008A7A33"/>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8A7A33"/>
    <w:rPr>
      <w:b/>
      <w:bCs/>
    </w:rPr>
  </w:style>
  <w:style w:type="character" w:customStyle="1" w:styleId="CommentSubjectChar">
    <w:name w:val="Comment Subject Char"/>
    <w:basedOn w:val="CommentTextChar"/>
    <w:link w:val="CommentSubject"/>
    <w:uiPriority w:val="99"/>
    <w:semiHidden/>
    <w:rsid w:val="008A7A33"/>
    <w:rPr>
      <w:rFonts w:ascii="Calibri" w:hAnsi="Calibri" w:cs="Times New Roman"/>
      <w:b/>
      <w:bCs/>
      <w:sz w:val="20"/>
      <w:szCs w:val="20"/>
    </w:rPr>
  </w:style>
  <w:style w:type="paragraph" w:styleId="Revision">
    <w:name w:val="Revision"/>
    <w:hidden/>
    <w:uiPriority w:val="99"/>
    <w:semiHidden/>
    <w:rsid w:val="008A7A33"/>
    <w:pPr>
      <w:spacing w:after="0" w:line="240" w:lineRule="auto"/>
    </w:pPr>
    <w:rPr>
      <w:rFonts w:ascii="Calibri" w:hAnsi="Calibri" w:cs="Times New Roman"/>
    </w:rPr>
  </w:style>
  <w:style w:type="paragraph" w:styleId="EndnoteText">
    <w:name w:val="endnote text"/>
    <w:basedOn w:val="Normal"/>
    <w:link w:val="EndnoteTextChar"/>
    <w:uiPriority w:val="99"/>
    <w:semiHidden/>
    <w:unhideWhenUsed/>
    <w:rsid w:val="00415870"/>
    <w:rPr>
      <w:sz w:val="20"/>
      <w:szCs w:val="20"/>
    </w:rPr>
  </w:style>
  <w:style w:type="character" w:customStyle="1" w:styleId="EndnoteTextChar">
    <w:name w:val="Endnote Text Char"/>
    <w:basedOn w:val="DefaultParagraphFont"/>
    <w:link w:val="EndnoteText"/>
    <w:uiPriority w:val="99"/>
    <w:semiHidden/>
    <w:rsid w:val="00415870"/>
    <w:rPr>
      <w:rFonts w:ascii="Calibri" w:hAnsi="Calibri" w:cs="Times New Roman"/>
      <w:sz w:val="20"/>
      <w:szCs w:val="20"/>
    </w:rPr>
  </w:style>
  <w:style w:type="character" w:styleId="EndnoteReference">
    <w:name w:val="endnote reference"/>
    <w:basedOn w:val="DefaultParagraphFont"/>
    <w:uiPriority w:val="99"/>
    <w:semiHidden/>
    <w:unhideWhenUsed/>
    <w:rsid w:val="00415870"/>
    <w:rPr>
      <w:vertAlign w:val="superscript"/>
    </w:rPr>
  </w:style>
  <w:style w:type="paragraph" w:styleId="Header">
    <w:name w:val="header"/>
    <w:basedOn w:val="Normal"/>
    <w:link w:val="HeaderChar"/>
    <w:uiPriority w:val="99"/>
    <w:unhideWhenUsed/>
    <w:rsid w:val="00C674BE"/>
    <w:pPr>
      <w:tabs>
        <w:tab w:val="center" w:pos="4680"/>
        <w:tab w:val="right" w:pos="9360"/>
      </w:tabs>
    </w:pPr>
  </w:style>
  <w:style w:type="character" w:customStyle="1" w:styleId="HeaderChar">
    <w:name w:val="Header Char"/>
    <w:basedOn w:val="DefaultParagraphFont"/>
    <w:link w:val="Header"/>
    <w:uiPriority w:val="99"/>
    <w:rsid w:val="00C674BE"/>
    <w:rPr>
      <w:rFonts w:ascii="Calibri" w:hAnsi="Calibri" w:cs="Times New Roman"/>
    </w:rPr>
  </w:style>
  <w:style w:type="paragraph" w:styleId="Footer">
    <w:name w:val="footer"/>
    <w:basedOn w:val="Normal"/>
    <w:link w:val="FooterChar"/>
    <w:uiPriority w:val="99"/>
    <w:unhideWhenUsed/>
    <w:rsid w:val="00C674BE"/>
    <w:pPr>
      <w:tabs>
        <w:tab w:val="center" w:pos="4680"/>
        <w:tab w:val="right" w:pos="9360"/>
      </w:tabs>
    </w:pPr>
  </w:style>
  <w:style w:type="character" w:customStyle="1" w:styleId="FooterChar">
    <w:name w:val="Footer Char"/>
    <w:basedOn w:val="DefaultParagraphFont"/>
    <w:link w:val="Footer"/>
    <w:uiPriority w:val="99"/>
    <w:rsid w:val="00C674BE"/>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595146">
      <w:bodyDiv w:val="1"/>
      <w:marLeft w:val="0"/>
      <w:marRight w:val="0"/>
      <w:marTop w:val="0"/>
      <w:marBottom w:val="0"/>
      <w:divBdr>
        <w:top w:val="none" w:sz="0" w:space="0" w:color="auto"/>
        <w:left w:val="none" w:sz="0" w:space="0" w:color="auto"/>
        <w:bottom w:val="none" w:sz="0" w:space="0" w:color="auto"/>
        <w:right w:val="none" w:sz="0" w:space="0" w:color="auto"/>
      </w:divBdr>
    </w:div>
    <w:div w:id="1111172419">
      <w:bodyDiv w:val="1"/>
      <w:marLeft w:val="0"/>
      <w:marRight w:val="0"/>
      <w:marTop w:val="0"/>
      <w:marBottom w:val="0"/>
      <w:divBdr>
        <w:top w:val="none" w:sz="0" w:space="0" w:color="auto"/>
        <w:left w:val="none" w:sz="0" w:space="0" w:color="auto"/>
        <w:bottom w:val="none" w:sz="0" w:space="0" w:color="auto"/>
        <w:right w:val="none" w:sz="0" w:space="0" w:color="auto"/>
      </w:divBdr>
    </w:div>
    <w:div w:id="1653635882">
      <w:bodyDiv w:val="1"/>
      <w:marLeft w:val="0"/>
      <w:marRight w:val="0"/>
      <w:marTop w:val="0"/>
      <w:marBottom w:val="0"/>
      <w:divBdr>
        <w:top w:val="none" w:sz="0" w:space="0" w:color="auto"/>
        <w:left w:val="none" w:sz="0" w:space="0" w:color="auto"/>
        <w:bottom w:val="none" w:sz="0" w:space="0" w:color="auto"/>
        <w:right w:val="none" w:sz="0" w:space="0" w:color="auto"/>
      </w:divBdr>
    </w:div>
    <w:div w:id="170282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A6DA2-C55D-4F8B-AE6F-29A82B957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3</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5373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Jones</dc:creator>
  <cp:lastModifiedBy>Amanda P. Martinez</cp:lastModifiedBy>
  <cp:revision>14</cp:revision>
  <dcterms:created xsi:type="dcterms:W3CDTF">2018-01-26T18:23:00Z</dcterms:created>
  <dcterms:modified xsi:type="dcterms:W3CDTF">2018-02-08T18:30:00Z</dcterms:modified>
</cp:coreProperties>
</file>