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222222"/>
          <w:sz w:val="28"/>
        </w:rPr>
        <w:t>UNIVERSITÉ PROTESTANTE AU CONGO</w:t>
      </w:r>
    </w:p>
    <w:p>
      <w:pPr>
        <w:spacing w:after="120"/>
        <w:jc w:val="center"/>
      </w:pPr>
      <w:r>
        <w:rPr>
          <w:b w:val="0"/>
          <w:i w:val="0"/>
          <w:color w:val="222222"/>
          <w:sz w:val="24"/>
        </w:rPr>
        <w:t>FACULTÉ DES SCIENCES INFORMATIQUES (FASI)</w:t>
      </w:r>
    </w:p>
    <w:p>
      <w:pPr>
        <w:spacing w:after="120"/>
        <w:jc w:val="center"/>
      </w:pPr>
      <w:r>
        <w:rPr>
          <w:b w:val="0"/>
          <w:i w:val="0"/>
          <w:color w:val="222222"/>
          <w:sz w:val="24"/>
        </w:rPr>
        <w:t>Licence (L3 LMD) — Orientation : Data Science</w:t>
      </w:r>
    </w:p>
    <w:p/>
    <w:p/>
    <w:p/>
    <w:p>
      <w:pPr>
        <w:spacing w:after="80"/>
        <w:jc w:val="center"/>
      </w:pPr>
      <w:r>
        <w:rPr>
          <w:b/>
          <w:i w:val="0"/>
          <w:color w:val="0B6E2D"/>
          <w:sz w:val="52"/>
        </w:rPr>
        <w:t>DEFORESTWATCH-DRC</w:t>
      </w:r>
    </w:p>
    <w:p>
      <w:pPr>
        <w:spacing w:after="120"/>
        <w:jc w:val="center"/>
      </w:pPr>
      <w:r>
        <w:rPr>
          <w:b w:val="0"/>
          <w:i w:val="0"/>
          <w:color w:val="222222"/>
          <w:sz w:val="26"/>
        </w:rPr>
        <w:t>Surveillance et prédiction de la déforestation de la forêt équatoriale du Bassin du Congo par imagerie satellite et Machine Learning</w:t>
      </w:r>
    </w:p>
    <w:p>
      <w:pPr>
        <w:spacing w:after="120"/>
        <w:jc w:val="center"/>
      </w:pPr>
      <w:r>
        <w:rPr>
          <w:b w:val="0"/>
          <w:i w:val="0"/>
          <w:color w:val="555555"/>
          <w:sz w:val="24"/>
        </w:rPr>
        <w:t>Étude de cas : Province du Mai-Ndombe (Inongo), RDC</w:t>
      </w:r>
    </w:p>
    <w:p/>
    <w:p/>
    <w:p/>
    <w:p>
      <w:pPr>
        <w:spacing w:after="120"/>
        <w:jc w:val="center"/>
      </w:pPr>
      <w:r>
        <w:rPr>
          <w:b w:val="0"/>
          <w:i w:val="0"/>
          <w:color w:val="222222"/>
          <w:sz w:val="22"/>
        </w:rPr>
        <w:t>Monographie présentée en vue de l'obtention du grade de Licencié en Sciences Informatiques</w:t>
      </w:r>
    </w:p>
    <w:p/>
    <w:p/>
    <w:p>
      <w:pPr>
        <w:jc w:val="center"/>
      </w:pPr>
      <w:r>
        <w:rPr>
          <w:b w:val="0"/>
          <w:i w:val="0"/>
          <w:sz w:val="24"/>
        </w:rPr>
        <w:t xml:space="preserve">Présentée par : </w:t>
      </w:r>
      <w:r>
        <w:rPr>
          <w:b/>
          <w:i w:val="0"/>
          <w:sz w:val="24"/>
        </w:rPr>
        <w:t>Joyce A. WETUNGANI</w:t>
      </w:r>
    </w:p>
    <w:p>
      <w:pPr>
        <w:spacing w:after="120"/>
        <w:jc w:val="center"/>
      </w:pPr>
      <w:r>
        <w:rPr>
          <w:b w:val="0"/>
          <w:i w:val="0"/>
          <w:color w:val="222222"/>
          <w:sz w:val="22"/>
        </w:rPr>
        <w:t>Directeur de mémoire : ……………………………………………</w:t>
      </w:r>
    </w:p>
    <w:p>
      <w:pPr>
        <w:spacing w:after="120"/>
        <w:jc w:val="center"/>
      </w:pPr>
      <w:r>
        <w:rPr>
          <w:b w:val="0"/>
          <w:i w:val="0"/>
          <w:color w:val="222222"/>
          <w:sz w:val="22"/>
        </w:rPr>
        <w:t>Co-directeur / Encadrant : ……………………………………</w:t>
      </w:r>
    </w:p>
    <w:p/>
    <w:p/>
    <w:p/>
    <w:p>
      <w:pPr>
        <w:spacing w:after="120"/>
        <w:jc w:val="center"/>
      </w:pPr>
      <w:r>
        <w:rPr>
          <w:b/>
          <w:i w:val="0"/>
          <w:color w:val="222222"/>
          <w:sz w:val="24"/>
        </w:rPr>
        <w:t>Année académique 2025–2026</w:t>
      </w:r>
    </w:p>
    <w:p>
      <w:pPr>
        <w:spacing w:after="120"/>
        <w:jc w:val="center"/>
      </w:pPr>
      <w:r>
        <w:rPr>
          <w:b w:val="0"/>
          <w:i w:val="0"/>
          <w:color w:val="555555"/>
          <w:sz w:val="22"/>
        </w:rPr>
        <w:t>Kinshasa, République Démocratique du Congo</w:t>
      </w:r>
    </w:p>
    <w:p>
      <w:r>
        <w:br w:type="page"/>
      </w:r>
    </w:p>
    <w:p>
      <w:pPr>
        <w:pStyle w:val="Heading1"/>
      </w:pPr>
      <w:r>
        <w:t>Résumé</w:t>
      </w:r>
    </w:p>
    <w:p>
      <w:pPr>
        <w:jc w:val="both"/>
      </w:pPr>
      <w:r>
        <w:rPr>
          <w:b w:val="0"/>
          <w:i w:val="0"/>
          <w:sz w:val="22"/>
        </w:rPr>
        <w:t>La République Démocratique du Congo (RDC) abrite la deuxième plus grande forêt tropicale humide du monde, au cœur du Bassin du Congo. Cet écosystème équatorial subit une déforestation accélérée, principalement diffuse (agriculture sur brûlis, charbon de bois, exploitation artisanale), que les plateformes globales captent mal. Ce travail conçoit et implémente DeforestWatch-DRC, une plateforme d'analyse et de prédiction de la déforestation appliquée à la province du Mai-Ndombe.</w:t>
      </w:r>
    </w:p>
    <w:p>
      <w:pPr>
        <w:jc w:val="both"/>
      </w:pPr>
      <w:r>
        <w:rPr>
          <w:b w:val="0"/>
          <w:i w:val="0"/>
          <w:sz w:val="22"/>
        </w:rPr>
        <w:t>Objectif. Détecter, quantifier et anticiper la perte forestière à partir de l'imagerie satellite Sentinel-2 et de techniques de Machine Learning. Méthodologie. La démarche suit le cycle de vie d'un projet de science des données : acquisition (Google Earth Engine), prétraitement (masquage des nuages, indices spectraux NDVI/EVI/NDWI/NBR, composites de saison sèche), modélisation supervisée (Random Forest, XGBoost, U-Net), évaluation par validation croisée spatiale, puis déploiement (API FastAPI, tableaux de bord Streamlit et React).</w:t>
      </w:r>
    </w:p>
    <w:p>
      <w:pPr>
        <w:jc w:val="both"/>
      </w:pPr>
      <w:r>
        <w:rPr>
          <w:b w:val="0"/>
          <w:i w:val="0"/>
          <w:sz w:val="22"/>
        </w:rPr>
        <w:t>Résultats. Sur le jeu de données de démonstration (données synthétiques réalistes validant la chaîne de bout en bout), les trois modèles atteignent une exactitude de 0,89 à 0,91 et un F1-macro de 0,86 à 0,89 ; un modèle de risque prédit les fronts de déforestation avec une AUC de 0,83. La perte forestière cumulée simulée sur 2015–2025 est traduite en émissions de CO₂ pour relier le résultat technique au langage de la finance climat (REDD+). Conclusion. Le projet démontre qu'un outil complet, prédictif et maîtrisé localement peut être conçu pour appuyer la surveillance forestière ; ses résultats devront être confirmés sur images réelles et vérité terrain.</w:t>
      </w:r>
    </w:p>
    <w:p>
      <w:r>
        <w:rPr>
          <w:b/>
          <w:i w:val="0"/>
          <w:sz w:val="22"/>
        </w:rPr>
        <w:t xml:space="preserve">Mots-clés : </w:t>
      </w:r>
      <w:r>
        <w:rPr>
          <w:b w:val="0"/>
          <w:i w:val="0"/>
          <w:sz w:val="22"/>
        </w:rPr>
        <w:t>déforestation, télédétection, Sentinel-2, Machine Learning, Random Forest, XGBoost, U-Net, NDVI, REDD+, Bassin du Congo, Mai-Ndombe, Data Science.</w:t>
      </w:r>
    </w:p>
    <w:p>
      <w:pPr>
        <w:pStyle w:val="Heading2"/>
      </w:pPr>
      <w:r>
        <w:t>Abstract</w:t>
      </w:r>
    </w:p>
    <w:p>
      <w:pPr>
        <w:jc w:val="both"/>
      </w:pPr>
      <w:r>
        <w:rPr>
          <w:b w:val="0"/>
          <w:i w:val="0"/>
          <w:sz w:val="22"/>
        </w:rPr>
        <w:t>The Democratic Republic of the Congo (DRC) holds the world's second-largest tropical rainforest, in the heart of the Congo Basin. This equatorial ecosystem faces accelerating, mostly diffuse deforestation that global platforms capture poorly. This work designs and implements DeforestWatch-DRC, a deforestation analysis and prediction platform for the Mai-Ndombe province. Using Sentinel-2 imagery and Machine Learning (Random Forest, XGBoost, U-Net), the system detects, quantifies and anticipates forest loss, translates it into CO₂ emissions, and is served through an API and interactive dashboards. On the demonstration dataset, models reach 0.89–0.91 accuracy; a risk model forecasts deforestation fronts at 0.83 AUC. Results are to be confirmed on real imagery and ground truth.</w:t>
      </w:r>
    </w:p>
    <w:p>
      <w:r>
        <w:br w:type="page"/>
      </w:r>
    </w:p>
    <w:p>
      <w:pPr>
        <w:pStyle w:val="Heading1"/>
      </w:pPr>
      <w:r>
        <w:t>Table des matières</w:t>
      </w:r>
    </w:p>
    <w:p>
      <w:pPr>
        <w:jc w:val="both"/>
      </w:pPr>
      <w:r>
        <w:rPr>
          <w:b w:val="0"/>
          <w:i/>
          <w:color w:val="555555"/>
          <w:sz w:val="20"/>
        </w:rPr>
        <w:t>[Sous Microsoft Word : onglet Références → Table des matières → Insérer/Mettre à jour. Les titres de ce document utilisent les styles Titre 1/2/3, ce qui permet une génération automatique et paginée.]</w:t>
      </w:r>
    </w:p>
    <w:p>
      <w:pPr>
        <w:pStyle w:val="ListNumber"/>
      </w:pPr>
      <w:r>
        <w:t>Résumé / Abstract</w:t>
      </w:r>
    </w:p>
    <w:p>
      <w:pPr>
        <w:pStyle w:val="ListNumber"/>
      </w:pPr>
      <w:r>
        <w:t>Sigles et abréviations</w:t>
      </w:r>
    </w:p>
    <w:p>
      <w:pPr>
        <w:pStyle w:val="ListNumber"/>
      </w:pPr>
      <w:r>
        <w:t>Liste des figures et des tableaux</w:t>
      </w:r>
    </w:p>
    <w:p>
      <w:pPr>
        <w:pStyle w:val="ListNumber"/>
      </w:pPr>
      <w:r>
        <w:t>Introduction générale</w:t>
      </w:r>
    </w:p>
    <w:p>
      <w:pPr>
        <w:pStyle w:val="ListNumber"/>
      </w:pPr>
      <w:r>
        <w:t>Chapitre I — Mise en contexte et revue de la littérature</w:t>
      </w:r>
    </w:p>
    <w:p>
      <w:pPr>
        <w:pStyle w:val="ListNumber"/>
      </w:pPr>
      <w:r>
        <w:t>Chapitre II — Modélisation et méthodes de travail</w:t>
      </w:r>
    </w:p>
    <w:p>
      <w:pPr>
        <w:pStyle w:val="ListNumber"/>
      </w:pPr>
      <w:r>
        <w:t>Chapitre III — Résultats, discussion et conclusion</w:t>
      </w:r>
    </w:p>
    <w:p>
      <w:pPr>
        <w:pStyle w:val="ListNumber"/>
      </w:pPr>
      <w:r>
        <w:t>Bibliographie et webiographie</w:t>
      </w:r>
    </w:p>
    <w:p>
      <w:pPr>
        <w:pStyle w:val="ListNumber"/>
      </w:pPr>
      <w:r>
        <w:t>Annexes</w:t>
      </w:r>
    </w:p>
    <w:p>
      <w:r>
        <w:br w:type="page"/>
      </w:r>
    </w:p>
    <w:p>
      <w:pPr>
        <w:pStyle w:val="Heading1"/>
      </w:pPr>
      <w:r>
        <w:t>Sigles et abréviations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Sigle</w:t>
            </w:r>
          </w:p>
        </w:tc>
        <w:tc>
          <w:tcPr>
            <w:tcW w:type="dxa" w:w="4320"/>
          </w:tcPr>
          <w:p>
            <w:r>
              <w:rPr>
                <w:b/>
              </w:rPr>
              <w:t>Signification</w:t>
            </w:r>
          </w:p>
        </w:tc>
      </w:tr>
      <w:tr>
        <w:tc>
          <w:tcPr>
            <w:tcW w:type="dxa" w:w="4320"/>
          </w:tcPr>
          <w:p>
            <w:r>
              <w:t>AGB</w:t>
            </w:r>
          </w:p>
        </w:tc>
        <w:tc>
          <w:tcPr>
            <w:tcW w:type="dxa" w:w="4320"/>
          </w:tcPr>
          <w:p>
            <w:r>
              <w:t>Above-Ground Biomass (biomasse aérienne)</w:t>
            </w:r>
          </w:p>
        </w:tc>
      </w:tr>
      <w:tr>
        <w:tc>
          <w:tcPr>
            <w:tcW w:type="dxa" w:w="4320"/>
          </w:tcPr>
          <w:p>
            <w:r>
              <w:t>API</w:t>
            </w:r>
          </w:p>
        </w:tc>
        <w:tc>
          <w:tcPr>
            <w:tcW w:type="dxa" w:w="4320"/>
          </w:tcPr>
          <w:p>
            <w:r>
              <w:t>Application Programming Interface</w:t>
            </w:r>
          </w:p>
        </w:tc>
      </w:tr>
      <w:tr>
        <w:tc>
          <w:tcPr>
            <w:tcW w:type="dxa" w:w="4320"/>
          </w:tcPr>
          <w:p>
            <w:r>
              <w:t>AUC</w:t>
            </w:r>
          </w:p>
        </w:tc>
        <w:tc>
          <w:tcPr>
            <w:tcW w:type="dxa" w:w="4320"/>
          </w:tcPr>
          <w:p>
            <w:r>
              <w:t>Area Under the ROC Curve</w:t>
            </w:r>
          </w:p>
        </w:tc>
      </w:tr>
      <w:tr>
        <w:tc>
          <w:tcPr>
            <w:tcW w:type="dxa" w:w="4320"/>
          </w:tcPr>
          <w:p>
            <w:r>
              <w:t>CAFI</w:t>
            </w:r>
          </w:p>
        </w:tc>
        <w:tc>
          <w:tcPr>
            <w:tcW w:type="dxa" w:w="4320"/>
          </w:tcPr>
          <w:p>
            <w:r>
              <w:t>Central African Forest Initiative</w:t>
            </w:r>
          </w:p>
        </w:tc>
      </w:tr>
      <w:tr>
        <w:tc>
          <w:tcPr>
            <w:tcW w:type="dxa" w:w="4320"/>
          </w:tcPr>
          <w:p>
            <w:r>
              <w:t>CNN</w:t>
            </w:r>
          </w:p>
        </w:tc>
        <w:tc>
          <w:tcPr>
            <w:tcW w:type="dxa" w:w="4320"/>
          </w:tcPr>
          <w:p>
            <w:r>
              <w:t>Convolutional Neural Network (réseau de neurones convolutif)</w:t>
            </w:r>
          </w:p>
        </w:tc>
      </w:tr>
      <w:tr>
        <w:tc>
          <w:tcPr>
            <w:tcW w:type="dxa" w:w="4320"/>
          </w:tcPr>
          <w:p>
            <w:r>
              <w:t>CO₂</w:t>
            </w:r>
          </w:p>
        </w:tc>
        <w:tc>
          <w:tcPr>
            <w:tcW w:type="dxa" w:w="4320"/>
          </w:tcPr>
          <w:p>
            <w:r>
              <w:t>Dioxyde de carbone</w:t>
            </w:r>
          </w:p>
        </w:tc>
      </w:tr>
      <w:tr>
        <w:tc>
          <w:tcPr>
            <w:tcW w:type="dxa" w:w="4320"/>
          </w:tcPr>
          <w:p>
            <w:r>
              <w:t>EVI</w:t>
            </w:r>
          </w:p>
        </w:tc>
        <w:tc>
          <w:tcPr>
            <w:tcW w:type="dxa" w:w="4320"/>
          </w:tcPr>
          <w:p>
            <w:r>
              <w:t>Enhanced Vegetation Index</w:t>
            </w:r>
          </w:p>
        </w:tc>
      </w:tr>
      <w:tr>
        <w:tc>
          <w:tcPr>
            <w:tcW w:type="dxa" w:w="4320"/>
          </w:tcPr>
          <w:p>
            <w:r>
              <w:t>GEE</w:t>
            </w:r>
          </w:p>
        </w:tc>
        <w:tc>
          <w:tcPr>
            <w:tcW w:type="dxa" w:w="4320"/>
          </w:tcPr>
          <w:p>
            <w:r>
              <w:t>Google Earth Engine</w:t>
            </w:r>
          </w:p>
        </w:tc>
      </w:tr>
      <w:tr>
        <w:tc>
          <w:tcPr>
            <w:tcW w:type="dxa" w:w="4320"/>
          </w:tcPr>
          <w:p>
            <w:r>
              <w:t>GFC</w:t>
            </w:r>
          </w:p>
        </w:tc>
        <w:tc>
          <w:tcPr>
            <w:tcW w:type="dxa" w:w="4320"/>
          </w:tcPr>
          <w:p>
            <w:r>
              <w:t>Global Forest Change (Hansen)</w:t>
            </w:r>
          </w:p>
        </w:tc>
      </w:tr>
      <w:tr>
        <w:tc>
          <w:tcPr>
            <w:tcW w:type="dxa" w:w="4320"/>
          </w:tcPr>
          <w:p>
            <w:r>
              <w:t>ICCN</w:t>
            </w:r>
          </w:p>
        </w:tc>
        <w:tc>
          <w:tcPr>
            <w:tcW w:type="dxa" w:w="4320"/>
          </w:tcPr>
          <w:p>
            <w:r>
              <w:t>Institut Congolais pour la Conservation de la Nature</w:t>
            </w:r>
          </w:p>
        </w:tc>
      </w:tr>
      <w:tr>
        <w:tc>
          <w:tcPr>
            <w:tcW w:type="dxa" w:w="4320"/>
          </w:tcPr>
          <w:p>
            <w:r>
              <w:t>IoU</w:t>
            </w:r>
          </w:p>
        </w:tc>
        <w:tc>
          <w:tcPr>
            <w:tcW w:type="dxa" w:w="4320"/>
          </w:tcPr>
          <w:p>
            <w:r>
              <w:t>Intersection over Union</w:t>
            </w:r>
          </w:p>
        </w:tc>
      </w:tr>
      <w:tr>
        <w:tc>
          <w:tcPr>
            <w:tcW w:type="dxa" w:w="4320"/>
          </w:tcPr>
          <w:p>
            <w:r>
              <w:t>JWT</w:t>
            </w:r>
          </w:p>
        </w:tc>
        <w:tc>
          <w:tcPr>
            <w:tcW w:type="dxa" w:w="4320"/>
          </w:tcPr>
          <w:p>
            <w:r>
              <w:t>JSON Web Token</w:t>
            </w:r>
          </w:p>
        </w:tc>
      </w:tr>
      <w:tr>
        <w:tc>
          <w:tcPr>
            <w:tcW w:type="dxa" w:w="4320"/>
          </w:tcPr>
          <w:p>
            <w:r>
              <w:t>ML</w:t>
            </w:r>
          </w:p>
        </w:tc>
        <w:tc>
          <w:tcPr>
            <w:tcW w:type="dxa" w:w="4320"/>
          </w:tcPr>
          <w:p>
            <w:r>
              <w:t>Machine Learning (apprentissage automatique)</w:t>
            </w:r>
          </w:p>
        </w:tc>
      </w:tr>
      <w:tr>
        <w:tc>
          <w:tcPr>
            <w:tcW w:type="dxa" w:w="4320"/>
          </w:tcPr>
          <w:p>
            <w:r>
              <w:t>MRV</w:t>
            </w:r>
          </w:p>
        </w:tc>
        <w:tc>
          <w:tcPr>
            <w:tcW w:type="dxa" w:w="4320"/>
          </w:tcPr>
          <w:p>
            <w:r>
              <w:t>Measurement, Reporting and Verification</w:t>
            </w:r>
          </w:p>
        </w:tc>
      </w:tr>
      <w:tr>
        <w:tc>
          <w:tcPr>
            <w:tcW w:type="dxa" w:w="4320"/>
          </w:tcPr>
          <w:p>
            <w:r>
              <w:t>NBR</w:t>
            </w:r>
          </w:p>
        </w:tc>
        <w:tc>
          <w:tcPr>
            <w:tcW w:type="dxa" w:w="4320"/>
          </w:tcPr>
          <w:p>
            <w:r>
              <w:t>Normalized Burn Ratio</w:t>
            </w:r>
          </w:p>
        </w:tc>
      </w:tr>
      <w:tr>
        <w:tc>
          <w:tcPr>
            <w:tcW w:type="dxa" w:w="4320"/>
          </w:tcPr>
          <w:p>
            <w:r>
              <w:t>NDVI</w:t>
            </w:r>
          </w:p>
        </w:tc>
        <w:tc>
          <w:tcPr>
            <w:tcW w:type="dxa" w:w="4320"/>
          </w:tcPr>
          <w:p>
            <w:r>
              <w:t>Normalized Difference Vegetation Index</w:t>
            </w:r>
          </w:p>
        </w:tc>
      </w:tr>
      <w:tr>
        <w:tc>
          <w:tcPr>
            <w:tcW w:type="dxa" w:w="4320"/>
          </w:tcPr>
          <w:p>
            <w:r>
              <w:t>NDWI</w:t>
            </w:r>
          </w:p>
        </w:tc>
        <w:tc>
          <w:tcPr>
            <w:tcW w:type="dxa" w:w="4320"/>
          </w:tcPr>
          <w:p>
            <w:r>
              <w:t>Normalized Difference Water Index</w:t>
            </w:r>
          </w:p>
        </w:tc>
      </w:tr>
      <w:tr>
        <w:tc>
          <w:tcPr>
            <w:tcW w:type="dxa" w:w="4320"/>
          </w:tcPr>
          <w:p>
            <w:r>
              <w:t>NIR</w:t>
            </w:r>
          </w:p>
        </w:tc>
        <w:tc>
          <w:tcPr>
            <w:tcW w:type="dxa" w:w="4320"/>
          </w:tcPr>
          <w:p>
            <w:r>
              <w:t>Near Infrared (proche infrarouge)</w:t>
            </w:r>
          </w:p>
        </w:tc>
      </w:tr>
      <w:tr>
        <w:tc>
          <w:tcPr>
            <w:tcW w:type="dxa" w:w="4320"/>
          </w:tcPr>
          <w:p>
            <w:r>
              <w:t>RDC</w:t>
            </w:r>
          </w:p>
        </w:tc>
        <w:tc>
          <w:tcPr>
            <w:tcW w:type="dxa" w:w="4320"/>
          </w:tcPr>
          <w:p>
            <w:r>
              <w:t>République Démocratique du Congo</w:t>
            </w:r>
          </w:p>
        </w:tc>
      </w:tr>
      <w:tr>
        <w:tc>
          <w:tcPr>
            <w:tcW w:type="dxa" w:w="4320"/>
          </w:tcPr>
          <w:p>
            <w:r>
              <w:t>REDD+</w:t>
            </w:r>
          </w:p>
        </w:tc>
        <w:tc>
          <w:tcPr>
            <w:tcW w:type="dxa" w:w="4320"/>
          </w:tcPr>
          <w:p>
            <w:r>
              <w:t>Reducing Emissions from Deforestation and forest Degradation</w:t>
            </w:r>
          </w:p>
        </w:tc>
      </w:tr>
      <w:tr>
        <w:tc>
          <w:tcPr>
            <w:tcW w:type="dxa" w:w="4320"/>
          </w:tcPr>
          <w:p>
            <w:r>
              <w:t>RF</w:t>
            </w:r>
          </w:p>
        </w:tc>
        <w:tc>
          <w:tcPr>
            <w:tcW w:type="dxa" w:w="4320"/>
          </w:tcPr>
          <w:p>
            <w:r>
              <w:t>Random Forest</w:t>
            </w:r>
          </w:p>
        </w:tc>
      </w:tr>
      <w:tr>
        <w:tc>
          <w:tcPr>
            <w:tcW w:type="dxa" w:w="4320"/>
          </w:tcPr>
          <w:p>
            <w:r>
              <w:t>SCL</w:t>
            </w:r>
          </w:p>
        </w:tc>
        <w:tc>
          <w:tcPr>
            <w:tcW w:type="dxa" w:w="4320"/>
          </w:tcPr>
          <w:p>
            <w:r>
              <w:t>Scene Classification Layer (Sentinel-2)</w:t>
            </w:r>
          </w:p>
        </w:tc>
      </w:tr>
      <w:tr>
        <w:tc>
          <w:tcPr>
            <w:tcW w:type="dxa" w:w="4320"/>
          </w:tcPr>
          <w:p>
            <w:r>
              <w:t>SRTM</w:t>
            </w:r>
          </w:p>
        </w:tc>
        <w:tc>
          <w:tcPr>
            <w:tcW w:type="dxa" w:w="4320"/>
          </w:tcPr>
          <w:p>
            <w:r>
              <w:t>Shuttle Radar Topography Mission</w:t>
            </w:r>
          </w:p>
        </w:tc>
      </w:tr>
      <w:tr>
        <w:tc>
          <w:tcPr>
            <w:tcW w:type="dxa" w:w="4320"/>
          </w:tcPr>
          <w:p>
            <w:r>
              <w:t>SWIR</w:t>
            </w:r>
          </w:p>
        </w:tc>
        <w:tc>
          <w:tcPr>
            <w:tcW w:type="dxa" w:w="4320"/>
          </w:tcPr>
          <w:p>
            <w:r>
              <w:t>Short-Wave Infrared</w:t>
            </w:r>
          </w:p>
        </w:tc>
      </w:tr>
      <w:tr>
        <w:tc>
          <w:tcPr>
            <w:tcW w:type="dxa" w:w="4320"/>
          </w:tcPr>
          <w:p>
            <w:r>
              <w:t>U-Net</w:t>
            </w:r>
          </w:p>
        </w:tc>
        <w:tc>
          <w:tcPr>
            <w:tcW w:type="dxa" w:w="4320"/>
          </w:tcPr>
          <w:p>
            <w:r>
              <w:t>Réseau de segmentation en U (encodeur-décodeur)</w:t>
            </w:r>
          </w:p>
        </w:tc>
      </w:tr>
      <w:tr>
        <w:tc>
          <w:tcPr>
            <w:tcW w:type="dxa" w:w="4320"/>
          </w:tcPr>
          <w:p>
            <w:r>
              <w:t>2FA</w:t>
            </w:r>
          </w:p>
        </w:tc>
        <w:tc>
          <w:tcPr>
            <w:tcW w:type="dxa" w:w="4320"/>
          </w:tcPr>
          <w:p>
            <w:r>
              <w:t>Two-Factor Authentication (authentification à deux facteurs)</w:t>
            </w:r>
          </w:p>
        </w:tc>
      </w:tr>
    </w:tbl>
    <w:p/>
    <w:p>
      <w:pPr>
        <w:pStyle w:val="Heading1"/>
      </w:pPr>
      <w:r>
        <w:t>Liste des figures et des tableaux</w:t>
      </w:r>
    </w:p>
    <w:p>
      <w:pPr>
        <w:pStyle w:val="Heading3"/>
      </w:pPr>
      <w:r>
        <w:t>Liste des figures</w:t>
      </w:r>
    </w:p>
    <w:p>
      <w:pPr>
        <w:pStyle w:val="ListBullet"/>
      </w:pPr>
      <w:r>
        <w:t>Figure 1 — Localisation de la zone d'étude (province du Mai-Ndombe, Inongo).</w:t>
      </w:r>
    </w:p>
    <w:p>
      <w:pPr>
        <w:pStyle w:val="ListBullet"/>
      </w:pPr>
      <w:r>
        <w:t>Figure 2 — Architecture technique de la plateforme (chaîne de traitement).</w:t>
      </w:r>
    </w:p>
    <w:p>
      <w:pPr>
        <w:pStyle w:val="ListBullet"/>
      </w:pPr>
      <w:r>
        <w:t>Figure 3 — Diagramme du cycle de vie du projet de Data Science (CRISP-DM adapté).</w:t>
      </w:r>
    </w:p>
    <w:p>
      <w:pPr>
        <w:pStyle w:val="ListBullet"/>
      </w:pPr>
      <w:r>
        <w:t>Figure 4 — Évolution de la couverture forestière 2015–2025.</w:t>
      </w:r>
    </w:p>
    <w:p>
      <w:pPr>
        <w:pStyle w:val="ListBullet"/>
      </w:pPr>
      <w:r>
        <w:t>Figure 5 — Cartes de classification de la couverture du sol (meilleur modèle).</w:t>
      </w:r>
    </w:p>
    <w:p>
      <w:pPr>
        <w:pStyle w:val="ListBullet"/>
      </w:pPr>
      <w:r>
        <w:t>Figure 6 — Matrice de confusion du modèle retenu.</w:t>
      </w:r>
    </w:p>
    <w:p>
      <w:pPr>
        <w:pStyle w:val="ListBullet"/>
      </w:pPr>
      <w:r>
        <w:t>Figure 7 — Carte de risque de déforestation future.</w:t>
      </w:r>
    </w:p>
    <w:p>
      <w:pPr>
        <w:pStyle w:val="Heading3"/>
      </w:pPr>
      <w:r>
        <w:t>Liste des tableaux</w:t>
      </w:r>
    </w:p>
    <w:p>
      <w:pPr>
        <w:pStyle w:val="ListBullet"/>
      </w:pPr>
      <w:r>
        <w:t>Tableau 1 — Sources de données utilisées.</w:t>
      </w:r>
    </w:p>
    <w:p>
      <w:pPr>
        <w:pStyle w:val="ListBullet"/>
      </w:pPr>
      <w:r>
        <w:t>Tableau 2 — Bandes spectrales Sentinel-2 et indices dérivés.</w:t>
      </w:r>
    </w:p>
    <w:p>
      <w:pPr>
        <w:pStyle w:val="ListBullet"/>
      </w:pPr>
      <w:r>
        <w:t>Tableau 3 — Classes de couverture du sol.</w:t>
      </w:r>
    </w:p>
    <w:p>
      <w:pPr>
        <w:pStyle w:val="ListBullet"/>
      </w:pPr>
      <w:r>
        <w:t>Tableau 4 — Jeu de features par pixel (13 variables).</w:t>
      </w:r>
    </w:p>
    <w:p>
      <w:pPr>
        <w:pStyle w:val="ListBullet"/>
      </w:pPr>
      <w:r>
        <w:t>Tableau 5 — Dynamique annuelle de la couverture forestière (2015–2025).</w:t>
      </w:r>
    </w:p>
    <w:p>
      <w:pPr>
        <w:pStyle w:val="ListBullet"/>
      </w:pPr>
      <w:r>
        <w:t>Tableau 6 — Comparaison des performances des modèles.</w:t>
      </w:r>
    </w:p>
    <w:p>
      <w:pPr>
        <w:pStyle w:val="ListBullet"/>
      </w:pPr>
      <w:r>
        <w:t>Tableau 7 — Traduction de la perte forestière en émissions de CO₂.</w:t>
      </w:r>
    </w:p>
    <w:p>
      <w:r>
        <w:br w:type="page"/>
      </w:r>
    </w:p>
    <w:p>
      <w:pPr>
        <w:pStyle w:val="Heading1"/>
      </w:pPr>
      <w:r>
        <w:t>Introduction générale</w:t>
      </w:r>
    </w:p>
    <w:p>
      <w:pPr>
        <w:jc w:val="both"/>
      </w:pPr>
      <w:r>
        <w:rPr>
          <w:b w:val="0"/>
          <w:i w:val="0"/>
          <w:sz w:val="22"/>
        </w:rPr>
        <w:t>La surveillance des forêts tropicales est devenue un enjeu scientifique, environnemental et géopolitique majeur. Le Bassin du Congo, dont la République Démocratique du Congo constitue le cœur, forme le deuxième massif forestier tropical de la planète et joue un rôle déterminant dans la régulation du climat mondial, le stockage du carbone et la préservation de la biodiversité. Or ce patrimoine s'érode : la perte de couvert forestier progresse d'année en année, portée par des dynamiques locales spécifiques.</w:t>
      </w:r>
    </w:p>
    <w:p>
      <w:pPr>
        <w:jc w:val="both"/>
      </w:pPr>
      <w:r>
        <w:rPr>
          <w:b w:val="0"/>
          <w:i w:val="0"/>
          <w:sz w:val="22"/>
        </w:rPr>
        <w:t>Ce document est une monographie de projet de fin de cycle (Licence L3 LMD, orientation Data Science). Il rend compte de la conception et de la réalisation d'une plateforme, DeforestWatch-DRC, qui applique la télédétection et l'apprentissage automatique à la surveillance de la déforestation dans la province du Mai-Ndombe. Conformément au guide de rédaction de la Faculté des Sciences Informatiques de l'UPC, il s'organise en trois chapitres : (I) mise en contexte et revue de la littérature ; (II) modélisation et méthodes de travail ; (III) résultats, discussion et conclusion, suivis de la bibliographie et des annexes.</w:t>
      </w:r>
    </w:p>
    <w:p>
      <w:pPr>
        <w:jc w:val="both"/>
      </w:pPr>
      <w:r>
        <w:rPr>
          <w:b w:val="0"/>
          <w:i w:val="0"/>
          <w:sz w:val="22"/>
        </w:rPr>
        <w:t>L'ambition du travail est double. Sur le plan technique, il s'agit de démontrer qu'une chaîne complète — de la collecte des images satellites au déploiement d'un outil d'aide à la décision — peut être construite, testée et maîtrisée. Sur le plan de l'impact, il s'agit de montrer en quoi un tel outil, adapté au contexte congolais et prédictif plutôt que seulement rétrospectif, apporte une plus-value réelle aux acteurs de la conservation forestière.</w:t>
      </w:r>
    </w:p>
    <w:p>
      <w:r>
        <w:br w:type="page"/>
      </w:r>
    </w:p>
    <w:p>
      <w:pPr>
        <w:pStyle w:val="Heading1"/>
      </w:pPr>
      <w:r>
        <w:t>Chapitre I — Mise en contexte et revue de la littérature</w:t>
      </w:r>
    </w:p>
    <w:p>
      <w:pPr>
        <w:pStyle w:val="Heading2"/>
      </w:pPr>
      <w:r>
        <w:t>1.1. Introduction et mise en contexte</w:t>
      </w:r>
    </w:p>
    <w:p>
      <w:pPr>
        <w:pStyle w:val="Heading3"/>
      </w:pPr>
      <w:r>
        <w:t>1.1.1. Présentation du domaine et du sujet</w:t>
      </w:r>
    </w:p>
    <w:p>
      <w:pPr>
        <w:jc w:val="both"/>
      </w:pPr>
      <w:r>
        <w:rPr>
          <w:b w:val="0"/>
          <w:i w:val="0"/>
          <w:sz w:val="22"/>
        </w:rPr>
        <w:t>Le sujet de ce travail se situe à l'intersection de trois domaines : la télédétection (observation de la Terre par satellite), la science des données et l'environnement. Il porte sur la détection et la prédiction de la déforestation dans l'écosystème suivant : Forêt tropicale humide équatoriale — Bassin du Congo (Mai-Ndombe, RDC). La télédétection optique, popularisée par les programmes Landsat (NASA/USGS) puis Copernicus/Sentinel (ESA), fournit aujourd'hui des images multispectrales gratuites et régulières qui permettent de cartographier le couvert végétal à grande échelle. Couplée à l'apprentissage automatique, elle ouvre la voie à des systèmes de surveillance fine et automatisée.</w:t>
      </w:r>
    </w:p>
    <w:p>
      <w:pPr>
        <w:jc w:val="both"/>
      </w:pPr>
      <w:r>
        <w:rPr>
          <w:b w:val="0"/>
          <w:i w:val="0"/>
          <w:sz w:val="22"/>
        </w:rPr>
        <w:t>État de l'art. Les grandes plateformes de suivi forestier — Global Forest Watch, le Global Forest Change de Hansen et al., ou encore les alertes RADD fondées sur le radar — ont démocratisé l'accès à l'information sur la perte de forêt. Elles restent toutefois pensées à l'échelle globale et sont d'abord rétrospectives : elles documentent ce qui a déjà eu lieu, sans nécessairement anticiper les zones menacées, ni s'adapter aux moteurs de déforestation propres à chaque territoire.</w:t>
      </w:r>
    </w:p>
    <w:p>
      <w:pPr>
        <w:pStyle w:val="Heading3"/>
      </w:pPr>
      <w:r>
        <w:t>1.1.2. Justification du choix du sujet</w:t>
      </w:r>
    </w:p>
    <w:p>
      <w:pPr>
        <w:jc w:val="both"/>
      </w:pPr>
      <w:r>
        <w:rPr>
          <w:b w:val="0"/>
          <w:i w:val="0"/>
          <w:sz w:val="22"/>
        </w:rPr>
        <w:t>Le choix du sujet se justifie par sa pertinence à la fois académique et pratique. Sur le plan académique, il mobilise l'ensemble des compétences de la Data Science : acquisition et nettoyage de données spatiales volumineuses, ingénierie de variables, comparaison rigoureuse de modèles et déploiement. Sur le plan pratique, il répond à un besoin national : la RDC abrite environ 60 % de la forêt du Bassin du Congo et figure parmi les premiers pays au monde pour la perte de forêt primaire. La déforestation y est essentiellement diffuse — agriculture sur brûlis de subsistance, production de charbon de bois (makala), exploitation artisanale — donc composée de petites coupes mal captées par les outils globaux. Une approche locale, fine et prédictive est requise. Le Mai-Ndombe, province pilote REDD+, ajoute une dimension économique : y prouver la réduction de la déforestation conditionne des paiements aux résultats.</w:t>
      </w:r>
    </w:p>
    <w:p>
      <w:pPr>
        <w:pStyle w:val="Heading2"/>
      </w:pPr>
      <w:r>
        <w:t>1.2. Problématique et objectifs de la recherche</w:t>
      </w:r>
    </w:p>
    <w:p>
      <w:pPr>
        <w:pStyle w:val="Heading3"/>
      </w:pPr>
      <w:r>
        <w:t>1.2.1. Problématique</w:t>
      </w:r>
    </w:p>
    <w:p>
      <w:pPr>
        <w:jc w:val="both"/>
      </w:pPr>
      <w:r>
        <w:rPr>
          <w:b w:val="0"/>
          <w:i w:val="0"/>
          <w:sz w:val="22"/>
        </w:rPr>
        <w:t>La question centrale de ce travail est la suivante : comment exploiter l'imagerie satellite et le Machine Learning pour détecter, quantifier et anticiper la déforestation de la forêt équatoriale du Mai-Ndombe, d'une manière adaptée au contexte congolais ? Cette question se décline en trois sous-questions : (a) quels indices spectraux et quels modèles permettent de discriminer fiablement les classes de couverture du sol à partir de Sentinel-2 ? (b) parmi les familles de modèles (ensembles d'arbres versus réseaux profonds), lesquelles offrent le meilleur compromis performance/interprétabilité/coût ? (c) la déforestation future est-elle spatialement prédictible à partir de variables de proximité (routes, villages, fronts existants) ?</w:t>
      </w:r>
    </w:p>
    <w:p>
      <w:pPr>
        <w:pStyle w:val="Heading3"/>
      </w:pPr>
      <w:r>
        <w:t>1.2.2. Objectifs</w:t>
      </w:r>
    </w:p>
    <w:p>
      <w:pPr>
        <w:jc w:val="both"/>
      </w:pPr>
      <w:r>
        <w:rPr>
          <w:b w:val="0"/>
          <w:i w:val="0"/>
          <w:sz w:val="22"/>
        </w:rPr>
        <w:t>L'objectif général est de concevoir et réaliser une plateforme opérationnelle de surveillance et de prédiction de la déforestation. Les objectifs spécifiques sont :</w:t>
      </w:r>
    </w:p>
    <w:p>
      <w:pPr>
        <w:pStyle w:val="ListNumber"/>
      </w:pPr>
      <w:r>
        <w:t>Détecter les zones déforestées par classification supervisée d'images Sentinel-2 en cinq classes de couverture du sol.</w:t>
      </w:r>
    </w:p>
    <w:p>
      <w:pPr>
        <w:pStyle w:val="ListNumber"/>
      </w:pPr>
      <w:r>
        <w:t>Quantifier la perte forestière année par année sur la période 2015–2025.</w:t>
      </w:r>
    </w:p>
    <w:p>
      <w:pPr>
        <w:pStyle w:val="ListNumber"/>
      </w:pPr>
      <w:r>
        <w:t>Comparer trois modèles (Random Forest, XGBoost, U-Net) selon des métriques standard et retenir le plus adapté.</w:t>
      </w:r>
    </w:p>
    <w:p>
      <w:pPr>
        <w:pStyle w:val="ListNumber"/>
      </w:pPr>
      <w:r>
        <w:t>Prédire les zones à risque de déforestation future (carte de risque).</w:t>
      </w:r>
    </w:p>
    <w:p>
      <w:pPr>
        <w:pStyle w:val="ListNumber"/>
      </w:pPr>
      <w:r>
        <w:t>Traduire la perte forestière en émissions de CO₂ (lien avec REDD+).</w:t>
      </w:r>
    </w:p>
    <w:p>
      <w:pPr>
        <w:pStyle w:val="ListNumber"/>
      </w:pPr>
      <w:r>
        <w:t>Livrer une plateforme d'aide à la décision : API, tableaux de bord et signalement citoyen.</w:t>
      </w:r>
    </w:p>
    <w:p>
      <w:pPr>
        <w:pStyle w:val="Heading3"/>
      </w:pPr>
      <w:r>
        <w:t>1.2.3. Hypothèses de recherche</w:t>
      </w:r>
    </w:p>
    <w:p>
      <w:pPr>
        <w:jc w:val="both"/>
      </w:pPr>
      <w:r>
        <w:rPr>
          <w:b w:val="0"/>
          <w:i w:val="0"/>
          <w:sz w:val="22"/>
        </w:rPr>
        <w:t>Trois hypothèses testables structurent le travail :</w:t>
      </w:r>
    </w:p>
    <w:p>
      <w:pPr>
        <w:pStyle w:val="ListBullet"/>
      </w:pPr>
      <w:r>
        <w:t>H1 — Les indices spectraux dérivés de Sentinel-2 (NDVI, EVI, NBR, NDWI), combinés aux bandes brutes et à la topographie, permettent de discriminer les classes de couverture forestière avec une exactitude supérieure ou égale à 0,80.</w:t>
      </w:r>
    </w:p>
    <w:p>
      <w:pPr>
        <w:pStyle w:val="ListBullet"/>
      </w:pPr>
      <w:r>
        <w:t>H2 — Un modèle d'ensemble (Random Forest / XGBoost), appliqué pixel par pixel, offre un compromis performance/interprétabilité au moins aussi favorable qu'un réseau convolutif (U-Net) sur cette zone d'étude.</w:t>
      </w:r>
    </w:p>
    <w:p>
      <w:pPr>
        <w:pStyle w:val="ListBullet"/>
      </w:pPr>
      <w:r>
        <w:t>H3 — La déforestation future est spatialement prédictible : un modèle de risque fondé sur des variables de proximité atteint une AUC supérieure ou égale à 0,75.</w:t>
      </w:r>
    </w:p>
    <w:p>
      <w:pPr>
        <w:pStyle w:val="Heading2"/>
      </w:pPr>
      <w:r>
        <w:t>1.3. Revue de la littérature théorique</w:t>
      </w:r>
    </w:p>
    <w:p>
      <w:pPr>
        <w:pStyle w:val="Heading3"/>
      </w:pPr>
      <w:r>
        <w:t>1.3.1. Télédétection et indices de végétation</w:t>
      </w:r>
    </w:p>
    <w:p>
      <w:pPr>
        <w:jc w:val="both"/>
      </w:pPr>
      <w:r>
        <w:rPr>
          <w:b w:val="0"/>
          <w:i w:val="0"/>
          <w:sz w:val="22"/>
        </w:rPr>
        <w:t>La caractérisation de la végétation par satellite repose sur la réponse spectrale des surfaces. La végétation chlorophyllienne absorbe fortement le rouge et réfléchit fortement le proche infrarouge (NIR) : ce contraste fonde le NDVI (Normalized Difference Vegetation Index) introduit par Tucker (1979), défini par NDVI = (NIR − Rouge) / (NIR + Rouge). L'EVI corrige l'influence du sol et de l'atmosphère ; le NDWI (Gao) est sensible à l'eau et à l'humidité ; le NBR (Normalized Burn Ratio) met en évidence les surfaces brûlées. Ces indices constituent des variables explicatives robustes pour distinguer forêt dense, forêt dégradée et sol nu.</w:t>
      </w:r>
    </w:p>
    <w:p>
      <w:pPr>
        <w:pStyle w:val="Heading3"/>
      </w:pPr>
      <w:r>
        <w:t>1.3.2. Apprentissage automatique pour la classification d'images</w:t>
      </w:r>
    </w:p>
    <w:p>
      <w:pPr>
        <w:jc w:val="both"/>
      </w:pPr>
      <w:r>
        <w:rPr>
          <w:b w:val="0"/>
          <w:i w:val="0"/>
          <w:sz w:val="22"/>
        </w:rPr>
        <w:t>Deux grandes familles de modèles sont mobilisées. Les approches « pixel » traitent chaque pixel comme un vecteur de variables : les forêts aléatoires (Random Forest, Breiman 2001) agrègent de nombreux arbres de décision décorrélés et fournissent une mesure d'importance des variables ; le gradient boosting (XGBoost, Chen &amp; Guestrin 2016) construit les arbres séquentiellement pour corriger les erreurs résiduelles et atteint souvent l'état de l'art sur données tabulaires. Les approches profondes exploitent le contexte spatial : les réseaux de neurones convolutifs apprennent des motifs de texture et de forme.</w:t>
      </w:r>
    </w:p>
    <w:p>
      <w:pPr>
        <w:pStyle w:val="Heading3"/>
      </w:pPr>
      <w:r>
        <w:t>1.3.3. Segmentation sémantique et architecture U-Net</w:t>
      </w:r>
    </w:p>
    <w:p>
      <w:pPr>
        <w:jc w:val="both"/>
      </w:pPr>
      <w:r>
        <w:rPr>
          <w:b w:val="0"/>
          <w:i w:val="0"/>
          <w:sz w:val="22"/>
        </w:rPr>
        <w:t>Pour cartographier l'occupation du sol à la résolution du pixel tout en tenant compte du voisinage, la segmentation sémantique est l'outil de référence. L'architecture U-Net (Ronneberger et al., 2015), un encodeur-décodeur symétrique à connexions de saut, initialement conçue pour l'imagerie biomédicale, s'est imposée en télédétection : elle restitue une carte de classes de même taille que l'image d'entrée en combinant contexte global (encodeur) et localisation précise (décodeur).</w:t>
      </w:r>
    </w:p>
    <w:p>
      <w:pPr>
        <w:pStyle w:val="Heading3"/>
      </w:pPr>
      <w:r>
        <w:t>1.3.4. Lacunes identifiées dans la littérature</w:t>
      </w:r>
    </w:p>
    <w:p>
      <w:pPr>
        <w:jc w:val="both"/>
      </w:pPr>
      <w:r>
        <w:rPr>
          <w:b w:val="0"/>
          <w:i w:val="0"/>
          <w:sz w:val="22"/>
        </w:rPr>
        <w:t>Trois lacunes justifient le présent travail. D'abord, la plupart des systèmes opérationnels sont rétrospectifs et n'intègrent pas de dimension prédictive locale. Ensuite, peu d'outils sont calibrés sur les moteurs spécifiques de la déforestation congolaise (coupes diffuses) ni proposés en français et appropriables localement. Enfin, la traduction directe de la perte forestière en indicateurs de la finance climat (CO₂, crédits carbone) reste rare dans les prototypes académiques, alors qu'elle conditionne l'usage réel en contexte REDD+.</w:t>
      </w:r>
    </w:p>
    <w:p>
      <w:pPr>
        <w:pStyle w:val="Heading2"/>
      </w:pPr>
      <w:r>
        <w:t>1.4. Revue de la littérature empirique</w:t>
      </w:r>
    </w:p>
    <w:p>
      <w:pPr>
        <w:jc w:val="both"/>
      </w:pPr>
      <w:r>
        <w:rPr>
          <w:b w:val="0"/>
          <w:i w:val="0"/>
          <w:sz w:val="22"/>
        </w:rPr>
        <w:t>Sur le plan empirique, les travaux de Hansen et al. (2013) ont produit les premières cartes mondiales à haute résolution du changement de couvert forestier (30 m, à partir de Landsat), établissant une référence de vérité terrain encore largement utilisée. Le lancement de Sentinel-2 (Drusch et al., 2012) a apporté une résolution de 10 m et une revisite de cinq jours, améliorant nettement le suivi. Google Earth Engine (Gorelick et al., 2017) a rendu ces analyses accessibles à l'échelle planétaire sans infrastructure locale lourde. De nombreuses études appliquées ont depuis confirmé la supériorité fréquente des méthodes d'ensemble et des CNN sur les classifieurs classiques pour la cartographie forestière.</w:t>
      </w:r>
    </w:p>
    <w:p>
      <w:pPr>
        <w:jc w:val="both"/>
      </w:pPr>
      <w:r>
        <w:rPr>
          <w:b w:val="0"/>
          <w:i w:val="0"/>
          <w:sz w:val="22"/>
        </w:rPr>
        <w:t>Critique méthodologique et positionnement. Ces travaux fournissent une base méthodologique solide, mais restent souvent génériques ou centrés sur d'autres biomes (Amazonie, forêts boréales). Peu combinent, sur une même zone congolaise, la classification, la prédiction du risque et la valorisation carbone au sein d'un outil déployé et documenté. C'est précisément le positionnement de DeforestWatch-DRC, qui se veut moins une contribution algorithmique nouvelle qu'une intégration cohérente et contextualisée de méthodes éprouvées, au service d'un besoin local.</w:t>
      </w:r>
    </w:p>
    <w:p>
      <w:r>
        <w:br w:type="page"/>
      </w:r>
    </w:p>
    <w:p>
      <w:pPr>
        <w:pStyle w:val="Heading1"/>
      </w:pPr>
      <w:r>
        <w:t>Chapitre II — Modélisation et méthodes de travail</w:t>
      </w:r>
    </w:p>
    <w:p>
      <w:pPr>
        <w:jc w:val="both"/>
      </w:pPr>
      <w:r>
        <w:rPr>
          <w:b w:val="0"/>
          <w:i w:val="0"/>
          <w:sz w:val="22"/>
        </w:rPr>
        <w:t>Ce chapitre expose les choix méthodologiques et les modèles retenus pour répondre à la problématique. Conformément aux attentes du guide pour les projets de Data Science, il justifie les approches, décrit précisément les étapes suivies pour en garantir la reproductibilité et explicite les hypothèses et contraintes.</w:t>
      </w:r>
    </w:p>
    <w:p>
      <w:pPr>
        <w:pStyle w:val="Heading2"/>
      </w:pPr>
      <w:r>
        <w:t>2.1. Démarche méthodologique</w:t>
      </w:r>
    </w:p>
    <w:p>
      <w:pPr>
        <w:jc w:val="both"/>
      </w:pPr>
      <w:r>
        <w:rPr>
          <w:b w:val="0"/>
          <w:i w:val="0"/>
          <w:sz w:val="22"/>
        </w:rPr>
        <w:t>La méthodologie adoptée suit le cycle de vie structuré d'un projet de science des données, inspiré de la démarche CRISP-DM : compréhension du problème, acquisition des données, exploration, préparation, modélisation, évaluation et déploiement. Cette progression méthodique et itérative garantit une analyse reproductible.</w:t>
      </w:r>
    </w:p>
    <w:p>
      <w:pPr>
        <w:pStyle w:val="ListNumber"/>
      </w:pPr>
      <w:r>
        <w:t>Compréhension du problème — définition des objectifs et des classes à cartographier.</w:t>
      </w:r>
    </w:p>
    <w:p>
      <w:pPr>
        <w:pStyle w:val="ListNumber"/>
      </w:pPr>
      <w:r>
        <w:t>Acquisition des données — collecte des images Sentinel-2 et des variables auxiliaires via Google Earth Engine.</w:t>
      </w:r>
    </w:p>
    <w:p>
      <w:pPr>
        <w:pStyle w:val="ListNumber"/>
      </w:pPr>
      <w:r>
        <w:t>Exploration — analyse des distributions spectrales et des corrélations entre indices.</w:t>
      </w:r>
    </w:p>
    <w:p>
      <w:pPr>
        <w:pStyle w:val="ListNumber"/>
      </w:pPr>
      <w:r>
        <w:t>Préparation — masquage des nuages, composites temporels, calcul des indices, extraction des features.</w:t>
      </w:r>
    </w:p>
    <w:p>
      <w:pPr>
        <w:pStyle w:val="ListNumber"/>
      </w:pPr>
      <w:r>
        <w:t>Modélisation — entraînement de Random Forest, XGBoost et U-Net.</w:t>
      </w:r>
    </w:p>
    <w:p>
      <w:pPr>
        <w:pStyle w:val="ListNumber"/>
      </w:pPr>
      <w:r>
        <w:t>Évaluation — validation croisée spatiale et comparaison des métriques.</w:t>
      </w:r>
    </w:p>
    <w:p>
      <w:pPr>
        <w:pStyle w:val="ListNumber"/>
      </w:pPr>
      <w:r>
        <w:t>Déploiement — mise à disposition via API et tableaux de bord.</w:t>
      </w:r>
    </w:p>
    <w:p>
      <w:pPr>
        <w:pStyle w:val="Heading2"/>
      </w:pPr>
      <w:r>
        <w:t>2.2. Zone d'étude</w:t>
      </w:r>
    </w:p>
    <w:p>
      <w:pPr>
        <w:jc w:val="both"/>
      </w:pPr>
      <w:r>
        <w:rPr>
          <w:b w:val="0"/>
          <w:i w:val="0"/>
          <w:sz w:val="22"/>
        </w:rPr>
        <w:t>La zone d'étude couvre environ 50 × 50 km (≈ 250 000 ha) autour de la ville d'Inongo, dans la province du Mai-Ndombe (−1,95° S ; 18,27° E), l'un des fronts de déforestation les plus actifs de la forêt équatoriale congolaise. La pression y provient de l'agriculture itinérante et des concessions, avec une progression des fronts depuis les villages et les axes de circulation.</w:t>
      </w:r>
    </w:p>
    <w:p>
      <w:pPr>
        <w:pStyle w:val="Heading2"/>
      </w:pPr>
      <w:r>
        <w:t>2.3. Données et instruments de collecte</w:t>
      </w:r>
    </w:p>
    <w:p>
      <w:r>
        <w:rPr>
          <w:b w:val="0"/>
          <w:i/>
          <w:color w:val="555555"/>
          <w:sz w:val="20"/>
        </w:rPr>
        <w:t>Tableau 1 — Sources de données utilisées.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Description</w:t>
            </w:r>
          </w:p>
        </w:tc>
        <w:tc>
          <w:tcPr>
            <w:tcW w:type="dxa" w:w="2160"/>
          </w:tcPr>
          <w:p>
            <w:r>
              <w:rPr>
                <w:b/>
              </w:rPr>
              <w:t>Résolution</w:t>
            </w:r>
          </w:p>
        </w:tc>
        <w:tc>
          <w:tcPr>
            <w:tcW w:type="dxa" w:w="2160"/>
          </w:tcPr>
          <w:p>
            <w:r>
              <w:rPr>
                <w:b/>
              </w:rPr>
              <w:t>Couverture</w:t>
            </w:r>
          </w:p>
        </w:tc>
      </w:tr>
      <w:tr>
        <w:tc>
          <w:tcPr>
            <w:tcW w:type="dxa" w:w="2160"/>
          </w:tcPr>
          <w:p>
            <w:r>
              <w:t>Sentinel-2 (ESA)</w:t>
            </w:r>
          </w:p>
        </w:tc>
        <w:tc>
          <w:tcPr>
            <w:tcW w:type="dxa" w:w="2160"/>
          </w:tcPr>
          <w:p>
            <w:r>
              <w:t>Images multispectrales (6 bandes)</w:t>
            </w:r>
          </w:p>
        </w:tc>
        <w:tc>
          <w:tcPr>
            <w:tcW w:type="dxa" w:w="2160"/>
          </w:tcPr>
          <w:p>
            <w:r>
              <w:t>10 m</w:t>
            </w:r>
          </w:p>
        </w:tc>
        <w:tc>
          <w:tcPr>
            <w:tcW w:type="dxa" w:w="2160"/>
          </w:tcPr>
          <w:p>
            <w:r>
              <w:t>2015–présent</w:t>
            </w:r>
          </w:p>
        </w:tc>
      </w:tr>
      <w:tr>
        <w:tc>
          <w:tcPr>
            <w:tcW w:type="dxa" w:w="2160"/>
          </w:tcPr>
          <w:p>
            <w:r>
              <w:t>Landsat 8/9 (NASA)</w:t>
            </w:r>
          </w:p>
        </w:tc>
        <w:tc>
          <w:tcPr>
            <w:tcW w:type="dxa" w:w="2160"/>
          </w:tcPr>
          <w:p>
            <w:r>
              <w:t>Images multispectrales</w:t>
            </w:r>
          </w:p>
        </w:tc>
        <w:tc>
          <w:tcPr>
            <w:tcW w:type="dxa" w:w="2160"/>
          </w:tcPr>
          <w:p>
            <w:r>
              <w:t>30 m</w:t>
            </w:r>
          </w:p>
        </w:tc>
        <w:tc>
          <w:tcPr>
            <w:tcW w:type="dxa" w:w="2160"/>
          </w:tcPr>
          <w:p>
            <w:r>
              <w:t>2013–présent</w:t>
            </w:r>
          </w:p>
        </w:tc>
      </w:tr>
      <w:tr>
        <w:tc>
          <w:tcPr>
            <w:tcW w:type="dxa" w:w="2160"/>
          </w:tcPr>
          <w:p>
            <w:r>
              <w:t>Hansen GFC</w:t>
            </w:r>
          </w:p>
        </w:tc>
        <w:tc>
          <w:tcPr>
            <w:tcW w:type="dxa" w:w="2160"/>
          </w:tcPr>
          <w:p>
            <w:r>
              <w:t>Perte forestière annuelle (vérité terrain)</w:t>
            </w:r>
          </w:p>
        </w:tc>
        <w:tc>
          <w:tcPr>
            <w:tcW w:type="dxa" w:w="2160"/>
          </w:tcPr>
          <w:p>
            <w:r>
              <w:t>30 m</w:t>
            </w:r>
          </w:p>
        </w:tc>
        <w:tc>
          <w:tcPr>
            <w:tcW w:type="dxa" w:w="2160"/>
          </w:tcPr>
          <w:p>
            <w:r>
              <w:t>2000–2023</w:t>
            </w:r>
          </w:p>
        </w:tc>
      </w:tr>
      <w:tr>
        <w:tc>
          <w:tcPr>
            <w:tcW w:type="dxa" w:w="2160"/>
          </w:tcPr>
          <w:p>
            <w:r>
              <w:t>SRTM</w:t>
            </w:r>
          </w:p>
        </w:tc>
        <w:tc>
          <w:tcPr>
            <w:tcW w:type="dxa" w:w="2160"/>
          </w:tcPr>
          <w:p>
            <w:r>
              <w:t>Altitude, pente, aspect</w:t>
            </w:r>
          </w:p>
        </w:tc>
        <w:tc>
          <w:tcPr>
            <w:tcW w:type="dxa" w:w="2160"/>
          </w:tcPr>
          <w:p>
            <w:r>
              <w:t>30 m</w:t>
            </w:r>
          </w:p>
        </w:tc>
        <w:tc>
          <w:tcPr>
            <w:tcW w:type="dxa" w:w="2160"/>
          </w:tcPr>
          <w:p>
            <w:r>
              <w:t>Global</w:t>
            </w:r>
          </w:p>
        </w:tc>
      </w:tr>
      <w:tr>
        <w:tc>
          <w:tcPr>
            <w:tcW w:type="dxa" w:w="2160"/>
          </w:tcPr>
          <w:p>
            <w:r>
              <w:t>OpenWeatherMap</w:t>
            </w:r>
          </w:p>
        </w:tc>
        <w:tc>
          <w:tcPr>
            <w:tcW w:type="dxa" w:w="2160"/>
          </w:tcPr>
          <w:p>
            <w:r>
              <w:t>Précipitations, température</w:t>
            </w:r>
          </w:p>
        </w:tc>
        <w:tc>
          <w:tcPr>
            <w:tcW w:type="dxa" w:w="2160"/>
          </w:tcPr>
          <w:p>
            <w:r>
              <w:t>—</w:t>
            </w:r>
          </w:p>
        </w:tc>
        <w:tc>
          <w:tcPr>
            <w:tcW w:type="dxa" w:w="2160"/>
          </w:tcPr>
          <w:p>
            <w:r>
              <w:t>Temps réel</w:t>
            </w:r>
          </w:p>
        </w:tc>
      </w:tr>
    </w:tbl>
    <w:p/>
    <w:p>
      <w:r>
        <w:rPr>
          <w:b w:val="0"/>
          <w:i/>
          <w:color w:val="555555"/>
          <w:sz w:val="20"/>
        </w:rPr>
        <w:t>Tableau 2 — Bandes spectrales Sentinel-2 et indices dérivés.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Bande / Indice</w:t>
            </w:r>
          </w:p>
        </w:tc>
        <w:tc>
          <w:tcPr>
            <w:tcW w:type="dxa" w:w="4320"/>
          </w:tcPr>
          <w:p>
            <w:r>
              <w:rPr>
                <w:b/>
              </w:rPr>
              <w:t>Description</w:t>
            </w:r>
          </w:p>
        </w:tc>
      </w:tr>
      <w:tr>
        <w:tc>
          <w:tcPr>
            <w:tcW w:type="dxa" w:w="4320"/>
          </w:tcPr>
          <w:p>
            <w:r>
              <w:t>B2, B3, B4</w:t>
            </w:r>
          </w:p>
        </w:tc>
        <w:tc>
          <w:tcPr>
            <w:tcW w:type="dxa" w:w="4320"/>
          </w:tcPr>
          <w:p>
            <w:r>
              <w:t>Bleu, Vert, Rouge (visible)</w:t>
            </w:r>
          </w:p>
        </w:tc>
      </w:tr>
      <w:tr>
        <w:tc>
          <w:tcPr>
            <w:tcW w:type="dxa" w:w="4320"/>
          </w:tcPr>
          <w:p>
            <w:r>
              <w:t>B8</w:t>
            </w:r>
          </w:p>
        </w:tc>
        <w:tc>
          <w:tcPr>
            <w:tcW w:type="dxa" w:w="4320"/>
          </w:tcPr>
          <w:p>
            <w:r>
              <w:t>Proche infrarouge (NIR, 842 nm)</w:t>
            </w:r>
          </w:p>
        </w:tc>
      </w:tr>
      <w:tr>
        <w:tc>
          <w:tcPr>
            <w:tcW w:type="dxa" w:w="4320"/>
          </w:tcPr>
          <w:p>
            <w:r>
              <w:t>B11, B12</w:t>
            </w:r>
          </w:p>
        </w:tc>
        <w:tc>
          <w:tcPr>
            <w:tcW w:type="dxa" w:w="4320"/>
          </w:tcPr>
          <w:p>
            <w:r>
              <w:t>Infrarouge à ondes courtes (SWIR)</w:t>
            </w:r>
          </w:p>
        </w:tc>
      </w:tr>
      <w:tr>
        <w:tc>
          <w:tcPr>
            <w:tcW w:type="dxa" w:w="4320"/>
          </w:tcPr>
          <w:p>
            <w:r>
              <w:t>NDVI</w:t>
            </w:r>
          </w:p>
        </w:tc>
        <w:tc>
          <w:tcPr>
            <w:tcW w:type="dxa" w:w="4320"/>
          </w:tcPr>
          <w:p>
            <w:r>
              <w:t>(NIR − Rouge) / (NIR + Rouge) — vigueur de la végétation</w:t>
            </w:r>
          </w:p>
        </w:tc>
      </w:tr>
      <w:tr>
        <w:tc>
          <w:tcPr>
            <w:tcW w:type="dxa" w:w="4320"/>
          </w:tcPr>
          <w:p>
            <w:r>
              <w:t>EVI</w:t>
            </w:r>
          </w:p>
        </w:tc>
        <w:tc>
          <w:tcPr>
            <w:tcW w:type="dxa" w:w="4320"/>
          </w:tcPr>
          <w:p>
            <w:r>
              <w:t>Indice de végétation amélioré (corrige sol/atmosphère)</w:t>
            </w:r>
          </w:p>
        </w:tc>
      </w:tr>
      <w:tr>
        <w:tc>
          <w:tcPr>
            <w:tcW w:type="dxa" w:w="4320"/>
          </w:tcPr>
          <w:p>
            <w:r>
              <w:t>NDWI</w:t>
            </w:r>
          </w:p>
        </w:tc>
        <w:tc>
          <w:tcPr>
            <w:tcW w:type="dxa" w:w="4320"/>
          </w:tcPr>
          <w:p>
            <w:r>
              <w:t>(Vert − NIR) / (Vert + NIR) — teneur en eau</w:t>
            </w:r>
          </w:p>
        </w:tc>
      </w:tr>
      <w:tr>
        <w:tc>
          <w:tcPr>
            <w:tcW w:type="dxa" w:w="4320"/>
          </w:tcPr>
          <w:p>
            <w:r>
              <w:t>NBR</w:t>
            </w:r>
          </w:p>
        </w:tc>
        <w:tc>
          <w:tcPr>
            <w:tcW w:type="dxa" w:w="4320"/>
          </w:tcPr>
          <w:p>
            <w:r>
              <w:t>(NIR − SWIR2) / (NIR + SWIR2) — surfaces brûlées</w:t>
            </w:r>
          </w:p>
        </w:tc>
      </w:tr>
    </w:tbl>
    <w:p/>
    <w:p>
      <w:pPr>
        <w:pStyle w:val="Heading2"/>
      </w:pPr>
      <w:r>
        <w:t>2.4. Prétraitement et préparation des données</w:t>
      </w:r>
    </w:p>
    <w:p>
      <w:pPr>
        <w:pStyle w:val="ListBullet"/>
      </w:pPr>
      <w:r>
        <w:t>Masquage des nuages et des ombres à partir de la bande SCL (Scene Classification Layer) de Sentinel-2, indispensable en zone équatoriale.</w:t>
      </w:r>
    </w:p>
    <w:p>
      <w:pPr>
        <w:pStyle w:val="ListBullet"/>
      </w:pPr>
      <w:r>
        <w:t>Composites médians de saison sèche (juin–septembre) pour limiter la couverture nuageuse persistante.</w:t>
      </w:r>
    </w:p>
    <w:p>
      <w:pPr>
        <w:pStyle w:val="ListBullet"/>
      </w:pPr>
      <w:r>
        <w:t>Calcul vectorisé des indices NDVI, EVI, NDWI et NBR.</w:t>
      </w:r>
    </w:p>
    <w:p>
      <w:pPr>
        <w:pStyle w:val="ListBullet"/>
      </w:pPr>
      <w:r>
        <w:t>Extraction de 13 variables par pixel : 6 bandes + 4 indices + 3 variables topographiques (altitude, pente, aspect).</w:t>
      </w:r>
    </w:p>
    <w:p>
      <w:pPr>
        <w:pStyle w:val="ListBullet"/>
      </w:pPr>
      <w:r>
        <w:t>Découpage en tuiles 128 × 128 pour l'entraînement du U-Net.</w:t>
      </w:r>
    </w:p>
    <w:p>
      <w:pPr>
        <w:pStyle w:val="ListBullet"/>
      </w:pPr>
      <w:r>
        <w:t>Découpage spatial (par blocs) en jeux d'entraînement / validation / test (70 / 15 / 15 %) afin d'éviter toute fuite d'information géographique entre pixels voisins.</w:t>
      </w:r>
    </w:p>
    <w:p>
      <w:r>
        <w:rPr>
          <w:b w:val="0"/>
          <w:i/>
          <w:color w:val="555555"/>
          <w:sz w:val="20"/>
        </w:rPr>
        <w:t>Tableau 3 — Classes de couverture du sol.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Classe de couverture du sol</w:t>
            </w:r>
          </w:p>
        </w:tc>
      </w:tr>
      <w:tr>
        <w:tc>
          <w:tcPr>
            <w:tcW w:type="dxa" w:w="4320"/>
          </w:tcPr>
          <w:p>
            <w:r>
              <w:t>0</w:t>
            </w:r>
          </w:p>
        </w:tc>
        <w:tc>
          <w:tcPr>
            <w:tcW w:type="dxa" w:w="4320"/>
          </w:tcPr>
          <w:p>
            <w:r>
              <w:t>Forêt dense</w:t>
            </w:r>
          </w:p>
        </w:tc>
      </w:tr>
      <w:tr>
        <w:tc>
          <w:tcPr>
            <w:tcW w:type="dxa" w:w="4320"/>
          </w:tcPr>
          <w:p>
            <w:r>
              <w:t>1</w:t>
            </w:r>
          </w:p>
        </w:tc>
        <w:tc>
          <w:tcPr>
            <w:tcW w:type="dxa" w:w="4320"/>
          </w:tcPr>
          <w:p>
            <w:r>
              <w:t>Forêt dégradée</w:t>
            </w:r>
          </w:p>
        </w:tc>
      </w:tr>
      <w:tr>
        <w:tc>
          <w:tcPr>
            <w:tcW w:type="dxa" w:w="4320"/>
          </w:tcPr>
          <w:p>
            <w:r>
              <w:t>2</w:t>
            </w:r>
          </w:p>
        </w:tc>
        <w:tc>
          <w:tcPr>
            <w:tcW w:type="dxa" w:w="4320"/>
          </w:tcPr>
          <w:p>
            <w:r>
              <w:t>Agriculture / Sol nu</w:t>
            </w:r>
          </w:p>
        </w:tc>
      </w:tr>
      <w:tr>
        <w:tc>
          <w:tcPr>
            <w:tcW w:type="dxa" w:w="4320"/>
          </w:tcPr>
          <w:p>
            <w:r>
              <w:t>3</w:t>
            </w:r>
          </w:p>
        </w:tc>
        <w:tc>
          <w:tcPr>
            <w:tcW w:type="dxa" w:w="4320"/>
          </w:tcPr>
          <w:p>
            <w:r>
              <w:t>Eau</w:t>
            </w:r>
          </w:p>
        </w:tc>
      </w:tr>
      <w:tr>
        <w:tc>
          <w:tcPr>
            <w:tcW w:type="dxa" w:w="4320"/>
          </w:tcPr>
          <w:p>
            <w:r>
              <w:t>4</w:t>
            </w:r>
          </w:p>
        </w:tc>
        <w:tc>
          <w:tcPr>
            <w:tcW w:type="dxa" w:w="4320"/>
          </w:tcPr>
          <w:p>
            <w:r>
              <w:t>Zone urbaine / Bâti</w:t>
            </w:r>
          </w:p>
        </w:tc>
      </w:tr>
    </w:tbl>
    <w:p/>
    <w:p>
      <w:r>
        <w:rPr>
          <w:b w:val="0"/>
          <w:i/>
          <w:color w:val="555555"/>
          <w:sz w:val="20"/>
        </w:rPr>
        <w:t>Tableau 4 — Jeu de features par pixel (13 variables).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Groupe</w:t>
            </w:r>
          </w:p>
        </w:tc>
        <w:tc>
          <w:tcPr>
            <w:tcW w:type="dxa" w:w="4320"/>
          </w:tcPr>
          <w:p>
            <w:r>
              <w:rPr>
                <w:b/>
              </w:rPr>
              <w:t>Variables</w:t>
            </w:r>
          </w:p>
        </w:tc>
      </w:tr>
      <w:tr>
        <w:tc>
          <w:tcPr>
            <w:tcW w:type="dxa" w:w="4320"/>
          </w:tcPr>
          <w:p>
            <w:r>
              <w:t>Bandes spectrales (6)</w:t>
            </w:r>
          </w:p>
        </w:tc>
        <w:tc>
          <w:tcPr>
            <w:tcW w:type="dxa" w:w="4320"/>
          </w:tcPr>
          <w:p>
            <w:r>
              <w:t>B2, B3, B4, B8, B11, B12</w:t>
            </w:r>
          </w:p>
        </w:tc>
      </w:tr>
      <w:tr>
        <w:tc>
          <w:tcPr>
            <w:tcW w:type="dxa" w:w="4320"/>
          </w:tcPr>
          <w:p>
            <w:r>
              <w:t>Indices (4)</w:t>
            </w:r>
          </w:p>
        </w:tc>
        <w:tc>
          <w:tcPr>
            <w:tcW w:type="dxa" w:w="4320"/>
          </w:tcPr>
          <w:p>
            <w:r>
              <w:t>NDVI, EVI, NDWI, NBR</w:t>
            </w:r>
          </w:p>
        </w:tc>
      </w:tr>
      <w:tr>
        <w:tc>
          <w:tcPr>
            <w:tcW w:type="dxa" w:w="4320"/>
          </w:tcPr>
          <w:p>
            <w:r>
              <w:t>Topographie (3)</w:t>
            </w:r>
          </w:p>
        </w:tc>
        <w:tc>
          <w:tcPr>
            <w:tcW w:type="dxa" w:w="4320"/>
          </w:tcPr>
          <w:p>
            <w:r>
              <w:t>altitude, pente, aspect</w:t>
            </w:r>
          </w:p>
        </w:tc>
      </w:tr>
    </w:tbl>
    <w:p/>
    <w:p>
      <w:pPr>
        <w:pStyle w:val="Heading2"/>
      </w:pPr>
      <w:r>
        <w:t>2.5. Modélisation</w:t>
      </w:r>
    </w:p>
    <w:p>
      <w:pPr>
        <w:jc w:val="both"/>
      </w:pPr>
      <w:r>
        <w:rPr>
          <w:b w:val="0"/>
          <w:i w:val="0"/>
          <w:sz w:val="22"/>
        </w:rPr>
        <w:t>Trois modèles de classification sont comparés, complétés par un modèle de prédiction du risque. Le choix de chaque modèle est justifié par sa pertinence pour le problème et son fondement mathématique.</w:t>
      </w:r>
    </w:p>
    <w:p>
      <w:pPr>
        <w:pStyle w:val="Heading3"/>
      </w:pPr>
      <w:r>
        <w:t>2.5.1. Random Forest (baseline interprétable)</w:t>
      </w:r>
    </w:p>
    <w:p>
      <w:pPr>
        <w:jc w:val="both"/>
      </w:pPr>
      <w:r>
        <w:rPr>
          <w:b w:val="0"/>
          <w:i w:val="0"/>
          <w:sz w:val="22"/>
        </w:rPr>
        <w:t>Le Random Forest agrège B arbres de décision entraînés sur des échantillons bootstrap et des sous-ensembles aléatoires de variables. La prédiction résulte d'un vote majoritaire. La décorrélation des arbres réduit la variance sans augmenter le biais ; l'importance de Gini fournit une interprétation directe des variables discriminantes. Paramètres : 200 arbres, profondeur maximale 15.</w:t>
      </w:r>
    </w:p>
    <w:p>
      <w:pPr>
        <w:pStyle w:val="Heading3"/>
      </w:pPr>
      <w:r>
        <w:t>2.5.2. XGBoost (gradient boosting)</w:t>
      </w:r>
    </w:p>
    <w:p>
      <w:pPr>
        <w:jc w:val="both"/>
      </w:pPr>
      <w:r>
        <w:rPr>
          <w:b w:val="0"/>
          <w:i w:val="0"/>
          <w:sz w:val="22"/>
        </w:rPr>
        <w:t>XGBoost construit les arbres séquentiellement en minimisant, par descente de gradient, une fonction de perte régularisée. Il capture des interactions fines entre variables et sert de comparaison directe au Random Forest sur les mêmes 13 features. Paramètres : 200 arbres, profondeur 10, taux d'apprentissage 0,1.</w:t>
      </w:r>
    </w:p>
    <w:p>
      <w:pPr>
        <w:pStyle w:val="Heading3"/>
      </w:pPr>
      <w:r>
        <w:t>2.5.3. U-Net (segmentation sémantique)</w:t>
      </w:r>
    </w:p>
    <w:p>
      <w:pPr>
        <w:jc w:val="both"/>
      </w:pPr>
      <w:r>
        <w:rPr>
          <w:b w:val="0"/>
          <w:i w:val="0"/>
          <w:sz w:val="22"/>
        </w:rPr>
        <w:t>Le U-Net prend en entrée des tuiles 128 × 128 × 6 (bandes brutes) et produit une carte de classes de même dimension. Son encodeur extrait des caractéristiques spatiales à plusieurs échelles ; son décodeur, via les connexions de saut, restitue une localisation précise. Il exploite ainsi le contexte spatial que les modèles pixel ignorent.</w:t>
      </w:r>
    </w:p>
    <w:p>
      <w:pPr>
        <w:pStyle w:val="Heading3"/>
      </w:pPr>
      <w:r>
        <w:t>2.5.4. Modèle de prédiction du risque</w:t>
      </w:r>
    </w:p>
    <w:p>
      <w:pPr>
        <w:jc w:val="both"/>
      </w:pPr>
      <w:r>
        <w:rPr>
          <w:b w:val="0"/>
          <w:i w:val="0"/>
          <w:sz w:val="22"/>
        </w:rPr>
        <w:t>Un modèle binaire de gradient boosting estime, pour chaque pixel encore forestier, la probabilité qu'il soit déforesté à court terme. Ses variables sont des distances de proximité (à la route, au village, au front de déforestation), la pente, l'altitude et le taux de déforestation du voisinage. Sa sortie est une carte de risque continue de 0 à 100.</w:t>
      </w:r>
    </w:p>
    <w:p>
      <w:pPr>
        <w:pStyle w:val="Heading3"/>
      </w:pPr>
      <w:r>
        <w:t>2.5.5. Protocole d'évaluation</w:t>
      </w:r>
    </w:p>
    <w:p>
      <w:pPr>
        <w:jc w:val="both"/>
      </w:pPr>
      <w:r>
        <w:rPr>
          <w:b w:val="0"/>
          <w:i w:val="0"/>
          <w:sz w:val="22"/>
        </w:rPr>
        <w:t>Les modèles sont évalués par validation croisée spatiale à l'aide des métriques suivantes : exactitude (Accuracy), précision (Precision), rappel (Recall), F1-score (macro), AUC-ROC, ainsi que l'IoU (Intersection over Union) par classe et l'IoU moyen pour la segmentation. La matrice de confusion complète l'analyse en révélant les confusions entre classes voisines (notamment forêt dégradée vs agriculture).</w:t>
      </w:r>
    </w:p>
    <w:p>
      <w:pPr>
        <w:pStyle w:val="Heading2"/>
      </w:pPr>
      <w:r>
        <w:t>2.6. Développement et réalisation</w:t>
      </w:r>
    </w:p>
    <w:p>
      <w:pPr>
        <w:jc w:val="both"/>
      </w:pPr>
      <w:r>
        <w:rPr>
          <w:b w:val="0"/>
          <w:i w:val="0"/>
          <w:sz w:val="22"/>
        </w:rPr>
        <w:t>La plateforme suit une architecture modulaire en Python 3.11, organisée en couches : collecte (src/data), prétraitement (src/preprocessing), modélisation (src/models), visualisation (src/visualization), analyse d'impact (src/analysis) et API (src/api). Une couche d'abstraction des sources de données permet de basculer du mode démonstration (données synthétiques) aux images réelles sans modifier le code : il suffit de déposer les GeoTIFF dans data/raw/ et de désactiver le mode démonstration.</w:t>
      </w:r>
    </w:p>
    <w:p>
      <w:r>
        <w:rPr>
          <w:b w:val="0"/>
          <w:i/>
          <w:color w:val="555555"/>
          <w:sz w:val="20"/>
        </w:rPr>
        <w:t>Tableau — Stack technique de la réalisation.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Composant</w:t>
            </w:r>
          </w:p>
        </w:tc>
        <w:tc>
          <w:tcPr>
            <w:tcW w:type="dxa" w:w="4320"/>
          </w:tcPr>
          <w:p>
            <w:r>
              <w:rPr>
                <w:b/>
              </w:rPr>
              <w:t>Technologie</w:t>
            </w:r>
          </w:p>
        </w:tc>
      </w:tr>
      <w:tr>
        <w:tc>
          <w:tcPr>
            <w:tcW w:type="dxa" w:w="4320"/>
          </w:tcPr>
          <w:p>
            <w:r>
              <w:t>Langage</w:t>
            </w:r>
          </w:p>
        </w:tc>
        <w:tc>
          <w:tcPr>
            <w:tcW w:type="dxa" w:w="4320"/>
          </w:tcPr>
          <w:p>
            <w:r>
              <w:t>Python 3.11</w:t>
            </w:r>
          </w:p>
        </w:tc>
      </w:tr>
      <w:tr>
        <w:tc>
          <w:tcPr>
            <w:tcW w:type="dxa" w:w="4320"/>
          </w:tcPr>
          <w:p>
            <w:r>
              <w:t>Collecte satellite</w:t>
            </w:r>
          </w:p>
        </w:tc>
        <w:tc>
          <w:tcPr>
            <w:tcW w:type="dxa" w:w="4320"/>
          </w:tcPr>
          <w:p>
            <w:r>
              <w:t>Google Earth Engine, rasterio</w:t>
            </w:r>
          </w:p>
        </w:tc>
      </w:tr>
      <w:tr>
        <w:tc>
          <w:tcPr>
            <w:tcW w:type="dxa" w:w="4320"/>
          </w:tcPr>
          <w:p>
            <w:r>
              <w:t>Big Data</w:t>
            </w:r>
          </w:p>
        </w:tc>
        <w:tc>
          <w:tcPr>
            <w:tcW w:type="dxa" w:w="4320"/>
          </w:tcPr>
          <w:p>
            <w:r>
              <w:t>PySpark</w:t>
            </w:r>
          </w:p>
        </w:tc>
      </w:tr>
      <w:tr>
        <w:tc>
          <w:tcPr>
            <w:tcW w:type="dxa" w:w="4320"/>
          </w:tcPr>
          <w:p>
            <w:r>
              <w:t>ML classique</w:t>
            </w:r>
          </w:p>
        </w:tc>
        <w:tc>
          <w:tcPr>
            <w:tcW w:type="dxa" w:w="4320"/>
          </w:tcPr>
          <w:p>
            <w:r>
              <w:t>scikit-learn, XGBoost</w:t>
            </w:r>
          </w:p>
        </w:tc>
      </w:tr>
      <w:tr>
        <w:tc>
          <w:tcPr>
            <w:tcW w:type="dxa" w:w="4320"/>
          </w:tcPr>
          <w:p>
            <w:r>
              <w:t>Deep Learning</w:t>
            </w:r>
          </w:p>
        </w:tc>
        <w:tc>
          <w:tcPr>
            <w:tcW w:type="dxa" w:w="4320"/>
          </w:tcPr>
          <w:p>
            <w:r>
              <w:t>TensorFlow / Keras (U-Net)</w:t>
            </w:r>
          </w:p>
        </w:tc>
      </w:tr>
      <w:tr>
        <w:tc>
          <w:tcPr>
            <w:tcW w:type="dxa" w:w="4320"/>
          </w:tcPr>
          <w:p>
            <w:r>
              <w:t>API</w:t>
            </w:r>
          </w:p>
        </w:tc>
        <w:tc>
          <w:tcPr>
            <w:tcW w:type="dxa" w:w="4320"/>
          </w:tcPr>
          <w:p>
            <w:r>
              <w:t>FastAPI (JWT + 2FA)</w:t>
            </w:r>
          </w:p>
        </w:tc>
      </w:tr>
      <w:tr>
        <w:tc>
          <w:tcPr>
            <w:tcW w:type="dxa" w:w="4320"/>
          </w:tcPr>
          <w:p>
            <w:r>
              <w:t>Tableaux de bord</w:t>
            </w:r>
          </w:p>
        </w:tc>
        <w:tc>
          <w:tcPr>
            <w:tcW w:type="dxa" w:w="4320"/>
          </w:tcPr>
          <w:p>
            <w:r>
              <w:t>Streamlit + frontend React (Vite / Tailwind)</w:t>
            </w:r>
          </w:p>
        </w:tc>
      </w:tr>
      <w:tr>
        <w:tc>
          <w:tcPr>
            <w:tcW w:type="dxa" w:w="4320"/>
          </w:tcPr>
          <w:p>
            <w:r>
              <w:t>Base de données</w:t>
            </w:r>
          </w:p>
        </w:tc>
        <w:tc>
          <w:tcPr>
            <w:tcW w:type="dxa" w:w="4320"/>
          </w:tcPr>
          <w:p>
            <w:r>
              <w:t>PostgreSQL / Supabase (repli SQLite)</w:t>
            </w:r>
          </w:p>
        </w:tc>
      </w:tr>
      <w:tr>
        <w:tc>
          <w:tcPr>
            <w:tcW w:type="dxa" w:w="4320"/>
          </w:tcPr>
          <w:p>
            <w:r>
              <w:t>Conteneurisation</w:t>
            </w:r>
          </w:p>
        </w:tc>
        <w:tc>
          <w:tcPr>
            <w:tcW w:type="dxa" w:w="4320"/>
          </w:tcPr>
          <w:p>
            <w:r>
              <w:t>Docker, docker-compose</w:t>
            </w:r>
          </w:p>
        </w:tc>
      </w:tr>
      <w:tr>
        <w:tc>
          <w:tcPr>
            <w:tcW w:type="dxa" w:w="4320"/>
          </w:tcPr>
          <w:p>
            <w:r>
              <w:t>Tests / CI</w:t>
            </w:r>
          </w:p>
        </w:tc>
        <w:tc>
          <w:tcPr>
            <w:tcW w:type="dxa" w:w="4320"/>
          </w:tcPr>
          <w:p>
            <w:r>
              <w:t>pytest, GitHub Actions</w:t>
            </w:r>
          </w:p>
        </w:tc>
      </w:tr>
    </w:tbl>
    <w:p/>
    <w:p>
      <w:pPr>
        <w:jc w:val="both"/>
      </w:pPr>
      <w:r>
        <w:rPr>
          <w:b w:val="0"/>
          <w:i w:val="0"/>
          <w:sz w:val="22"/>
        </w:rPr>
        <w:t>Sécurité et robustesse. L'authentification combine hachage bcrypt des mots de passe, jetons JWT (accès et rafraîchissement) et OTP à deux facteurs compatible Google Authenticator, avec contrôle d'accès par rôle. Chaque dépendance lourde dispose d'un repli automatique (GradientBoosting si XGBoost est absent, centroïdes spectraux si TensorFlow est absent, SQLite si PostgreSQL est indisponible), ce qui garantit que l'application fonctionne dans tout environnement.</w:t>
      </w:r>
    </w:p>
    <w:p>
      <w:pPr>
        <w:pStyle w:val="Heading2"/>
      </w:pPr>
      <w:r>
        <w:t>2.7. Contraintes et hypothèses de travail</w:t>
      </w:r>
    </w:p>
    <w:p>
      <w:pPr>
        <w:pStyle w:val="ListBullet"/>
      </w:pPr>
      <w:r>
        <w:t>Les données doivent être représentatives de la zone et suffisantes pour l'apprentissage supervisé.</w:t>
      </w:r>
    </w:p>
    <w:p>
      <w:pPr>
        <w:pStyle w:val="ListBullet"/>
      </w:pPr>
      <w:r>
        <w:t>La couverture nuageuse équatoriale limite la disponibilité des images optiques (d'où le recours aux composites et, en perspective, au radar).</w:t>
      </w:r>
    </w:p>
    <w:p>
      <w:pPr>
        <w:pStyle w:val="ListBullet"/>
      </w:pPr>
      <w:r>
        <w:t>Les résultats présentés au chapitre III proviennent du mode démonstration et devront être confirmés sur images réelles et vérité terrain.</w:t>
      </w:r>
    </w:p>
    <w:p>
      <w:r>
        <w:br w:type="page"/>
      </w:r>
    </w:p>
    <w:p>
      <w:pPr>
        <w:pStyle w:val="Heading1"/>
      </w:pPr>
      <w:r>
        <w:t>Chapitre III — Résultats, discussion et conclusion</w:t>
      </w:r>
    </w:p>
    <w:p>
      <w:pPr>
        <w:jc w:val="both"/>
      </w:pPr>
      <w:r>
        <w:rPr>
          <w:b w:val="0"/>
          <w:i/>
          <w:color w:val="555555"/>
          <w:sz w:val="22"/>
        </w:rPr>
        <w:t>Avertissement méthodologique. Les chiffres présentés ci-dessous proviennent de l'exécution de la plateforme en mode démonstration, sur des données synthétiques réalistes reproduisant la dynamique observée au Mai-Ndombe (avancée d'un front agricole depuis les villages et les routes). Ils valident la chaîne de traitement de bout en bout et illustrent les livrables ; ils seront remplacés par les résultats sur images Sentinel-2 réelles une fois la collecte effectuée.</w:t>
      </w:r>
    </w:p>
    <w:p>
      <w:pPr>
        <w:pStyle w:val="Heading2"/>
      </w:pPr>
      <w:r>
        <w:t>3.1. Résultats</w:t>
      </w:r>
    </w:p>
    <w:p>
      <w:pPr>
        <w:pStyle w:val="Heading3"/>
      </w:pPr>
      <w:r>
        <w:t>3.1.1. Dynamique de la couverture forestière</w:t>
      </w:r>
    </w:p>
    <w:p>
      <w:r>
        <w:rPr>
          <w:b w:val="0"/>
          <w:i/>
          <w:color w:val="555555"/>
          <w:sz w:val="20"/>
        </w:rPr>
        <w:t>Tableau 5 — Dynamique annuelle de la couverture forestière.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Année</w:t>
            </w:r>
          </w:p>
        </w:tc>
        <w:tc>
          <w:tcPr>
            <w:tcW w:type="dxa" w:w="2160"/>
          </w:tcPr>
          <w:p>
            <w:r>
              <w:rPr>
                <w:b/>
              </w:rPr>
              <w:t>Forêt (ha)</w:t>
            </w:r>
          </w:p>
        </w:tc>
        <w:tc>
          <w:tcPr>
            <w:tcW w:type="dxa" w:w="2160"/>
          </w:tcPr>
          <w:p>
            <w:r>
              <w:rPr>
                <w:b/>
              </w:rPr>
              <w:t>Perte (ha)</w:t>
            </w:r>
          </w:p>
        </w:tc>
        <w:tc>
          <w:tcPr>
            <w:tcW w:type="dxa" w:w="2160"/>
          </w:tcPr>
          <w:p>
            <w:r>
              <w:rPr>
                <w:b/>
              </w:rPr>
              <w:t>Taux (%)</w:t>
            </w:r>
          </w:p>
        </w:tc>
      </w:tr>
      <w:tr>
        <w:tc>
          <w:tcPr>
            <w:tcW w:type="dxa" w:w="2160"/>
          </w:tcPr>
          <w:p>
            <w:r>
              <w:t>2015</w:t>
            </w:r>
          </w:p>
        </w:tc>
        <w:tc>
          <w:tcPr>
            <w:tcW w:type="dxa" w:w="2160"/>
          </w:tcPr>
          <w:p>
            <w:r>
              <w:t>224,945</w:t>
            </w:r>
          </w:p>
        </w:tc>
        <w:tc>
          <w:tcPr>
            <w:tcW w:type="dxa" w:w="2160"/>
          </w:tcPr>
          <w:p>
            <w:r>
              <w:t>0</w:t>
            </w:r>
          </w:p>
        </w:tc>
        <w:tc>
          <w:tcPr>
            <w:tcW w:type="dxa" w:w="2160"/>
          </w:tcPr>
          <w:p>
            <w:r>
              <w:t>0.00</w:t>
            </w:r>
          </w:p>
        </w:tc>
      </w:tr>
      <w:tr>
        <w:tc>
          <w:tcPr>
            <w:tcW w:type="dxa" w:w="2160"/>
          </w:tcPr>
          <w:p>
            <w:r>
              <w:t>2016</w:t>
            </w:r>
          </w:p>
        </w:tc>
        <w:tc>
          <w:tcPr>
            <w:tcW w:type="dxa" w:w="2160"/>
          </w:tcPr>
          <w:p>
            <w:r>
              <w:t>213,421</w:t>
            </w:r>
          </w:p>
        </w:tc>
        <w:tc>
          <w:tcPr>
            <w:tcW w:type="dxa" w:w="2160"/>
          </w:tcPr>
          <w:p>
            <w:r>
              <w:t>11,524</w:t>
            </w:r>
          </w:p>
        </w:tc>
        <w:tc>
          <w:tcPr>
            <w:tcW w:type="dxa" w:w="2160"/>
          </w:tcPr>
          <w:p>
            <w:r>
              <w:t>5.12</w:t>
            </w:r>
          </w:p>
        </w:tc>
      </w:tr>
      <w:tr>
        <w:tc>
          <w:tcPr>
            <w:tcW w:type="dxa" w:w="2160"/>
          </w:tcPr>
          <w:p>
            <w:r>
              <w:t>2017</w:t>
            </w:r>
          </w:p>
        </w:tc>
        <w:tc>
          <w:tcPr>
            <w:tcW w:type="dxa" w:w="2160"/>
          </w:tcPr>
          <w:p>
            <w:r>
              <w:t>197,990</w:t>
            </w:r>
          </w:p>
        </w:tc>
        <w:tc>
          <w:tcPr>
            <w:tcW w:type="dxa" w:w="2160"/>
          </w:tcPr>
          <w:p>
            <w:r>
              <w:t>15,430</w:t>
            </w:r>
          </w:p>
        </w:tc>
        <w:tc>
          <w:tcPr>
            <w:tcW w:type="dxa" w:w="2160"/>
          </w:tcPr>
          <w:p>
            <w:r>
              <w:t>7.23</w:t>
            </w:r>
          </w:p>
        </w:tc>
      </w:tr>
      <w:tr>
        <w:tc>
          <w:tcPr>
            <w:tcW w:type="dxa" w:w="2160"/>
          </w:tcPr>
          <w:p>
            <w:r>
              <w:t>2018</w:t>
            </w:r>
          </w:p>
        </w:tc>
        <w:tc>
          <w:tcPr>
            <w:tcW w:type="dxa" w:w="2160"/>
          </w:tcPr>
          <w:p>
            <w:r>
              <w:t>179,718</w:t>
            </w:r>
          </w:p>
        </w:tc>
        <w:tc>
          <w:tcPr>
            <w:tcW w:type="dxa" w:w="2160"/>
          </w:tcPr>
          <w:p>
            <w:r>
              <w:t>18,272</w:t>
            </w:r>
          </w:p>
        </w:tc>
        <w:tc>
          <w:tcPr>
            <w:tcW w:type="dxa" w:w="2160"/>
          </w:tcPr>
          <w:p>
            <w:r>
              <w:t>9.23</w:t>
            </w:r>
          </w:p>
        </w:tc>
      </w:tr>
      <w:tr>
        <w:tc>
          <w:tcPr>
            <w:tcW w:type="dxa" w:w="2160"/>
          </w:tcPr>
          <w:p>
            <w:r>
              <w:t>2019</w:t>
            </w:r>
          </w:p>
        </w:tc>
        <w:tc>
          <w:tcPr>
            <w:tcW w:type="dxa" w:w="2160"/>
          </w:tcPr>
          <w:p>
            <w:r>
              <w:t>158,668</w:t>
            </w:r>
          </w:p>
        </w:tc>
        <w:tc>
          <w:tcPr>
            <w:tcW w:type="dxa" w:w="2160"/>
          </w:tcPr>
          <w:p>
            <w:r>
              <w:t>21,050</w:t>
            </w:r>
          </w:p>
        </w:tc>
        <w:tc>
          <w:tcPr>
            <w:tcW w:type="dxa" w:w="2160"/>
          </w:tcPr>
          <w:p>
            <w:r>
              <w:t>11.71</w:t>
            </w:r>
          </w:p>
        </w:tc>
      </w:tr>
      <w:tr>
        <w:tc>
          <w:tcPr>
            <w:tcW w:type="dxa" w:w="2160"/>
          </w:tcPr>
          <w:p>
            <w:r>
              <w:t>2020</w:t>
            </w:r>
          </w:p>
        </w:tc>
        <w:tc>
          <w:tcPr>
            <w:tcW w:type="dxa" w:w="2160"/>
          </w:tcPr>
          <w:p>
            <w:r>
              <w:t>137,794</w:t>
            </w:r>
          </w:p>
        </w:tc>
        <w:tc>
          <w:tcPr>
            <w:tcW w:type="dxa" w:w="2160"/>
          </w:tcPr>
          <w:p>
            <w:r>
              <w:t>20,874</w:t>
            </w:r>
          </w:p>
        </w:tc>
        <w:tc>
          <w:tcPr>
            <w:tcW w:type="dxa" w:w="2160"/>
          </w:tcPr>
          <w:p>
            <w:r>
              <w:t>13.16</w:t>
            </w:r>
          </w:p>
        </w:tc>
      </w:tr>
      <w:tr>
        <w:tc>
          <w:tcPr>
            <w:tcW w:type="dxa" w:w="2160"/>
          </w:tcPr>
          <w:p>
            <w:r>
              <w:t>2021</w:t>
            </w:r>
          </w:p>
        </w:tc>
        <w:tc>
          <w:tcPr>
            <w:tcW w:type="dxa" w:w="2160"/>
          </w:tcPr>
          <w:p>
            <w:r>
              <w:t>116,100</w:t>
            </w:r>
          </w:p>
        </w:tc>
        <w:tc>
          <w:tcPr>
            <w:tcW w:type="dxa" w:w="2160"/>
          </w:tcPr>
          <w:p>
            <w:r>
              <w:t>21,694</w:t>
            </w:r>
          </w:p>
        </w:tc>
        <w:tc>
          <w:tcPr>
            <w:tcW w:type="dxa" w:w="2160"/>
          </w:tcPr>
          <w:p>
            <w:r>
              <w:t>15.74</w:t>
            </w:r>
          </w:p>
        </w:tc>
      </w:tr>
      <w:tr>
        <w:tc>
          <w:tcPr>
            <w:tcW w:type="dxa" w:w="2160"/>
          </w:tcPr>
          <w:p>
            <w:r>
              <w:t>2022</w:t>
            </w:r>
          </w:p>
        </w:tc>
        <w:tc>
          <w:tcPr>
            <w:tcW w:type="dxa" w:w="2160"/>
          </w:tcPr>
          <w:p>
            <w:r>
              <w:t>95,894</w:t>
            </w:r>
          </w:p>
        </w:tc>
        <w:tc>
          <w:tcPr>
            <w:tcW w:type="dxa" w:w="2160"/>
          </w:tcPr>
          <w:p>
            <w:r>
              <w:t>20,206</w:t>
            </w:r>
          </w:p>
        </w:tc>
        <w:tc>
          <w:tcPr>
            <w:tcW w:type="dxa" w:w="2160"/>
          </w:tcPr>
          <w:p>
            <w:r>
              <w:t>17.40</w:t>
            </w:r>
          </w:p>
        </w:tc>
      </w:tr>
      <w:tr>
        <w:tc>
          <w:tcPr>
            <w:tcW w:type="dxa" w:w="2160"/>
          </w:tcPr>
          <w:p>
            <w:r>
              <w:t>2023</w:t>
            </w:r>
          </w:p>
        </w:tc>
        <w:tc>
          <w:tcPr>
            <w:tcW w:type="dxa" w:w="2160"/>
          </w:tcPr>
          <w:p>
            <w:r>
              <w:t>76,870</w:t>
            </w:r>
          </w:p>
        </w:tc>
        <w:tc>
          <w:tcPr>
            <w:tcW w:type="dxa" w:w="2160"/>
          </w:tcPr>
          <w:p>
            <w:r>
              <w:t>19,024</w:t>
            </w:r>
          </w:p>
        </w:tc>
        <w:tc>
          <w:tcPr>
            <w:tcW w:type="dxa" w:w="2160"/>
          </w:tcPr>
          <w:p>
            <w:r>
              <w:t>19.84</w:t>
            </w:r>
          </w:p>
        </w:tc>
      </w:tr>
      <w:tr>
        <w:tc>
          <w:tcPr>
            <w:tcW w:type="dxa" w:w="2160"/>
          </w:tcPr>
          <w:p>
            <w:r>
              <w:t>2024</w:t>
            </w:r>
          </w:p>
        </w:tc>
        <w:tc>
          <w:tcPr>
            <w:tcW w:type="dxa" w:w="2160"/>
          </w:tcPr>
          <w:p>
            <w:r>
              <w:t>60,265</w:t>
            </w:r>
          </w:p>
        </w:tc>
        <w:tc>
          <w:tcPr>
            <w:tcW w:type="dxa" w:w="2160"/>
          </w:tcPr>
          <w:p>
            <w:r>
              <w:t>16,605</w:t>
            </w:r>
          </w:p>
        </w:tc>
        <w:tc>
          <w:tcPr>
            <w:tcW w:type="dxa" w:w="2160"/>
          </w:tcPr>
          <w:p>
            <w:r>
              <w:t>21.60</w:t>
            </w:r>
          </w:p>
        </w:tc>
      </w:tr>
      <w:tr>
        <w:tc>
          <w:tcPr>
            <w:tcW w:type="dxa" w:w="2160"/>
          </w:tcPr>
          <w:p>
            <w:r>
              <w:t>2025</w:t>
            </w:r>
          </w:p>
        </w:tc>
        <w:tc>
          <w:tcPr>
            <w:tcW w:type="dxa" w:w="2160"/>
          </w:tcPr>
          <w:p>
            <w:r>
              <w:t>46,040</w:t>
            </w:r>
          </w:p>
        </w:tc>
        <w:tc>
          <w:tcPr>
            <w:tcW w:type="dxa" w:w="2160"/>
          </w:tcPr>
          <w:p>
            <w:r>
              <w:t>14,225</w:t>
            </w:r>
          </w:p>
        </w:tc>
        <w:tc>
          <w:tcPr>
            <w:tcW w:type="dxa" w:w="2160"/>
          </w:tcPr>
          <w:p>
            <w:r>
              <w:t>23.60</w:t>
            </w:r>
          </w:p>
        </w:tc>
      </w:tr>
    </w:tbl>
    <w:p/>
    <w:p>
      <w:pPr>
        <w:jc w:val="both"/>
      </w:pPr>
      <w:r>
        <w:rPr>
          <w:b w:val="0"/>
          <w:i w:val="0"/>
          <w:sz w:val="22"/>
        </w:rPr>
        <w:t>Sur la période 2015–2025, la couverture forestière simulée passe de 224,945 ha à 46,040 ha, soit une perte cumulée d'environ 178,906 ha (80 % du couvert initial). Le taux annuel de déforestation croît régulièrement, traduisant l'accélération du front agricole à mesure qu'il s'éloigne des villages et suit les axes de circulation.</w:t>
      </w:r>
    </w:p>
    <w:p>
      <w:pPr>
        <w:pStyle w:val="Heading3"/>
      </w:pPr>
      <w:r>
        <w:t>3.1.2. Comparaison des modèles</w:t>
      </w:r>
    </w:p>
    <w:p>
      <w:r>
        <w:rPr>
          <w:b w:val="0"/>
          <w:i/>
          <w:color w:val="555555"/>
          <w:sz w:val="20"/>
        </w:rPr>
        <w:t>Tableau 6 — Comparaison des performances des modèles (mode démonstration).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Modèle</w:t>
            </w:r>
          </w:p>
        </w:tc>
        <w:tc>
          <w:tcPr>
            <w:tcW w:type="dxa" w:w="1234"/>
          </w:tcPr>
          <w:p>
            <w:r>
              <w:rPr>
                <w:b/>
              </w:rPr>
              <w:t>Accuracy</w:t>
            </w:r>
          </w:p>
        </w:tc>
        <w:tc>
          <w:tcPr>
            <w:tcW w:type="dxa" w:w="1234"/>
          </w:tcPr>
          <w:p>
            <w:r>
              <w:rPr>
                <w:b/>
              </w:rPr>
              <w:t>Precision</w:t>
            </w:r>
          </w:p>
        </w:tc>
        <w:tc>
          <w:tcPr>
            <w:tcW w:type="dxa" w:w="1234"/>
          </w:tcPr>
          <w:p>
            <w:r>
              <w:rPr>
                <w:b/>
              </w:rPr>
              <w:t>Recall</w:t>
            </w:r>
          </w:p>
        </w:tc>
        <w:tc>
          <w:tcPr>
            <w:tcW w:type="dxa" w:w="1234"/>
          </w:tcPr>
          <w:p>
            <w:r>
              <w:rPr>
                <w:b/>
              </w:rPr>
              <w:t>F1-macro</w:t>
            </w:r>
          </w:p>
        </w:tc>
        <w:tc>
          <w:tcPr>
            <w:tcW w:type="dxa" w:w="1234"/>
          </w:tcPr>
          <w:p>
            <w:r>
              <w:rPr>
                <w:b/>
              </w:rPr>
              <w:t>AUC-ROC</w:t>
            </w:r>
          </w:p>
        </w:tc>
        <w:tc>
          <w:tcPr>
            <w:tcW w:type="dxa" w:w="1234"/>
          </w:tcPr>
          <w:p>
            <w:r>
              <w:rPr>
                <w:b/>
              </w:rPr>
              <w:t>Mean IoU</w:t>
            </w:r>
          </w:p>
        </w:tc>
      </w:tr>
      <w:tr>
        <w:tc>
          <w:tcPr>
            <w:tcW w:type="dxa" w:w="1234"/>
          </w:tcPr>
          <w:p>
            <w:r>
              <w:t>Random Forest</w:t>
            </w:r>
          </w:p>
        </w:tc>
        <w:tc>
          <w:tcPr>
            <w:tcW w:type="dxa" w:w="1234"/>
          </w:tcPr>
          <w:p>
            <w:r>
              <w:t>0.89</w:t>
            </w:r>
          </w:p>
        </w:tc>
        <w:tc>
          <w:tcPr>
            <w:tcW w:type="dxa" w:w="1234"/>
          </w:tcPr>
          <w:p>
            <w:r>
              <w:t>0.87</w:t>
            </w:r>
          </w:p>
        </w:tc>
        <w:tc>
          <w:tcPr>
            <w:tcW w:type="dxa" w:w="1234"/>
          </w:tcPr>
          <w:p>
            <w:r>
              <w:t>0.86</w:t>
            </w:r>
          </w:p>
        </w:tc>
        <w:tc>
          <w:tcPr>
            <w:tcW w:type="dxa" w:w="1234"/>
          </w:tcPr>
          <w:p>
            <w:r>
              <w:t>0.86</w:t>
            </w:r>
          </w:p>
        </w:tc>
        <w:tc>
          <w:tcPr>
            <w:tcW w:type="dxa" w:w="1234"/>
          </w:tcPr>
          <w:p>
            <w:r>
              <w:t>0.94</w:t>
            </w:r>
          </w:p>
        </w:tc>
        <w:tc>
          <w:tcPr>
            <w:tcW w:type="dxa" w:w="1234"/>
          </w:tcPr>
          <w:p>
            <w:r>
              <w:t>0.78</w:t>
            </w:r>
          </w:p>
        </w:tc>
      </w:tr>
      <w:tr>
        <w:tc>
          <w:tcPr>
            <w:tcW w:type="dxa" w:w="1234"/>
          </w:tcPr>
          <w:p>
            <w:r>
              <w:t>XGBoost</w:t>
            </w:r>
          </w:p>
        </w:tc>
        <w:tc>
          <w:tcPr>
            <w:tcW w:type="dxa" w:w="1234"/>
          </w:tcPr>
          <w:p>
            <w:r>
              <w:t>0.90</w:t>
            </w:r>
          </w:p>
        </w:tc>
        <w:tc>
          <w:tcPr>
            <w:tcW w:type="dxa" w:w="1234"/>
          </w:tcPr>
          <w:p>
            <w:r>
              <w:t>0.88</w:t>
            </w:r>
          </w:p>
        </w:tc>
        <w:tc>
          <w:tcPr>
            <w:tcW w:type="dxa" w:w="1234"/>
          </w:tcPr>
          <w:p>
            <w:r>
              <w:t>0.88</w:t>
            </w:r>
          </w:p>
        </w:tc>
        <w:tc>
          <w:tcPr>
            <w:tcW w:type="dxa" w:w="1234"/>
          </w:tcPr>
          <w:p>
            <w:r>
              <w:t>0.88</w:t>
            </w:r>
          </w:p>
        </w:tc>
        <w:tc>
          <w:tcPr>
            <w:tcW w:type="dxa" w:w="1234"/>
          </w:tcPr>
          <w:p>
            <w:r>
              <w:t>0.95</w:t>
            </w:r>
          </w:p>
        </w:tc>
        <w:tc>
          <w:tcPr>
            <w:tcW w:type="dxa" w:w="1234"/>
          </w:tcPr>
          <w:p>
            <w:r>
              <w:t>0.80</w:t>
            </w:r>
          </w:p>
        </w:tc>
      </w:tr>
      <w:tr>
        <w:tc>
          <w:tcPr>
            <w:tcW w:type="dxa" w:w="1234"/>
          </w:tcPr>
          <w:p>
            <w:r>
              <w:t>U-Net (CNN)</w:t>
            </w:r>
          </w:p>
        </w:tc>
        <w:tc>
          <w:tcPr>
            <w:tcW w:type="dxa" w:w="1234"/>
          </w:tcPr>
          <w:p>
            <w:r>
              <w:t>0.91</w:t>
            </w:r>
          </w:p>
        </w:tc>
        <w:tc>
          <w:tcPr>
            <w:tcW w:type="dxa" w:w="1234"/>
          </w:tcPr>
          <w:p>
            <w:r>
              <w:t>0.90</w:t>
            </w:r>
          </w:p>
        </w:tc>
        <w:tc>
          <w:tcPr>
            <w:tcW w:type="dxa" w:w="1234"/>
          </w:tcPr>
          <w:p>
            <w:r>
              <w:t>0.89</w:t>
            </w:r>
          </w:p>
        </w:tc>
        <w:tc>
          <w:tcPr>
            <w:tcW w:type="dxa" w:w="1234"/>
          </w:tcPr>
          <w:p>
            <w:r>
              <w:t>0.89</w:t>
            </w:r>
          </w:p>
        </w:tc>
        <w:tc>
          <w:tcPr>
            <w:tcW w:type="dxa" w:w="1234"/>
          </w:tcPr>
          <w:p>
            <w:r>
              <w:t>0.96</w:t>
            </w:r>
          </w:p>
        </w:tc>
        <w:tc>
          <w:tcPr>
            <w:tcW w:type="dxa" w:w="1234"/>
          </w:tcPr>
          <w:p>
            <w:r>
              <w:t>0.82</w:t>
            </w:r>
          </w:p>
        </w:tc>
      </w:tr>
    </w:tbl>
    <w:p/>
    <w:p>
      <w:pPr>
        <w:jc w:val="both"/>
      </w:pPr>
      <w:r>
        <w:rPr>
          <w:b w:val="0"/>
          <w:i w:val="0"/>
          <w:sz w:val="22"/>
        </w:rPr>
        <w:t>Les trois modèles atteignent une exactitude comprise entre 0,89 et 0,91. Le U-Net obtient les meilleures métriques brutes (F1-macro 0,89 ; Mean IoU 0,82) grâce à l'exploitation du contexte spatial, suivi de près par XGBoost. Le Random Forest reste légèrement en retrait mais demeure la référence la plus interprétable. Le modèle de risque atteint une AUC de 0.83, confirmant que la proximité aux routes, aux villages et aux fronts existants est fortement prédictive de la déforestation à venir.</w:t>
      </w:r>
    </w:p>
    <w:p>
      <w:pPr>
        <w:pStyle w:val="Heading3"/>
      </w:pPr>
      <w:r>
        <w:t>3.1.3. Traduction en émissions de CO₂</w:t>
      </w:r>
    </w:p>
    <w:p>
      <w:r>
        <w:rPr>
          <w:b w:val="0"/>
          <w:i/>
          <w:color w:val="555555"/>
          <w:sz w:val="20"/>
        </w:rPr>
        <w:t>Tableau 7 — Traduction de la perte forestière en émissions de CO₂.</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Indicateur</w:t>
            </w:r>
          </w:p>
        </w:tc>
        <w:tc>
          <w:tcPr>
            <w:tcW w:type="dxa" w:w="4320"/>
          </w:tcPr>
          <w:p>
            <w:r>
              <w:rPr>
                <w:b/>
              </w:rPr>
              <w:t>Valeur</w:t>
            </w:r>
          </w:p>
        </w:tc>
      </w:tr>
      <w:tr>
        <w:tc>
          <w:tcPr>
            <w:tcW w:type="dxa" w:w="4320"/>
          </w:tcPr>
          <w:p>
            <w:r>
              <w:t>Biomasse aérienne moyenne (AGB)</w:t>
            </w:r>
          </w:p>
        </w:tc>
        <w:tc>
          <w:tcPr>
            <w:tcW w:type="dxa" w:w="4320"/>
          </w:tcPr>
          <w:p>
            <w:r>
              <w:t>310 t/ha</w:t>
            </w:r>
          </w:p>
        </w:tc>
      </w:tr>
      <w:tr>
        <w:tc>
          <w:tcPr>
            <w:tcW w:type="dxa" w:w="4320"/>
          </w:tcPr>
          <w:p>
            <w:r>
              <w:t>Fraction de carbone (IPCC)</w:t>
            </w:r>
          </w:p>
        </w:tc>
        <w:tc>
          <w:tcPr>
            <w:tcW w:type="dxa" w:w="4320"/>
          </w:tcPr>
          <w:p>
            <w:r>
              <w:t>0.47</w:t>
            </w:r>
          </w:p>
        </w:tc>
      </w:tr>
      <w:tr>
        <w:tc>
          <w:tcPr>
            <w:tcW w:type="dxa" w:w="4320"/>
          </w:tcPr>
          <w:p>
            <w:r>
              <w:t>CO₂ émis par hectare détruit</w:t>
            </w:r>
          </w:p>
        </w:tc>
        <w:tc>
          <w:tcPr>
            <w:tcW w:type="dxa" w:w="4320"/>
          </w:tcPr>
          <w:p>
            <w:r>
              <w:t>534 t/ha</w:t>
            </w:r>
          </w:p>
        </w:tc>
      </w:tr>
      <w:tr>
        <w:tc>
          <w:tcPr>
            <w:tcW w:type="dxa" w:w="4320"/>
          </w:tcPr>
          <w:p>
            <w:r>
              <w:t>Perte forestière 2015–2025</w:t>
            </w:r>
          </w:p>
        </w:tc>
        <w:tc>
          <w:tcPr>
            <w:tcW w:type="dxa" w:w="4320"/>
          </w:tcPr>
          <w:p>
            <w:r>
              <w:t>178,906 ha</w:t>
            </w:r>
          </w:p>
        </w:tc>
      </w:tr>
      <w:tr>
        <w:tc>
          <w:tcPr>
            <w:tcW w:type="dxa" w:w="4320"/>
          </w:tcPr>
          <w:p>
            <w:r>
              <w:t>Émissions de CO₂ associées</w:t>
            </w:r>
          </w:p>
        </w:tc>
        <w:tc>
          <w:tcPr>
            <w:tcW w:type="dxa" w:w="4320"/>
          </w:tcPr>
          <w:p>
            <w:r>
              <w:t>≈ 95.6 Mt CO₂</w:t>
            </w:r>
          </w:p>
        </w:tc>
      </w:tr>
    </w:tbl>
    <w:p/>
    <w:p>
      <w:pPr>
        <w:jc w:val="both"/>
      </w:pPr>
      <w:r>
        <w:rPr>
          <w:b w:val="0"/>
          <w:i w:val="0"/>
          <w:sz w:val="22"/>
        </w:rPr>
        <w:t>En appliquant un facteur d'émission dérivé de la biomasse aérienne moyenne d'une forêt dense du Bassin du Congo, la perte simulée correspond à environ 96 millions de tonnes de CO₂. Cette conversion relie directement le résultat technique au langage de la finance climat (MRV, crédits carbone), essentiel dans une province pilote REDD+.</w:t>
      </w:r>
    </w:p>
    <w:p>
      <w:pPr>
        <w:pStyle w:val="Heading2"/>
      </w:pPr>
      <w:r>
        <w:t>3.2. Discussion</w:t>
      </w:r>
    </w:p>
    <w:p>
      <w:pPr>
        <w:pStyle w:val="Heading3"/>
      </w:pPr>
      <w:r>
        <w:t>3.2.1. Validation des hypothèses</w:t>
      </w:r>
    </w:p>
    <w:p>
      <w:pPr>
        <w:pStyle w:val="ListBullet"/>
      </w:pPr>
      <w:r>
        <w:t>H1 (exactitude ≥ 0,80) — validée : tous les modèles dépassent 0,89, confirmant le pouvoir discriminant des indices spectraux combinés aux bandes et à la topographie.</w:t>
      </w:r>
    </w:p>
    <w:p>
      <w:pPr>
        <w:pStyle w:val="ListBullet"/>
      </w:pPr>
      <w:r>
        <w:t>H2 (compromis des modèles d'ensemble) — partiellement validée : le Random Forest et XGBoost sont très proches du U-Net pour un coût de calcul et une interprétabilité bien supérieurs ; le U-Net ne prend l'avantage que sur les métriques spatiales (IoU).</w:t>
      </w:r>
    </w:p>
    <w:p>
      <w:pPr>
        <w:pStyle w:val="ListBullet"/>
      </w:pPr>
      <w:r>
        <w:t>H3 (AUC ≥ 0,75) — validée : le modèle de risque atteint 0.83, démontrant la prédictibilité spatiale de la déforestation.</w:t>
      </w:r>
    </w:p>
    <w:p>
      <w:pPr>
        <w:pStyle w:val="Heading3"/>
      </w:pPr>
      <w:r>
        <w:t>3.2.2. Mise en perspective et implications</w:t>
      </w:r>
    </w:p>
    <w:p>
      <w:pPr>
        <w:jc w:val="both"/>
      </w:pPr>
      <w:r>
        <w:rPr>
          <w:b w:val="0"/>
          <w:i w:val="0"/>
          <w:sz w:val="22"/>
        </w:rPr>
        <w:t>Ces résultats sont cohérents avec la littérature, qui rapporte des performances élevées des méthodes d'ensemble et des CNN pour la cartographie forestière. La valeur ajoutée de DeforestWatch-DRC ne réside donc pas dans une innovation algorithmique, mais dans l'intégration : passage d'un outil de constat à un outil d'action, via la carte de risque prédictive, la remontée d'information citoyenne, la valorisation carbone et une interface en français appropriable localement. Les bénéficiaires potentiels sont le Ministère de l'Environnement (brique d'un système national MRV), les gardes forestiers (alertes géolocalisées), le gouvernement provincial, les communautés locales et les porteurs de projets carbone.</w:t>
      </w:r>
    </w:p>
    <w:p>
      <w:pPr>
        <w:pStyle w:val="Heading3"/>
      </w:pPr>
      <w:r>
        <w:t>3.2.3. Points forts et faiblesses</w:t>
      </w:r>
    </w:p>
    <w:p>
      <w:pPr>
        <w:jc w:val="both"/>
      </w:pPr>
      <w:r>
        <w:rPr>
          <w:b w:val="0"/>
          <w:i w:val="0"/>
          <w:sz w:val="22"/>
        </w:rPr>
        <w:t>Points forts : chaîne complète et reproductible, architecture modulaire avec replis robustes, suite de tests automatisés et intégration continue, contextualisation congolaise. Faiblesses : résultats encore issus du mode démonstration, absence de vérité terrain GPS, et dépendance à la disponibilité des images optiques.</w:t>
      </w:r>
    </w:p>
    <w:p>
      <w:pPr>
        <w:pStyle w:val="Heading2"/>
      </w:pPr>
      <w:r>
        <w:t>3.3. Conclusion générale</w:t>
      </w:r>
    </w:p>
    <w:p>
      <w:pPr>
        <w:jc w:val="both"/>
      </w:pPr>
      <w:r>
        <w:rPr>
          <w:b w:val="0"/>
          <w:i w:val="0"/>
          <w:sz w:val="22"/>
        </w:rPr>
        <w:t>Ce travail a abouti à une plateforme complète et fonctionnelle de surveillance et de prédiction de la déforestation de la forêt équatoriale du Mai-Ndombe, couvrant l'ensemble de la chaîne de valeur de la Data Science, de la collecte satellite jusqu'au déploiement d'un tableau de bord d'aide à la décision. Les trois hypothèses de recherche sont vérifiées sur le jeu de démonstration. La contribution principale est une intégration cohérente et contextualisée de méthodes éprouvées, assortie d'une dimension prédictive et d'une valorisation carbone qui en font un outil orienté vers l'action.</w:t>
      </w:r>
    </w:p>
    <w:p>
      <w:pPr>
        <w:pStyle w:val="Heading2"/>
      </w:pPr>
      <w:r>
        <w:t>3.4. Limites de l'étude</w:t>
      </w:r>
    </w:p>
    <w:p>
      <w:pPr>
        <w:pStyle w:val="ListBullet"/>
      </w:pPr>
      <w:r>
        <w:t>Couverture nuageuse équatoriale limitant la disponibilité des images optiques.</w:t>
      </w:r>
    </w:p>
    <w:p>
      <w:pPr>
        <w:pStyle w:val="ListBullet"/>
      </w:pPr>
      <w:r>
        <w:t>Besoin de données de vérité terrain de qualité pour l'apprentissage supervisé.</w:t>
      </w:r>
    </w:p>
    <w:p>
      <w:pPr>
        <w:pStyle w:val="ListBullet"/>
      </w:pPr>
      <w:r>
        <w:t>Résultats de démonstration à confirmer sur données réelles.</w:t>
      </w:r>
    </w:p>
    <w:p>
      <w:pPr>
        <w:pStyle w:val="ListBullet"/>
      </w:pPr>
      <w:r>
        <w:t>Enjeux d'accès aux données, de connectivité et de maintenance dans la durée.</w:t>
      </w:r>
    </w:p>
    <w:p>
      <w:pPr>
        <w:pStyle w:val="Heading2"/>
      </w:pPr>
      <w:r>
        <w:t>3.5. Suggestions pour des recherches futures</w:t>
      </w:r>
    </w:p>
    <w:p>
      <w:pPr>
        <w:pStyle w:val="ListBullet"/>
      </w:pPr>
      <w:r>
        <w:t>Intégration de l'imagerie radar Sentinel-1 (insensible aux nuages) pour une surveillance continue.</w:t>
      </w:r>
    </w:p>
    <w:p>
      <w:pPr>
        <w:pStyle w:val="ListBullet"/>
      </w:pPr>
      <w:r>
        <w:t>Modèles spatio-temporels (ConvLSTM, transformers) pour affiner la prédiction du risque.</w:t>
      </w:r>
    </w:p>
    <w:p>
      <w:pPr>
        <w:pStyle w:val="ListBullet"/>
      </w:pPr>
      <w:r>
        <w:t>Système d'alertes en temps quasi réel pour les gestionnaires forestiers.</w:t>
      </w:r>
    </w:p>
    <w:p>
      <w:pPr>
        <w:pStyle w:val="ListBullet"/>
      </w:pPr>
      <w:r>
        <w:t>Validation sur points GPS de terrain et calibration avec les données Hansen GFC.</w:t>
      </w:r>
    </w:p>
    <w:p>
      <w:pPr>
        <w:pStyle w:val="ListBullet"/>
      </w:pPr>
      <w:r>
        <w:t>Extension à d'autres provinces de la forêt équatoriale congolaise.</w:t>
      </w:r>
    </w:p>
    <w:p>
      <w:r>
        <w:br w:type="page"/>
      </w:r>
    </w:p>
    <w:p>
      <w:pPr>
        <w:pStyle w:val="Heading1"/>
      </w:pPr>
      <w:r>
        <w:t>Bibliographie et webiographie</w:t>
      </w:r>
    </w:p>
    <w:p>
      <w:pPr>
        <w:pStyle w:val="Heading2"/>
      </w:pPr>
      <w:r>
        <w:t>Bibliographie</w:t>
      </w:r>
    </w:p>
    <w:p>
      <w:pPr>
        <w:pStyle w:val="ListNumber"/>
      </w:pPr>
      <w:r>
        <w:t>Breiman, L. (2001). Random Forests. Machine Learning, 45(1), 5–32.</w:t>
      </w:r>
    </w:p>
    <w:p>
      <w:pPr>
        <w:pStyle w:val="ListNumber"/>
      </w:pPr>
      <w:r>
        <w:t>Chen, T., &amp; Guestrin, C. (2016). XGBoost: A Scalable Tree Boosting System. Proceedings of the 22nd ACM SIGKDD, 785–794.</w:t>
      </w:r>
    </w:p>
    <w:p>
      <w:pPr>
        <w:pStyle w:val="ListNumber"/>
      </w:pPr>
      <w:r>
        <w:t>Drusch, M., et al. (2012). Sentinel-2: ESA's Optical High-Resolution Mission for GMES Operational Services. Remote Sensing of Environment, 120, 25–36.</w:t>
      </w:r>
    </w:p>
    <w:p>
      <w:pPr>
        <w:pStyle w:val="ListNumber"/>
      </w:pPr>
      <w:r>
        <w:t>FAO (2020). Global Forest Resources Assessment 2020. Rome : Organisation des Nations Unies pour l'alimentation et l'agriculture.</w:t>
      </w:r>
    </w:p>
    <w:p>
      <w:pPr>
        <w:pStyle w:val="ListNumber"/>
      </w:pPr>
      <w:r>
        <w:t>Gorelick, N., et al. (2017). Google Earth Engine: Planetary-scale geospatial analysis for everyone. Remote Sensing of Environment, 202, 18–27.</w:t>
      </w:r>
    </w:p>
    <w:p>
      <w:pPr>
        <w:pStyle w:val="ListNumber"/>
      </w:pPr>
      <w:r>
        <w:t>Hansen, M. C., et al. (2013). High-Resolution Global Maps of 21st-Century Forest Cover Change. Science, 342(6160), 850–853.</w:t>
      </w:r>
    </w:p>
    <w:p>
      <w:pPr>
        <w:pStyle w:val="ListNumber"/>
      </w:pPr>
      <w:r>
        <w:t>IPCC (2006). Guidelines for National Greenhouse Gas Inventories, Volume 4: Agriculture, Forestry and Other Land Use. Genève : GIEC.</w:t>
      </w:r>
    </w:p>
    <w:p>
      <w:pPr>
        <w:pStyle w:val="ListNumber"/>
      </w:pPr>
      <w:r>
        <w:t>Ronneberger, O., Fischer, P., &amp; Brox, T. (2015). U-Net: Convolutional Networks for Biomedical Image Segmentation. MICCAI, 234–241.</w:t>
      </w:r>
    </w:p>
    <w:p>
      <w:pPr>
        <w:pStyle w:val="ListNumber"/>
      </w:pPr>
      <w:r>
        <w:t>Tucker, C. J. (1979). Red and photographic infrared linear combinations for monitoring vegetation. Remote Sensing of Environment, 8(2), 127–150.</w:t>
      </w:r>
    </w:p>
    <w:p>
      <w:pPr>
        <w:pStyle w:val="Heading2"/>
      </w:pPr>
      <w:r>
        <w:t>Webiographie</w:t>
      </w:r>
    </w:p>
    <w:p>
      <w:pPr>
        <w:pStyle w:val="ListNumber"/>
      </w:pPr>
      <w:r>
        <w:t>Global Forest Watch — https://www.globalforestwatch.org [consulté le 10 juillet 2026].</w:t>
      </w:r>
    </w:p>
    <w:p>
      <w:pPr>
        <w:pStyle w:val="ListNumber"/>
      </w:pPr>
      <w:r>
        <w:t>Copernicus / Sentinel-2, Agence Spatiale Européenne — https://sentinels.copernicus.eu [consulté le 10 juillet 2026].</w:t>
      </w:r>
    </w:p>
    <w:p>
      <w:pPr>
        <w:pStyle w:val="ListNumber"/>
      </w:pPr>
      <w:r>
        <w:t>Google Earth Engine — https://earthengine.google.com [consulté le 10 juillet 2026].</w:t>
      </w:r>
    </w:p>
    <w:p>
      <w:pPr>
        <w:pStyle w:val="ListNumber"/>
      </w:pPr>
      <w:r>
        <w:t>Central African Forest Initiative (CAFI) — https://www.cafi.org [consulté le 10 juillet 2026].</w:t>
      </w:r>
    </w:p>
    <w:p>
      <w:r>
        <w:br w:type="page"/>
      </w:r>
    </w:p>
    <w:p>
      <w:pPr>
        <w:pStyle w:val="Heading1"/>
      </w:pPr>
      <w:r>
        <w:t>Annexes</w:t>
      </w:r>
    </w:p>
    <w:p>
      <w:pPr>
        <w:pStyle w:val="Heading2"/>
      </w:pPr>
      <w:r>
        <w:t>Annexe A — Structure du dépôt de code</w:t>
      </w:r>
    </w:p>
    <w:p>
      <w:pPr>
        <w:jc w:val="both"/>
      </w:pPr>
      <w:r>
        <w:rPr>
          <w:b w:val="0"/>
          <w:i w:val="0"/>
          <w:sz w:val="22"/>
        </w:rPr>
        <w:t>config/, src/{data, preprocessing, models, visualization, analysis, api, utils}, streamlit_app/, frontend/, notebooks/, scripts/, tests/, data/{raw, processed, models}, docs/.</w:t>
      </w:r>
    </w:p>
    <w:p>
      <w:pPr>
        <w:pStyle w:val="Heading2"/>
      </w:pPr>
      <w:r>
        <w:t>Annexe B — Lancement du projet (mode démonstration)</w:t>
      </w:r>
    </w:p>
    <w:p>
      <w:pPr>
        <w:pStyle w:val="ListBullet"/>
      </w:pPr>
      <w:r>
        <w:t>make seed — génère les données de démonstration et entraîne les modèles.</w:t>
      </w:r>
    </w:p>
    <w:p>
      <w:pPr>
        <w:pStyle w:val="ListBullet"/>
      </w:pPr>
      <w:r>
        <w:t>make api — API FastAPI (http://localhost:8000/docs).</w:t>
      </w:r>
    </w:p>
    <w:p>
      <w:pPr>
        <w:pStyle w:val="ListBullet"/>
      </w:pPr>
      <w:r>
        <w:t>make dashboard — tableau de bord Streamlit (http://localhost:8501).</w:t>
      </w:r>
    </w:p>
    <w:p>
      <w:pPr>
        <w:pStyle w:val="ListBullet"/>
      </w:pPr>
      <w:r>
        <w:t>make frontend — frontend React (http://localhost:5173).</w:t>
      </w:r>
    </w:p>
    <w:p>
      <w:pPr>
        <w:pStyle w:val="ListBullet"/>
      </w:pPr>
      <w:r>
        <w:t>make test — suite de tests pytest.</w:t>
      </w:r>
    </w:p>
    <w:p>
      <w:pPr>
        <w:pStyle w:val="ListBullet"/>
      </w:pPr>
      <w:r>
        <w:t>make monograph — génère la présente monographie (.docx).</w:t>
      </w:r>
    </w:p>
    <w:p>
      <w:pPr>
        <w:pStyle w:val="Heading2"/>
      </w:pPr>
      <w:r>
        <w:t>Annexe C — Principaux points d'entrée de l'API</w:t>
      </w:r>
    </w:p>
    <w:p>
      <w:pPr>
        <w:pStyle w:val="ListBullet"/>
      </w:pPr>
      <w:r>
        <w:t>POST /api/v1/auth/register, /auth/login, /auth/verify-otp — authentification et 2FA.</w:t>
      </w:r>
    </w:p>
    <w:p>
      <w:pPr>
        <w:pStyle w:val="ListBullet"/>
      </w:pPr>
      <w:r>
        <w:t>GET /api/v1/statistics — perte forestière par année.</w:t>
      </w:r>
    </w:p>
    <w:p>
      <w:pPr>
        <w:pStyle w:val="ListBullet"/>
      </w:pPr>
      <w:r>
        <w:t>GET /api/v1/predictions/{year} — synthèse des zones à risque.</w:t>
      </w:r>
    </w:p>
    <w:p>
      <w:pPr>
        <w:pStyle w:val="ListBullet"/>
      </w:pPr>
      <w:r>
        <w:t>GET /api/v1/models — performances des modèles.</w:t>
      </w:r>
    </w:p>
    <w:p>
      <w:pPr>
        <w:pStyle w:val="ListBullet"/>
      </w:pPr>
      <w:r>
        <w:t>GET /api/v1/carbon — émissions de CO₂ et équivalences.</w:t>
      </w:r>
    </w:p>
    <w:p>
      <w:pPr>
        <w:pStyle w:val="ListBullet"/>
      </w:pPr>
      <w:r>
        <w:t>GET /api/v1/alerts — alertes de déforestation détectées.</w:t>
      </w:r>
    </w:p>
    <w:p>
      <w:pPr>
        <w:pStyle w:val="ListBullet"/>
      </w:pPr>
      <w:r>
        <w:t>POST /api/v1/reports — signalement citoyen de déforestation.</w:t>
      </w:r>
    </w:p>
    <w:p>
      <w:pPr>
        <w:pStyle w:val="ListBullet"/>
      </w:pPr>
      <w:r>
        <w:t>GET /api/v1/admin/users, /admin/logs — back-office (rôle administrateur).</w:t>
      </w:r>
    </w:p>
    <w:p>
      <w:pPr>
        <w:pStyle w:val="Heading2"/>
      </w:pPr>
      <w:r>
        <w:t>Annexe D — Captures d'écran</w:t>
      </w:r>
    </w:p>
    <w:p>
      <w:pPr>
        <w:jc w:val="both"/>
      </w:pPr>
      <w:r>
        <w:rPr>
          <w:b w:val="0"/>
          <w:i/>
          <w:color w:val="555555"/>
          <w:sz w:val="22"/>
        </w:rPr>
        <w:t>[Insérer ici les captures du tableau de bord Streamlit, de la documentation interactive Swagger de l'API, du frontend React « CongoForest Watch » et de la machine à remonter le temps (time-lapse 2015–2025).]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6E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6E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6E2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