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UNIVERSITÉ PROTESTANTE AU CONGO</w:t>
      </w:r>
    </w:p>
    <w:p>
      <w:pPr>
        <w:jc w:val="center"/>
      </w:pPr>
      <w:r>
        <w:rPr>
          <w:b/>
          <w:i w:val="0"/>
          <w:sz w:val="26"/>
        </w:rPr>
        <w:t>FACULTÉ DES SCIENCES INFORMATIQUES</w:t>
      </w:r>
    </w:p>
    <w:p>
      <w:pPr>
        <w:jc w:val="center"/>
      </w:pPr>
      <w:r>
        <w:rPr>
          <w:b w:val="0"/>
          <w:i w:val="0"/>
          <w:sz w:val="24"/>
        </w:rPr>
        <w:t>Département de Data Science</w:t>
      </w:r>
    </w:p>
    <w:p/>
    <w:p>
      <w:pPr>
        <w:jc w:val="center"/>
      </w:pPr>
      <w:r>
        <w:rPr>
          <w:b/>
          <w:i w:val="0"/>
          <w:color w:val="0B6E2D"/>
          <w:sz w:val="32"/>
        </w:rPr>
        <w:t>CONCEPTION D'UNE PLATEFORME INTELLIGENTE DE SURVEILLANCE ET DE PRÉDICTION DE LA DÉFORESTATION PAR IMAGERIE SATELLITE ET APPRENTISSAGE AUTOMATIQUE</w:t>
      </w:r>
    </w:p>
    <w:p>
      <w:pPr>
        <w:jc w:val="center"/>
      </w:pPr>
      <w:r>
        <w:rPr>
          <w:b w:val="0"/>
          <w:i w:val="0"/>
          <w:sz w:val="26"/>
        </w:rPr>
        <w:t>Cas de la forêt équatoriale du Bassin du Congo — province du Mai-Ndombe (RDC)</w:t>
      </w:r>
    </w:p>
    <w:p/>
    <w:p>
      <w:pPr>
        <w:jc w:val="center"/>
      </w:pPr>
      <w:r>
        <w:rPr>
          <w:b w:val="0"/>
          <w:i w:val="0"/>
          <w:sz w:val="24"/>
        </w:rPr>
        <w:t>Projet présenté en vue de l'obtention du grade de Licencié en Data Science</w:t>
      </w:r>
    </w:p>
    <w:p/>
    <w:p>
      <w:pPr>
        <w:jc w:val="center"/>
      </w:pPr>
      <w:r>
        <w:rPr>
          <w:b/>
          <w:i w:val="0"/>
          <w:sz w:val="24"/>
        </w:rPr>
        <w:t>Par Joyce A. WETUNGANI</w:t>
      </w:r>
    </w:p>
    <w:p>
      <w:pPr>
        <w:jc w:val="center"/>
      </w:pPr>
      <w:r>
        <w:rPr>
          <w:b w:val="0"/>
          <w:i w:val="0"/>
          <w:sz w:val="22"/>
        </w:rPr>
        <w:t>Étudiante en L3 Data Science</w:t>
      </w:r>
    </w:p>
    <w:p/>
    <w:p>
      <w:pPr>
        <w:jc w:val="center"/>
      </w:pPr>
      <w:r>
        <w:rPr>
          <w:b w:val="0"/>
          <w:i w:val="0"/>
          <w:sz w:val="22"/>
        </w:rPr>
        <w:t>Dirigé par : [Nom de l'encadrant à compléter]</w:t>
      </w:r>
    </w:p>
    <w:p>
      <w:pPr>
        <w:jc w:val="center"/>
      </w:pPr>
      <w:r>
        <w:rPr>
          <w:b w:val="0"/>
          <w:i w:val="0"/>
          <w:sz w:val="22"/>
        </w:rPr>
        <w:t>Kinshasa, Année académique 2025-2026</w:t>
      </w:r>
    </w:p>
    <w:p>
      <w:r>
        <w:br w:type="page"/>
      </w:r>
    </w:p>
    <w:p>
      <w:pPr>
        <w:pStyle w:val="Heading1"/>
      </w:pPr>
      <w:r>
        <w:t>RÉSUMÉ</w:t>
      </w:r>
    </w:p>
    <w:p>
      <w:pPr>
        <w:jc w:val="both"/>
      </w:pPr>
      <w:r>
        <w:rPr>
          <w:b w:val="0"/>
          <w:i w:val="0"/>
          <w:sz w:val="22"/>
        </w:rPr>
        <w:t>Ce travail présente la conception et l'implémentation de DeforestWatch-DRC, une plateforme intelligente de surveillance et de prédiction de la déforestation de la forêt équatoriale du Bassin du Congo, appliquée à la province du Mai-Ndombe en République Démocratique du Congo. Le projet répond à une problématique environnementale majeure : la RDC abrite la deuxième plus grande forêt tropicale humide du monde et figure parmi les premiers pays au monde pour la perte de forêt primaire, sous l'effet d'une déforestation essentiellement diffuse — agriculture sur brûlis, production de charbon de bois, exploitation artisanale — que les outils de surveillance globaux existants captent mal et pour laquelle aucune analyse prédictive locale adaptée au contexte congolais n'est disponible.</w:t>
      </w:r>
    </w:p>
    <w:p>
      <w:pPr>
        <w:jc w:val="both"/>
      </w:pPr>
      <w:r>
        <w:rPr>
          <w:b w:val="0"/>
          <w:i w:val="0"/>
          <w:sz w:val="22"/>
        </w:rPr>
        <w:t>La solution développée couvre l'intégralité de la chaîne de valeur de la Data Science appliquée à la télédétection. Elle associe une couche de collecte de données satellitaires (Google Earth Engine, composites annuels Sentinel-2, référentiel Hansen Global Forest Change, topographie SRTM), une couche de prétraitement (masquage des nuages par la bande SCL, composites médians de saison sèche, calcul des indices spectraux NDVI, EVI, NDWI et NBR, extraction de treize variables par pixel), une couche de modélisation comparant trois modèles de classification de la couverture du sol (Random Forest, XGBoost et U-Net) complétés d'un modèle de prédiction du risque de déforestation future, et une couche de restitution comprenant une API REST sécurisée construite avec FastAPI (authentification JWT à deux facteurs), une base de données PostgreSQL, un tableau de bord Streamlit et un frontend web React. Des modules d'analyse traduisent les résultats en indicateurs actionnables : alertes géolocalisées par secteur, conversion de la perte forestière en émissions de CO2 et apport du radar Sentinel-1 pour la surveillance sous couverture nuageuse.</w:t>
      </w:r>
    </w:p>
    <w:p>
      <w:pPr>
        <w:jc w:val="both"/>
      </w:pPr>
      <w:r>
        <w:rPr>
          <w:b w:val="0"/>
          <w:i w:val="0"/>
          <w:sz w:val="22"/>
        </w:rPr>
        <w:t>L'évaluation des modèles, conduite selon un protocole identique sur un jeu de données à découpage spatial par blocs afin d'éviter la fuite d'information géographique, désigne le modèle XGBoost comme le plus performant, avec une exactitude de 0,9761, un F1-macro de 0,8940 et un IoU moyen de 0,8218, devant la forêt aléatoire (F1-macro de 0,8889) et l'implémentation de repli du U-Net (F1-macro de 0,7384). Ces résultats proviennent de l'exécution de référence en mode démonstration, sur des données synthétiques réalistes reproduisant la dynamique d'un front de déforestation agricole, et valident la chaîne de traitement de bout en bout.</w:t>
      </w:r>
    </w:p>
    <w:p>
      <w:pPr>
        <w:jc w:val="both"/>
      </w:pPr>
      <w:r>
        <w:rPr>
          <w:b w:val="0"/>
          <w:i w:val="0"/>
          <w:sz w:val="22"/>
        </w:rPr>
        <w:t>Les résultats obtenus démontrent la faisabilité d'une plateforme de surveillance forestière pilotée par les données, conçue et maîtrisée localement, dans le contexte spécifique de la RDC et de la province pilote REDD+ du Mai-Ndombe. Ils mettent également en évidence des limites assumées : la confirmation des performances sur images satellitaires réelles reste à conduire, certaines classes rares sont absentes de l'ensemble de test spatial, et plusieurs points de sécurisation doivent être renforcés avant un déploiement en production.</w:t>
      </w:r>
    </w:p>
    <w:p>
      <w:pPr>
        <w:jc w:val="both"/>
      </w:pPr>
      <w:r>
        <w:rPr>
          <w:b w:val="0"/>
          <w:i/>
          <w:sz w:val="22"/>
        </w:rPr>
        <w:t>Mots-clés : déforestation, télédétection, Sentinel-2, apprentissage automatique, Random Forest, XGBoost, U-Net, Bassin du Congo, Mai-Ndombe, REDD+, FastAPI.</w:t>
      </w:r>
    </w:p>
    <w:p>
      <w:r>
        <w:br w:type="page"/>
      </w:r>
    </w:p>
    <w:p>
      <w:pPr>
        <w:pStyle w:val="Heading1"/>
      </w:pPr>
      <w:r>
        <w:t>TABLE DES MATIÈRES</w:t>
      </w:r>
    </w:p>
    <w:p>
      <w:pPr>
        <w:jc w:val="both"/>
      </w:pPr>
      <w:r>
        <w:rPr>
          <w:b w:val="0"/>
          <w:i w:val="0"/>
          <w:color w:val="777777"/>
          <w:sz w:val="20"/>
        </w:rPr>
        <w:t>(Champ automatique — clic droit puis « Mettre à jour les champs » dans Word pour actualiser la pagination.)</w:t>
      </w:r>
    </w:p>
    <w:p>
      <w:r>
        <w:fldChar w:fldCharType="begin"/>
        <w:instrText xml:space="preserve">TOC \o "1-3" \h \z \u</w:instrText>
        <w:fldChar w:fldCharType="separate"/>
        <w:t>Table des matières — clic droit puis « Mettre à jour les champs ».</w:t>
        <w:fldChar w:fldCharType="end"/>
      </w:r>
    </w:p>
    <w:p>
      <w:r>
        <w:br w:type="page"/>
      </w:r>
    </w:p>
    <w:p>
      <w:pPr>
        <w:pStyle w:val="Heading1"/>
      </w:pPr>
      <w:r>
        <w:t>LISTE DES ABRÉVIATIONS ET ACRONYMES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Abréviation</w:t>
            </w:r>
          </w:p>
        </w:tc>
        <w:tc>
          <w:tcPr>
            <w:tcW w:type="dxa" w:w="4320"/>
          </w:tcPr>
          <w:p>
            <w:r>
              <w:rPr>
                <w:b/>
              </w:rPr>
              <w:t>Signification</w:t>
            </w:r>
          </w:p>
        </w:tc>
      </w:tr>
      <w:tr>
        <w:tc>
          <w:tcPr>
            <w:tcW w:type="dxa" w:w="4320"/>
          </w:tcPr>
          <w:p>
            <w:r>
              <w:t>2FA</w:t>
            </w:r>
          </w:p>
        </w:tc>
        <w:tc>
          <w:tcPr>
            <w:tcW w:type="dxa" w:w="4320"/>
          </w:tcPr>
          <w:p>
            <w:r>
              <w:t>Two-Factor Authentication (authentification à deux facteurs)</w:t>
            </w:r>
          </w:p>
        </w:tc>
      </w:tr>
      <w:tr>
        <w:tc>
          <w:tcPr>
            <w:tcW w:type="dxa" w:w="4320"/>
          </w:tcPr>
          <w:p>
            <w:r>
              <w:t>AGB</w:t>
            </w:r>
          </w:p>
        </w:tc>
        <w:tc>
          <w:tcPr>
            <w:tcW w:type="dxa" w:w="4320"/>
          </w:tcPr>
          <w:p>
            <w:r>
              <w:t>Above-Ground Biomass (biomasse aérienne)</w:t>
            </w:r>
          </w:p>
        </w:tc>
      </w:tr>
      <w:tr>
        <w:tc>
          <w:tcPr>
            <w:tcW w:type="dxa" w:w="4320"/>
          </w:tcPr>
          <w:p>
            <w:r>
              <w:t>API</w:t>
            </w:r>
          </w:p>
        </w:tc>
        <w:tc>
          <w:tcPr>
            <w:tcW w:type="dxa" w:w="4320"/>
          </w:tcPr>
          <w:p>
            <w:r>
              <w:t>Application Programming Interface (interface de programmation applicative)</w:t>
            </w:r>
          </w:p>
        </w:tc>
      </w:tr>
      <w:tr>
        <w:tc>
          <w:tcPr>
            <w:tcW w:type="dxa" w:w="4320"/>
          </w:tcPr>
          <w:p>
            <w:r>
              <w:t>CNN</w:t>
            </w:r>
          </w:p>
        </w:tc>
        <w:tc>
          <w:tcPr>
            <w:tcW w:type="dxa" w:w="4320"/>
          </w:tcPr>
          <w:p>
            <w:r>
              <w:t>Convolutional Neural Network (réseau de neurones convolutif)</w:t>
            </w:r>
          </w:p>
        </w:tc>
      </w:tr>
      <w:tr>
        <w:tc>
          <w:tcPr>
            <w:tcW w:type="dxa" w:w="4320"/>
          </w:tcPr>
          <w:p>
            <w:r>
              <w:t>CORS</w:t>
            </w:r>
          </w:p>
        </w:tc>
        <w:tc>
          <w:tcPr>
            <w:tcW w:type="dxa" w:w="4320"/>
          </w:tcPr>
          <w:p>
            <w:r>
              <w:t>Cross-Origin Resource Sharing</w:t>
            </w:r>
          </w:p>
        </w:tc>
      </w:tr>
      <w:tr>
        <w:tc>
          <w:tcPr>
            <w:tcW w:type="dxa" w:w="4320"/>
          </w:tcPr>
          <w:p>
            <w:r>
              <w:t>EVI</w:t>
            </w:r>
          </w:p>
        </w:tc>
        <w:tc>
          <w:tcPr>
            <w:tcW w:type="dxa" w:w="4320"/>
          </w:tcPr>
          <w:p>
            <w:r>
              <w:t>Enhanced Vegetation Index (indice de végétation amélioré)</w:t>
            </w:r>
          </w:p>
        </w:tc>
      </w:tr>
      <w:tr>
        <w:tc>
          <w:tcPr>
            <w:tcW w:type="dxa" w:w="4320"/>
          </w:tcPr>
          <w:p>
            <w:r>
              <w:t>GEE</w:t>
            </w:r>
          </w:p>
        </w:tc>
        <w:tc>
          <w:tcPr>
            <w:tcW w:type="dxa" w:w="4320"/>
          </w:tcPr>
          <w:p>
            <w:r>
              <w:t>Google Earth Engine</w:t>
            </w:r>
          </w:p>
        </w:tc>
      </w:tr>
      <w:tr>
        <w:tc>
          <w:tcPr>
            <w:tcW w:type="dxa" w:w="4320"/>
          </w:tcPr>
          <w:p>
            <w:r>
              <w:t>GFW</w:t>
            </w:r>
          </w:p>
        </w:tc>
        <w:tc>
          <w:tcPr>
            <w:tcW w:type="dxa" w:w="4320"/>
          </w:tcPr>
          <w:p>
            <w:r>
              <w:t>Global Forest Watch</w:t>
            </w:r>
          </w:p>
        </w:tc>
      </w:tr>
      <w:tr>
        <w:tc>
          <w:tcPr>
            <w:tcW w:type="dxa" w:w="4320"/>
          </w:tcPr>
          <w:p>
            <w:r>
              <w:t>IoU</w:t>
            </w:r>
          </w:p>
        </w:tc>
        <w:tc>
          <w:tcPr>
            <w:tcW w:type="dxa" w:w="4320"/>
          </w:tcPr>
          <w:p>
            <w:r>
              <w:t>Intersection over Union (indice de Jaccard)</w:t>
            </w:r>
          </w:p>
        </w:tc>
      </w:tr>
      <w:tr>
        <w:tc>
          <w:tcPr>
            <w:tcW w:type="dxa" w:w="4320"/>
          </w:tcPr>
          <w:p>
            <w:r>
              <w:t>JSON</w:t>
            </w:r>
          </w:p>
        </w:tc>
        <w:tc>
          <w:tcPr>
            <w:tcW w:type="dxa" w:w="4320"/>
          </w:tcPr>
          <w:p>
            <w:r>
              <w:t>JavaScript Object Notation</w:t>
            </w:r>
          </w:p>
        </w:tc>
      </w:tr>
      <w:tr>
        <w:tc>
          <w:tcPr>
            <w:tcW w:type="dxa" w:w="4320"/>
          </w:tcPr>
          <w:p>
            <w:r>
              <w:t>JWT</w:t>
            </w:r>
          </w:p>
        </w:tc>
        <w:tc>
          <w:tcPr>
            <w:tcW w:type="dxa" w:w="4320"/>
          </w:tcPr>
          <w:p>
            <w:r>
              <w:t>JSON Web Token</w:t>
            </w:r>
          </w:p>
        </w:tc>
      </w:tr>
      <w:tr>
        <w:tc>
          <w:tcPr>
            <w:tcW w:type="dxa" w:w="4320"/>
          </w:tcPr>
          <w:p>
            <w:r>
              <w:t>ML</w:t>
            </w:r>
          </w:p>
        </w:tc>
        <w:tc>
          <w:tcPr>
            <w:tcW w:type="dxa" w:w="4320"/>
          </w:tcPr>
          <w:p>
            <w:r>
              <w:t>Machine Learning (apprentissage automatique)</w:t>
            </w:r>
          </w:p>
        </w:tc>
      </w:tr>
      <w:tr>
        <w:tc>
          <w:tcPr>
            <w:tcW w:type="dxa" w:w="4320"/>
          </w:tcPr>
          <w:p>
            <w:r>
              <w:t>MRV</w:t>
            </w:r>
          </w:p>
        </w:tc>
        <w:tc>
          <w:tcPr>
            <w:tcW w:type="dxa" w:w="4320"/>
          </w:tcPr>
          <w:p>
            <w:r>
              <w:t>Mesure, Rapportage et Vérification</w:t>
            </w:r>
          </w:p>
        </w:tc>
      </w:tr>
      <w:tr>
        <w:tc>
          <w:tcPr>
            <w:tcW w:type="dxa" w:w="4320"/>
          </w:tcPr>
          <w:p>
            <w:r>
              <w:t>NBR</w:t>
            </w:r>
          </w:p>
        </w:tc>
        <w:tc>
          <w:tcPr>
            <w:tcW w:type="dxa" w:w="4320"/>
          </w:tcPr>
          <w:p>
            <w:r>
              <w:t>Normalized Burn Ratio (indice normalisé de brûlis)</w:t>
            </w:r>
          </w:p>
        </w:tc>
      </w:tr>
      <w:tr>
        <w:tc>
          <w:tcPr>
            <w:tcW w:type="dxa" w:w="4320"/>
          </w:tcPr>
          <w:p>
            <w:r>
              <w:t>NDVI</w:t>
            </w:r>
          </w:p>
        </w:tc>
        <w:tc>
          <w:tcPr>
            <w:tcW w:type="dxa" w:w="4320"/>
          </w:tcPr>
          <w:p>
            <w:r>
              <w:t>Normalized Difference Vegetation Index</w:t>
            </w:r>
          </w:p>
        </w:tc>
      </w:tr>
      <w:tr>
        <w:tc>
          <w:tcPr>
            <w:tcW w:type="dxa" w:w="4320"/>
          </w:tcPr>
          <w:p>
            <w:r>
              <w:t>NDWI</w:t>
            </w:r>
          </w:p>
        </w:tc>
        <w:tc>
          <w:tcPr>
            <w:tcW w:type="dxa" w:w="4320"/>
          </w:tcPr>
          <w:p>
            <w:r>
              <w:t>Normalized Difference Water Index</w:t>
            </w:r>
          </w:p>
        </w:tc>
      </w:tr>
      <w:tr>
        <w:tc>
          <w:tcPr>
            <w:tcW w:type="dxa" w:w="4320"/>
          </w:tcPr>
          <w:p>
            <w:r>
              <w:t>OTP</w:t>
            </w:r>
          </w:p>
        </w:tc>
        <w:tc>
          <w:tcPr>
            <w:tcW w:type="dxa" w:w="4320"/>
          </w:tcPr>
          <w:p>
            <w:r>
              <w:t>One-Time Password (mot de passe à usage unique)</w:t>
            </w:r>
          </w:p>
        </w:tc>
      </w:tr>
      <w:tr>
        <w:tc>
          <w:tcPr>
            <w:tcW w:type="dxa" w:w="4320"/>
          </w:tcPr>
          <w:p>
            <w:r>
              <w:t>RDC</w:t>
            </w:r>
          </w:p>
        </w:tc>
        <w:tc>
          <w:tcPr>
            <w:tcW w:type="dxa" w:w="4320"/>
          </w:tcPr>
          <w:p>
            <w:r>
              <w:t>République Démocratique du Congo</w:t>
            </w:r>
          </w:p>
        </w:tc>
      </w:tr>
      <w:tr>
        <w:tc>
          <w:tcPr>
            <w:tcW w:type="dxa" w:w="4320"/>
          </w:tcPr>
          <w:p>
            <w:r>
              <w:t>REDD+</w:t>
            </w:r>
          </w:p>
        </w:tc>
        <w:tc>
          <w:tcPr>
            <w:tcW w:type="dxa" w:w="4320"/>
          </w:tcPr>
          <w:p>
            <w:r>
              <w:t>Réduction des Émissions dues à la Déforestation et à la Dégradation</w:t>
            </w:r>
          </w:p>
        </w:tc>
      </w:tr>
      <w:tr>
        <w:tc>
          <w:tcPr>
            <w:tcW w:type="dxa" w:w="4320"/>
          </w:tcPr>
          <w:p>
            <w:r>
              <w:t>REST</w:t>
            </w:r>
          </w:p>
        </w:tc>
        <w:tc>
          <w:tcPr>
            <w:tcW w:type="dxa" w:w="4320"/>
          </w:tcPr>
          <w:p>
            <w:r>
              <w:t>Representational State Transfer</w:t>
            </w:r>
          </w:p>
        </w:tc>
      </w:tr>
      <w:tr>
        <w:tc>
          <w:tcPr>
            <w:tcW w:type="dxa" w:w="4320"/>
          </w:tcPr>
          <w:p>
            <w:r>
              <w:t>SAR</w:t>
            </w:r>
          </w:p>
        </w:tc>
        <w:tc>
          <w:tcPr>
            <w:tcW w:type="dxa" w:w="4320"/>
          </w:tcPr>
          <w:p>
            <w:r>
              <w:t>Synthetic Aperture Radar (radar à synthèse d'ouverture)</w:t>
            </w:r>
          </w:p>
        </w:tc>
      </w:tr>
      <w:tr>
        <w:tc>
          <w:tcPr>
            <w:tcW w:type="dxa" w:w="4320"/>
          </w:tcPr>
          <w:p>
            <w:r>
              <w:t>SCL</w:t>
            </w:r>
          </w:p>
        </w:tc>
        <w:tc>
          <w:tcPr>
            <w:tcW w:type="dxa" w:w="4320"/>
          </w:tcPr>
          <w:p>
            <w:r>
              <w:t>Scene Classification Layer (bande de classification de scène Sentinel-2)</w:t>
            </w:r>
          </w:p>
        </w:tc>
      </w:tr>
      <w:tr>
        <w:tc>
          <w:tcPr>
            <w:tcW w:type="dxa" w:w="4320"/>
          </w:tcPr>
          <w:p>
            <w:r>
              <w:t>SRTM</w:t>
            </w:r>
          </w:p>
        </w:tc>
        <w:tc>
          <w:tcPr>
            <w:tcW w:type="dxa" w:w="4320"/>
          </w:tcPr>
          <w:p>
            <w:r>
              <w:t>Shuttle Radar Topography Mission</w:t>
            </w:r>
          </w:p>
        </w:tc>
      </w:tr>
      <w:tr>
        <w:tc>
          <w:tcPr>
            <w:tcW w:type="dxa" w:w="4320"/>
          </w:tcPr>
          <w:p>
            <w:r>
              <w:t>UML</w:t>
            </w:r>
          </w:p>
        </w:tc>
        <w:tc>
          <w:tcPr>
            <w:tcW w:type="dxa" w:w="4320"/>
          </w:tcPr>
          <w:p>
            <w:r>
              <w:t>Unified Modeling Language</w:t>
            </w:r>
          </w:p>
        </w:tc>
      </w:tr>
      <w:tr>
        <w:tc>
          <w:tcPr>
            <w:tcW w:type="dxa" w:w="4320"/>
          </w:tcPr>
          <w:p>
            <w:r>
              <w:t>UPC</w:t>
            </w:r>
          </w:p>
        </w:tc>
        <w:tc>
          <w:tcPr>
            <w:tcW w:type="dxa" w:w="4320"/>
          </w:tcPr>
          <w:p>
            <w:r>
              <w:t>Université Protestante au Congo</w:t>
            </w:r>
          </w:p>
        </w:tc>
      </w:tr>
    </w:tbl>
    <w:p>
      <w:r>
        <w:br w:type="page"/>
      </w:r>
    </w:p>
    <w:p>
      <w:pPr>
        <w:pStyle w:val="Heading1"/>
      </w:pPr>
      <w:r>
        <w:t>LISTE DES FIGURES ET TABLEAUX</w:t>
      </w:r>
    </w:p>
    <w:p>
      <w:pPr>
        <w:pStyle w:val="Heading2"/>
      </w:pPr>
      <w:r>
        <w:t>Liste des figures</w:t>
      </w:r>
    </w:p>
    <w:p>
      <w:r>
        <w:rPr>
          <w:b w:val="0"/>
          <w:i w:val="0"/>
          <w:sz w:val="22"/>
        </w:rPr>
        <w:t>Figure 1 — Architecture générale de DeforestWatch-DRC</w:t>
      </w:r>
    </w:p>
    <w:p>
      <w:r>
        <w:rPr>
          <w:b w:val="0"/>
          <w:i w:val="0"/>
          <w:sz w:val="22"/>
        </w:rPr>
        <w:t>Figure 2 — Diagramme de cas d'utilisation</w:t>
      </w:r>
    </w:p>
    <w:p>
      <w:r>
        <w:rPr>
          <w:b w:val="0"/>
          <w:i w:val="0"/>
          <w:sz w:val="22"/>
        </w:rPr>
        <w:t>Figure 3 — Diagramme de classes</w:t>
      </w:r>
    </w:p>
    <w:p>
      <w:r>
        <w:rPr>
          <w:b w:val="0"/>
          <w:i w:val="0"/>
          <w:sz w:val="22"/>
        </w:rPr>
        <w:t>Figure 4 — Diagramme de séquence du processus d'authentification à deux facteurs</w:t>
      </w:r>
    </w:p>
    <w:p>
      <w:r>
        <w:rPr>
          <w:b w:val="0"/>
          <w:i w:val="0"/>
          <w:sz w:val="22"/>
        </w:rPr>
        <w:t>Figure 5 — Diagramme d'activité de la chaîne de traitement et de prédiction</w:t>
      </w:r>
    </w:p>
    <w:p>
      <w:pPr>
        <w:pStyle w:val="Heading2"/>
      </w:pPr>
      <w:r>
        <w:t>Liste des tableaux</w:t>
      </w:r>
    </w:p>
    <w:p>
      <w:r>
        <w:rPr>
          <w:b w:val="0"/>
          <w:i w:val="0"/>
          <w:sz w:val="22"/>
        </w:rPr>
        <w:t>Tableau 1 — Sources de données satellitaires et auxiliaires</w:t>
      </w:r>
    </w:p>
    <w:p>
      <w:r>
        <w:rPr>
          <w:b w:val="0"/>
          <w:i w:val="0"/>
          <w:sz w:val="22"/>
        </w:rPr>
        <w:t>Tableau 2 — Tables relationnelles de la base de données et rôle</w:t>
      </w:r>
    </w:p>
    <w:p>
      <w:r>
        <w:rPr>
          <w:b w:val="0"/>
          <w:i w:val="0"/>
          <w:sz w:val="22"/>
        </w:rPr>
        <w:t>Tableau 3 — Comparaison des modèles de classification (protocole identique, mêmes données)</w:t>
      </w:r>
    </w:p>
    <w:p>
      <w:r>
        <w:rPr>
          <w:b w:val="0"/>
          <w:i w:val="0"/>
          <w:sz w:val="22"/>
        </w:rPr>
        <w:t>Tableau 4 — Évolution simulée de la couverture forestière (2015-2025, mode démonstration)</w:t>
      </w:r>
    </w:p>
    <w:p>
      <w:r>
        <w:rPr>
          <w:b w:val="0"/>
          <w:i w:val="0"/>
          <w:sz w:val="22"/>
        </w:rPr>
        <w:t>Tableau 5 — Table synthétique des routes de l'API DeforestWatch-DRC</w:t>
      </w:r>
    </w:p>
    <w:p>
      <w:r>
        <w:br w:type="page"/>
      </w:r>
    </w:p>
    <w:p>
      <w:pPr>
        <w:pStyle w:val="Heading1"/>
      </w:pPr>
      <w:r>
        <w:t>1. MISE EN CONTEXTE ET REVUE DE LA LITTÉRATURE</w:t>
      </w:r>
    </w:p>
    <w:p>
      <w:pPr>
        <w:pStyle w:val="Heading2"/>
      </w:pPr>
      <w:r>
        <w:t>1.1 Introduction et mise en contexte</w:t>
      </w:r>
    </w:p>
    <w:p>
      <w:pPr>
        <w:jc w:val="both"/>
      </w:pPr>
      <w:r>
        <w:rPr>
          <w:b w:val="0"/>
          <w:i w:val="0"/>
          <w:sz w:val="22"/>
        </w:rPr>
        <w:t>La République Démocratique du Congo abrite la deuxième plus grande forêt tropicale humide du monde, au cœur du Bassin du Congo dont elle concentre environ soixante pour cent de la superficie forestière. Cet écosystème équatorial joue un rôle climatique planétaire majeur : puits de carbone, régulation du cycle hydrologique régional et réservoir de biodiversité, auxquels s'ajoutent les tourbières de la Cuvette centrale, qui stockent d'immenses quantités de carbone. Ce patrimoine subit toutefois une déforestation accélérée qui place la RDC parmi les premiers pays au monde pour la perte de forêt primaire. À la différence du front de déforestation amazonien, largement industriel, la déforestation congolaise est essentiellement diffuse : agriculture itinérante sur brûlis de subsistance, production de charbon de bois (makala), exploitation forestière artisanale et expansion des villages produisent une multitude de petites coupes dispersées, difficiles à détecter et à anticiper.</w:t>
      </w:r>
    </w:p>
    <w:p>
      <w:pPr>
        <w:jc w:val="both"/>
      </w:pPr>
      <w:r>
        <w:rPr>
          <w:b w:val="0"/>
          <w:i w:val="0"/>
          <w:sz w:val="22"/>
        </w:rPr>
        <w:t>Les outils de surveillance existants, tels que Global Forest Watch ou les alertes RADD, fournissent des données précieuses mais présentent des limites structurelles dans le contexte congolais : ils sont globaux et peu calibrés sur les moteurs locaux de la déforestation, essentiellement rétrospectifs, proposés dans des interfaces techniques anglophones, et n'offrent ni remontée d'information de terrain ni traduction des pertes en indicateurs directement exploitables par les acteurs nationaux. Or la province du Mai-Ndombe, retenue comme zone d'étude, est une province pilote du mécanisme REDD+ : un accord de paiements aux réductions d'émissions y lie la RDC à des bailleurs internationaux, de sorte que mesurer, réduire et prouver la déforestation y possède une valeur financière directe.</w:t>
      </w:r>
    </w:p>
    <w:p>
      <w:pPr>
        <w:jc w:val="both"/>
      </w:pPr>
      <w:r>
        <w:rPr>
          <w:b w:val="0"/>
          <w:i w:val="0"/>
          <w:sz w:val="22"/>
        </w:rPr>
        <w:t>Ce constat a motivé la conception de DeforestWatch-DRC, une plateforme de surveillance et de prédiction de la déforestation pensée spécifiquement pour ce contexte. Ce travail s'inscrit dans le domaine de la Data Science appliquée à la télédétection : il combine développement logiciel, traitement d'images satellitaires, apprentissage automatique supervisé et restitution décisionnelle, dans une démarche qui vise à transformer des images brutes Sentinel-2 en indicateurs actionnables — cartes de couverture du sol, alertes géolocalisées, cartes de risque et estimations d'émissions de CO2 — au service des gestionnaires forestiers, de l'administration et des communautés locales.</w:t>
      </w:r>
    </w:p>
    <w:p>
      <w:pPr>
        <w:pStyle w:val="Heading2"/>
      </w:pPr>
      <w:r>
        <w:t>1.2 Problématique et objectifs de la recherche</w:t>
      </w:r>
    </w:p>
    <w:p>
      <w:pPr>
        <w:pStyle w:val="Heading3"/>
      </w:pPr>
      <w:r>
        <w:t>1.2.1 Problématique</w:t>
      </w:r>
    </w:p>
    <w:p>
      <w:pPr>
        <w:jc w:val="both"/>
      </w:pPr>
      <w:r>
        <w:rPr>
          <w:b w:val="0"/>
          <w:i w:val="0"/>
          <w:sz w:val="22"/>
        </w:rPr>
        <w:t>La problématique centrale de ce travail peut être formulée ainsi : comment concevoir une plateforme capable, à partir d'images satellitaires multispectrales et de données auxiliaires librement accessibles, de détecter et de quantifier la perte forestière annuelle sur une zone cible de la forêt équatoriale du Mai-Ndombe, d'anticiper les zones exposées à une déforestation future, et de restituer ces informations sous une forme directement exploitable par les acteurs congolais de la protection forestière ?</w:t>
      </w:r>
    </w:p>
    <w:p>
      <w:pPr>
        <w:jc w:val="both"/>
      </w:pPr>
      <w:r>
        <w:rPr>
          <w:b w:val="0"/>
          <w:i w:val="0"/>
          <w:sz w:val="22"/>
        </w:rPr>
        <w:t>Cette problématique se décline en plusieurs enjeux pratiques. Le premier tient à la nature diffuse de la déforestation congolaise, faite de petites coupes dispersées qu'un suivi à maille grossière ne révèle pas, et qui impose une analyse locale à résolution fine. Le deuxième tient à la couverture nuageuse quasi permanente de la zone équatoriale, qui limite sévèrement la disponibilité d'images optiques exploitables et impose des stratégies de composition temporelle, voire le recours à l'imagerie radar. Le troisième tient à la rareté des données de vérité terrain dans la région, qui contraint l'apprentissage supervisé et impose une grande rigueur dans l'évaluation des modèles. Le dernier enjeu concerne l'appropriation locale : l'outil doit être en français, fonctionner avec des moyens modestes et rester maîtrisable par des équipes congolaises, dans une logique de souveraineté des données environnementales.</w:t>
      </w:r>
    </w:p>
    <w:p>
      <w:pPr>
        <w:pStyle w:val="Heading3"/>
      </w:pPr>
      <w:r>
        <w:t>1.2.2 Objectifs de la recherche</w:t>
      </w:r>
    </w:p>
    <w:p>
      <w:pPr>
        <w:jc w:val="both"/>
      </w:pPr>
      <w:r>
        <w:rPr>
          <w:b w:val="0"/>
          <w:i w:val="0"/>
          <w:sz w:val="22"/>
        </w:rPr>
        <w:t>L'objectif général de ce travail est de concevoir et d'implémenter une plateforme intelligente de surveillance de la déforestation de la forêt équatoriale du Bassin du Congo, intégrant un module de Data Science capable de classifier la couverture du sol, de quantifier la perte forestière et de prédire les zones à risque, sur le cas de la province du Mai-Ndombe.</w:t>
      </w:r>
    </w:p>
    <w:p>
      <w:pPr>
        <w:jc w:val="both"/>
      </w:pPr>
      <w:r>
        <w:rPr>
          <w:b w:val="0"/>
          <w:i w:val="0"/>
          <w:sz w:val="22"/>
        </w:rPr>
        <w:t>Plus spécifiquement, ce travail vise à modéliser et développer une architecture logicielle complète associant une couche de collecte de données satellitaires, une chaîne de prétraitement, une API de restitution et deux interfaces utilisateur ; à constituer des jeux de données d'apprentissage pixel et tuiles à partir des composites annuels de la zone d'étude, selon un découpage spatial rigoureux ; à entraîner, évaluer et comparer trois modèles de classification de la couverture du sol (Random Forest, XGBoost, U-Net) selon un protocole identique ; à construire un modèle de prédiction du risque de déforestation future fondé sur des variables d'accessibilité et de topographie ; et à traduire les résultats techniques en indicateurs d'aide à la décision — alertes géolocalisées par secteur, estimation des émissions de CO2 associées à la perte forestière et signalement citoyen — au sein d'une plateforme sécurisée par une authentification à deux facteurs.</w:t>
      </w:r>
    </w:p>
    <w:p>
      <w:pPr>
        <w:pStyle w:val="Heading3"/>
      </w:pPr>
      <w:r>
        <w:t>1.2.3 Hypothèses</w:t>
      </w:r>
    </w:p>
    <w:p>
      <w:pPr>
        <w:jc w:val="both"/>
      </w:pPr>
      <w:r>
        <w:rPr>
          <w:b w:val="0"/>
          <w:i w:val="0"/>
          <w:sz w:val="22"/>
        </w:rPr>
        <w:t>Deux hypothèses principales structurent ce travail. La première pose que les signatures spectrales des composites annuels Sentinel-2, enrichies des indices de végétation dérivés et de variables topographiques, contiennent une information suffisante pour classifier la couverture du sol de la zone d'étude en cinq classes avec un niveau de performance académiquement acceptable, au moyen de modèles d'apprentissage supervisé. La seconde pose que la déforestation future est en grande partie prédictible à partir de variables d'accessibilité — distance aux routes, aux villages et au front de déforestation existant — et de variables topographiques, conformément au caractère essentiellement anthropique et progressif du front agricole observé dans la région.</w:t>
      </w:r>
    </w:p>
    <w:p>
      <w:pPr>
        <w:pStyle w:val="Heading2"/>
      </w:pPr>
      <w:r>
        <w:t>1.3 Revue de la littérature théorique</w:t>
      </w:r>
    </w:p>
    <w:p>
      <w:pPr>
        <w:jc w:val="both"/>
      </w:pPr>
      <w:r>
        <w:rPr>
          <w:b w:val="0"/>
          <w:i w:val="0"/>
          <w:sz w:val="22"/>
        </w:rPr>
        <w:t>La télédétection optique constitue depuis plusieurs décennies l'instrument privilégié du suivi des couverts végétaux. Les capteurs multispectraux embarqués sur les missions Landsat puis Sentinel-2 mesurent la réflectance de la surface terrestre dans des bandes allant du visible à l'infrarouge moyen, à partir desquelles sont dérivés des indices synthétiques dont le plus établi est le NDVI, proposé par Tucker (1979), qui exploite le contraste entre l'absorption du rouge par la chlorophylle et la forte réflexion du proche infrarouge par les tissus végétaux. Des indices complémentaires — EVI, moins saturé sur les couverts denses, NDWI pour les surfaces en eau et NBR pour les surfaces brûlées — affinent la caractérisation des états de surface. En zone équatoriale, la couverture nuageuse persistante impose en outre des stratégies de composition temporelle, typiquement des composites médians calculés sur la saison sèche après masquage des pixels nuageux.</w:t>
      </w:r>
    </w:p>
    <w:p>
      <w:pPr>
        <w:jc w:val="both"/>
      </w:pPr>
      <w:r>
        <w:rPr>
          <w:b w:val="0"/>
          <w:i w:val="0"/>
          <w:sz w:val="22"/>
        </w:rPr>
        <w:t>Pour la classification supervisée de la couverture du sol, les méthodes d'ensemble à base d'arbres de décision occupent une place de référence dans la littérature de télédétection. La forêt aléatoire (Breiman, 2001) agrège par vote majoritaire un ensemble d'arbres entraînés sur des échantillons bootstrap et des sous-ensembles aléatoires de variables, ce qui réduit la variance du classifieur et le rend robuste au bruit et aux variables corrélées, sans hypothèse sur la forme de la relation entre spectre et classe. Le gradient boosting, dont XGBoost (Chen et Guestrin, 2016) est l'implémentation la plus répandue, construit au contraire les arbres séquentiellement, chaque arbre corrigeant les erreurs résiduelles de l'ensemble courant, et atteint fréquemment des performances supérieures sur données tabulaires au prix d'un réglage plus délicat.</w:t>
      </w:r>
    </w:p>
    <w:p>
      <w:pPr>
        <w:jc w:val="both"/>
      </w:pPr>
      <w:r>
        <w:rPr>
          <w:b w:val="0"/>
          <w:i w:val="0"/>
          <w:sz w:val="22"/>
        </w:rPr>
        <w:t>Les approches profondes de segmentation sémantique complètent ce panorama. L'architecture U-Net (Ronneberger et al., 2015), initialement conçue pour l'imagerie biomédicale, associe un encodeur convolutif qui contracte l'information spatiale et un décodeur qui la restitue à pleine résolution, des connexions de saut transférant les détails fins de l'encodeur vers le décodeur. À la différence des approches pixel à pixel, elle exploite le contexte spatial — texture, formes, voisinage — et s'est imposée comme un standard de la segmentation d'images de télédétection. Sa contrepartie est un besoin en données annotées sensiblement supérieur à celui des méthodes d'ensemble. La qualité d'une segmentation s'évalue notamment par l'indice de Jaccard ou IoU, rapport de l'intersection à l'union entre la classe prédite et la classe de référence.</w:t>
      </w:r>
    </w:p>
    <w:p>
      <w:pPr>
        <w:jc w:val="both"/>
      </w:pPr>
      <w:r>
        <w:rPr>
          <w:b w:val="0"/>
          <w:i w:val="0"/>
          <w:sz w:val="22"/>
        </w:rPr>
        <w:t>Sur le plan architectural, les plateformes modernes d'observation et d'aide à la décision adoptent une architecture découplée séparant une couche de services exposée sous forme d'API REST, une couche de persistance relationnelle et des interfaces clientes spécialisées. L'accès aux archives satellitaires massives s'appuie quant à lui sur des infrastructures d'analyse planétaire telles que Google Earth Engine (Gorelick et al., 2017), qui mutualisent le stockage et le calcul et rendent l'imagerie Sentinel-2 et les produits dérivés accessibles sans téléchargement préalable massif.</w:t>
      </w:r>
    </w:p>
    <w:p>
      <w:pPr>
        <w:pStyle w:val="Heading2"/>
      </w:pPr>
      <w:r>
        <w:t>1.4 Revue de la littérature empirique</w:t>
      </w:r>
    </w:p>
    <w:p>
      <w:pPr>
        <w:jc w:val="both"/>
      </w:pPr>
      <w:r>
        <w:rPr>
          <w:b w:val="0"/>
          <w:i w:val="0"/>
          <w:sz w:val="22"/>
        </w:rPr>
        <w:t>Le suivi global du couvert forestier dispose depuis Hansen et al. (2013) d'un référentiel empirique majeur : les cartes mondiales annuelles de perte et de gain forestiers à trente mètres de résolution, dérivées des archives Landsat, qui alimentent la plateforme Global Forest Watch. Ces produits démontrent la faisabilité d'un suivi systématique par télédétection, mais leur vocation globale limite leur finesse d'interprétation locale : la définition binaire de la perte de couvert y capture mal la dégradation progressive, pourtant caractéristique des dynamiques congolaises.</w:t>
      </w:r>
    </w:p>
    <w:p>
      <w:pPr>
        <w:jc w:val="both"/>
      </w:pPr>
      <w:r>
        <w:rPr>
          <w:b w:val="0"/>
          <w:i w:val="0"/>
          <w:sz w:val="22"/>
        </w:rPr>
        <w:t>Concernant spécifiquement le Bassin du Congo, Tyukavina et al. (2018) établissent empiriquement que la perte forestière y est dominée par le défrichement de petite échelle lié à l'agriculture de subsistance, en expansion continue, ce qui confirme le caractère diffus et anthropique des moteurs locaux et justifie une approche de prédiction fondée sur l'accessibilité — proximité des routes, des villages et des fronts de défrichement existants. Par ailleurs, Reiche et al. (2021) démontrent avec les alertes RADD l'apport décisif de l'imagerie radar Sentinel-1 pour la détection des perturbations forestières en zone équatoriale, la rétrodiffusion radar traversant la couverture nuageuse qui rend l'optique inexploitable une grande partie de l'année. Ces deux constats empiriques ont directement orienté la conception du module de risque et du module radar du présent travail.</w:t>
      </w:r>
    </w:p>
    <w:p>
      <w:pPr>
        <w:jc w:val="both"/>
      </w:pPr>
      <w:r>
        <w:rPr>
          <w:b w:val="0"/>
          <w:i w:val="0"/>
          <w:sz w:val="22"/>
        </w:rPr>
        <w:t>Enfin, la littérature méthodologique en apprentissage automatique appliqué à la télédétection converge sur deux mises en garde reprises dans ce travail. La première concerne l'autocorrélation spatiale : un découpage aléatoire des pixels entre apprentissage et test surestime systématiquement les performances, des pixels voisins quasi identiques se retrouvant de part et d'autre de la séparation ; un découpage spatial par blocs s'impose. La seconde concerne la rareté de la vérité terrain dans les régions peu instrumentées : lorsque les données réelles annotées manquent au moment du développement, la validation de la chaîne de traitement sur des données synthétiques réalistes, clairement identifiées comme telles, constitue une étape intermédiaire légitime, à condition que les conclusions soient explicitement conditionnées à une confirmation ultérieure sur données réelles. C'est la démarche adoptée ici.</w:t>
      </w:r>
    </w:p>
    <w:p>
      <w:r>
        <w:br w:type="page"/>
      </w:r>
    </w:p>
    <w:p>
      <w:pPr>
        <w:pStyle w:val="Heading1"/>
      </w:pPr>
      <w:r>
        <w:t>2. MODÉLISATION ET MÉTHODES DE TRAVAIL</w:t>
      </w:r>
    </w:p>
    <w:p>
      <w:pPr>
        <w:pStyle w:val="Heading2"/>
      </w:pPr>
      <w:r>
        <w:t>2.1 Méthodologie adoptée</w:t>
      </w:r>
    </w:p>
    <w:p>
      <w:pPr>
        <w:jc w:val="both"/>
      </w:pPr>
      <w:r>
        <w:rPr>
          <w:b w:val="0"/>
          <w:i w:val="0"/>
          <w:sz w:val="22"/>
        </w:rPr>
        <w:t>Le développement de DeforestWatch-DRC a suivi une démarche itérative combinant deux volets complémentaires. Le premier volet, relevant du génie logiciel, a consisté à concevoir une architecture en couches découplées et à l'implémenter progressivement : collecte et abstraction des sources de données, prétraitement, modèles, API sécurisée, puis interfaces de restitution. Le second volet, relevant de la Data Science, a suivi la démarche classique en six étapes : compréhension du problème, acquisition et préparation des données, exploration, modélisation, évaluation comparée, puis intégration des résultats dans l'application.</w:t>
      </w:r>
    </w:p>
    <w:p>
      <w:pPr>
        <w:jc w:val="both"/>
      </w:pPr>
      <w:r>
        <w:rPr>
          <w:b w:val="0"/>
          <w:i w:val="0"/>
          <w:sz w:val="22"/>
        </w:rPr>
        <w:t>Un choix méthodologique structurant mérite d'être explicité d'emblée : le projet fonctionne selon deux modes de données interchangeables. Une couche d'abstraction des sources expose une interface unique derrière laquelle coexistent une source synthétique — qui génère des données satellitaires simulées mais réalistes, reproduisant l'avancée d'un front agricole depuis les villages et les routes de la zone d'étude — et une source réelle, qui lit des images GeoTIFF déposées dans le répertoire de données brutes. La source active est résolue automatiquement et peut être basculée à chaud, sans modification de code. Ce dispositif a permis de développer, tester et valider la chaîne complète de bout en bout en mode démonstration, tout en préparant le passage aux images réelles Sentinel-2, dont un script d'export dédié automatise la collecte depuis Google Earth Engine.</w:t>
      </w:r>
    </w:p>
    <w:p>
      <w:pPr>
        <w:pStyle w:val="Heading2"/>
      </w:pPr>
      <w:r>
        <w:t>2.2 Architecture générale du système</w:t>
      </w:r>
    </w:p>
    <w:p>
      <w:pPr>
        <w:jc w:val="both"/>
      </w:pPr>
      <w:r>
        <w:rPr>
          <w:b w:val="0"/>
          <w:i w:val="0"/>
          <w:sz w:val="22"/>
        </w:rPr>
        <w:t>DeforestWatch-DRC repose sur une architecture en quatre couches. La couche cliente comprend un tableau de bord analytique développé avec Streamlit (connexion sécurisée, indicateurs, cartes, alertes, back-office administrateur) et un frontend web grand public développé avec React, qui présente le projet et anime un time-lapse de la déforestation 2015-2025. La couche applicative est constituée d'une API REST développée avec FastAPI, organisée en modules de routes par domaine fonctionnel : authentification, statistiques, cartes, prédictions, alertes, impact carbone, radar et administration. La couche de persistance repose sur PostgreSQL, interrogée via l'ORM SQLAlchemy, avec un repli automatique sur SQLite garantissant le démarrage de l'application en toute circonstance. Enfin, la couche Data Science regroupe les modules de collecte, de prétraitement, les modèles d'apprentissage automatique sérialisés au format joblib et les moteurs d'analyse dérivés (alertes, carbone, radar).</w:t>
      </w:r>
    </w:p>
    <w:p>
      <w:pPr>
        <w:jc w:val="center"/>
      </w:pPr>
      <w:r>
        <w:rPr>
          <w:b w:val="0"/>
          <w:i/>
          <w:color w:val="777777"/>
          <w:sz w:val="22"/>
        </w:rPr>
        <w:t>[Insérer ici : schéma des quatre couches : clientes (Streamlit, React), API FastAPI, persistance PostgreSQL/SQLite, module Data Science]</w:t>
      </w:r>
    </w:p>
    <w:p>
      <w:pPr>
        <w:jc w:val="center"/>
      </w:pPr>
      <w:r>
        <w:rPr>
          <w:b/>
          <w:i w:val="0"/>
          <w:sz w:val="21"/>
        </w:rPr>
        <w:t>Figure 1 — Architecture générale de DeforestWatch-DRC</w:t>
      </w:r>
    </w:p>
    <w:p>
      <w:pPr>
        <w:jc w:val="both"/>
      </w:pPr>
      <w:r>
        <w:rPr>
          <w:b w:val="0"/>
          <w:i w:val="0"/>
          <w:sz w:val="22"/>
        </w:rPr>
        <w:t>Ce choix architectural sépare clairement les responsabilités : le tableau de bord consomme directement la couche de données pour la visualisation interactive, tout en s'appuyant sur l'API pour l'authentification et l'administration ; le frontend public ne consomme que les routes ouvertes de l'API ; et la couche Data Science reste indépendante des interfaces, ce qui permet de ré-entraîner ou de remplacer les modèles sans toucher au reste du système.</w:t>
      </w:r>
    </w:p>
    <w:p>
      <w:pPr>
        <w:pStyle w:val="Heading2"/>
      </w:pPr>
      <w:r>
        <w:t>2.3 Modélisation UML</w:t>
      </w:r>
    </w:p>
    <w:p>
      <w:pPr>
        <w:jc w:val="both"/>
      </w:pPr>
      <w:r>
        <w:rPr>
          <w:b w:val="0"/>
          <w:i w:val="0"/>
          <w:sz w:val="22"/>
        </w:rPr>
        <w:t>La modélisation du système a suivi une logique orientée objets et composants logiciels, adaptée à une application web moderne structurée autour d'une API REST. Quatre diagrammes ont été retenus pour représenter respectivement les acteurs et fonctionnalités du système, la structure des données persistées, la dynamique du scénario de sécurité le plus critique, et le déroulement de la chaîne de traitement analytique.</w:t>
      </w:r>
    </w:p>
    <w:p>
      <w:pPr>
        <w:pStyle w:val="Heading3"/>
      </w:pPr>
      <w:r>
        <w:t>2.3.1 Diagramme de cas d'utilisation</w:t>
      </w:r>
    </w:p>
    <w:p>
      <w:pPr>
        <w:jc w:val="both"/>
      </w:pPr>
      <w:r>
        <w:rPr>
          <w:b w:val="0"/>
          <w:i w:val="0"/>
          <w:sz w:val="22"/>
        </w:rPr>
        <w:t>Le système met en relation trois acteurs principaux. Le visiteur ou citoyen consulte librement les statistiques publiques de déforestation, les cartes de couverture et de risque, et peut signaler une déforestation suspectée par un formulaire géolocalisé, sans création de compte. L'analyste authentifié — gestionnaire forestier, agent provincial ou chercheur — accède après une connexion à deux facteurs au tableau de bord complet : indicateurs annuels, analyse par année, comparaisons, matrice de confusion des modèles, carte de risque et alertes par secteur. L'administrateur dispose en outre de la gestion des comptes utilisateurs, de la consultation des journaux d'activité de l'API, de la bascule de la source de données et de l'envoi du digest d'alertes par courrier électronique. Le module de prédiction par apprentissage automatique constitue un cas d'utilisation transversal qui alimente à la fois les cartes consultées par les utilisateurs et les alertes notifiées par l'administrateur.</w:t>
      </w:r>
    </w:p>
    <w:p>
      <w:pPr>
        <w:jc w:val="center"/>
      </w:pPr>
      <w:r>
        <w:rPr>
          <w:b w:val="0"/>
          <w:i/>
          <w:color w:val="777777"/>
          <w:sz w:val="22"/>
        </w:rPr>
        <w:t>[Insérer ici : diagramme UML : acteurs visiteur/citoyen, analyste authentifié, administrateur ; module IA transversal]</w:t>
      </w:r>
    </w:p>
    <w:p>
      <w:pPr>
        <w:jc w:val="center"/>
      </w:pPr>
      <w:r>
        <w:rPr>
          <w:b/>
          <w:i w:val="0"/>
          <w:sz w:val="21"/>
        </w:rPr>
        <w:t>Figure 2 — Diagramme de cas d'utilisation</w:t>
      </w:r>
    </w:p>
    <w:p>
      <w:pPr>
        <w:pStyle w:val="Heading3"/>
      </w:pPr>
      <w:r>
        <w:t>2.3.2 Diagramme de classes</w:t>
      </w:r>
    </w:p>
    <w:p>
      <w:pPr>
        <w:jc w:val="both"/>
      </w:pPr>
      <w:r>
        <w:rPr>
          <w:b w:val="0"/>
          <w:i w:val="0"/>
          <w:sz w:val="22"/>
        </w:rPr>
        <w:t>Le modèle de données persistées repose sur six entités principales, correspondant chacune à une table relationnelle. L'entité Utilisateur centralise l'identification (adresse électronique unique), le mot de passe haché, le secret de l'authentification à deux facteurs et le rôle, administrateur ou utilisateur, distingué par un attribut plutôt que par une hiérarchie de classes. L'entité Signalement enregistre les déclarations citoyennes de déforestation, géolocalisées et dotées d'un statut de traitement. L'entité Résultat d'analyse historise les statistiques annuelles calculées, l'entité Prédiction les scores de risque géolocalisés, et l'entité Registre de modèles les versions des modèles entraînés. Enfin, l'entité Journal API trace de manière transversale chaque requête traitée par le serveur, à des fins d'audit. Les artefacts volumineux — modèles sérialisés, jeux de données, rapport de métriques — sont quant à eux stockés sur le système de fichiers, en dehors de la base.</w:t>
      </w:r>
    </w:p>
    <w:p>
      <w:pPr>
        <w:jc w:val="center"/>
      </w:pPr>
      <w:r>
        <w:rPr>
          <w:b w:val="0"/>
          <w:i/>
          <w:color w:val="777777"/>
          <w:sz w:val="22"/>
        </w:rPr>
        <w:t>[Insérer ici : diagramme UML des entités : Utilisateur, Signalement, Résultat d'analyse, Prédiction, Registre de modèles, Journal API]</w:t>
      </w:r>
    </w:p>
    <w:p>
      <w:pPr>
        <w:jc w:val="center"/>
      </w:pPr>
      <w:r>
        <w:rPr>
          <w:b/>
          <w:i w:val="0"/>
          <w:sz w:val="21"/>
        </w:rPr>
        <w:t>Figure 3 — Diagramme de classes</w:t>
      </w:r>
    </w:p>
    <w:p>
      <w:pPr>
        <w:pStyle w:val="Heading3"/>
      </w:pPr>
      <w:r>
        <w:t>2.3.3 Diagramme de séquence — authentification à deux facteurs</w:t>
      </w:r>
    </w:p>
    <w:p>
      <w:pPr>
        <w:jc w:val="both"/>
      </w:pPr>
      <w:r>
        <w:rPr>
          <w:b w:val="0"/>
          <w:i w:val="0"/>
          <w:sz w:val="22"/>
        </w:rPr>
        <w:t>Le diagramme de séquence retenu illustre le scénario de sécurité le plus critique du système : l'inscription puis la connexion avec second facteur. À l'inscription, l'API vérifie l'unicité de l'adresse électronique, hache le mot de passe avec bcrypt, génère un secret TOTP et retourne l'URI de provisionnement que l'utilisateur enregistre dans une application d'authentification compatible. À la connexion, l'API vérifie le mot de passe par comparaison de hachés puis émet deux jetons JWT signés : un jeton d'accès de courte durée et un jeton de rafraîchissement de sept jours. La vérification du code à usage unique, calculé par l'application d'authentification et validé côté serveur avec une fenêtre de tolérance, complète le second facteur. Toute route protégée vérifie enfin, par une dépendance dédiée, la validité du jeton d'accès, l'existence et l'activité du compte, et le cas échéant le rôle administrateur requis.</w:t>
      </w:r>
    </w:p>
    <w:p>
      <w:pPr>
        <w:jc w:val="center"/>
      </w:pPr>
      <w:r>
        <w:rPr>
          <w:b w:val="0"/>
          <w:i/>
          <w:color w:val="777777"/>
          <w:sz w:val="22"/>
        </w:rPr>
        <w:t>[Insérer ici : séquence UML : inscription (bcrypt + secret TOTP), connexion (JWT access + refresh), vérification OTP, accès à une route protégée]</w:t>
      </w:r>
    </w:p>
    <w:p>
      <w:pPr>
        <w:jc w:val="center"/>
      </w:pPr>
      <w:r>
        <w:rPr>
          <w:b/>
          <w:i w:val="0"/>
          <w:sz w:val="21"/>
        </w:rPr>
        <w:t>Figure 4 — Diagramme de séquence du processus d'authentification à deux facteurs</w:t>
      </w:r>
    </w:p>
    <w:p>
      <w:pPr>
        <w:pStyle w:val="Heading3"/>
      </w:pPr>
      <w:r>
        <w:t>2.3.4 Diagramme d'activité — chaîne de traitement et prédiction</w:t>
      </w:r>
    </w:p>
    <w:p>
      <w:pPr>
        <w:jc w:val="both"/>
      </w:pPr>
      <w:r>
        <w:rPr>
          <w:b w:val="0"/>
          <w:i w:val="0"/>
          <w:sz w:val="22"/>
        </w:rPr>
        <w:t>Le diagramme d'activité décrit le déroulement de la chaîne analytique complète. Le système résout d'abord la source de données active : si des images réelles sont présentes et que le mode réel est demandé, elles sont utilisées ; dans le cas contraire, un repli transparent sur la source synthétique garantit la continuité de service. Les composites annuels sont ensuite soumis au masquage des nuages, au calcul des indices spectraux et à l'extraction des variables, puis classifiés pixel par pixel. De la série de cartes de couverture ainsi obtenue découlent les statistiques annuelles de perte forestière, la détection d'alertes par secteur, l'estimation des émissions de CO2 et la carte de risque de déforestation future, restituées aux interfaces sous forme d'images et de flux JSON.</w:t>
      </w:r>
    </w:p>
    <w:p>
      <w:pPr>
        <w:jc w:val="center"/>
      </w:pPr>
      <w:r>
        <w:rPr>
          <w:b w:val="0"/>
          <w:i/>
          <w:color w:val="777777"/>
          <w:sz w:val="22"/>
        </w:rPr>
        <w:t>[Insérer ici : activité UML : résolution de la source (réelle/démo), masquage, indices, classification, statistiques, alertes, carbone, risque]</w:t>
      </w:r>
    </w:p>
    <w:p>
      <w:pPr>
        <w:jc w:val="center"/>
      </w:pPr>
      <w:r>
        <w:rPr>
          <w:b/>
          <w:i w:val="0"/>
          <w:sz w:val="21"/>
        </w:rPr>
        <w:t>Figure 5 — Diagramme d'activité de la chaîne de traitement et de prédiction</w:t>
      </w:r>
    </w:p>
    <w:p>
      <w:pPr>
        <w:pStyle w:val="Heading2"/>
      </w:pPr>
      <w:r>
        <w:t>2.4 Zone d'étude, données et base de données</w:t>
      </w:r>
    </w:p>
    <w:p>
      <w:pPr>
        <w:jc w:val="both"/>
      </w:pPr>
      <w:r>
        <w:rPr>
          <w:b w:val="0"/>
          <w:i w:val="0"/>
          <w:sz w:val="22"/>
        </w:rPr>
        <w:t>La zone d'étude couvre un carré d'environ cinquante kilomètres de côté centré sur la ville d'Inongo (1,95° de latitude sud, 18,27° de longitude est), chef-lieu de la province du Mai-Ndombe, soit une superficie de l'ordre de 250 000 hectares sur l'un des fronts de déforestation les plus actifs de la forêt équatoriale congolaise. La zone est discrétisée en une grille de 256 par 256 cellules, chaque cellule représentant environ 3,8 hectares, et la période d'analyse s'étend de 2015 à 2025, à raison d'un composite par année. Cinq classes de couverture du sol sont distinguées : forêt dense, forêt dégradée, agriculture et sol nu, eau, et zone urbaine ou bâtie.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Description</w:t>
            </w:r>
          </w:p>
        </w:tc>
        <w:tc>
          <w:tcPr>
            <w:tcW w:type="dxa" w:w="2160"/>
          </w:tcPr>
          <w:p>
            <w:r>
              <w:rPr>
                <w:b/>
              </w:rPr>
              <w:t>Résolution</w:t>
            </w:r>
          </w:p>
        </w:tc>
        <w:tc>
          <w:tcPr>
            <w:tcW w:type="dxa" w:w="2160"/>
          </w:tcPr>
          <w:p>
            <w:r>
              <w:rPr>
                <w:b/>
              </w:rPr>
              <w:t>Couverture</w:t>
            </w:r>
          </w:p>
        </w:tc>
      </w:tr>
      <w:tr>
        <w:tc>
          <w:tcPr>
            <w:tcW w:type="dxa" w:w="2160"/>
          </w:tcPr>
          <w:p>
            <w:r>
              <w:t>Sentinel-2 (ESA)</w:t>
            </w:r>
          </w:p>
        </w:tc>
        <w:tc>
          <w:tcPr>
            <w:tcW w:type="dxa" w:w="2160"/>
          </w:tcPr>
          <w:p>
            <w:r>
              <w:t>Images multispectrales, 6 bandes retenues (B2, B3, B4, B8, B11, B12)</w:t>
            </w:r>
          </w:p>
        </w:tc>
        <w:tc>
          <w:tcPr>
            <w:tcW w:type="dxa" w:w="2160"/>
          </w:tcPr>
          <w:p>
            <w:r>
              <w:t>10 m</w:t>
            </w:r>
          </w:p>
        </w:tc>
        <w:tc>
          <w:tcPr>
            <w:tcW w:type="dxa" w:w="2160"/>
          </w:tcPr>
          <w:p>
            <w:r>
              <w:t>2015-présent</w:t>
            </w:r>
          </w:p>
        </w:tc>
      </w:tr>
      <w:tr>
        <w:tc>
          <w:tcPr>
            <w:tcW w:type="dxa" w:w="2160"/>
          </w:tcPr>
          <w:p>
            <w:r>
              <w:t>Sentinel-1 (ESA)</w:t>
            </w:r>
          </w:p>
        </w:tc>
        <w:tc>
          <w:tcPr>
            <w:tcW w:type="dxa" w:w="2160"/>
          </w:tcPr>
          <w:p>
            <w:r>
              <w:t>Radar SAR, rétrodiffusion VV/VH, pénètre les nuages</w:t>
            </w:r>
          </w:p>
        </w:tc>
        <w:tc>
          <w:tcPr>
            <w:tcW w:type="dxa" w:w="2160"/>
          </w:tcPr>
          <w:p>
            <w:r>
              <w:t>10 m</w:t>
            </w:r>
          </w:p>
        </w:tc>
        <w:tc>
          <w:tcPr>
            <w:tcW w:type="dxa" w:w="2160"/>
          </w:tcPr>
          <w:p>
            <w:r>
              <w:t>2015-présent</w:t>
            </w:r>
          </w:p>
        </w:tc>
      </w:tr>
      <w:tr>
        <w:tc>
          <w:tcPr>
            <w:tcW w:type="dxa" w:w="2160"/>
          </w:tcPr>
          <w:p>
            <w:r>
              <w:t>Landsat 8/9 (NASA/USGS)</w:t>
            </w:r>
          </w:p>
        </w:tc>
        <w:tc>
          <w:tcPr>
            <w:tcW w:type="dxa" w:w="2160"/>
          </w:tcPr>
          <w:p>
            <w:r>
              <w:t>Images multispectrales complémentaires</w:t>
            </w:r>
          </w:p>
        </w:tc>
        <w:tc>
          <w:tcPr>
            <w:tcW w:type="dxa" w:w="2160"/>
          </w:tcPr>
          <w:p>
            <w:r>
              <w:t>30 m</w:t>
            </w:r>
          </w:p>
        </w:tc>
        <w:tc>
          <w:tcPr>
            <w:tcW w:type="dxa" w:w="2160"/>
          </w:tcPr>
          <w:p>
            <w:r>
              <w:t>2013-présent</w:t>
            </w:r>
          </w:p>
        </w:tc>
      </w:tr>
      <w:tr>
        <w:tc>
          <w:tcPr>
            <w:tcW w:type="dxa" w:w="2160"/>
          </w:tcPr>
          <w:p>
            <w:r>
              <w:t>Hansen Global Forest Change</w:t>
            </w:r>
          </w:p>
        </w:tc>
        <w:tc>
          <w:tcPr>
            <w:tcW w:type="dxa" w:w="2160"/>
          </w:tcPr>
          <w:p>
            <w:r>
              <w:t>Perte forestière annuelle (référence d'étiquetage)</w:t>
            </w:r>
          </w:p>
        </w:tc>
        <w:tc>
          <w:tcPr>
            <w:tcW w:type="dxa" w:w="2160"/>
          </w:tcPr>
          <w:p>
            <w:r>
              <w:t>30 m</w:t>
            </w:r>
          </w:p>
        </w:tc>
        <w:tc>
          <w:tcPr>
            <w:tcW w:type="dxa" w:w="2160"/>
          </w:tcPr>
          <w:p>
            <w:r>
              <w:t>2000-2023</w:t>
            </w:r>
          </w:p>
        </w:tc>
      </w:tr>
      <w:tr>
        <w:tc>
          <w:tcPr>
            <w:tcW w:type="dxa" w:w="2160"/>
          </w:tcPr>
          <w:p>
            <w:r>
              <w:t>SRTM (NASA)</w:t>
            </w:r>
          </w:p>
        </w:tc>
        <w:tc>
          <w:tcPr>
            <w:tcW w:type="dxa" w:w="2160"/>
          </w:tcPr>
          <w:p>
            <w:r>
              <w:t>Modèle numérique de terrain : altitude, pente, exposition</w:t>
            </w:r>
          </w:p>
        </w:tc>
        <w:tc>
          <w:tcPr>
            <w:tcW w:type="dxa" w:w="2160"/>
          </w:tcPr>
          <w:p>
            <w:r>
              <w:t>30 m</w:t>
            </w:r>
          </w:p>
        </w:tc>
        <w:tc>
          <w:tcPr>
            <w:tcW w:type="dxa" w:w="2160"/>
          </w:tcPr>
          <w:p>
            <w:r>
              <w:t>Globale</w:t>
            </w:r>
          </w:p>
        </w:tc>
      </w:tr>
      <w:tr>
        <w:tc>
          <w:tcPr>
            <w:tcW w:type="dxa" w:w="2160"/>
          </w:tcPr>
          <w:p>
            <w:r>
              <w:t>OpenWeatherMap</w:t>
            </w:r>
          </w:p>
        </w:tc>
        <w:tc>
          <w:tcPr>
            <w:tcW w:type="dxa" w:w="2160"/>
          </w:tcPr>
          <w:p>
            <w:r>
              <w:t>Précipitations et températures</w:t>
            </w:r>
          </w:p>
        </w:tc>
        <w:tc>
          <w:tcPr>
            <w:tcW w:type="dxa" w:w="2160"/>
          </w:tcPr>
          <w:p>
            <w:r>
              <w:t>—</w:t>
            </w:r>
          </w:p>
        </w:tc>
        <w:tc>
          <w:tcPr>
            <w:tcW w:type="dxa" w:w="2160"/>
          </w:tcPr>
          <w:p>
            <w:r>
              <w:t>Temps réel</w:t>
            </w:r>
          </w:p>
        </w:tc>
      </w:tr>
    </w:tbl>
    <w:p>
      <w:pPr>
        <w:jc w:val="center"/>
      </w:pPr>
      <w:r>
        <w:rPr>
          <w:b/>
          <w:i w:val="0"/>
          <w:sz w:val="21"/>
        </w:rPr>
        <w:t>Tableau 1 — Sources de données satellitaires et auxiliaires</w:t>
      </w:r>
    </w:p>
    <w:p>
      <w:pPr>
        <w:jc w:val="both"/>
      </w:pPr>
      <w:r>
        <w:rPr>
          <w:b w:val="0"/>
          <w:i w:val="0"/>
          <w:sz w:val="22"/>
        </w:rPr>
        <w:t>Le choix d'une base de données relationnelle répond aux besoins de la couche applicative : intégrité des comptes utilisateurs, traçabilité des signalements et des journaux, et historisation des résultats. Six tables structurent la base ; l'ORM SQLAlchemy en abstrait l'accès et permet le repli transparent de PostgreSQL vers SQLite en environnement de démonstration ou d'intégration continue.</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Rôle</w:t>
            </w:r>
          </w:p>
        </w:tc>
      </w:tr>
      <w:tr>
        <w:tc>
          <w:tcPr>
            <w:tcW w:type="dxa" w:w="4320"/>
          </w:tcPr>
          <w:p>
            <w:r>
              <w:t>users</w:t>
            </w:r>
          </w:p>
        </w:tc>
        <w:tc>
          <w:tcPr>
            <w:tcW w:type="dxa" w:w="4320"/>
          </w:tcPr>
          <w:p>
            <w:r>
              <w:t>Comptes utilisateurs : email unique, mot de passe haché (bcrypt), secret TOTP 2FA, rôle (admin/user), état d'activité.</w:t>
            </w:r>
          </w:p>
        </w:tc>
      </w:tr>
      <w:tr>
        <w:tc>
          <w:tcPr>
            <w:tcW w:type="dxa" w:w="4320"/>
          </w:tcPr>
          <w:p>
            <w:r>
              <w:t>reports</w:t>
            </w:r>
          </w:p>
        </w:tc>
        <w:tc>
          <w:tcPr>
            <w:tcW w:type="dxa" w:w="4320"/>
          </w:tcPr>
          <w:p>
            <w:r>
              <w:t>Signalements citoyens de déforestation : latitude, longitude, description, auteur facultatif, sévérité et statut.</w:t>
            </w:r>
          </w:p>
        </w:tc>
      </w:tr>
      <w:tr>
        <w:tc>
          <w:tcPr>
            <w:tcW w:type="dxa" w:w="4320"/>
          </w:tcPr>
          <w:p>
            <w:r>
              <w:t>analysis_results</w:t>
            </w:r>
          </w:p>
        </w:tc>
        <w:tc>
          <w:tcPr>
            <w:tcW w:type="dxa" w:w="4320"/>
          </w:tcPr>
          <w:p>
            <w:r>
              <w:t>Historisation des statistiques annuelles : forêt totale, perte, taux, modèle utilisé.</w:t>
            </w:r>
          </w:p>
        </w:tc>
      </w:tr>
      <w:tr>
        <w:tc>
          <w:tcPr>
            <w:tcW w:type="dxa" w:w="4320"/>
          </w:tcPr>
          <w:p>
            <w:r>
              <w:t>predictions</w:t>
            </w:r>
          </w:p>
        </w:tc>
        <w:tc>
          <w:tcPr>
            <w:tcW w:type="dxa" w:w="4320"/>
          </w:tcPr>
          <w:p>
            <w:r>
              <w:t>Scores de risque géolocalisés produits par le module de prédiction.</w:t>
            </w:r>
          </w:p>
        </w:tc>
      </w:tr>
      <w:tr>
        <w:tc>
          <w:tcPr>
            <w:tcW w:type="dxa" w:w="4320"/>
          </w:tcPr>
          <w:p>
            <w:r>
              <w:t>model_registry</w:t>
            </w:r>
          </w:p>
        </w:tc>
        <w:tc>
          <w:tcPr>
            <w:tcW w:type="dxa" w:w="4320"/>
          </w:tcPr>
          <w:p>
            <w:r>
              <w:t>Registre des versions de modèles entraînés.</w:t>
            </w:r>
          </w:p>
        </w:tc>
      </w:tr>
      <w:tr>
        <w:tc>
          <w:tcPr>
            <w:tcW w:type="dxa" w:w="4320"/>
          </w:tcPr>
          <w:p>
            <w:r>
              <w:t>api_logs</w:t>
            </w:r>
          </w:p>
        </w:tc>
        <w:tc>
          <w:tcPr>
            <w:tcW w:type="dxa" w:w="4320"/>
          </w:tcPr>
          <w:p>
            <w:r>
              <w:t>Journal transversal des requêtes API : route, méthode, code de statut, horodatage.</w:t>
            </w:r>
          </w:p>
        </w:tc>
      </w:tr>
    </w:tbl>
    <w:p>
      <w:pPr>
        <w:jc w:val="center"/>
      </w:pPr>
      <w:r>
        <w:rPr>
          <w:b/>
          <w:i w:val="0"/>
          <w:sz w:val="21"/>
        </w:rPr>
        <w:t>Tableau 2 — Tables relationnelles de la base de données et rôle</w:t>
      </w:r>
    </w:p>
    <w:p>
      <w:pPr>
        <w:pStyle w:val="Heading2"/>
      </w:pPr>
      <w:r>
        <w:t>2.5 Prétraitement et constitution des jeux de données</w:t>
      </w:r>
    </w:p>
    <w:p>
      <w:pPr>
        <w:jc w:val="both"/>
      </w:pPr>
      <w:r>
        <w:rPr>
          <w:b w:val="0"/>
          <w:i w:val="0"/>
          <w:sz w:val="22"/>
        </w:rPr>
        <w:t>Le prétraitement des images suit la chaîne standard de la télédétection optique en zone équatoriale. Les pixels invalides — nuages, ombres, neige et absences de données — sont d'abord masqués à partir de la bande de classification de scène (SCL) de Sentinel-2, et les images dont moins de trente pour cent des pixels sont exploitables sont écartées. Les images restantes d'une même année sont ensuite composées en une mosaïque médiane calculée sur la saison sèche (juin à septembre), période de moindre nébulosité, ce qui produit un composite annuel à six bandes par pixel. Quatre indices spectraux sont alors calculés de manière vectorisée :</w:t>
      </w:r>
    </w:p>
    <w:p>
      <w:pPr>
        <w:jc w:val="center"/>
      </w:pPr>
      <w:r>
        <w:rPr>
          <w:b w:val="0"/>
          <w:i/>
          <w:sz w:val="23"/>
        </w:rPr>
        <w:t>NDVI = (NIR − Rouge) / (NIR + Rouge)</w:t>
      </w:r>
    </w:p>
    <w:p>
      <w:pPr>
        <w:jc w:val="center"/>
      </w:pPr>
      <w:r>
        <w:rPr>
          <w:b w:val="0"/>
          <w:i/>
          <w:sz w:val="23"/>
        </w:rPr>
        <w:t>EVI = 2,5 × (NIR − Rouge) / (NIR + 6×Rouge − 7,5×Bleu + 1)</w:t>
      </w:r>
    </w:p>
    <w:p>
      <w:pPr>
        <w:jc w:val="center"/>
      </w:pPr>
      <w:r>
        <w:rPr>
          <w:b w:val="0"/>
          <w:i/>
          <w:sz w:val="23"/>
        </w:rPr>
        <w:t>NDWI = (Vert − NIR) / (Vert + NIR)</w:t>
      </w:r>
    </w:p>
    <w:p>
      <w:pPr>
        <w:jc w:val="center"/>
      </w:pPr>
      <w:r>
        <w:rPr>
          <w:b w:val="0"/>
          <w:i/>
          <w:sz w:val="23"/>
        </w:rPr>
        <w:t>NBR = (NIR − SWIR2) / (NIR + SWIR2)</w:t>
      </w:r>
    </w:p>
    <w:p>
      <w:pPr>
        <w:jc w:val="both"/>
      </w:pPr>
      <w:r>
        <w:rPr>
          <w:b w:val="0"/>
          <w:i w:val="0"/>
          <w:sz w:val="22"/>
        </w:rPr>
        <w:t>Chaque pixel est finalement décrit par treize variables : les six bandes spectrales, les quatre indices et trois variables topographiques dérivées du modèle numérique de terrain SRTM (altitude, pente, exposition). Un pipeline PySpark assure le nettoyage et la mise à l'échelle de ces variables en environnement distribué, avec un repli pandas équivalent lorsque Spark n'est pas disponible, ce qui prépare le passage à des zones d'étude plus vastes.</w:t>
      </w:r>
    </w:p>
    <w:p>
      <w:pPr>
        <w:jc w:val="both"/>
      </w:pPr>
      <w:r>
        <w:rPr>
          <w:b w:val="0"/>
          <w:i w:val="0"/>
          <w:sz w:val="22"/>
        </w:rPr>
        <w:t>Deux jeux de données d'apprentissage sont construits à partir de la source active. Le jeu pixel, destiné aux modèles Random Forest et XGBoost, associe à chacun des 65 536 pixels de la grille son vecteur de treize variables et sa classe de couverture. Le jeu tuiles, destiné au U-Net, découpe la zone en 96 tuiles de 128 par 128 pixels à six bandes normalisées, accompagnées de leurs masques de classes. La division entre apprentissage, validation et test vise des proportions de 70, 15 et 15 pour cent ; pour le jeu pixel, elle est réalisée par blocs spatiaux — la grille est découpée en 64 blocs dont chacun est affecté en entier à l'un des trois ensembles — afin d'éviter la fuite d'information géographique induite par l'autocorrélation spatiale des pixels voisins. L'affectation aléatoire des blocs, contrôlée par une graine fixe garantissant la reproductibilité, a produit dans l'exécution de référence 43 008 pixels d'apprentissage, 16 384 de validation et 6 144 de test. Aucune normalisation des variables n'est appliquée pour les modèles à base d'arbres, dont les divisions par seuils sont insensibles à l'échelle ; les bandes sont en revanche normalisées pour le réseau de neurones.</w:t>
      </w:r>
    </w:p>
    <w:p>
      <w:pPr>
        <w:pStyle w:val="Heading2"/>
      </w:pPr>
      <w:r>
        <w:t>2.6 Modélisation de la classification de la couverture du sol</w:t>
      </w:r>
    </w:p>
    <w:p>
      <w:pPr>
        <w:pStyle w:val="Heading3"/>
      </w:pPr>
      <w:r>
        <w:t>2.6.1 Formulation du problème</w:t>
      </w:r>
    </w:p>
    <w:p>
      <w:pPr>
        <w:jc w:val="both"/>
      </w:pPr>
      <w:r>
        <w:rPr>
          <w:b w:val="0"/>
          <w:i w:val="0"/>
          <w:sz w:val="22"/>
        </w:rPr>
        <w:t>La détection de la déforestation est formulée comme un problème de classification supervisée multi-classes : à chaque pixel est associée l'une des cinq classes de couverture du sol, et la perte forestière annuelle se déduit de la comparaison des cartes classifiées successives, les classes forêt dense et forêt dégradée étant comptabilisées comme couvert forestier. Deux formulations complémentaires sont mises en œuvre : une classification pixel à pixel opérant sur les vecteurs de treize variables, et une segmentation sémantique opérant sur les tuiles d'images, qui exploite le contexte spatial. Un troisième problème, binaire, est traité séparément : la prédiction du risque qu'un pixel encore forestier soit déforesté à l'horizon suivant (section 2.7).</w:t>
      </w:r>
    </w:p>
    <w:p>
      <w:pPr>
        <w:pStyle w:val="Heading3"/>
      </w:pPr>
      <w:r>
        <w:t>2.6.2 Fondement mathématique de la forêt aléatoire</w:t>
      </w:r>
    </w:p>
    <w:p>
      <w:pPr>
        <w:jc w:val="both"/>
      </w:pPr>
      <w:r>
        <w:rPr>
          <w:b w:val="0"/>
          <w:i w:val="0"/>
          <w:sz w:val="22"/>
        </w:rPr>
        <w:t>Une forêt aléatoire de classification construit un ensemble de B arbres de décision, chacun entraîné sur un échantillon obtenu par tirage aléatoire avec remise (bootstrap) à partir du jeu d'apprentissage, en ne considérant à chaque division qu'un sous-ensemble aléatoire des variables explicatives. La prédiction finale pour une observation x est la classe majoritaire parmi les prédictions individuelles des arbres :</w:t>
      </w:r>
    </w:p>
    <w:p>
      <w:pPr>
        <w:jc w:val="center"/>
      </w:pPr>
      <w:r>
        <w:rPr>
          <w:b w:val="0"/>
          <w:i/>
          <w:sz w:val="23"/>
        </w:rPr>
        <w:t>f̂(x) = mode{ T1(x), T2(x), …, TB(x) }</w:t>
      </w:r>
    </w:p>
    <w:p>
      <w:pPr>
        <w:jc w:val="both"/>
      </w:pPr>
      <w:r>
        <w:rPr>
          <w:b w:val="0"/>
          <w:i w:val="0"/>
          <w:sz w:val="22"/>
        </w:rPr>
        <w:t>où Tb(x) désigne la classe prédite par l'arbre b. Ce mécanisme d'agrégation réduit la variance du modèle par rapport à un arbre unique, sujet au surapprentissage. L'implémentation retenue utilise B = 200 arbres d'une profondeur maximale de 15, avec une graine aléatoire fixe garantissant la reproductibilité. L'importance de chaque variable peut être estimée par la réduction moyenne d'impureté qu'elle procure sur l'ensemble des divisions où elle intervient, ce qui fournit une lecture interprétable de la contribution des bandes, des indices et de la topographie à la décision.</w:t>
      </w:r>
    </w:p>
    <w:p>
      <w:pPr>
        <w:pStyle w:val="Heading3"/>
      </w:pPr>
      <w:r>
        <w:t>2.6.3 Fondement mathématique du gradient boosting (XGBoost)</w:t>
      </w:r>
    </w:p>
    <w:p>
      <w:pPr>
        <w:jc w:val="both"/>
      </w:pPr>
      <w:r>
        <w:rPr>
          <w:b w:val="0"/>
          <w:i w:val="0"/>
          <w:sz w:val="22"/>
        </w:rPr>
        <w:t>Le gradient boosting construit le classifieur de manière additive et séquentielle : à chaque itération m, un nouvel arbre hm est ajusté sur le gradient de la fonction de perte évaluée sur les prédictions courantes, puis ajouté au modèle avec un taux d'apprentissage η qui contrôle la vitesse de convergence :</w:t>
      </w:r>
    </w:p>
    <w:p>
      <w:pPr>
        <w:jc w:val="center"/>
      </w:pPr>
      <w:r>
        <w:rPr>
          <w:b w:val="0"/>
          <w:i/>
          <w:sz w:val="23"/>
        </w:rPr>
        <w:t>Fm(x) = Fm−1(x) + η × hm(x)</w:t>
      </w:r>
    </w:p>
    <w:p>
      <w:pPr>
        <w:jc w:val="both"/>
      </w:pPr>
      <w:r>
        <w:rPr>
          <w:b w:val="0"/>
          <w:i w:val="0"/>
          <w:sz w:val="22"/>
        </w:rPr>
        <w:t>L'implémentation XGBoost y ajoute une régularisation explicite de la complexité des arbres et des optimisations de calcul. La configuration retenue utilise 200 arbres de profondeur maximale 10, un taux d'apprentissage de 0,1 et un sous-échantillonnage de 80 pour cent des observations et des variables à chaque arbre, qui limite le surapprentissage. En l'absence de la bibliothèque XGBoost, le système se replie automatiquement sur l'implémentation de gradient boosting de scikit-learn, au prix de performances moindres mais sans rupture de service.</w:t>
      </w:r>
    </w:p>
    <w:p>
      <w:pPr>
        <w:pStyle w:val="Heading3"/>
      </w:pPr>
      <w:r>
        <w:t>2.6.4 Architecture U-Net pour la segmentation sémantique</w:t>
      </w:r>
    </w:p>
    <w:p>
      <w:pPr>
        <w:jc w:val="both"/>
      </w:pPr>
      <w:r>
        <w:rPr>
          <w:b w:val="0"/>
          <w:i w:val="0"/>
          <w:sz w:val="22"/>
        </w:rPr>
        <w:t>Le U-Net implémenté prend en entrée des tuiles de 128 par 128 pixels à six bandes et produit en sortie une carte de probabilités par classe à la même résolution. L'encodeur enchaîne quatre niveaux de double convolution (32, 64, 128 puis 256 filtres) séparés par des sous-échantillonnages, jusqu'à un goulot de 512 filtres ; le décodeur remonte symétriquement par convolutions transposées, chaque niveau étant concaténé à la sortie correspondante de l'encodeur par une connexion de saut. L'entraînement minimise l'entropie croisée catégorielle avec l'optimiseur Adam. Un choix d'ingénierie important a été fait pour la robustesse du système : lorsque TensorFlow n'est pas disponible dans l'environnement d'exécution, une implémentation de repli fondée sur l'affectation au centroïde spectral le plus proche offre la même interface d'entraînement et de prédiction, ce qui garantit que la chaîne complète et les interfaces restent fonctionnelles.</w:t>
      </w:r>
    </w:p>
    <w:p>
      <w:pPr>
        <w:pStyle w:val="Heading3"/>
      </w:pPr>
      <w:r>
        <w:t>2.6.5 Comparaison de modèles et justification du choix</w:t>
      </w:r>
    </w:p>
    <w:p>
      <w:pPr>
        <w:jc w:val="both"/>
      </w:pPr>
      <w:r>
        <w:rPr>
          <w:b w:val="0"/>
          <w:i w:val="0"/>
          <w:sz w:val="22"/>
        </w:rPr>
        <w:t>Conformément à l'exigence de comparaison et de justification méthodologique attendue pour un projet de Data Science, les trois modèles ont été entraînés et évalués selon un protocole strictement identique : mêmes jeux de données, même découpage spatial, mêmes métriques — exactitude, précision et rappel macro, F1-macro, et IoU moyen défini comme la moyenne par classe du rapport de l'intersection à l'union entre prédiction et référence. Les résultats détaillés sont présentés et discutés au chapitre 3 ; le tableau ci-dessous en donne la synthèse pour l'exécution de référence.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Modèle</w:t>
            </w:r>
          </w:p>
        </w:tc>
        <w:tc>
          <w:tcPr>
            <w:tcW w:type="dxa" w:w="1440"/>
          </w:tcPr>
          <w:p>
            <w:r>
              <w:rPr>
                <w:b/>
              </w:rPr>
              <w:t>Exactitude</w:t>
            </w:r>
          </w:p>
        </w:tc>
        <w:tc>
          <w:tcPr>
            <w:tcW w:type="dxa" w:w="1440"/>
          </w:tcPr>
          <w:p>
            <w:r>
              <w:rPr>
                <w:b/>
              </w:rPr>
              <w:t>Précision macro</w:t>
            </w:r>
          </w:p>
        </w:tc>
        <w:tc>
          <w:tcPr>
            <w:tcW w:type="dxa" w:w="1440"/>
          </w:tcPr>
          <w:p>
            <w:r>
              <w:rPr>
                <w:b/>
              </w:rPr>
              <w:t>Rappel macro</w:t>
            </w:r>
          </w:p>
        </w:tc>
        <w:tc>
          <w:tcPr>
            <w:tcW w:type="dxa" w:w="1440"/>
          </w:tcPr>
          <w:p>
            <w:r>
              <w:rPr>
                <w:b/>
              </w:rPr>
              <w:t>F1-macro</w:t>
            </w:r>
          </w:p>
        </w:tc>
        <w:tc>
          <w:tcPr>
            <w:tcW w:type="dxa" w:w="1440"/>
          </w:tcPr>
          <w:p>
            <w:r>
              <w:rPr>
                <w:b/>
              </w:rPr>
              <w:t>IoU moyen</w:t>
            </w:r>
          </w:p>
        </w:tc>
      </w:tr>
      <w:tr>
        <w:tc>
          <w:tcPr>
            <w:tcW w:type="dxa" w:w="1440"/>
          </w:tcPr>
          <w:p>
            <w:r>
              <w:t>XGBoost (retenu)</w:t>
            </w:r>
          </w:p>
        </w:tc>
        <w:tc>
          <w:tcPr>
            <w:tcW w:type="dxa" w:w="1440"/>
          </w:tcPr>
          <w:p>
            <w:r>
              <w:t>0,9761</w:t>
            </w:r>
          </w:p>
        </w:tc>
        <w:tc>
          <w:tcPr>
            <w:tcW w:type="dxa" w:w="1440"/>
          </w:tcPr>
          <w:p>
            <w:r>
              <w:t>0,8802</w:t>
            </w:r>
          </w:p>
        </w:tc>
        <w:tc>
          <w:tcPr>
            <w:tcW w:type="dxa" w:w="1440"/>
          </w:tcPr>
          <w:p>
            <w:r>
              <w:t>0,9178</w:t>
            </w:r>
          </w:p>
        </w:tc>
        <w:tc>
          <w:tcPr>
            <w:tcW w:type="dxa" w:w="1440"/>
          </w:tcPr>
          <w:p>
            <w:r>
              <w:t>0,8940</w:t>
            </w:r>
          </w:p>
        </w:tc>
        <w:tc>
          <w:tcPr>
            <w:tcW w:type="dxa" w:w="1440"/>
          </w:tcPr>
          <w:p>
            <w:r>
              <w:t>0,8218</w:t>
            </w:r>
          </w:p>
        </w:tc>
      </w:tr>
      <w:tr>
        <w:tc>
          <w:tcPr>
            <w:tcW w:type="dxa" w:w="1440"/>
          </w:tcPr>
          <w:p>
            <w:r>
              <w:t>RandomForest</w:t>
            </w:r>
          </w:p>
        </w:tc>
        <w:tc>
          <w:tcPr>
            <w:tcW w:type="dxa" w:w="1440"/>
          </w:tcPr>
          <w:p>
            <w:r>
              <w:t>0,9746</w:t>
            </w:r>
          </w:p>
        </w:tc>
        <w:tc>
          <w:tcPr>
            <w:tcW w:type="dxa" w:w="1440"/>
          </w:tcPr>
          <w:p>
            <w:r>
              <w:t>0,8748</w:t>
            </w:r>
          </w:p>
        </w:tc>
        <w:tc>
          <w:tcPr>
            <w:tcW w:type="dxa" w:w="1440"/>
          </w:tcPr>
          <w:p>
            <w:r>
              <w:t>0,9153</w:t>
            </w:r>
          </w:p>
        </w:tc>
        <w:tc>
          <w:tcPr>
            <w:tcW w:type="dxa" w:w="1440"/>
          </w:tcPr>
          <w:p>
            <w:r>
              <w:t>0,8889</w:t>
            </w:r>
          </w:p>
        </w:tc>
        <w:tc>
          <w:tcPr>
            <w:tcW w:type="dxa" w:w="1440"/>
          </w:tcPr>
          <w:p>
            <w:r>
              <w:t>0,8144</w:t>
            </w:r>
          </w:p>
        </w:tc>
      </w:tr>
      <w:tr>
        <w:tc>
          <w:tcPr>
            <w:tcW w:type="dxa" w:w="1440"/>
          </w:tcPr>
          <w:p>
            <w:r>
              <w:t>U-Net (repli centroïdes)</w:t>
            </w:r>
          </w:p>
        </w:tc>
        <w:tc>
          <w:tcPr>
            <w:tcW w:type="dxa" w:w="1440"/>
          </w:tcPr>
          <w:p>
            <w:r>
              <w:t>0,9014</w:t>
            </w:r>
          </w:p>
        </w:tc>
        <w:tc>
          <w:tcPr>
            <w:tcW w:type="dxa" w:w="1440"/>
          </w:tcPr>
          <w:p>
            <w:r>
              <w:t>0,7198</w:t>
            </w:r>
          </w:p>
        </w:tc>
        <w:tc>
          <w:tcPr>
            <w:tcW w:type="dxa" w:w="1440"/>
          </w:tcPr>
          <w:p>
            <w:r>
              <w:t>0,9001</w:t>
            </w:r>
          </w:p>
        </w:tc>
        <w:tc>
          <w:tcPr>
            <w:tcW w:type="dxa" w:w="1440"/>
          </w:tcPr>
          <w:p>
            <w:r>
              <w:t>0,7384</w:t>
            </w:r>
          </w:p>
        </w:tc>
        <w:tc>
          <w:tcPr>
            <w:tcW w:type="dxa" w:w="1440"/>
          </w:tcPr>
          <w:p>
            <w:r>
              <w:t>0,6631</w:t>
            </w:r>
          </w:p>
        </w:tc>
      </w:tr>
    </w:tbl>
    <w:p>
      <w:pPr>
        <w:jc w:val="center"/>
      </w:pPr>
      <w:r>
        <w:rPr>
          <w:b/>
          <w:i w:val="0"/>
          <w:sz w:val="21"/>
        </w:rPr>
        <w:t>Tableau 3 — Comparaison des modèles de classification (protocole identique, mêmes données)</w:t>
      </w:r>
    </w:p>
    <w:p>
      <w:pPr>
        <w:jc w:val="both"/>
      </w:pPr>
      <w:r>
        <w:rPr>
          <w:b w:val="0"/>
          <w:i w:val="0"/>
          <w:sz w:val="22"/>
        </w:rPr>
        <w:t>Le modèle XGBoost a été retenu comme modèle de production : il domine la comparaison sur l'ensemble des métriques tout en conservant un coût d'entraînement et d'inférence modéré, compatible avec un ré-entraînement régulier sur des données nouvelles. La forêt aléatoire, aux performances très proches, est conservée comme modèle de référence interprétable. La position du U-Net dans ce classement doit être lue avec précaution : dans l'exécution de référence, TensorFlow n'étant pas installé, c'est l'implémentation de repli par centroïdes spectraux qui a été évaluée sous ce nom, et non le réseau complet ; ce point est discuté avec transparence au chapitre 3.</w:t>
      </w:r>
    </w:p>
    <w:p>
      <w:pPr>
        <w:pStyle w:val="Heading2"/>
      </w:pPr>
      <w:r>
        <w:t>2.7 Prédiction du risque et modules d'analyse dérivés</w:t>
      </w:r>
    </w:p>
    <w:p>
      <w:pPr>
        <w:jc w:val="both"/>
      </w:pPr>
      <w:r>
        <w:rPr>
          <w:b w:val="0"/>
          <w:i w:val="0"/>
          <w:sz w:val="22"/>
        </w:rPr>
        <w:t>Le module de prédiction du risque formule un problème binaire : pour chaque pixel encore forestier, prédire s'il sera déforesté à l'horizon temporel suivant. Conformément au constat empirique d'une déforestation pilotée par l'accessibilité, six variables explicatives sont retenues : la distance à la route la plus proche, la distance au village le plus proche, la distance au front de déforestation existant, la pente, l'altitude et le taux de déforestation du voisinage immédiat. Un classifieur de gradient boosting est entraîné sur les pixels forestiers de l'avant-dernière année, étiquetés selon leur devenir l'année suivante ; dans l'exécution de référence, il atteint une exactitude d'apprentissage de 0,8699 avec 4 648 pixels positifs. La probabilité prédite, ramenée sur une échelle de 0 à 100, produit la carte de risque exposée aux interfaces. Il convient de préciser que la carte servie en l'état par l'API repose sur une heuristique de distance au front calculée sur la série active, le modèle binaire entraîné étant sérialisé séparément ; leur unification est identifiée comme un axe d'amélioration.</w:t>
      </w:r>
    </w:p>
    <w:p>
      <w:pPr>
        <w:jc w:val="both"/>
      </w:pPr>
      <w:r>
        <w:rPr>
          <w:b w:val="0"/>
          <w:i w:val="0"/>
          <w:sz w:val="22"/>
        </w:rPr>
        <w:t>Trois modules d'analyse traduisent ensuite les cartes en indicateurs actionnables. Le moteur d'alertes découpe la zone en 64 secteurs et compare, d'une année à l'autre, la surface forestière de chaque secteur : toute perte supérieure à un seuil de 400 hectares déclenche une alerte géolocalisée au centre du secteur, classée modérée, élevée ou critique selon que la perte dépasse une fois, une fois et demie ou trois fois le seuil ; un digest peut être expédié par courrier électronique aux gestionnaires. Le module carbone convertit la perte forestière en émissions selon la relation :</w:t>
      </w:r>
    </w:p>
    <w:p>
      <w:pPr>
        <w:jc w:val="center"/>
      </w:pPr>
      <w:r>
        <w:rPr>
          <w:b w:val="0"/>
          <w:i/>
          <w:sz w:val="23"/>
        </w:rPr>
        <w:t>E(CO2) = S × AGB × CF × (44 / 12)</w:t>
      </w:r>
    </w:p>
    <w:p>
      <w:pPr>
        <w:jc w:val="both"/>
      </w:pPr>
      <w:r>
        <w:rPr>
          <w:b w:val="0"/>
          <w:i w:val="0"/>
          <w:sz w:val="22"/>
        </w:rPr>
        <w:t>où S est la surface déforestée en hectares, AGB la biomasse aérienne moyenne d'une forêt tropicale humide du Bassin du Congo, fixée à 310 tonnes par hectare selon la valeur médiane de la littérature, CF la fraction de carbone de la biomasse (0,47 selon les lignes directrices du GIEC) et 44/12 le rapport des masses molaires du CO2 et du carbone, soit environ 534 tonnes de CO2 par hectare détruit. Des équivalences parlantes (voitures, arbres) accompagnent la restitution, afin de parler le langage de la finance climat. Enfin, le module radar exploite les bandes de rétrodiffusion VV et VH de Sentinel-1, insensibles à la nébulosité, pour quantifier la part de la zone observable au radar lorsque l'optique est aveuglée par les nuages, atout décisif en zone équatoriale.</w:t>
      </w:r>
    </w:p>
    <w:p>
      <w:pPr>
        <w:pStyle w:val="Heading2"/>
      </w:pPr>
      <w:r>
        <w:t>2.8 Sécurité et authentification</w:t>
      </w:r>
    </w:p>
    <w:p>
      <w:pPr>
        <w:jc w:val="both"/>
      </w:pPr>
      <w:r>
        <w:rPr>
          <w:b w:val="0"/>
          <w:i w:val="0"/>
          <w:sz w:val="22"/>
        </w:rPr>
        <w:t>L'authentification des utilisateurs repose sur trois mécanismes complémentaires. Les mots de passe ne sont jamais stockés en clair : ils sont hachés au moyen de la bibliothèque bcrypt avant insertion en base, la vérification s'effectuant par comparaison de hachés. Les sessions reposent sur des jetons JWT signés selon l'algorithme HS256 : un jeton d'accès d'une durée de vie de soixante minutes et un jeton de rafraîchissement de sept jours, ce dernier permettant de renouveler l'accès sans ressaisie du mot de passe. Un second facteur d'authentification est implémenté selon le standard TOTP au moyen de la bibliothèque PyOTP : un secret est généré à l'inscription et restitué sous forme d'URI de provisionnement compatible avec les applications d'authentification usuelles, et le code à usage unique est vérifié côté serveur avec une fenêtre de tolérance d'un intervalle. L'accès aux ressources sensibles — gestion des utilisateurs, journaux, bascule de source, notifications — est restreint au rôle administrateur par une dépendance dédiée, et chaque requête est journalisée en base à des fins d'audit.</w:t>
      </w:r>
    </w:p>
    <w:p>
      <w:pPr>
        <w:jc w:val="both"/>
      </w:pPr>
      <w:r>
        <w:rPr>
          <w:b w:val="0"/>
          <w:i w:val="0"/>
          <w:sz w:val="22"/>
        </w:rPr>
        <w:t>Cette implémentation constitue une base de sécurité solide pour un projet académique, mais présente des limites qu'il convient de mentionner avec transparence. La politique CORS de l'API autorise en l'état toutes les origines, configuration commode en développement mais à restreindre par liste blanche avant toute mise en production. Le secret de signature des jetons JWT est défini par une valeur par défaut explicite dans la configuration d'exemple, à remplacer impérativement par un secret robuste en production. Enfin, le mode démonstration provisionne un compte administrateur par défaut et le tableau de bord accepte, dans ce mode, un code à usage unique fixe ; ces facilités de démonstration doivent être désactivées hors de ce cadre. Ces éléments sont repris dans la section consacrée aux limites de l'étude.</w:t>
      </w:r>
    </w:p>
    <w:p>
      <w:pPr>
        <w:pStyle w:val="Heading2"/>
      </w:pPr>
      <w:r>
        <w:t>2.9 Outils et techniques</w:t>
      </w:r>
    </w:p>
    <w:p>
      <w:pPr>
        <w:jc w:val="both"/>
      </w:pPr>
      <w:r>
        <w:rPr>
          <w:b w:val="0"/>
          <w:i w:val="0"/>
          <w:sz w:val="22"/>
        </w:rPr>
        <w:t>Le développement s'appuie sur le langage Python 3.11. Le backend utilise le framework FastAPI, retenu pour ses performances asynchrones, sa documentation interactive générée automatiquement et la validation de données par Pydantic ; la persistance repose sur PostgreSQL via l'ORM SQLAlchemy, avec repli SQLite. La modélisation utilise scikit-learn (RandomForestClassifier, métriques), XGBoost et TensorFlow/Keras pour le U-Net, les modèles étant sérialisés avec joblib ; le prétraitement distribué s'appuie sur PySpark et la manipulation d'images satellitaires sur rasterio et l'API Python de Google Earth Engine. Les interfaces utilisent Streamlit et Plotly pour le tableau de bord analytique, et React avec Vite et Tailwind CSS pour le frontend public. La sécurité repose sur bcrypt, PyJWT et PyOTP. L'ensemble est conteneurisé avec Docker et docker-compose, versionné avec Git, et couvert par une suite d'environ cinquante tests pytest répartis en six modules (prétraitement, modèles, API, alertes, impact, sources de données), exécutée à chaque modification par une chaîne d'intégration continue GitHub Actions qui y ajoute une analyse statique et la construction du frontend.</w:t>
      </w:r>
    </w:p>
    <w:p>
      <w:r>
        <w:br w:type="page"/>
      </w:r>
    </w:p>
    <w:p>
      <w:pPr>
        <w:pStyle w:val="Heading1"/>
      </w:pPr>
      <w:r>
        <w:t>3. RÉSULTATS, DISCUSSION ET CONCLUSION</w:t>
      </w:r>
    </w:p>
    <w:p>
      <w:pPr>
        <w:pStyle w:val="Heading2"/>
      </w:pPr>
      <w:r>
        <w:t>3.1 Présentation des résultats</w:t>
      </w:r>
    </w:p>
    <w:p>
      <w:pPr>
        <w:jc w:val="both"/>
      </w:pPr>
      <w:r>
        <w:rPr>
          <w:b w:val="0"/>
          <w:i w:val="0"/>
          <w:sz w:val="22"/>
        </w:rPr>
        <w:t>Cette section présente les résultats obtenus à l'issue de l'exécution de référence de la chaîne complète — génération des données, entraînement et évaluation des modèles décrits au chapitre précédent. Une précision méthodologique s'impose d'emblée : cette exécution a été conduite en mode démonstration, sur des données synthétiques réalistes reproduisant la dynamique d'un front de déforestation agricole progressant depuis les villages et les routes de la zone d'étude. Les chiffres présentés valident donc la chaîne de traitement de bout en bout et la cohérence méthodologique du dispositif, mais ne décrivent pas l'état réel de la forêt du Mai-Ndombe ; leur confirmation sur images Sentinel-2 réelles constitue la première perspective de ce travail.</w:t>
      </w:r>
    </w:p>
    <w:p>
      <w:pPr>
        <w:pStyle w:val="Heading3"/>
      </w:pPr>
      <w:r>
        <w:t>3.1.1 Dynamique de la couverture forestière simulée</w:t>
      </w:r>
    </w:p>
    <w:p>
      <w:pPr>
        <w:jc w:val="both"/>
      </w:pPr>
      <w:r>
        <w:rPr>
          <w:b w:val="0"/>
          <w:i w:val="0"/>
          <w:sz w:val="22"/>
        </w:rPr>
        <w:t>Le scénario simulé fait passer le couvert forestier de la zone d'étude de 224 945 hectares en 2015 à 46 040 hectares en 2025, soit une perte cumulée d'environ 178 906 hectares. Ce scénario, volontairement accéléré par rapport aux taux observés dans la région, joue le rôle d'un test de charge : il garantit que chaque maillon — classification, statistiques, alertes, carbone, risque — réagit correctement à une dynamique marquée et produit des indicateurs cohérents entre eux.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Année</w:t>
            </w:r>
          </w:p>
        </w:tc>
        <w:tc>
          <w:tcPr>
            <w:tcW w:type="dxa" w:w="2160"/>
          </w:tcPr>
          <w:p>
            <w:r>
              <w:rPr>
                <w:b/>
              </w:rPr>
              <w:t>Forêt totale (ha)</w:t>
            </w:r>
          </w:p>
        </w:tc>
        <w:tc>
          <w:tcPr>
            <w:tcW w:type="dxa" w:w="2160"/>
          </w:tcPr>
          <w:p>
            <w:r>
              <w:rPr>
                <w:b/>
              </w:rPr>
              <w:t>Perte annuelle (ha)</w:t>
            </w:r>
          </w:p>
        </w:tc>
        <w:tc>
          <w:tcPr>
            <w:tcW w:type="dxa" w:w="2160"/>
          </w:tcPr>
          <w:p>
            <w:r>
              <w:rPr>
                <w:b/>
              </w:rPr>
              <w:t>Taux de perte (%)</w:t>
            </w:r>
          </w:p>
        </w:tc>
      </w:tr>
      <w:tr>
        <w:tc>
          <w:tcPr>
            <w:tcW w:type="dxa" w:w="2160"/>
          </w:tcPr>
          <w:p>
            <w:r>
              <w:t>2015</w:t>
            </w:r>
          </w:p>
        </w:tc>
        <w:tc>
          <w:tcPr>
            <w:tcW w:type="dxa" w:w="2160"/>
          </w:tcPr>
          <w:p>
            <w:r>
              <w:t>224 945</w:t>
            </w:r>
          </w:p>
        </w:tc>
        <w:tc>
          <w:tcPr>
            <w:tcW w:type="dxa" w:w="2160"/>
          </w:tcPr>
          <w:p>
            <w:r>
              <w:t>0</w:t>
            </w:r>
          </w:p>
        </w:tc>
        <w:tc>
          <w:tcPr>
            <w:tcW w:type="dxa" w:w="2160"/>
          </w:tcPr>
          <w:p>
            <w:r>
              <w:t>0,00</w:t>
            </w:r>
          </w:p>
        </w:tc>
      </w:tr>
      <w:tr>
        <w:tc>
          <w:tcPr>
            <w:tcW w:type="dxa" w:w="2160"/>
          </w:tcPr>
          <w:p>
            <w:r>
              <w:t>2016</w:t>
            </w:r>
          </w:p>
        </w:tc>
        <w:tc>
          <w:tcPr>
            <w:tcW w:type="dxa" w:w="2160"/>
          </w:tcPr>
          <w:p>
            <w:r>
              <w:t>213 421</w:t>
            </w:r>
          </w:p>
        </w:tc>
        <w:tc>
          <w:tcPr>
            <w:tcW w:type="dxa" w:w="2160"/>
          </w:tcPr>
          <w:p>
            <w:r>
              <w:t>11 524</w:t>
            </w:r>
          </w:p>
        </w:tc>
        <w:tc>
          <w:tcPr>
            <w:tcW w:type="dxa" w:w="2160"/>
          </w:tcPr>
          <w:p>
            <w:r>
              <w:t>5,12</w:t>
            </w:r>
          </w:p>
        </w:tc>
      </w:tr>
      <w:tr>
        <w:tc>
          <w:tcPr>
            <w:tcW w:type="dxa" w:w="2160"/>
          </w:tcPr>
          <w:p>
            <w:r>
              <w:t>2017</w:t>
            </w:r>
          </w:p>
        </w:tc>
        <w:tc>
          <w:tcPr>
            <w:tcW w:type="dxa" w:w="2160"/>
          </w:tcPr>
          <w:p>
            <w:r>
              <w:t>197 990</w:t>
            </w:r>
          </w:p>
        </w:tc>
        <w:tc>
          <w:tcPr>
            <w:tcW w:type="dxa" w:w="2160"/>
          </w:tcPr>
          <w:p>
            <w:r>
              <w:t>15 430</w:t>
            </w:r>
          </w:p>
        </w:tc>
        <w:tc>
          <w:tcPr>
            <w:tcW w:type="dxa" w:w="2160"/>
          </w:tcPr>
          <w:p>
            <w:r>
              <w:t>7,23</w:t>
            </w:r>
          </w:p>
        </w:tc>
      </w:tr>
      <w:tr>
        <w:tc>
          <w:tcPr>
            <w:tcW w:type="dxa" w:w="2160"/>
          </w:tcPr>
          <w:p>
            <w:r>
              <w:t>2018</w:t>
            </w:r>
          </w:p>
        </w:tc>
        <w:tc>
          <w:tcPr>
            <w:tcW w:type="dxa" w:w="2160"/>
          </w:tcPr>
          <w:p>
            <w:r>
              <w:t>179 718</w:t>
            </w:r>
          </w:p>
        </w:tc>
        <w:tc>
          <w:tcPr>
            <w:tcW w:type="dxa" w:w="2160"/>
          </w:tcPr>
          <w:p>
            <w:r>
              <w:t>18 272</w:t>
            </w:r>
          </w:p>
        </w:tc>
        <w:tc>
          <w:tcPr>
            <w:tcW w:type="dxa" w:w="2160"/>
          </w:tcPr>
          <w:p>
            <w:r>
              <w:t>9,23</w:t>
            </w:r>
          </w:p>
        </w:tc>
      </w:tr>
      <w:tr>
        <w:tc>
          <w:tcPr>
            <w:tcW w:type="dxa" w:w="2160"/>
          </w:tcPr>
          <w:p>
            <w:r>
              <w:t>2019</w:t>
            </w:r>
          </w:p>
        </w:tc>
        <w:tc>
          <w:tcPr>
            <w:tcW w:type="dxa" w:w="2160"/>
          </w:tcPr>
          <w:p>
            <w:r>
              <w:t>158 668</w:t>
            </w:r>
          </w:p>
        </w:tc>
        <w:tc>
          <w:tcPr>
            <w:tcW w:type="dxa" w:w="2160"/>
          </w:tcPr>
          <w:p>
            <w:r>
              <w:t>21 050</w:t>
            </w:r>
          </w:p>
        </w:tc>
        <w:tc>
          <w:tcPr>
            <w:tcW w:type="dxa" w:w="2160"/>
          </w:tcPr>
          <w:p>
            <w:r>
              <w:t>11,71</w:t>
            </w:r>
          </w:p>
        </w:tc>
      </w:tr>
      <w:tr>
        <w:tc>
          <w:tcPr>
            <w:tcW w:type="dxa" w:w="2160"/>
          </w:tcPr>
          <w:p>
            <w:r>
              <w:t>2020</w:t>
            </w:r>
          </w:p>
        </w:tc>
        <w:tc>
          <w:tcPr>
            <w:tcW w:type="dxa" w:w="2160"/>
          </w:tcPr>
          <w:p>
            <w:r>
              <w:t>137 794</w:t>
            </w:r>
          </w:p>
        </w:tc>
        <w:tc>
          <w:tcPr>
            <w:tcW w:type="dxa" w:w="2160"/>
          </w:tcPr>
          <w:p>
            <w:r>
              <w:t>20 874</w:t>
            </w:r>
          </w:p>
        </w:tc>
        <w:tc>
          <w:tcPr>
            <w:tcW w:type="dxa" w:w="2160"/>
          </w:tcPr>
          <w:p>
            <w:r>
              <w:t>13,16</w:t>
            </w:r>
          </w:p>
        </w:tc>
      </w:tr>
      <w:tr>
        <w:tc>
          <w:tcPr>
            <w:tcW w:type="dxa" w:w="2160"/>
          </w:tcPr>
          <w:p>
            <w:r>
              <w:t>2021</w:t>
            </w:r>
          </w:p>
        </w:tc>
        <w:tc>
          <w:tcPr>
            <w:tcW w:type="dxa" w:w="2160"/>
          </w:tcPr>
          <w:p>
            <w:r>
              <w:t>116 100</w:t>
            </w:r>
          </w:p>
        </w:tc>
        <w:tc>
          <w:tcPr>
            <w:tcW w:type="dxa" w:w="2160"/>
          </w:tcPr>
          <w:p>
            <w:r>
              <w:t>21 694</w:t>
            </w:r>
          </w:p>
        </w:tc>
        <w:tc>
          <w:tcPr>
            <w:tcW w:type="dxa" w:w="2160"/>
          </w:tcPr>
          <w:p>
            <w:r>
              <w:t>15,74</w:t>
            </w:r>
          </w:p>
        </w:tc>
      </w:tr>
      <w:tr>
        <w:tc>
          <w:tcPr>
            <w:tcW w:type="dxa" w:w="2160"/>
          </w:tcPr>
          <w:p>
            <w:r>
              <w:t>2022</w:t>
            </w:r>
          </w:p>
        </w:tc>
        <w:tc>
          <w:tcPr>
            <w:tcW w:type="dxa" w:w="2160"/>
          </w:tcPr>
          <w:p>
            <w:r>
              <w:t>95 894</w:t>
            </w:r>
          </w:p>
        </w:tc>
        <w:tc>
          <w:tcPr>
            <w:tcW w:type="dxa" w:w="2160"/>
          </w:tcPr>
          <w:p>
            <w:r>
              <w:t>20 206</w:t>
            </w:r>
          </w:p>
        </w:tc>
        <w:tc>
          <w:tcPr>
            <w:tcW w:type="dxa" w:w="2160"/>
          </w:tcPr>
          <w:p>
            <w:r>
              <w:t>17,40</w:t>
            </w:r>
          </w:p>
        </w:tc>
      </w:tr>
      <w:tr>
        <w:tc>
          <w:tcPr>
            <w:tcW w:type="dxa" w:w="2160"/>
          </w:tcPr>
          <w:p>
            <w:r>
              <w:t>2023</w:t>
            </w:r>
          </w:p>
        </w:tc>
        <w:tc>
          <w:tcPr>
            <w:tcW w:type="dxa" w:w="2160"/>
          </w:tcPr>
          <w:p>
            <w:r>
              <w:t>76 870</w:t>
            </w:r>
          </w:p>
        </w:tc>
        <w:tc>
          <w:tcPr>
            <w:tcW w:type="dxa" w:w="2160"/>
          </w:tcPr>
          <w:p>
            <w:r>
              <w:t>19 024</w:t>
            </w:r>
          </w:p>
        </w:tc>
        <w:tc>
          <w:tcPr>
            <w:tcW w:type="dxa" w:w="2160"/>
          </w:tcPr>
          <w:p>
            <w:r>
              <w:t>19,84</w:t>
            </w:r>
          </w:p>
        </w:tc>
      </w:tr>
      <w:tr>
        <w:tc>
          <w:tcPr>
            <w:tcW w:type="dxa" w:w="2160"/>
          </w:tcPr>
          <w:p>
            <w:r>
              <w:t>2024</w:t>
            </w:r>
          </w:p>
        </w:tc>
        <w:tc>
          <w:tcPr>
            <w:tcW w:type="dxa" w:w="2160"/>
          </w:tcPr>
          <w:p>
            <w:r>
              <w:t>60 265</w:t>
            </w:r>
          </w:p>
        </w:tc>
        <w:tc>
          <w:tcPr>
            <w:tcW w:type="dxa" w:w="2160"/>
          </w:tcPr>
          <w:p>
            <w:r>
              <w:t>16 605</w:t>
            </w:r>
          </w:p>
        </w:tc>
        <w:tc>
          <w:tcPr>
            <w:tcW w:type="dxa" w:w="2160"/>
          </w:tcPr>
          <w:p>
            <w:r>
              <w:t>21,60</w:t>
            </w:r>
          </w:p>
        </w:tc>
      </w:tr>
      <w:tr>
        <w:tc>
          <w:tcPr>
            <w:tcW w:type="dxa" w:w="2160"/>
          </w:tcPr>
          <w:p>
            <w:r>
              <w:t>2025</w:t>
            </w:r>
          </w:p>
        </w:tc>
        <w:tc>
          <w:tcPr>
            <w:tcW w:type="dxa" w:w="2160"/>
          </w:tcPr>
          <w:p>
            <w:r>
              <w:t>46 040</w:t>
            </w:r>
          </w:p>
        </w:tc>
        <w:tc>
          <w:tcPr>
            <w:tcW w:type="dxa" w:w="2160"/>
          </w:tcPr>
          <w:p>
            <w:r>
              <w:t>14 225</w:t>
            </w:r>
          </w:p>
        </w:tc>
        <w:tc>
          <w:tcPr>
            <w:tcW w:type="dxa" w:w="2160"/>
          </w:tcPr>
          <w:p>
            <w:r>
              <w:t>23,60</w:t>
            </w:r>
          </w:p>
        </w:tc>
      </w:tr>
    </w:tbl>
    <w:p>
      <w:pPr>
        <w:jc w:val="center"/>
      </w:pPr>
      <w:r>
        <w:rPr>
          <w:b/>
          <w:i w:val="0"/>
          <w:sz w:val="21"/>
        </w:rPr>
        <w:t>Tableau 4 — Évolution simulée de la couverture forestière (2015-2025, mode démonstration)</w:t>
      </w:r>
    </w:p>
    <w:p>
      <w:pPr>
        <w:pStyle w:val="Heading3"/>
      </w:pPr>
      <w:r>
        <w:t>3.1.2 Performance des modèles de classification</w:t>
      </w:r>
    </w:p>
    <w:p>
      <w:pPr>
        <w:jc w:val="both"/>
      </w:pPr>
      <w:r>
        <w:rPr>
          <w:b w:val="0"/>
          <w:i w:val="0"/>
          <w:sz w:val="22"/>
        </w:rPr>
        <w:t>Le modèle XGBoost obtient les meilleures performances sur l'ensemble de test spatialement isolé : exactitude de 0,9761, F1-macro de 0,8940 et IoU moyen de 0,8218. La forêt aléatoire le suit de très près (F1-macro de 0,8889, IoU moyen de 0,8144), l'écart entre les deux méthodes d'ensemble restant inférieur à un point de F1. L'analyse par classe est instructive : la classe agriculture et sol nu est presque parfaitement reconnue (F1 de 0,9999), la forêt dense l'est très bien (F1 de 0,9151), tandis que la forêt dégradée, classe de transition spectralement intermédiaire, reste la plus difficile (F1 de 0,7670). Cette hiérarchie est conforme à l'intuition physique : c'est précisément la frontière entre forêt intacte et forêt dégradée qui concentre l'ambiguïté spectrale.</w:t>
      </w:r>
    </w:p>
    <w:p>
      <w:pPr>
        <w:jc w:val="both"/>
      </w:pPr>
      <w:r>
        <w:rPr>
          <w:b w:val="0"/>
          <w:i w:val="0"/>
          <w:sz w:val="22"/>
        </w:rPr>
        <w:t>Deux observations méthodologiques doivent accompagner ces chiffres. Premièrement, le découpage spatial par blocs, retenu pour éviter la surestimation des performances par autocorrélation spatiale, a eu pour effet collatéral qu'aucun pixel des classes rares eau et zone bâtie n'est présent dans l'ensemble de test de l'exécution de référence ; les métriques macro sont donc calculées sur les trois classes observées, et la performance sur les classes rares reste à établir. Deuxièmement, la ligne U-Net du comparatif correspond, dans cette exécution, à l'implémentation de repli par centroïdes spectraux (F1-macro de 0,7384), TensorFlow n'étant pas installé dans l'environnement de référence ; elle fournit un plancher de performance honnête pour une méthode purement spectrale sans apprentissage de contexte, mais ne saurait être interprétée comme l'évaluation du réseau complet décrit en 2.6.4.</w:t>
      </w:r>
    </w:p>
    <w:p>
      <w:pPr>
        <w:jc w:val="both"/>
      </w:pPr>
      <w:r>
        <w:rPr>
          <w:b w:val="0"/>
          <w:i w:val="0"/>
          <w:sz w:val="22"/>
        </w:rPr>
        <w:t>Le modèle de risque binaire atteint pour sa part une exactitude d'apprentissage de 0,8699 sur 4 648 pixels positifs, valeur mesurée en apprentissage et non sur un ensemble de test isolé, ce qui est signalé comme une limite au titre de la rigueur d'évaluation.</w:t>
      </w:r>
    </w:p>
    <w:p>
      <w:pPr>
        <w:pStyle w:val="Heading3"/>
      </w:pPr>
      <w:r>
        <w:t>3.1.3 Alertes, impact carbone et apport du radar</w:t>
      </w:r>
    </w:p>
    <w:p>
      <w:pPr>
        <w:jc w:val="both"/>
      </w:pPr>
      <w:r>
        <w:rPr>
          <w:b w:val="0"/>
          <w:i w:val="0"/>
          <w:sz w:val="22"/>
        </w:rPr>
        <w:t>Sur la série simulée, le moteur d'alertes détecte 215 dépassements de seuil sectoriels sur la période, dont 62 de sévérité modérée, 152 de sévérité élevée et 1 de sévérité critique, l'année la plus touchée étant 2019. Chaque alerte est géolocalisée au centre de son secteur et exploitable directement par une équipe de terrain. Le module carbone évalue les émissions associées au scénario simulé à environ 95,6 mégatonnes de CO2 cumulées sur la période, chiffre dont l'ordre de grandeur illustre l'enjeu financier des paiements aux résultats dans une province pilote REDD+. Le module radar, enfin, quantifie la part de la zone restant observable par Sentinel-1 lorsque la couverture nuageuse aveugle l'optique, et confirme l'intérêt d'une fusion optique-radar pour la surveillance opérationnelle en zone équatoriale.</w:t>
      </w:r>
    </w:p>
    <w:p>
      <w:pPr>
        <w:pStyle w:val="Heading2"/>
      </w:pPr>
      <w:r>
        <w:t>3.2 Discussion des résultats</w:t>
      </w:r>
    </w:p>
    <w:p>
      <w:pPr>
        <w:pStyle w:val="Heading3"/>
      </w:pPr>
      <w:r>
        <w:t>3.2.1 Mise en perspective par rapport à la littérature</w:t>
      </w:r>
    </w:p>
    <w:p>
      <w:pPr>
        <w:jc w:val="both"/>
      </w:pPr>
      <w:r>
        <w:rPr>
          <w:b w:val="0"/>
          <w:i w:val="0"/>
          <w:sz w:val="22"/>
        </w:rPr>
        <w:t>La hiérarchie observée entre les modèles est cohérente avec la littérature de télédétection : à volume de données annotées modéré, les méthodes d'ensemble à base d'arbres opérant sur des variables spectrales et topographiques bien construites atteignent des performances de premier plan, l'avantage des approches profondes ne se matérialisant qu'avec des volumes d'annotation nettement supérieurs. Le niveau élevé des métriques obtenues doit néanmoins être rapporté à la nature synthétique des données de l'exécution de référence : les classes y sont spectralement plus séparables que dans des images réelles, où les mélanges de pixels, les variations atmosphériques résiduelles et la continuité réelle du gradient de dégradation forestière réduiront mécaniquement les scores. La littérature empirique sur le Bassin du Congo laisse en particulier attendre une difficulté accrue sur la classe forêt dégradée, déjà identifiée ici comme la plus fragile.</w:t>
      </w:r>
    </w:p>
    <w:p>
      <w:pPr>
        <w:pStyle w:val="Heading3"/>
      </w:pPr>
      <w:r>
        <w:t>3.2.2 Implications pratiques</w:t>
      </w:r>
    </w:p>
    <w:p>
      <w:pPr>
        <w:jc w:val="both"/>
      </w:pPr>
      <w:r>
        <w:rPr>
          <w:b w:val="0"/>
          <w:i w:val="0"/>
          <w:sz w:val="22"/>
        </w:rPr>
        <w:t>Sur le plan pratique, l'architecture d'alertes sectorielles fournit un format directement actionnable pour des gardes forestiers ou des agents provinciaux : une liste courte de secteurs géolocalisés, hiérarchisés par sévérité, plutôt qu'une carte continue difficile à traduire en tournées de terrain. Le choix de variables d'accessibilité pour le modèle de risque, validé par son exactitude d'apprentissage élevée, confirme opérationnellement que la surveillance doit se concentrer sur les lisières proches des routes et des villages, conformément au constat de Tyukavina et al. (2018) sur la prédominance du défrichement de petite échelle. Enfin, la traduction systématique des pertes en tonnes de CO2 met les résultats techniques au format attendu par les mécanismes de financement climatique, ce qui constitue l'une des plus-values distinctives de la plateforme par rapport aux outils de constat existants.</w:t>
      </w:r>
    </w:p>
    <w:p>
      <w:pPr>
        <w:pStyle w:val="Heading3"/>
      </w:pPr>
      <w:r>
        <w:t>3.2.3 Points forts et faiblesses du travail</w:t>
      </w:r>
    </w:p>
    <w:p>
      <w:pPr>
        <w:jc w:val="both"/>
      </w:pPr>
      <w:r>
        <w:rPr>
          <w:b w:val="0"/>
          <w:i w:val="0"/>
          <w:sz w:val="22"/>
        </w:rPr>
        <w:t>Ce travail présente plusieurs points forts. La chaîne est complète et fonctionnelle de bout en bout, de la collecte satellitaire à la restitution décisionnelle, ce qui est rarement atteint dans un projet académique. La couche d'abstraction des sources de données permet de basculer des données de démonstration aux images réelles sans modification de code, et chaque composant critique dispose d'un repli garantissant la continuité de service. La démarche d'évaluation est rigoureuse — protocole identique, découpage spatial anti-fuite, métriques multiples — et la sécurité dépasse le standard habituel des prototypes, avec une authentification à deux facteurs effectivement implémentée. Enfin, le projet est testé, intégré en continu et entièrement reproductible par une seule commande.</w:t>
      </w:r>
    </w:p>
    <w:p>
      <w:pPr>
        <w:jc w:val="both"/>
      </w:pPr>
      <w:r>
        <w:rPr>
          <w:b w:val="0"/>
          <w:i w:val="0"/>
          <w:sz w:val="22"/>
        </w:rPr>
        <w:t>Ce travail présente également des faiblesses qu'il convient de reconnaître avec la même rigueur. Les résultats chiffrés reposent sur des données synthétiques, et aucune évaluation sur images réelles n'a encore été conduite. L'ensemble de test spatial ne contient aucun pixel des classes rares, ce qui laisse leur reconnaissance non validée. Le U-Net complet n'a pas été entraîné dans l'exécution de référence, si bien que la comparaison avec les approches profondes reste à faire dans des conditions équitables. Enfin, le modèle de risque n'est évalué qu'en apprentissage, et la carte de risque servie par l'API repose encore sur une heuristique plutôt que sur le modèle entraîné.</w:t>
      </w:r>
    </w:p>
    <w:p>
      <w:pPr>
        <w:pStyle w:val="Heading2"/>
      </w:pPr>
      <w:r>
        <w:t>3.3 Limites de l'étude</w:t>
      </w:r>
    </w:p>
    <w:p>
      <w:pPr>
        <w:jc w:val="both"/>
      </w:pPr>
      <w:r>
        <w:rPr>
          <w:b w:val="0"/>
          <w:i w:val="0"/>
          <w:sz w:val="22"/>
        </w:rPr>
        <w:t>Plusieurs limites méthodologiques et techniques doivent être explicitement mentionnées. Premièrement, les données de l'exécution de référence sont synthétiques : elles reproduisent une dynamique réaliste mais simplifiée, et l'ensemble des performances rapportées doit être confirmé sur composites Sentinel-2 réels avec une vérité terrain indépendante, le référentiel Hansen présentant lui-même des limites connues pour la dégradation forestière. Deuxièmement, le découpage spatial par blocs a exclu les classes eau et zone bâtie de l'ensemble de test, limite qui appelle une stratification spatiale tenant compte des classes rares. Troisièmement, l'évaluation du U-Net rapportée correspond à son implémentation de repli, non au réseau complet. Quatrièmement, le modèle de risque ne fait pas encore l'objet d'une validation sur ensemble isolé ni d'une calibration de ses probabilités, et n'est pas encore branché sur la carte de risque exposée. Cinquièmement, plusieurs points de sécurité doivent être durcis avant toute mise en production : restriction de la politique CORS, remplacement du secret JWT par défaut, désactivation des comptes et du code de démonstration. Enfin, la couverture nuageuse équatoriale, contournée ici par des composites de saison sèche et un module radar de démonstration, demeure la contrainte physique majeure de toute surveillance optique opérationnelle dans la région.</w:t>
      </w:r>
    </w:p>
    <w:p>
      <w:pPr>
        <w:pStyle w:val="Heading2"/>
      </w:pPr>
      <w:r>
        <w:t>3.4 Perspectives futures</w:t>
      </w:r>
    </w:p>
    <w:p>
      <w:pPr>
        <w:jc w:val="both"/>
      </w:pPr>
      <w:r>
        <w:rPr>
          <w:b w:val="0"/>
          <w:i w:val="0"/>
          <w:sz w:val="22"/>
        </w:rPr>
        <w:t>Plusieurs axes de poursuite se dégagent de ce travail. Sur le plan des données, la priorité est la collecte des composites Sentinel-2 réels de la zone d'étude — le script d'export Google Earth Engine est déjà opérationnel — accompagnée d'une campagne de vérité terrain par points GPS, afin de ré-entraîner les modèles et de confirmer les performances en conditions réelles. Sur le plan de la modélisation, l'entraînement complet du U-Net sur tuiles réelles, la validation du modèle de risque sur ensemble isolé et son branchement sur la carte exposée, puis l'exploration de modèles spatio-temporels et de la fusion optique-radar constituent la suite naturelle. Sur le plan de la sécurité, le durcissement des points identifiés conditionne tout déploiement. Sur le plan opérationnel, enfin, l'ambition est un déploiement pilote auprès d'acteurs provinciaux du Mai-Ndombe, l'intégration du signalement citoyen dans un circuit de vérification, et l'extension progressive à d'autres provinces forestières, dans la perspective d'une contribution congolaise au système national de surveillance des forêts.</w:t>
      </w:r>
    </w:p>
    <w:p>
      <w:pPr>
        <w:pStyle w:val="Heading2"/>
      </w:pPr>
      <w:r>
        <w:t>3.5 Conclusion générale</w:t>
      </w:r>
    </w:p>
    <w:p>
      <w:pPr>
        <w:jc w:val="both"/>
      </w:pPr>
      <w:r>
        <w:rPr>
          <w:b w:val="0"/>
          <w:i w:val="0"/>
          <w:sz w:val="22"/>
        </w:rPr>
        <w:t>Ce travail a présenté la conception et l'implémentation de DeforestWatch-DRC, une plateforme intelligente de surveillance et de prédiction de la déforestation de la forêt équatoriale du Bassin du Congo, appliquée à la province du Mai-Ndombe. L'architecture développée couvre l'intégralité de la chaîne : collecte satellitaire, prétraitement, classification de la couverture du sol, quantification annuelle de la perte forestière, prédiction du risque, alertes géolocalisées, estimation de l'impact carbone et restitution au travers d'une API sécurisée et de deux interfaces, le tout reproductible et couvert par des tests automatisés.</w:t>
      </w:r>
    </w:p>
    <w:p>
      <w:pPr>
        <w:jc w:val="both"/>
      </w:pPr>
      <w:r>
        <w:rPr>
          <w:b w:val="0"/>
          <w:i w:val="0"/>
          <w:sz w:val="22"/>
        </w:rPr>
        <w:t>Sur le plan de la Data Science, la comparaison rigoureuse de trois modèles de classification selon un protocole identique, avec découpage spatial anti-fuite, a permis de retenir un modèle de gradient boosting atteignant un F1-macro de 0,894 sur l'exécution de référence, tout en documentant avec transparence les conditions de cette évaluation — données synthétiques, classes rares absentes du test, réseau profond évalué en repli. Cette honnêteté méthodologique, plutôt que l'affichage de scores flatteurs décontextualisés, constitue l'un des apports formateurs de ce projet.</w:t>
      </w:r>
    </w:p>
    <w:p>
      <w:pPr>
        <w:jc w:val="both"/>
      </w:pPr>
      <w:r>
        <w:rPr>
          <w:b w:val="0"/>
          <w:i w:val="0"/>
          <w:sz w:val="22"/>
        </w:rPr>
        <w:t>Les objectifs fixés en introduction peuvent être considérés comme atteints au stade de la preuve de concept : une architecture complète a été conçue et implémentée, des modèles ont été entraînés, comparés et intégrés, et les résultats techniques sont traduits en indicateurs directement utiles aux acteurs congolais de la protection forestière. Les limites identifiées — au premier rang desquelles la confirmation sur données réelles — tracent des perspectives claires pour la poursuite de ce travail au-delà du cadre académique, au service de la souveraineté environnementale de la RDC et de sa participation à la finance climatique mondiale.</w:t>
      </w:r>
    </w:p>
    <w:p>
      <w:r>
        <w:br w:type="page"/>
      </w:r>
    </w:p>
    <w:p>
      <w:pPr>
        <w:pStyle w:val="Heading1"/>
      </w:pPr>
      <w:r>
        <w:t>4. BIBLIOGRAPHIE ET WEBIOGRAPHIE</w:t>
      </w:r>
    </w:p>
    <w:p>
      <w:pPr>
        <w:pStyle w:val="Heading2"/>
      </w:pPr>
      <w:r>
        <w:t>Ouvrages et articles scientifiques</w:t>
      </w:r>
    </w:p>
    <w:p>
      <w:pPr>
        <w:jc w:val="both"/>
      </w:pPr>
      <w:r>
        <w:rPr>
          <w:b w:val="0"/>
          <w:i w:val="0"/>
          <w:sz w:val="22"/>
        </w:rPr>
        <w:t>BREIMAN, L. (2001). "Random Forests." Machine Learning, Vol. 45, No. 1, pp. 5-32.</w:t>
      </w:r>
    </w:p>
    <w:p>
      <w:pPr>
        <w:jc w:val="both"/>
      </w:pPr>
      <w:r>
        <w:rPr>
          <w:b w:val="0"/>
          <w:i w:val="0"/>
          <w:sz w:val="22"/>
        </w:rPr>
        <w:t>CHEN, T., &amp; GUESTRIN, C. (2016). "XGBoost: A Scalable Tree Boosting System." Proceedings of the 22nd ACM SIGKDD International Conference on Knowledge Discovery and Data Mining, pp. 785-794.</w:t>
      </w:r>
    </w:p>
    <w:p>
      <w:pPr>
        <w:jc w:val="both"/>
      </w:pPr>
      <w:r>
        <w:rPr>
          <w:b w:val="0"/>
          <w:i w:val="0"/>
          <w:sz w:val="22"/>
        </w:rPr>
        <w:t>DRUSCH, M., et al. (2012). "Sentinel-2: ESA's Optical High-Resolution Mission for GMES Operational Services." Remote Sensing of Environment, Vol. 120, pp. 25-36.</w:t>
      </w:r>
    </w:p>
    <w:p>
      <w:pPr>
        <w:jc w:val="both"/>
      </w:pPr>
      <w:r>
        <w:rPr>
          <w:b w:val="0"/>
          <w:i w:val="0"/>
          <w:sz w:val="22"/>
        </w:rPr>
        <w:t>FAO (2020). Global Forest Resources Assessment 2020 — Main Report. Rome.</w:t>
      </w:r>
    </w:p>
    <w:p>
      <w:pPr>
        <w:jc w:val="both"/>
      </w:pPr>
      <w:r>
        <w:rPr>
          <w:b w:val="0"/>
          <w:i w:val="0"/>
          <w:sz w:val="22"/>
        </w:rPr>
        <w:t>GORELICK, N., et al. (2017). "Google Earth Engine: Planetary-scale geospatial analysis for everyone." Remote Sensing of Environment, Vol. 202, pp. 18-27.</w:t>
      </w:r>
    </w:p>
    <w:p>
      <w:pPr>
        <w:jc w:val="both"/>
      </w:pPr>
      <w:r>
        <w:rPr>
          <w:b w:val="0"/>
          <w:i w:val="0"/>
          <w:sz w:val="22"/>
        </w:rPr>
        <w:t>HANSEN, M. C., et al. (2013). "High-Resolution Global Maps of 21st-Century Forest Cover Change." Science, Vol. 342, No. 6160, pp. 850-853.</w:t>
      </w:r>
    </w:p>
    <w:p>
      <w:pPr>
        <w:jc w:val="both"/>
      </w:pPr>
      <w:r>
        <w:rPr>
          <w:b w:val="0"/>
          <w:i w:val="0"/>
          <w:sz w:val="22"/>
        </w:rPr>
        <w:t>HASTIE, T., TIBSHIRANI, R., &amp; FRIEDMAN, J. (2009). The Elements of Statistical Learning: Data Mining, Inference, and Prediction. 2nd Edition, Springer.</w:t>
      </w:r>
    </w:p>
    <w:p>
      <w:pPr>
        <w:jc w:val="both"/>
      </w:pPr>
      <w:r>
        <w:rPr>
          <w:b w:val="0"/>
          <w:i w:val="0"/>
          <w:sz w:val="22"/>
        </w:rPr>
        <w:t>PEDREGOSA, F., et al. (2011). "Scikit-learn: Machine Learning in Python." Journal of Machine Learning Research, Vol. 12, pp. 2825-2830.</w:t>
      </w:r>
    </w:p>
    <w:p>
      <w:pPr>
        <w:jc w:val="both"/>
      </w:pPr>
      <w:r>
        <w:rPr>
          <w:b w:val="0"/>
          <w:i w:val="0"/>
          <w:sz w:val="22"/>
        </w:rPr>
        <w:t>REICHE, J., et al. (2021). "Forest disturbance alerts for the Congo Basin using Sentinel-1." Environmental Research Letters, Vol. 16, No. 2, 024005.</w:t>
      </w:r>
    </w:p>
    <w:p>
      <w:pPr>
        <w:jc w:val="both"/>
      </w:pPr>
      <w:r>
        <w:rPr>
          <w:b w:val="0"/>
          <w:i w:val="0"/>
          <w:sz w:val="22"/>
        </w:rPr>
        <w:t>RONNEBERGER, O., FISCHER, P., &amp; BROX, T. (2015). "U-Net: Convolutional Networks for Biomedical Image Segmentation." Medical Image Computing and Computer-Assisted Intervention (MICCAI), pp. 234-241.</w:t>
      </w:r>
    </w:p>
    <w:p>
      <w:pPr>
        <w:jc w:val="both"/>
      </w:pPr>
      <w:r>
        <w:rPr>
          <w:b w:val="0"/>
          <w:i w:val="0"/>
          <w:sz w:val="22"/>
        </w:rPr>
        <w:t>TUCKER, C. J. (1979). "Red and photographic infrared linear combinations for monitoring vegetation." Remote Sensing of Environment, Vol. 8, No. 2, pp. 127-150.</w:t>
      </w:r>
    </w:p>
    <w:p>
      <w:pPr>
        <w:jc w:val="both"/>
      </w:pPr>
      <w:r>
        <w:rPr>
          <w:b w:val="0"/>
          <w:i w:val="0"/>
          <w:sz w:val="22"/>
        </w:rPr>
        <w:t>TYUKAVINA, A., et al. (2018). "Congo Basin forest loss dominated by increasing smallholder clearing." Science Advances, Vol. 4, No. 11, eaat2993.</w:t>
      </w:r>
    </w:p>
    <w:p>
      <w:pPr>
        <w:pStyle w:val="Heading2"/>
      </w:pPr>
      <w:r>
        <w:t>Webiographie</w:t>
      </w:r>
    </w:p>
    <w:p>
      <w:pPr>
        <w:jc w:val="both"/>
      </w:pPr>
      <w:r>
        <w:rPr>
          <w:b w:val="0"/>
          <w:i w:val="0"/>
          <w:sz w:val="22"/>
        </w:rPr>
        <w:t>Copernicus / ESA — Documentation de la mission Sentinel-2. Disponible sur : https://sentinels.copernicus.eu [Consulté en juillet 2026].</w:t>
      </w:r>
    </w:p>
    <w:p>
      <w:pPr>
        <w:jc w:val="both"/>
      </w:pPr>
      <w:r>
        <w:rPr>
          <w:b w:val="0"/>
          <w:i w:val="0"/>
          <w:sz w:val="22"/>
        </w:rPr>
        <w:t>FastAPI — Documentation officielle. Disponible sur : https://fastapi.tiangolo.com [Consulté en juillet 2026].</w:t>
      </w:r>
    </w:p>
    <w:p>
      <w:pPr>
        <w:jc w:val="both"/>
      </w:pPr>
      <w:r>
        <w:rPr>
          <w:b w:val="0"/>
          <w:i w:val="0"/>
          <w:sz w:val="22"/>
        </w:rPr>
        <w:t>Global Forest Watch — Plateforme de surveillance forestière. Disponible sur : https://www.globalforestwatch.org [Consulté en juillet 2026].</w:t>
      </w:r>
    </w:p>
    <w:p>
      <w:pPr>
        <w:jc w:val="both"/>
      </w:pPr>
      <w:r>
        <w:rPr>
          <w:b w:val="0"/>
          <w:i w:val="0"/>
          <w:sz w:val="22"/>
        </w:rPr>
        <w:t>Google Earth Engine — Documentation officielle. Disponible sur : https://developers.google.com/earth-engine [Consulté en juillet 2026].</w:t>
      </w:r>
    </w:p>
    <w:p>
      <w:pPr>
        <w:jc w:val="both"/>
      </w:pPr>
      <w:r>
        <w:rPr>
          <w:b w:val="0"/>
          <w:i w:val="0"/>
          <w:sz w:val="22"/>
        </w:rPr>
        <w:t>Scikit-learn — Documentation officielle. Disponible sur : https://scikit-learn.org/stable/ [Consulté en juillet 2026].</w:t>
      </w:r>
    </w:p>
    <w:p>
      <w:pPr>
        <w:jc w:val="both"/>
      </w:pPr>
      <w:r>
        <w:rPr>
          <w:b w:val="0"/>
          <w:i w:val="0"/>
          <w:sz w:val="22"/>
        </w:rPr>
        <w:t>Streamlit — Documentation officielle. Disponible sur : https://docs.streamlit.io [Consulté en juillet 2026].</w:t>
      </w:r>
    </w:p>
    <w:p>
      <w:pPr>
        <w:jc w:val="both"/>
      </w:pPr>
      <w:r>
        <w:rPr>
          <w:b w:val="0"/>
          <w:i w:val="0"/>
          <w:sz w:val="22"/>
        </w:rPr>
        <w:t>TensorFlow / Keras — Documentation officielle. Disponible sur : https://www.tensorflow.org [Consulté en juillet 2026].</w:t>
      </w:r>
    </w:p>
    <w:p>
      <w:pPr>
        <w:jc w:val="both"/>
      </w:pPr>
      <w:r>
        <w:rPr>
          <w:b w:val="0"/>
          <w:i w:val="0"/>
          <w:sz w:val="22"/>
        </w:rPr>
        <w:t>XGBoost — Documentation officielle. Disponible sur : https://xgboost.readthedocs.io [Consulté en juillet 2026].</w:t>
      </w:r>
    </w:p>
    <w:p>
      <w:pPr>
        <w:jc w:val="both"/>
      </w:pPr>
      <w:r>
        <w:rPr>
          <w:b w:val="0"/>
          <w:i w:val="0"/>
          <w:sz w:val="22"/>
        </w:rPr>
        <w:t>Université Protestante au Congo, Faculté des Sciences Informatiques, Commission de Coordination des Projets (2025). Guide de rédaction des monographies des projets et des mémoires. Janvier 2025.</w:t>
      </w:r>
    </w:p>
    <w:p>
      <w:r>
        <w:br w:type="page"/>
      </w:r>
    </w:p>
    <w:p>
      <w:pPr>
        <w:pStyle w:val="Heading1"/>
      </w:pPr>
      <w:r>
        <w:t>5. ANNEXES</w:t>
      </w:r>
    </w:p>
    <w:p>
      <w:pPr>
        <w:pStyle w:val="Heading2"/>
      </w:pPr>
      <w:r>
        <w:t>Annexe A — Table des routes de l'API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Route</w:t>
            </w:r>
          </w:p>
        </w:tc>
        <w:tc>
          <w:tcPr>
            <w:tcW w:type="dxa" w:w="2880"/>
          </w:tcPr>
          <w:p>
            <w:r>
              <w:rPr>
                <w:b/>
              </w:rPr>
              <w:t>Rôle</w:t>
            </w:r>
          </w:p>
        </w:tc>
      </w:tr>
      <w:tr>
        <w:tc>
          <w:tcPr>
            <w:tcW w:type="dxa" w:w="2880"/>
          </w:tcPr>
          <w:p>
            <w:r>
              <w:t>GET</w:t>
            </w:r>
          </w:p>
        </w:tc>
        <w:tc>
          <w:tcPr>
            <w:tcW w:type="dxa" w:w="2880"/>
          </w:tcPr>
          <w:p>
            <w:r>
              <w:t>/</w:t>
            </w:r>
          </w:p>
        </w:tc>
        <w:tc>
          <w:tcPr>
            <w:tcW w:type="dxa" w:w="2880"/>
          </w:tcPr>
          <w:p>
            <w:r>
              <w:t>Métadonnées de l'application (version, mode actif)</w:t>
            </w:r>
          </w:p>
        </w:tc>
      </w:tr>
      <w:tr>
        <w:tc>
          <w:tcPr>
            <w:tcW w:type="dxa" w:w="2880"/>
          </w:tcPr>
          <w:p>
            <w:r>
              <w:t>GET</w:t>
            </w:r>
          </w:p>
        </w:tc>
        <w:tc>
          <w:tcPr>
            <w:tcW w:type="dxa" w:w="2880"/>
          </w:tcPr>
          <w:p>
            <w:r>
              <w:t>/health</w:t>
            </w:r>
          </w:p>
        </w:tc>
        <w:tc>
          <w:tcPr>
            <w:tcW w:type="dxa" w:w="2880"/>
          </w:tcPr>
          <w:p>
            <w:r>
              <w:t>Vérification de l'état de santé de l'API</w:t>
            </w:r>
          </w:p>
        </w:tc>
      </w:tr>
      <w:tr>
        <w:tc>
          <w:tcPr>
            <w:tcW w:type="dxa" w:w="2880"/>
          </w:tcPr>
          <w:p>
            <w:r>
              <w:t>POST</w:t>
            </w:r>
          </w:p>
        </w:tc>
        <w:tc>
          <w:tcPr>
            <w:tcW w:type="dxa" w:w="2880"/>
          </w:tcPr>
          <w:p>
            <w:r>
              <w:t>/api/v1/auth/register</w:t>
            </w:r>
          </w:p>
        </w:tc>
        <w:tc>
          <w:tcPr>
            <w:tcW w:type="dxa" w:w="2880"/>
          </w:tcPr>
          <w:p>
            <w:r>
              <w:t>Inscription : hachage bcrypt, génération du secret TOTP et de l'URI de provisionnement 2FA</w:t>
            </w:r>
          </w:p>
        </w:tc>
      </w:tr>
      <w:tr>
        <w:tc>
          <w:tcPr>
            <w:tcW w:type="dxa" w:w="2880"/>
          </w:tcPr>
          <w:p>
            <w:r>
              <w:t>POST</w:t>
            </w:r>
          </w:p>
        </w:tc>
        <w:tc>
          <w:tcPr>
            <w:tcW w:type="dxa" w:w="2880"/>
          </w:tcPr>
          <w:p>
            <w:r>
              <w:t>/api/v1/auth/login</w:t>
            </w:r>
          </w:p>
        </w:tc>
        <w:tc>
          <w:tcPr>
            <w:tcW w:type="dxa" w:w="2880"/>
          </w:tcPr>
          <w:p>
            <w:r>
              <w:t>Connexion : vérification du mot de passe haché, émission des jetons JWT d'accès et de rafraîchissement</w:t>
            </w:r>
          </w:p>
        </w:tc>
      </w:tr>
      <w:tr>
        <w:tc>
          <w:tcPr>
            <w:tcW w:type="dxa" w:w="2880"/>
          </w:tcPr>
          <w:p>
            <w:r>
              <w:t>POST</w:t>
            </w:r>
          </w:p>
        </w:tc>
        <w:tc>
          <w:tcPr>
            <w:tcW w:type="dxa" w:w="2880"/>
          </w:tcPr>
          <w:p>
            <w:r>
              <w:t>/api/v1/auth/verify-otp</w:t>
            </w:r>
          </w:p>
        </w:tc>
        <w:tc>
          <w:tcPr>
            <w:tcW w:type="dxa" w:w="2880"/>
          </w:tcPr>
          <w:p>
            <w:r>
              <w:t>Vérification du code à usage unique du second facteur</w:t>
            </w:r>
          </w:p>
        </w:tc>
      </w:tr>
      <w:tr>
        <w:tc>
          <w:tcPr>
            <w:tcW w:type="dxa" w:w="2880"/>
          </w:tcPr>
          <w:p>
            <w:r>
              <w:t>POST</w:t>
            </w:r>
          </w:p>
        </w:tc>
        <w:tc>
          <w:tcPr>
            <w:tcW w:type="dxa" w:w="2880"/>
          </w:tcPr>
          <w:p>
            <w:r>
              <w:t>/api/v1/auth/refresh</w:t>
            </w:r>
          </w:p>
        </w:tc>
        <w:tc>
          <w:tcPr>
            <w:tcW w:type="dxa" w:w="2880"/>
          </w:tcPr>
          <w:p>
            <w:r>
              <w:t>Renouvellement du jeton d'accès à partir du jeton de rafraîchissement</w:t>
            </w:r>
          </w:p>
        </w:tc>
      </w:tr>
      <w:tr>
        <w:tc>
          <w:tcPr>
            <w:tcW w:type="dxa" w:w="2880"/>
          </w:tcPr>
          <w:p>
            <w:r>
              <w:t>GET</w:t>
            </w:r>
          </w:p>
        </w:tc>
        <w:tc>
          <w:tcPr>
            <w:tcW w:type="dxa" w:w="2880"/>
          </w:tcPr>
          <w:p>
            <w:r>
              <w:t>/api/v1/statistics</w:t>
            </w:r>
          </w:p>
        </w:tc>
        <w:tc>
          <w:tcPr>
            <w:tcW w:type="dxa" w:w="2880"/>
          </w:tcPr>
          <w:p>
            <w:r>
              <w:t>Statistiques de déforestation par année (source active)</w:t>
            </w:r>
          </w:p>
        </w:tc>
      </w:tr>
      <w:tr>
        <w:tc>
          <w:tcPr>
            <w:tcW w:type="dxa" w:w="2880"/>
          </w:tcPr>
          <w:p>
            <w:r>
              <w:t>GET</w:t>
            </w:r>
          </w:p>
        </w:tc>
        <w:tc>
          <w:tcPr>
            <w:tcW w:type="dxa" w:w="2880"/>
          </w:tcPr>
          <w:p>
            <w:r>
              <w:t>/api/v1/source</w:t>
            </w:r>
          </w:p>
        </w:tc>
        <w:tc>
          <w:tcPr>
            <w:tcW w:type="dxa" w:w="2880"/>
          </w:tcPr>
          <w:p>
            <w:r>
              <w:t>Métadonnées de la source de données active</w:t>
            </w:r>
          </w:p>
        </w:tc>
      </w:tr>
      <w:tr>
        <w:tc>
          <w:tcPr>
            <w:tcW w:type="dxa" w:w="2880"/>
          </w:tcPr>
          <w:p>
            <w:r>
              <w:t>POST</w:t>
            </w:r>
          </w:p>
        </w:tc>
        <w:tc>
          <w:tcPr>
            <w:tcW w:type="dxa" w:w="2880"/>
          </w:tcPr>
          <w:p>
            <w:r>
              <w:t>/api/v1/admin/source/{mode}</w:t>
            </w:r>
          </w:p>
        </w:tc>
        <w:tc>
          <w:tcPr>
            <w:tcW w:type="dxa" w:w="2880"/>
          </w:tcPr>
          <w:p>
            <w:r>
              <w:t>Bascule à chaud démo/réel/auto (administrateur)</w:t>
            </w:r>
          </w:p>
        </w:tc>
      </w:tr>
      <w:tr>
        <w:tc>
          <w:tcPr>
            <w:tcW w:type="dxa" w:w="2880"/>
          </w:tcPr>
          <w:p>
            <w:r>
              <w:t>GET</w:t>
            </w:r>
          </w:p>
        </w:tc>
        <w:tc>
          <w:tcPr>
            <w:tcW w:type="dxa" w:w="2880"/>
          </w:tcPr>
          <w:p>
            <w:r>
              <w:t>/api/v1/maps/landcover/{année}</w:t>
            </w:r>
          </w:p>
        </w:tc>
        <w:tc>
          <w:tcPr>
            <w:tcW w:type="dxa" w:w="2880"/>
          </w:tcPr>
          <w:p>
            <w:r>
              <w:t>Carte de couverture du sol d'une année, au format PNG</w:t>
            </w:r>
          </w:p>
        </w:tc>
      </w:tr>
      <w:tr>
        <w:tc>
          <w:tcPr>
            <w:tcW w:type="dxa" w:w="2880"/>
          </w:tcPr>
          <w:p>
            <w:r>
              <w:t>GET</w:t>
            </w:r>
          </w:p>
        </w:tc>
        <w:tc>
          <w:tcPr>
            <w:tcW w:type="dxa" w:w="2880"/>
          </w:tcPr>
          <w:p>
            <w:r>
              <w:t>/api/v1/maps/risk</w:t>
            </w:r>
          </w:p>
        </w:tc>
        <w:tc>
          <w:tcPr>
            <w:tcW w:type="dxa" w:w="2880"/>
          </w:tcPr>
          <w:p>
            <w:r>
              <w:t>Carte de risque de déforestation, PNG</w:t>
            </w:r>
          </w:p>
        </w:tc>
      </w:tr>
      <w:tr>
        <w:tc>
          <w:tcPr>
            <w:tcW w:type="dxa" w:w="2880"/>
          </w:tcPr>
          <w:p>
            <w:r>
              <w:t>GET</w:t>
            </w:r>
          </w:p>
        </w:tc>
        <w:tc>
          <w:tcPr>
            <w:tcW w:type="dxa" w:w="2880"/>
          </w:tcPr>
          <w:p>
            <w:r>
              <w:t>/api/v1/predictions/{année}</w:t>
            </w:r>
          </w:p>
        </w:tc>
        <w:tc>
          <w:tcPr>
            <w:tcW w:type="dxa" w:w="2880"/>
          </w:tcPr>
          <w:p>
            <w:r>
              <w:t>Synthèse des zones à risque (surface et risque moyen)</w:t>
            </w:r>
          </w:p>
        </w:tc>
      </w:tr>
      <w:tr>
        <w:tc>
          <w:tcPr>
            <w:tcW w:type="dxa" w:w="2880"/>
          </w:tcPr>
          <w:p>
            <w:r>
              <w:t>GET</w:t>
            </w:r>
          </w:p>
        </w:tc>
        <w:tc>
          <w:tcPr>
            <w:tcW w:type="dxa" w:w="2880"/>
          </w:tcPr>
          <w:p>
            <w:r>
              <w:t>/api/v1/alerts</w:t>
            </w:r>
          </w:p>
        </w:tc>
        <w:tc>
          <w:tcPr>
            <w:tcW w:type="dxa" w:w="2880"/>
          </w:tcPr>
          <w:p>
            <w:r>
              <w:t>Alertes de déforestation détectées (filtres sévérité, année)</w:t>
            </w:r>
          </w:p>
        </w:tc>
      </w:tr>
      <w:tr>
        <w:tc>
          <w:tcPr>
            <w:tcW w:type="dxa" w:w="2880"/>
          </w:tcPr>
          <w:p>
            <w:r>
              <w:t>GET</w:t>
            </w:r>
          </w:p>
        </w:tc>
        <w:tc>
          <w:tcPr>
            <w:tcW w:type="dxa" w:w="2880"/>
          </w:tcPr>
          <w:p>
            <w:r>
              <w:t>/api/v1/alerts/summary</w:t>
            </w:r>
          </w:p>
        </w:tc>
        <w:tc>
          <w:tcPr>
            <w:tcW w:type="dxa" w:w="2880"/>
          </w:tcPr>
          <w:p>
            <w:r>
              <w:t>Synthèse des alertes par sévérité</w:t>
            </w:r>
          </w:p>
        </w:tc>
      </w:tr>
      <w:tr>
        <w:tc>
          <w:tcPr>
            <w:tcW w:type="dxa" w:w="2880"/>
          </w:tcPr>
          <w:p>
            <w:r>
              <w:t>POST</w:t>
            </w:r>
          </w:p>
        </w:tc>
        <w:tc>
          <w:tcPr>
            <w:tcW w:type="dxa" w:w="2880"/>
          </w:tcPr>
          <w:p>
            <w:r>
              <w:t>/api/v1/reports</w:t>
            </w:r>
          </w:p>
        </w:tc>
        <w:tc>
          <w:tcPr>
            <w:tcW w:type="dxa" w:w="2880"/>
          </w:tcPr>
          <w:p>
            <w:r>
              <w:t>Signalement citoyen d'une déforestation (ouvert à tous)</w:t>
            </w:r>
          </w:p>
        </w:tc>
      </w:tr>
      <w:tr>
        <w:tc>
          <w:tcPr>
            <w:tcW w:type="dxa" w:w="2880"/>
          </w:tcPr>
          <w:p>
            <w:r>
              <w:t>GET</w:t>
            </w:r>
          </w:p>
        </w:tc>
        <w:tc>
          <w:tcPr>
            <w:tcW w:type="dxa" w:w="2880"/>
          </w:tcPr>
          <w:p>
            <w:r>
              <w:t>/api/v1/admin/reports</w:t>
            </w:r>
          </w:p>
        </w:tc>
        <w:tc>
          <w:tcPr>
            <w:tcW w:type="dxa" w:w="2880"/>
          </w:tcPr>
          <w:p>
            <w:r>
              <w:t>Signalements reçus (administrateur)</w:t>
            </w:r>
          </w:p>
        </w:tc>
      </w:tr>
      <w:tr>
        <w:tc>
          <w:tcPr>
            <w:tcW w:type="dxa" w:w="2880"/>
          </w:tcPr>
          <w:p>
            <w:r>
              <w:t>GET</w:t>
            </w:r>
          </w:p>
        </w:tc>
        <w:tc>
          <w:tcPr>
            <w:tcW w:type="dxa" w:w="2880"/>
          </w:tcPr>
          <w:p>
            <w:r>
              <w:t>/api/v1/carbon</w:t>
            </w:r>
          </w:p>
        </w:tc>
        <w:tc>
          <w:tcPr>
            <w:tcW w:type="dxa" w:w="2880"/>
          </w:tcPr>
          <w:p>
            <w:r>
              <w:t>Émissions de CO2 liées à la déforestation et équivalences</w:t>
            </w:r>
          </w:p>
        </w:tc>
      </w:tr>
      <w:tr>
        <w:tc>
          <w:tcPr>
            <w:tcW w:type="dxa" w:w="2880"/>
          </w:tcPr>
          <w:p>
            <w:r>
              <w:t>GET</w:t>
            </w:r>
          </w:p>
        </w:tc>
        <w:tc>
          <w:tcPr>
            <w:tcW w:type="dxa" w:w="2880"/>
          </w:tcPr>
          <w:p>
            <w:r>
              <w:t>/api/v1/radar/coverage/{année}</w:t>
            </w:r>
          </w:p>
        </w:tc>
        <w:tc>
          <w:tcPr>
            <w:tcW w:type="dxa" w:w="2880"/>
          </w:tcPr>
          <w:p>
            <w:r>
              <w:t>Apport du radar Sentinel-1 sous couverture nuageuse</w:t>
            </w:r>
          </w:p>
        </w:tc>
      </w:tr>
      <w:tr>
        <w:tc>
          <w:tcPr>
            <w:tcW w:type="dxa" w:w="2880"/>
          </w:tcPr>
          <w:p>
            <w:r>
              <w:t>POST</w:t>
            </w:r>
          </w:p>
        </w:tc>
        <w:tc>
          <w:tcPr>
            <w:tcW w:type="dxa" w:w="2880"/>
          </w:tcPr>
          <w:p>
            <w:r>
              <w:t>/api/v1/admin/notify</w:t>
            </w:r>
          </w:p>
        </w:tc>
        <w:tc>
          <w:tcPr>
            <w:tcW w:type="dxa" w:w="2880"/>
          </w:tcPr>
          <w:p>
            <w:r>
              <w:t>Digest des alertes par courrier électronique (administrateur)</w:t>
            </w:r>
          </w:p>
        </w:tc>
      </w:tr>
      <w:tr>
        <w:tc>
          <w:tcPr>
            <w:tcW w:type="dxa" w:w="2880"/>
          </w:tcPr>
          <w:p>
            <w:r>
              <w:t>GET</w:t>
            </w:r>
          </w:p>
        </w:tc>
        <w:tc>
          <w:tcPr>
            <w:tcW w:type="dxa" w:w="2880"/>
          </w:tcPr>
          <w:p>
            <w:r>
              <w:t>/api/v1/models</w:t>
            </w:r>
          </w:p>
        </w:tc>
        <w:tc>
          <w:tcPr>
            <w:tcW w:type="dxa" w:w="2880"/>
          </w:tcPr>
          <w:p>
            <w:r>
              <w:t>Comparaison des performances des modèles entraînés</w:t>
            </w:r>
          </w:p>
        </w:tc>
      </w:tr>
      <w:tr>
        <w:tc>
          <w:tcPr>
            <w:tcW w:type="dxa" w:w="2880"/>
          </w:tcPr>
          <w:p>
            <w:r>
              <w:t>GET</w:t>
            </w:r>
          </w:p>
        </w:tc>
        <w:tc>
          <w:tcPr>
            <w:tcW w:type="dxa" w:w="2880"/>
          </w:tcPr>
          <w:p>
            <w:r>
              <w:t>/api/v1/images/{année}</w:t>
            </w:r>
          </w:p>
        </w:tc>
        <w:tc>
          <w:tcPr>
            <w:tcW w:type="dxa" w:w="2880"/>
          </w:tcPr>
          <w:p>
            <w:r>
              <w:t>Métadonnées du composite satellite</w:t>
            </w:r>
          </w:p>
        </w:tc>
      </w:tr>
      <w:tr>
        <w:tc>
          <w:tcPr>
            <w:tcW w:type="dxa" w:w="2880"/>
          </w:tcPr>
          <w:p>
            <w:r>
              <w:t>GET</w:t>
            </w:r>
          </w:p>
        </w:tc>
        <w:tc>
          <w:tcPr>
            <w:tcW w:type="dxa" w:w="2880"/>
          </w:tcPr>
          <w:p>
            <w:r>
              <w:t>/api/v1/admin/users</w:t>
            </w:r>
          </w:p>
        </w:tc>
        <w:tc>
          <w:tcPr>
            <w:tcW w:type="dxa" w:w="2880"/>
          </w:tcPr>
          <w:p>
            <w:r>
              <w:t>Liste des utilisateurs (administrateur)</w:t>
            </w:r>
          </w:p>
        </w:tc>
      </w:tr>
      <w:tr>
        <w:tc>
          <w:tcPr>
            <w:tcW w:type="dxa" w:w="2880"/>
          </w:tcPr>
          <w:p>
            <w:r>
              <w:t>GET</w:t>
            </w:r>
          </w:p>
        </w:tc>
        <w:tc>
          <w:tcPr>
            <w:tcW w:type="dxa" w:w="2880"/>
          </w:tcPr>
          <w:p>
            <w:r>
              <w:t>/api/v1/admin/logs</w:t>
            </w:r>
          </w:p>
        </w:tc>
        <w:tc>
          <w:tcPr>
            <w:tcW w:type="dxa" w:w="2880"/>
          </w:tcPr>
          <w:p>
            <w:r>
              <w:t>Journal des requêtes de l'API (administrateur)</w:t>
            </w:r>
          </w:p>
        </w:tc>
      </w:tr>
    </w:tbl>
    <w:p>
      <w:pPr>
        <w:jc w:val="center"/>
      </w:pPr>
      <w:r>
        <w:rPr>
          <w:b/>
          <w:i w:val="0"/>
          <w:sz w:val="21"/>
        </w:rPr>
        <w:t>Tableau 5 — Table synthétique des routes de l'API DeforestWatch-DRC</w:t>
      </w:r>
    </w:p>
    <w:p>
      <w:pPr>
        <w:pStyle w:val="Heading2"/>
      </w:pPr>
      <w:r>
        <w:t>Annexe B — Reproduction des résultats</w:t>
      </w:r>
    </w:p>
    <w:p>
      <w:pPr>
        <w:jc w:val="both"/>
      </w:pPr>
      <w:r>
        <w:rPr>
          <w:b w:val="0"/>
          <w:i w:val="0"/>
          <w:sz w:val="22"/>
        </w:rPr>
        <w:t>L'ensemble des résultats présentés dans cette monographie est reproductible à partir du dépôt du projet, sans clé d'accès ni compte externe, grâce au mode démonstration : la commande make seed génère les données et entraîne les modèles (rapport de métriques dans data/processed/model_metrics.json), make api et make dashboard démarrent respectivement l'API et le tableau de bord, make test exécute la suite de tests, et make monograph régénère le présent document à partir des métriques courantes. Le passage aux données réelles s'effectue en déposant les composites GeoTIFF dans data/raw/ — collectés le cas échéant via python -m scripts.gee_export — puis en basculant le mode de données (make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E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6E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