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color w:val="666666"/>
          <w:sz w:val="28"/>
          <w:szCs w:val="28"/>
        </w:rPr>
        <w:t xml:space="preserve">Université Protestante au Congo</w:t>
      </w:r>
    </w:p>
    <w:p>
      <w:pPr>
        <w:jc w:val="center"/>
      </w:pPr>
      <w:r>
        <w:rPr>
          <w:rFonts w:ascii="Arial" w:cs="Arial" w:eastAsia="Arial" w:hAnsi="Arial"/>
          <w:color w:val="888888"/>
          <w:sz w:val="24"/>
          <w:szCs w:val="24"/>
        </w:rPr>
        <w:t xml:space="preserve">Faculté des Sciences Informatiques — L3 LMD</w:t>
      </w:r>
    </w:p>
    <w:p>
      <w:pPr>
        <w:pBdr>
          <w:bottom w:val="single" w:color="1B4F72" w:sz="6" w:space="12"/>
        </w:pBdr>
        <w:spacing w:before="600"/>
        <w:jc w:val="center"/>
      </w:pPr>
    </w:p>
    <w:p>
      <w:pPr>
        <w:spacing w:before="600"/>
        <w:jc w:val="center"/>
      </w:pPr>
      <w:r>
        <w:rPr>
          <w:rFonts w:ascii="Arial" w:cs="Arial" w:eastAsia="Arial" w:hAnsi="Arial"/>
          <w:b/>
          <w:bCs/>
          <w:color w:val="1B4F72"/>
          <w:sz w:val="48"/>
          <w:szCs w:val="48"/>
        </w:rPr>
        <w:t xml:space="preserve">CAHIER DES CHARGES</w:t>
      </w:r>
    </w:p>
    <w:p>
      <w:pPr>
        <w:spacing w:before="300"/>
        <w:jc w:val="center"/>
      </w:pPr>
      <w:r>
        <w:rPr>
          <w:rFonts w:ascii="Arial" w:cs="Arial" w:eastAsia="Arial" w:hAnsi="Arial"/>
          <w:b/>
          <w:bCs/>
          <w:color w:val="2E86C1"/>
          <w:sz w:val="40"/>
          <w:szCs w:val="40"/>
        </w:rPr>
        <w:t xml:space="preserve">DeforestWatch-DRC</w:t>
      </w:r>
    </w:p>
    <w:p>
      <w:pPr>
        <w:spacing w:before="200"/>
        <w:jc w:val="center"/>
      </w:pPr>
      <w:r>
        <w:rPr>
          <w:rFonts w:ascii="Arial" w:cs="Arial" w:eastAsia="Arial" w:hAnsi="Arial"/>
          <w:i/>
          <w:iCs/>
          <w:color w:val="555555"/>
          <w:sz w:val="22"/>
          <w:szCs w:val="22"/>
        </w:rPr>
        <w:t xml:space="preserve">Surveillance et prédiction de la déforestation en République Démocratique du Congo par imagerie satellite et Machine Learning</w:t>
      </w:r>
    </w:p>
    <w:p>
      <w:pPr>
        <w:pBdr>
          <w:bottom w:val="single" w:color="1B4F72" w:sz="6" w:space="12"/>
        </w:pBdr>
        <w:spacing w:before="600"/>
        <w:jc w:val="center"/>
      </w:pPr>
    </w:p>
    <w:p>
      <w:pPr>
        <w:spacing w:before="400"/>
        <w:jc w:val="center"/>
      </w:pPr>
      <w:r>
        <w:rPr>
          <w:rFonts w:ascii="Arial" w:cs="Arial" w:eastAsia="Arial" w:hAnsi="Arial"/>
          <w:b/>
          <w:bCs/>
          <w:sz w:val="24"/>
          <w:szCs w:val="24"/>
        </w:rPr>
        <w:t xml:space="preserve">Orientation : Data Science</w:t>
      </w:r>
    </w:p>
    <w:p>
      <w:pPr>
        <w:spacing w:before="200"/>
        <w:jc w:val="center"/>
      </w:pPr>
      <w:r>
        <w:rPr>
          <w:rFonts w:ascii="Arial" w:cs="Arial" w:eastAsia="Arial" w:hAnsi="Arial"/>
          <w:sz w:val="22"/>
          <w:szCs w:val="22"/>
        </w:rPr>
        <w:t xml:space="preserve">Auteur : Alviii</w:t>
      </w:r>
    </w:p>
    <w:p>
      <w:pPr>
        <w:spacing w:before="100"/>
        <w:jc w:val="center"/>
      </w:pPr>
      <w:r>
        <w:rPr>
          <w:rFonts w:ascii="Arial" w:cs="Arial" w:eastAsia="Arial" w:hAnsi="Arial"/>
          <w:sz w:val="22"/>
          <w:szCs w:val="22"/>
        </w:rPr>
        <w:t xml:space="preserve">Année académique : 2025–2026</w:t>
      </w:r>
    </w:p>
    <w:p>
      <w:pPr>
        <w:sectPr>
          <w:pgSz w:w="11906" w:h="16838" w:orient="portrait"/>
          <w:pgMar w:top="1440" w:right="1440" w:bottom="1440" w:left="1440" w:header="708" w:footer="708" w:gutter="0"/>
          <w:pgNumType/>
          <w:docGrid w:linePitch="360"/>
        </w:sectPr>
      </w:pPr>
    </w:p>
    <w:p>
      <w:pPr>
        <w:pStyle w:val="Heading1"/>
      </w:pPr>
      <w:r>
        <w:t xml:space="preserve">1. Contexte et problématique</w:t>
      </w:r>
    </w:p>
    <w:p>
      <w:pPr>
        <w:spacing w:after="120"/>
      </w:pPr>
      <w:r>
        <w:t xml:space="preserve">La République Démocratique du Congo abrite environ 155 millions d’hectares de forêt tropicale, soit la deuxième plus grande au monde après l’Amazonie. Cette forêt joue un rôle critique dans la régulation du climat mondial, la biodiversité et les moyens de subsistance de millions de personnes.</w:t>
      </w:r>
    </w:p>
    <w:p>
      <w:pPr>
        <w:spacing w:after="120"/>
      </w:pPr>
      <w:r>
        <w:t xml:space="preserve">Cependant, la déforestation s’accélère sous la pression de l’agriculture sur brûlis, de l’exploitation forestière industrielle et artisanale, de la production de charbon de bois, et de l’expansion des infrastructures. Les outils de surveillance existants (Global Forest Watch) fournissent des données globales mais ne proposent pas d’analyse prédictive locale adaptée au contexte congolais.</w:t>
      </w:r>
    </w:p>
    <w:p>
      <w:pPr>
        <w:spacing w:after="200"/>
      </w:pPr>
      <w:r>
        <w:rPr>
          <w:b/>
          <w:bCs/>
        </w:rPr>
        <w:t xml:space="preserve">Problématique : </w:t>
      </w:r>
      <w:r>
        <w:t xml:space="preserve">Comment exploiter l’imagerie satellite et le Machine Learning pour détecter, quantifier et prédire la déforestation dans la province du Mai-Ndombe en RDC, afin de fournir un outil d’aide à la décision aux acteurs de la conservation ?</w:t>
      </w:r>
    </w:p>
    <w:p>
      <w:pPr>
        <w:pStyle w:val="Heading1"/>
      </w:pPr>
      <w:r>
        <w:t xml:space="preserve">2. Objectifs du projet</w:t>
      </w:r>
    </w:p>
    <w:p>
      <w:pPr>
        <w:pStyle w:val="Heading2"/>
      </w:pPr>
      <w:r>
        <w:t xml:space="preserve">2.1 Objectif général</w:t>
      </w:r>
    </w:p>
    <w:p>
      <w:pPr>
        <w:spacing w:after="120"/>
      </w:pPr>
      <w:r>
        <w:t xml:space="preserve">Concevoir et développer une plateforme Data Science de surveillance et de prédiction de la déforestation en RDC, exploitant des images satellites Sentinel-2, des techniques de Machine Learning et de Computer Vision.</w:t>
      </w:r>
    </w:p>
    <w:p>
      <w:pPr>
        <w:pStyle w:val="Heading2"/>
      </w:pPr>
      <w:r>
        <w:t xml:space="preserve">2.2 Objectifs spécifiques</w:t>
      </w:r>
    </w:p>
    <w:p>
      <w:pPr>
        <w:pStyle w:val="ListParagraph"/>
        <w:numPr>
          <w:ilvl w:val="0"/>
          <w:numId w:val="2"/>
        </w:numPr>
        <w:spacing w:after="80"/>
      </w:pPr>
      <w:r>
        <w:t xml:space="preserve">Collecter et intégrer des données multi-sources (images Sentinel-2, données météorologiques, données topographiques SRTM, dataset Hansen Global Forest Change) via Google Earth Engine.</w:t>
      </w:r>
    </w:p>
    <w:p>
      <w:pPr>
        <w:pStyle w:val="ListParagraph"/>
        <w:numPr>
          <w:ilvl w:val="0"/>
          <w:numId w:val="2"/>
        </w:numPr>
        <w:spacing w:after="80"/>
      </w:pPr>
      <w:r>
        <w:t xml:space="preserve">Prétraiter les images satellites : masquage des nuages, calcul des indices spectraux (NDVI, EVI, NDWI, NBR), création de mosaïques temporelles annuelles.</w:t>
      </w:r>
    </w:p>
    <w:p>
      <w:pPr>
        <w:pStyle w:val="ListParagraph"/>
        <w:numPr>
          <w:ilvl w:val="0"/>
          <w:numId w:val="2"/>
        </w:numPr>
        <w:spacing w:after="80"/>
      </w:pPr>
      <w:r>
        <w:t xml:space="preserve">Réaliser une analyse exploratoire approfondie (EDA) avec des visualisations interactives sur Streamlit.</w:t>
      </w:r>
    </w:p>
    <w:p>
      <w:pPr>
        <w:pStyle w:val="ListParagraph"/>
        <w:numPr>
          <w:ilvl w:val="0"/>
          <w:numId w:val="2"/>
        </w:numPr>
        <w:spacing w:after="80"/>
      </w:pPr>
      <w:r>
        <w:t xml:space="preserve">Entraîner et comparer trois modèles de classification : Random Forest, XGBoost, et U-Net (CNN) pour la segmentation de couverture du sol.</w:t>
      </w:r>
    </w:p>
    <w:p>
      <w:pPr>
        <w:pStyle w:val="ListParagraph"/>
        <w:numPr>
          <w:ilvl w:val="0"/>
          <w:numId w:val="2"/>
        </w:numPr>
        <w:spacing w:after="80"/>
      </w:pPr>
      <w:r>
        <w:t xml:space="preserve">Quantifier la perte forestière annuelle sur la période 2015–2025 dans la zone d’étude.</w:t>
      </w:r>
    </w:p>
    <w:p>
      <w:pPr>
        <w:pStyle w:val="ListParagraph"/>
        <w:numPr>
          <w:ilvl w:val="0"/>
          <w:numId w:val="2"/>
        </w:numPr>
        <w:spacing w:after="80"/>
      </w:pPr>
      <w:r>
        <w:t xml:space="preserve">Développer un modèle prédictif identifiant les zones à risque de déforestation future.</w:t>
      </w:r>
    </w:p>
    <w:p>
      <w:pPr>
        <w:pStyle w:val="ListParagraph"/>
        <w:numPr>
          <w:ilvl w:val="0"/>
          <w:numId w:val="2"/>
        </w:numPr>
        <w:spacing w:after="80"/>
      </w:pPr>
      <w:r>
        <w:t xml:space="preserve">Déployer la solution avec un backend FastAPI, un dashboard Streamlit, une authentification 2FA, et un tableau de bord administrateur.</w:t>
      </w:r>
    </w:p>
    <w:p>
      <w:pPr>
        <w:pStyle w:val="Heading1"/>
      </w:pPr>
      <w:r>
        <w:t xml:space="preserve">3. Zone d’étude</w:t>
      </w:r>
    </w:p>
    <w:p>
      <w:pPr>
        <w:spacing w:after="120"/>
      </w:pPr>
      <w:r>
        <w:t xml:space="preserve">La zone d’étude est centrée sur la province du </w:t>
      </w:r>
      <w:r>
        <w:rPr>
          <w:b/>
          <w:bCs/>
        </w:rPr>
        <w:t xml:space="preserve">Mai-Ndombe</w:t>
      </w:r>
      <w:r>
        <w:t xml:space="preserve">, autour de la ville d’Inongo (coordonnées : -1.95° S, 18.27° E). Le périmètre couvre une zone d’environ 50 km × 50 km (buffer de 25 km autour du point central).</w:t>
      </w:r>
    </w:p>
    <w:p>
      <w:pPr>
        <w:spacing w:after="200"/>
      </w:pPr>
      <w:r>
        <w:t xml:space="preserve">Cette province est choisie car elle constitue l’un des fronts de déforestation les plus actifs en RDC, avec une pression croissante liée à l’agriculture itinérante, aux concessions forestières, et à la production de charbon de bois pour Kinshasa.</w:t>
      </w:r>
    </w:p>
    <w:p>
      <w:pPr>
        <w:pStyle w:val="Heading1"/>
      </w:pPr>
      <w:r>
        <w:t xml:space="preserve">4. Sources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4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Résolution</w:t>
            </w:r>
          </w:p>
        </w:tc>
        <w:tc>
          <w:tcPr>
            <w:tcW w:type="dxa" w:w="2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Sentinel-2 (ESA)</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Images multispectrales (13 bandes)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Gratuit — Copernicus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Landsat 8/9 (NASA)</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Images multispectrales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 m</w:t>
            </w:r>
          </w:p>
        </w:tc>
        <w:tc>
          <w:tcPr>
            <w:tcW w:type="dxa" w:w="2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Gratuit — USGS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Hansen GFC</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Perte forestière annuelle (ground truth)</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Gratuit — UMD/Google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SRTM</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Modèle numérique de terrain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 m</w:t>
            </w:r>
          </w:p>
        </w:tc>
        <w:tc>
          <w:tcPr>
            <w:tcW w:type="dxa" w:w="24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Gratuit — NASA</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OpenWeatherMap</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Précipitations, température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4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Gratuit (1000 appels/j)</w:t>
            </w:r>
          </w:p>
        </w:tc>
      </w:tr>
    </w:tbl>
    <w:p>
      <w:pPr>
        <w:pStyle w:val="Heading1"/>
        <w:spacing w:before="400"/>
      </w:pPr>
      <w:r>
        <w:t xml:space="preserve">5. Architecture technique</w:t>
      </w:r>
    </w:p>
    <w:p>
      <w:pPr>
        <w:pStyle w:val="Heading2"/>
      </w:pPr>
      <w:r>
        <w:t xml:space="preserve">5.1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Langage</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3.11+</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Collecte satellite</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Google Earth Engine (Python API)</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Prétraitement</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PySpark, Rasterio, GDAL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ML classique</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Scikit-learn (Random Forest), XGBoost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Deep Learning</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TensorFlow / Keras (U-Net)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Visualisation</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Streamlit, Plotly, Matplotlib, Seaborn, Folium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Backend API</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FastAPI</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Base de données</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(Supabase)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Authentification</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JWT + PyOTP (2FA)</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Big Data</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PySpark</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Versioning</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Git + GitHub</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Containerisation</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Docker + docker-compose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Tests</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pytest</w:t>
            </w:r>
          </w:p>
        </w:tc>
      </w:tr>
    </w:tbl>
    <w:p>
      <w:pPr>
        <w:pStyle w:val="Heading2"/>
        <w:spacing w:before="300"/>
      </w:pPr>
      <w:r>
        <w:t xml:space="preserve">5.2 Pipeline de données</w:t>
      </w:r>
    </w:p>
    <w:p>
      <w:pPr>
        <w:pStyle w:val="ListParagraph"/>
        <w:numPr>
          <w:ilvl w:val="0"/>
          <w:numId w:val="2"/>
        </w:numPr>
        <w:spacing w:after="80"/>
      </w:pPr>
      <w:r>
        <w:t xml:space="preserve">Collecte : Récupération automatisée des images Sentinel-2, données Hansen, SRTM et météo via Google Earth Engine et APIs.</w:t>
      </w:r>
    </w:p>
    <w:p>
      <w:pPr>
        <w:pStyle w:val="ListParagraph"/>
        <w:numPr>
          <w:ilvl w:val="0"/>
          <w:numId w:val="2"/>
        </w:numPr>
        <w:spacing w:after="80"/>
      </w:pPr>
      <w:r>
        <w:t xml:space="preserve">Prétraitement : Masquage des nuages (bande SCL), calcul des indices spectraux (NDVI, EVI, NDWI, NBR), création de mosaïques médianes annuelles sur la saison sèche (juin–septembre).</w:t>
      </w:r>
    </w:p>
    <w:p>
      <w:pPr>
        <w:pStyle w:val="ListParagraph"/>
        <w:numPr>
          <w:ilvl w:val="0"/>
          <w:numId w:val="2"/>
        </w:numPr>
        <w:spacing w:after="80"/>
      </w:pPr>
      <w:r>
        <w:t xml:space="preserve">Feature engineering : Extraction des features par pixel (indices spectraux + altitude + pente + aspect) pour les modèles classiques. Tuiles 128×128 pixels pour le U-Net.</w:t>
      </w:r>
    </w:p>
    <w:p>
      <w:pPr>
        <w:pStyle w:val="ListParagraph"/>
        <w:numPr>
          <w:ilvl w:val="0"/>
          <w:numId w:val="2"/>
        </w:numPr>
        <w:spacing w:after="80"/>
      </w:pPr>
      <w:r>
        <w:t xml:space="preserve">Modélisation : Entraînement de Random Forest, XGBoost et U-Net. Validation croisée 5-fold. Optimisation des hyperparamètres par GridSearch.</w:t>
      </w:r>
    </w:p>
    <w:p>
      <w:pPr>
        <w:pStyle w:val="ListParagraph"/>
        <w:numPr>
          <w:ilvl w:val="0"/>
          <w:numId w:val="2"/>
        </w:numPr>
        <w:spacing w:after="80"/>
      </w:pPr>
      <w:r>
        <w:t xml:space="preserve">Comparaison : Évaluation via Accuracy, Precision, Recall, F1-Score, AUC-ROC, et Mean IoU.</w:t>
      </w:r>
    </w:p>
    <w:p>
      <w:pPr>
        <w:pStyle w:val="ListParagraph"/>
        <w:numPr>
          <w:ilvl w:val="0"/>
          <w:numId w:val="2"/>
        </w:numPr>
        <w:spacing w:after="80"/>
      </w:pPr>
      <w:r>
        <w:t xml:space="preserve">Prédiction : Modèle de risque de déforestation future basé sur la proximité des routes, villages, zones déjà déboisées et facteurs topographiques.</w:t>
      </w:r>
    </w:p>
    <w:p>
      <w:pPr>
        <w:pStyle w:val="Heading1"/>
      </w:pPr>
      <w:r>
        <w:t xml:space="preserve">6. Modèles de Machine Learning</w:t>
      </w:r>
    </w:p>
    <w:p>
      <w:pPr>
        <w:pStyle w:val="Heading2"/>
      </w:pPr>
      <w:r>
        <w:t xml:space="preserve">6.1 Random Forest (baseline)</w:t>
      </w:r>
    </w:p>
    <w:p>
      <w:pPr>
        <w:spacing w:after="120"/>
      </w:pPr>
      <w:r>
        <w:t xml:space="preserve">Classification pixel par pixel à partir des indices spectraux et données topographiques. Modèle interprétable servant de référence pour mesurer l’apport des modèles plus complexes. Paramètres : 200 arbres, profondeur max 15.</w:t>
      </w:r>
    </w:p>
    <w:p>
      <w:pPr>
        <w:pStyle w:val="Heading2"/>
      </w:pPr>
      <w:r>
        <w:t xml:space="preserve">6.2 XGBoost</w:t>
      </w:r>
    </w:p>
    <w:p>
      <w:pPr>
        <w:spacing w:after="120"/>
      </w:pPr>
      <w:r>
        <w:t xml:space="preserve">Gradient boosting sur les mêmes features. Comparaison directe avec Random Forest pour évaluer le gain de performance du boosting par rapport au bagging. Paramètres : 200 estimateurs, learning rate 0.1, profondeur max 10.</w:t>
      </w:r>
    </w:p>
    <w:p>
      <w:pPr>
        <w:pStyle w:val="Heading2"/>
      </w:pPr>
      <w:r>
        <w:t xml:space="preserve">6.3 U-Net (CNN)</w:t>
      </w:r>
    </w:p>
    <w:p>
      <w:pPr>
        <w:spacing w:after="200"/>
      </w:pPr>
      <w:r>
        <w:t xml:space="preserve">Segmentation sémantique prenant les 6 bandes spectrales brutes en entrée (tuiles 128×128). Détecte des patterns spatiaux (textures, contours de déforestation) que les modèles pixel-à-pixel ne capturent pas. Architecture encodeur-décodeur avec skip connections. 5 classes de sortie : forêt dense, forêt dégradée, agriculture/sol nu, eau, zone urbaine.</w:t>
      </w:r>
    </w:p>
    <w:p>
      <w:pPr>
        <w:pStyle w:val="Heading2"/>
      </w:pPr>
      <w:r>
        <w:t xml:space="preserve">6.4 Métriques de comparaison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6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Accuracy</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Proportion de pixels correctement classifiés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Precision</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Proportion de vrais positifs parmi les prédictions positives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Recall</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Proportion de vrais positifs détectés parmi les réels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F1-Score</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Moyenne harmonique de Precision et Recall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AUC-ROC</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Capacité de discrimination du modèle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Mean IoU</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Intersection over Union moyenne (standard en segmentation)</w:t>
            </w:r>
          </w:p>
        </w:tc>
      </w:tr>
    </w:tbl>
    <w:p>
      <w:pPr>
        <w:pStyle w:val="Heading1"/>
        <w:spacing w:before="400"/>
      </w:pPr>
      <w:r>
        <w:t xml:space="preserve">7. Fonctionnalités de la plateforme</w:t>
      </w:r>
    </w:p>
    <w:p>
      <w:pPr>
        <w:pStyle w:val="Heading2"/>
      </w:pPr>
      <w:r>
        <w:t xml:space="preserve">7.1 Dashboard public (Streamlit)</w:t>
      </w:r>
    </w:p>
    <w:p>
      <w:pPr>
        <w:pStyle w:val="ListParagraph"/>
        <w:numPr>
          <w:ilvl w:val="0"/>
          <w:numId w:val="3"/>
        </w:numPr>
        <w:spacing w:after="60"/>
      </w:pPr>
      <w:r>
        <w:t xml:space="preserve">Carte interactive de la zone d’étude avec couches de couverture du sol (Folium)</w:t>
      </w:r>
    </w:p>
    <w:p>
      <w:pPr>
        <w:pStyle w:val="ListParagraph"/>
        <w:numPr>
          <w:ilvl w:val="0"/>
          <w:numId w:val="3"/>
        </w:numPr>
        <w:spacing w:after="60"/>
      </w:pPr>
      <w:r>
        <w:t xml:space="preserve">Timeline de la déforestation année par année (2015–2025)</w:t>
      </w:r>
    </w:p>
    <w:p>
      <w:pPr>
        <w:pStyle w:val="ListParagraph"/>
        <w:numPr>
          <w:ilvl w:val="0"/>
          <w:numId w:val="3"/>
        </w:numPr>
        <w:spacing w:after="60"/>
      </w:pPr>
      <w:r>
        <w:t xml:space="preserve">Heatmaps des zones à risque de déforestation future</w:t>
      </w:r>
    </w:p>
    <w:p>
      <w:pPr>
        <w:pStyle w:val="ListParagraph"/>
        <w:numPr>
          <w:ilvl w:val="0"/>
          <w:numId w:val="3"/>
        </w:numPr>
        <w:spacing w:after="60"/>
      </w:pPr>
      <w:r>
        <w:t xml:space="preserve">Graphiques de comparaison des modèles (métriques, matrices de confusion)</w:t>
      </w:r>
    </w:p>
    <w:p>
      <w:pPr>
        <w:pStyle w:val="ListParagraph"/>
        <w:numPr>
          <w:ilvl w:val="0"/>
          <w:numId w:val="3"/>
        </w:numPr>
        <w:spacing w:after="60"/>
      </w:pPr>
      <w:r>
        <w:t xml:space="preserve">Statistiques : hectares perdus par année, taux de déforestation, surfaces par classe</w:t>
      </w:r>
    </w:p>
    <w:p>
      <w:pPr>
        <w:pStyle w:val="Heading2"/>
      </w:pPr>
      <w:r>
        <w:t xml:space="preserve">7.2 Backend API (FastAPI)</w:t>
      </w:r>
    </w:p>
    <w:p>
      <w:pPr>
        <w:pStyle w:val="ListParagraph"/>
        <w:numPr>
          <w:ilvl w:val="0"/>
          <w:numId w:val="3"/>
        </w:numPr>
        <w:spacing w:after="60"/>
      </w:pPr>
      <w:r>
        <w:t xml:space="preserve">API RESTful documentée (Swagger) pour l’accès aux données et prédictions</w:t>
      </w:r>
    </w:p>
    <w:p>
      <w:pPr>
        <w:pStyle w:val="ListParagraph"/>
        <w:numPr>
          <w:ilvl w:val="0"/>
          <w:numId w:val="3"/>
        </w:numPr>
        <w:spacing w:after="60"/>
      </w:pPr>
      <w:r>
        <w:t xml:space="preserve">Endpoints : /api/v1/predictions, /api/v1/statistics, /api/v1/images, /api/v1/models</w:t>
      </w:r>
    </w:p>
    <w:p>
      <w:pPr>
        <w:pStyle w:val="ListParagraph"/>
        <w:numPr>
          <w:ilvl w:val="0"/>
          <w:numId w:val="3"/>
        </w:numPr>
        <w:spacing w:after="60"/>
      </w:pPr>
      <w:r>
        <w:t xml:space="preserve">Authentification JWT avec tokens d’accès et de rafraîchissement</w:t>
      </w:r>
    </w:p>
    <w:p>
      <w:pPr>
        <w:pStyle w:val="Heading2"/>
      </w:pPr>
      <w:r>
        <w:t xml:space="preserve">7.3 Authentification et sécurité</w:t>
      </w:r>
    </w:p>
    <w:p>
      <w:pPr>
        <w:pStyle w:val="ListParagraph"/>
        <w:numPr>
          <w:ilvl w:val="0"/>
          <w:numId w:val="3"/>
        </w:numPr>
        <w:spacing w:after="60"/>
      </w:pPr>
      <w:r>
        <w:t xml:space="preserve">Authentification à deux facteurs (2FA) via PyOTP (codes OTP)</w:t>
      </w:r>
    </w:p>
    <w:p>
      <w:pPr>
        <w:pStyle w:val="ListParagraph"/>
        <w:numPr>
          <w:ilvl w:val="0"/>
          <w:numId w:val="3"/>
        </w:numPr>
        <w:spacing w:after="60"/>
      </w:pPr>
      <w:r>
        <w:t xml:space="preserve">Gestion des sessions par JWT (JSON Web Tokens)</w:t>
      </w:r>
    </w:p>
    <w:p>
      <w:pPr>
        <w:pStyle w:val="ListParagraph"/>
        <w:numPr>
          <w:ilvl w:val="0"/>
          <w:numId w:val="3"/>
        </w:numPr>
        <w:spacing w:after="60"/>
      </w:pPr>
      <w:r>
        <w:t xml:space="preserve">Hachage des mots de passe (bcrypt)</w:t>
      </w:r>
    </w:p>
    <w:p>
      <w:pPr>
        <w:pStyle w:val="ListParagraph"/>
        <w:numPr>
          <w:ilvl w:val="0"/>
          <w:numId w:val="3"/>
        </w:numPr>
        <w:spacing w:after="60"/>
      </w:pPr>
      <w:r>
        <w:t xml:space="preserve">Chiffrement HTTPS pour toutes les communications</w:t>
      </w:r>
    </w:p>
    <w:p>
      <w:pPr>
        <w:pStyle w:val="ListParagraph"/>
        <w:numPr>
          <w:ilvl w:val="0"/>
          <w:numId w:val="3"/>
        </w:numPr>
        <w:spacing w:after="60"/>
      </w:pPr>
      <w:r>
        <w:t xml:space="preserve">Gestion des rôles : administrateur et utilisateur standard</w:t>
      </w:r>
    </w:p>
    <w:p>
      <w:pPr>
        <w:pStyle w:val="Heading2"/>
      </w:pPr>
      <w:r>
        <w:t xml:space="preserve">7.4 Tableau de bord administrateur</w:t>
      </w:r>
    </w:p>
    <w:p>
      <w:pPr>
        <w:pStyle w:val="ListParagraph"/>
        <w:numPr>
          <w:ilvl w:val="0"/>
          <w:numId w:val="3"/>
        </w:numPr>
        <w:spacing w:after="60"/>
      </w:pPr>
      <w:r>
        <w:t xml:space="preserve">Gestion des utilisateurs (création, modification, suppression, rôles)</w:t>
      </w:r>
    </w:p>
    <w:p>
      <w:pPr>
        <w:pStyle w:val="ListParagraph"/>
        <w:numPr>
          <w:ilvl w:val="0"/>
          <w:numId w:val="3"/>
        </w:numPr>
        <w:spacing w:after="60"/>
      </w:pPr>
      <w:r>
        <w:t xml:space="preserve">Suivi des requêtes API et métriques d’utilisation en temps réel</w:t>
      </w:r>
    </w:p>
    <w:p>
      <w:pPr>
        <w:pStyle w:val="ListParagraph"/>
        <w:numPr>
          <w:ilvl w:val="0"/>
          <w:numId w:val="3"/>
        </w:numPr>
        <w:spacing w:after="60"/>
      </w:pPr>
      <w:r>
        <w:t xml:space="preserve">Génération de rapports dynamiques (PDF) sur la déforestation</w:t>
      </w:r>
    </w:p>
    <w:p>
      <w:pPr>
        <w:pStyle w:val="ListParagraph"/>
        <w:numPr>
          <w:ilvl w:val="0"/>
          <w:numId w:val="3"/>
        </w:numPr>
        <w:spacing w:after="60"/>
      </w:pPr>
      <w:r>
        <w:t xml:space="preserve">Gestion des modèles déployés (version, performance, date)</w:t>
      </w:r>
    </w:p>
    <w:p>
      <w:pPr>
        <w:pStyle w:val="Heading1"/>
      </w:pPr>
      <w:r>
        <w:t xml:space="preserve">8. Livrables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26"/>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4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 source complet (GitHub)</w:t>
            </w:r>
          </w:p>
        </w:tc>
        <w:tc>
          <w:tcPr>
            <w:tcW w:type="dxa" w:w="4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Repository Git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Streamlit déployé</w:t>
            </w:r>
          </w:p>
        </w:tc>
        <w:tc>
          <w:tcPr>
            <w:tcW w:type="dxa" w:w="4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URL Streamlit Cloud</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FastAPI déployée</w:t>
            </w:r>
          </w:p>
        </w:tc>
        <w:tc>
          <w:tcPr>
            <w:tcW w:type="dxa" w:w="4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URL + Documentation Swagger</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Modèles entraînés (RF, XGBoost, U-Net)</w:t>
            </w:r>
          </w:p>
        </w:tc>
        <w:tc>
          <w:tcPr>
            <w:tcW w:type="dxa" w:w="4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Fichiers .pkl / .h5</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Notebooks d’analyse (EDA, modélisation)</w:t>
            </w:r>
          </w:p>
        </w:tc>
        <w:tc>
          <w:tcPr>
            <w:tcW w:type="dxa" w:w="4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Jupyter Notebooks (.ipynb)</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Rapport final / Mémoire</w:t>
            </w:r>
          </w:p>
        </w:tc>
        <w:tc>
          <w:tcPr>
            <w:tcW w:type="dxa" w:w="4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 Word (.docx)</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Configuration Docker</w:t>
            </w:r>
          </w:p>
        </w:tc>
        <w:tc>
          <w:tcPr>
            <w:tcW w:type="dxa" w:w="4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Dockerfile + docker-compose.yml</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Tests unitaires</w:t>
            </w:r>
          </w:p>
        </w:tc>
        <w:tc>
          <w:tcPr>
            <w:tcW w:type="dxa" w:w="4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pytest (couverture &gt; 70%)</w:t>
            </w:r>
          </w:p>
        </w:tc>
      </w:tr>
    </w:tbl>
    <w:p>
      <w:pPr>
        <w:pStyle w:val="Heading1"/>
        <w:spacing w:before="400"/>
      </w:pPr>
      <w:r>
        <w:t xml:space="preserve">9. Contraintes et limites identifiées</w:t>
      </w:r>
    </w:p>
    <w:p>
      <w:pPr>
        <w:pStyle w:val="ListParagraph"/>
        <w:numPr>
          <w:ilvl w:val="0"/>
          <w:numId w:val="3"/>
        </w:numPr>
        <w:spacing w:after="80"/>
      </w:pPr>
      <w:r>
        <w:t xml:space="preserve">Couverture nuageuse : La zone équatoriale présente environ 70% de couverture nuageuse. Les mosaïques temporelles sur la saison sèche atténuent ce problème.</w:t>
      </w:r>
    </w:p>
    <w:p>
      <w:pPr>
        <w:pStyle w:val="ListParagraph"/>
        <w:numPr>
          <w:ilvl w:val="0"/>
          <w:numId w:val="3"/>
        </w:numPr>
        <w:spacing w:after="80"/>
      </w:pPr>
      <w:r>
        <w:t xml:space="preserve">Résolution spatiale : Sentinel-2 (10 m) détecte la déforestation à grande échelle mais pas la dégradation fine (exploitation sélective).</w:t>
      </w:r>
    </w:p>
    <w:p>
      <w:pPr>
        <w:pStyle w:val="ListParagraph"/>
        <w:numPr>
          <w:ilvl w:val="0"/>
          <w:numId w:val="3"/>
        </w:numPr>
        <w:spacing w:after="80"/>
      </w:pPr>
      <w:r>
        <w:t xml:space="preserve">Facteurs imprévisibles : Certains moteurs de déforestation (décisions politiques, nouvelles concessions) ne sont pas modélisables.</w:t>
      </w:r>
    </w:p>
    <w:p>
      <w:pPr>
        <w:pStyle w:val="ListParagraph"/>
        <w:numPr>
          <w:ilvl w:val="0"/>
          <w:numId w:val="3"/>
        </w:numPr>
        <w:spacing w:after="80"/>
      </w:pPr>
      <w:r>
        <w:t xml:space="preserve">Puissance de calcul : L’entraînement du U-Net nécessite un GPU. Google Colab (gratuit) est utilisé.</w:t>
      </w:r>
    </w:p>
    <w:p>
      <w:pPr>
        <w:pStyle w:val="ListParagraph"/>
        <w:numPr>
          <w:ilvl w:val="0"/>
          <w:numId w:val="3"/>
        </w:numPr>
        <w:spacing w:after="80"/>
      </w:pPr>
      <w:r>
        <w:t xml:space="preserve">Big Data : Le volume de données justifie l’architecture PySpark, même si le dataset du projet reste gérable sur une machine locale.</w:t>
      </w:r>
    </w:p>
    <w:p>
      <w:pPr>
        <w:pStyle w:val="Heading1"/>
      </w:pPr>
      <w:r>
        <w:t xml:space="preserve">10.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226"/>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Semaines</w:t>
            </w:r>
          </w:p>
        </w:tc>
        <w:tc>
          <w:tcPr>
            <w:tcW w:type="dxa" w:w="4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Livrable associé</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S1–S2</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Collecte de données (GEE) + configuration environnement</w:t>
            </w:r>
          </w:p>
        </w:tc>
        <w:tc>
          <w:tcPr>
            <w:tcW w:type="dxa" w:w="3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Dataset brut constitué</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S3–S4</w:t>
            </w:r>
          </w:p>
        </w:tc>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Prétraitement + EDA</w:t>
            </w:r>
          </w:p>
        </w:tc>
        <w:tc>
          <w:tcPr>
            <w:tcW w:type="dxa" w:w="3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Notebooks EDA + données nettoyées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S5–S7</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Modélisation (RF, XGBoost, U-Net) + comparaison</w:t>
            </w:r>
          </w:p>
        </w:tc>
        <w:tc>
          <w:tcPr>
            <w:tcW w:type="dxa" w:w="3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Modèles entraînés + tableau comparatif</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S8–S9</w:t>
            </w:r>
          </w:p>
        </w:tc>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Développement API FastAPI + Dashboard Streamlit</w:t>
            </w:r>
          </w:p>
        </w:tc>
        <w:tc>
          <w:tcPr>
            <w:tcW w:type="dxa" w:w="3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Prototype déployé</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sz w:val="20"/>
                <w:szCs w:val="20"/>
              </w:rPr>
              <w:t xml:space="preserve">S10–S11</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Auth 2FA + Admin + Tests + Docker</w:t>
            </w:r>
          </w:p>
        </w:tc>
        <w:tc>
          <w:tcPr>
            <w:tcW w:type="dxa" w:w="3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Plateforme complète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S12</w:t>
            </w:r>
          </w:p>
        </w:tc>
        <w:tc>
          <w:tcPr>
            <w:tcW w:type="dxa" w:w="4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Rédaction mémoire + préparation soutenance</w:t>
            </w:r>
          </w:p>
        </w:tc>
        <w:tc>
          <w:tcPr>
            <w:tcW w:type="dxa" w:w="3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Rapport final + présentation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999999"/>
        <w:sz w:val="18"/>
        <w:szCs w:val="18"/>
      </w:rPr>
      <w:t xml:space="preserve">DeforestWatch-DRC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48F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2026-03-21T17:01:24.746Z</dcterms:created>
  <dcterms:modified xsi:type="dcterms:W3CDTF">2026-03-21T17:01:24.747Z</dcterms:modified>
</cp:coreProperties>
</file>

<file path=docProps/custom.xml><?xml version="1.0" encoding="utf-8"?>
<Properties xmlns="http://schemas.openxmlformats.org/officeDocument/2006/custom-properties" xmlns:vt="http://schemas.openxmlformats.org/officeDocument/2006/docPropsVTypes"/>
</file>