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color w:val="1A1A1A"/>
          <w:sz w:val="26"/>
          <w:szCs w:val="26"/>
        </w:rPr>
        <w:t xml:space="preserve">UNIVERSITÉ PROTESTANTE AU CONGO</w:t>
      </w:r>
    </w:p>
    <w:p>
      <w:pPr>
        <w:spacing w:after="40"/>
        <w:jc w:val="center"/>
      </w:pPr>
      <w:r>
        <w:rPr>
          <w:rFonts w:ascii="Cambria" w:cs="Cambria" w:eastAsia="Cambria" w:hAnsi="Cambria"/>
          <w:color w:val="1A1A1A"/>
          <w:sz w:val="22"/>
          <w:szCs w:val="22"/>
        </w:rPr>
        <w:t xml:space="preserve">FACULTÉ DES SCIENCES INFORMATIQUES</w:t>
      </w:r>
    </w:p>
    <w:p>
      <w:pPr>
        <w:spacing w:after="40"/>
        <w:jc w:val="center"/>
      </w:pPr>
      <w:r>
        <w:rPr>
          <w:rFonts w:ascii="Calibri" w:cs="Calibri" w:eastAsia="Calibri" w:hAnsi="Calibri"/>
          <w:color w:val="555555"/>
          <w:sz w:val="20"/>
          <w:szCs w:val="20"/>
        </w:rPr>
        <w:t xml:space="preserve">Licence 3 — LMD · Orientation : Data Science</w:t>
      </w:r>
    </w:p>
    <w:p>
      <w:pPr>
        <w:spacing w:after="40" w:before="60"/>
        <w:jc w:val="center"/>
      </w:pPr>
      <w:r>
        <w:rPr>
          <w:rFonts w:ascii="Calibri" w:cs="Calibri" w:eastAsia="Calibri" w:hAnsi="Calibri"/>
          <w:color w:val="0B6E2D"/>
          <w:sz w:val="20"/>
          <w:szCs w:val="20"/>
        </w:rPr>
        <w:t xml:space="preserve">— · —</w:t>
      </w:r>
    </w:p>
    <w:p>
      <w:pPr>
        <w:spacing w:after="500"/>
      </w:pPr>
    </w:p>
    <w:p>
      <w:pPr>
        <w:spacing w:after="40"/>
        <w:jc w:val="center"/>
      </w:pPr>
      <w:r>
        <w:rPr>
          <w:rFonts w:ascii="Cambria" w:cs="Cambria" w:eastAsia="Cambria" w:hAnsi="Cambria"/>
          <w:b/>
          <w:bCs/>
          <w:color w:val="0B6E2D"/>
          <w:sz w:val="22"/>
          <w:szCs w:val="22"/>
        </w:rPr>
        <w:t xml:space="preserve">PROJET DE FIN DE CYCLE — MONOGRAPHIE</w:t>
      </w:r>
    </w:p>
    <w:p>
      <w:pPr>
        <w:spacing w:after="260"/>
      </w:pPr>
    </w:p>
    <w:p>
      <w:pPr>
        <w:pBdr>
          <w:top w:val="single" w:color="0B6E2D" w:sz="8" w:space="8"/>
          <w:bottom w:val="single" w:color="0B6E2D" w:sz="8" w:space="8"/>
        </w:pBdr>
        <w:spacing w:after="120"/>
        <w:jc w:val="center"/>
      </w:pPr>
      <w:r>
        <w:rPr>
          <w:rFonts w:ascii="Cambria" w:cs="Cambria" w:eastAsia="Cambria" w:hAnsi="Cambria"/>
          <w:b/>
          <w:bCs/>
          <w:color w:val="1A1A1A"/>
          <w:sz w:val="48"/>
          <w:szCs w:val="48"/>
        </w:rPr>
        <w:t xml:space="preserve">DeforestWatch-DRC</w:t>
      </w:r>
    </w:p>
    <w:p>
      <w:pPr>
        <w:spacing w:after="40" w:before="120"/>
        <w:jc w:val="center"/>
      </w:pPr>
      <w:r>
        <w:rPr>
          <w:rFonts w:ascii="Cambria" w:cs="Cambria" w:eastAsia="Cambria" w:hAnsi="Cambria"/>
          <w:color w:val="1A1A1A"/>
          <w:sz w:val="26"/>
          <w:szCs w:val="26"/>
        </w:rPr>
        <w:t xml:space="preserve">Surveillance et prédiction de la déforestation de la forêt</w:t>
      </w:r>
    </w:p>
    <w:p>
      <w:pPr>
        <w:spacing w:after="40"/>
        <w:jc w:val="center"/>
      </w:pPr>
      <w:r>
        <w:rPr>
          <w:rFonts w:ascii="Cambria" w:cs="Cambria" w:eastAsia="Cambria" w:hAnsi="Cambria"/>
          <w:color w:val="1A1A1A"/>
          <w:sz w:val="26"/>
          <w:szCs w:val="26"/>
        </w:rPr>
        <w:t xml:space="preserve">équatoriale du Bassin du Congo par imagerie satellite</w:t>
      </w:r>
    </w:p>
    <w:p>
      <w:pPr>
        <w:spacing w:after="40"/>
        <w:jc w:val="center"/>
      </w:pPr>
      <w:r>
        <w:rPr>
          <w:rFonts w:ascii="Cambria" w:cs="Cambria" w:eastAsia="Cambria" w:hAnsi="Cambria"/>
          <w:color w:val="1A1A1A"/>
          <w:sz w:val="26"/>
          <w:szCs w:val="26"/>
        </w:rPr>
        <w:t xml:space="preserve">et apprentissage automatique</w:t>
      </w:r>
    </w:p>
    <w:p>
      <w:pPr>
        <w:spacing w:before="80"/>
        <w:jc w:val="center"/>
      </w:pPr>
      <w:r>
        <w:rPr>
          <w:rFonts w:ascii="Calibri" w:cs="Calibri" w:eastAsia="Calibri" w:hAnsi="Calibri"/>
          <w:i/>
          <w:iCs/>
          <w:color w:val="555555"/>
          <w:sz w:val="22"/>
          <w:szCs w:val="22"/>
        </w:rPr>
        <w:t xml:space="preserve">Étude de cas : Province du Mai-Ndombe (RDC)</w:t>
      </w:r>
    </w:p>
    <w:p>
      <w:pPr>
        <w:spacing w:after="700"/>
      </w:pPr>
    </w:p>
    <w:p>
      <w:pPr>
        <w:spacing w:after="60"/>
        <w:jc w:val="center"/>
      </w:pPr>
      <w:r>
        <w:rPr>
          <w:rFonts w:ascii="Calibri" w:cs="Calibri" w:eastAsia="Calibri" w:hAnsi="Calibri"/>
          <w:color w:val="555555"/>
          <w:sz w:val="20"/>
          <w:szCs w:val="20"/>
        </w:rPr>
        <w:t xml:space="preserve">Présenté par</w:t>
      </w:r>
    </w:p>
    <w:p>
      <w:pPr>
        <w:spacing w:after="160"/>
        <w:jc w:val="center"/>
      </w:pPr>
      <w:r>
        <w:rPr>
          <w:rFonts w:ascii="Cambria" w:cs="Cambria" w:eastAsia="Cambria" w:hAnsi="Cambria"/>
          <w:b/>
          <w:bCs/>
          <w:color w:val="1A1A1A"/>
          <w:sz w:val="26"/>
          <w:szCs w:val="26"/>
        </w:rPr>
        <w:t xml:space="preserve">Joyce A. WETUNGANI</w:t>
      </w:r>
    </w:p>
    <w:p>
      <w:pPr>
        <w:spacing w:after="60"/>
        <w:jc w:val="center"/>
      </w:pPr>
      <w:r>
        <w:rPr>
          <w:rFonts w:ascii="Calibri" w:cs="Calibri" w:eastAsia="Calibri" w:hAnsi="Calibri"/>
          <w:color w:val="555555"/>
          <w:sz w:val="20"/>
          <w:szCs w:val="20"/>
        </w:rPr>
        <w:t xml:space="preserve">Sous la direction de</w:t>
      </w:r>
    </w:p>
    <w:p>
      <w:pPr>
        <w:spacing w:after="60"/>
        <w:jc w:val="center"/>
      </w:pPr>
      <w:r>
        <w:rPr>
          <w:rFonts w:ascii="Calibri" w:cs="Calibri" w:eastAsia="Calibri" w:hAnsi="Calibri"/>
          <w:color w:val="1A1A1A"/>
          <w:sz w:val="22"/>
          <w:szCs w:val="22"/>
        </w:rPr>
        <w:t xml:space="preserve">[Nom et titre de l’encadrant]</w:t>
      </w:r>
    </w:p>
    <w:p>
      <w:pPr>
        <w:spacing w:after="500"/>
      </w:pPr>
    </w:p>
    <w:p>
      <w:pPr>
        <w:jc w:val="center"/>
      </w:pPr>
      <w:r>
        <w:rPr>
          <w:rFonts w:ascii="Calibri" w:cs="Calibri" w:eastAsia="Calibri" w:hAnsi="Calibri"/>
          <w:b/>
          <w:bCs/>
          <w:color w:val="1A1A1A"/>
          <w:sz w:val="22"/>
          <w:szCs w:val="22"/>
        </w:rPr>
        <w:t xml:space="preserve">Année académique 2025 – 2026</w:t>
      </w:r>
    </w:p>
    <w:p>
      <w:r>
        <w:br w:type="page"/>
      </w:r>
    </w:p>
    <w:p>
      <w:pPr>
        <w:pStyle w:val="Heading1"/>
        <w:spacing w:after="180" w:before="320"/>
      </w:pPr>
      <w:r>
        <w:rPr>
          <w:rFonts w:ascii="Cambria" w:cs="Cambria" w:eastAsia="Cambria" w:hAnsi="Cambria"/>
          <w:b/>
          <w:bCs/>
          <w:color w:val="0B6E2D"/>
          <w:sz w:val="30"/>
          <w:szCs w:val="30"/>
        </w:rPr>
        <w:t xml:space="preserve">Résumé</w:t>
      </w:r>
    </w:p>
    <w:p>
      <w:pPr>
        <w:spacing w:after="140" w:line="276"/>
        <w:jc w:val="both"/>
      </w:pPr>
      <w:r>
        <w:rPr>
          <w:rFonts w:ascii="Calibri" w:cs="Calibri" w:eastAsia="Calibri" w:hAnsi="Calibri"/>
          <w:b/>
          <w:bCs/>
          <w:color w:val="1A1A1A"/>
          <w:sz w:val="22"/>
          <w:szCs w:val="22"/>
        </w:rPr>
        <w:t xml:space="preserve">Contexte. </w:t>
      </w:r>
      <w:r>
        <w:rPr>
          <w:rFonts w:ascii="Calibri" w:cs="Calibri" w:eastAsia="Calibri" w:hAnsi="Calibri"/>
          <w:color w:val="1A1A1A"/>
          <w:sz w:val="22"/>
          <w:szCs w:val="22"/>
        </w:rPr>
        <w:t xml:space="preserve">La République Démocratique du Congo (RDC) abrite environ 60 % de la forêt du Bassin du Congo, deuxième massif forestier tropical de la planète et réservoir majeur de carbone. La province du Mai-Ndombe constitue l’un des fronts de déforestation les plus actifs du pays, sous l’effet d’une déforestation diffuse (agriculture sur brûlis, charbon de bois, exploitation artisanale) mal captée par les outils de surveillance globaux.</w:t>
      </w:r>
    </w:p>
    <w:p>
      <w:pPr>
        <w:spacing w:after="140" w:line="276"/>
        <w:jc w:val="both"/>
      </w:pPr>
      <w:r>
        <w:rPr>
          <w:rFonts w:ascii="Calibri" w:cs="Calibri" w:eastAsia="Calibri" w:hAnsi="Calibri"/>
          <w:b/>
          <w:bCs/>
          <w:color w:val="1A1A1A"/>
          <w:sz w:val="22"/>
          <w:szCs w:val="22"/>
        </w:rPr>
        <w:t xml:space="preserve">Objectif. </w:t>
      </w:r>
      <w:r>
        <w:rPr>
          <w:rFonts w:ascii="Calibri" w:cs="Calibri" w:eastAsia="Calibri" w:hAnsi="Calibri"/>
          <w:color w:val="1A1A1A"/>
          <w:sz w:val="22"/>
          <w:szCs w:val="22"/>
        </w:rPr>
        <w:t xml:space="preserve">Ce travail conçoit et implémente DeforestWatch-DRC, une plateforme d’analyse et de prédiction de la déforestation qui exploite l’imagerie satellitaire (Sentinel-2, Landsat, radar Sentinel-1) et des techniques d’apprentissage automatique afin de détecter, quantifier et anticiper la perte forestière sur une zone d’environ 50 km × 50 km autour d’Inongo.</w:t>
      </w:r>
    </w:p>
    <w:p>
      <w:pPr>
        <w:spacing w:after="140" w:line="276"/>
        <w:jc w:val="both"/>
      </w:pPr>
      <w:r>
        <w:rPr>
          <w:rFonts w:ascii="Calibri" w:cs="Calibri" w:eastAsia="Calibri" w:hAnsi="Calibri"/>
          <w:b/>
          <w:bCs/>
          <w:color w:val="1A1A1A"/>
          <w:sz w:val="22"/>
          <w:szCs w:val="22"/>
        </w:rPr>
        <w:t xml:space="preserve">Méthodologie. </w:t>
      </w:r>
      <w:r>
        <w:rPr>
          <w:rFonts w:ascii="Calibri" w:cs="Calibri" w:eastAsia="Calibri" w:hAnsi="Calibri"/>
          <w:color w:val="1A1A1A"/>
          <w:sz w:val="22"/>
          <w:szCs w:val="22"/>
        </w:rPr>
        <w:t xml:space="preserve">La démarche suit un cycle de type CRISP-DM : compréhension du problème, acquisition et prétraitement des images (masquage des nuages, mosaïques, calcul d’indices spectraux NDVI, EVI, NDWI, NBR), extraction de treize variables explicatives, puis modélisation par Random Forest, XGBoost et un réseau de neurones convolutif U-Net. Les modèles sont comparés selon l’Accuracy, la Precision, le Recall, le F1-score, l’AUC-ROC et l’IoU. Un module prédictif produit une carte de risque de déforestation, complétée par une estimation des émissions de CO₂ associées.</w:t>
      </w:r>
    </w:p>
    <w:p>
      <w:pPr>
        <w:spacing w:after="140" w:line="276"/>
        <w:jc w:val="both"/>
      </w:pPr>
      <w:r>
        <w:rPr>
          <w:rFonts w:ascii="Calibri" w:cs="Calibri" w:eastAsia="Calibri" w:hAnsi="Calibri"/>
          <w:b/>
          <w:bCs/>
          <w:color w:val="1A1A1A"/>
          <w:sz w:val="22"/>
          <w:szCs w:val="22"/>
        </w:rPr>
        <w:t xml:space="preserve">Résultats. </w:t>
      </w:r>
      <w:r>
        <w:rPr>
          <w:rFonts w:ascii="Calibri" w:cs="Calibri" w:eastAsia="Calibri" w:hAnsi="Calibri"/>
          <w:color w:val="1A1A1A"/>
          <w:sz w:val="22"/>
          <w:szCs w:val="22"/>
        </w:rPr>
        <w:t xml:space="preserve">La chaîne de traitement complète a été implémentée et validée de bout en bout en mode démonstration (données synthétiques réalistes), puis rendue directement compatible avec de vraies images Google Earth Engine sans modification du code. Les modèles à base d’arbres offrent le meilleur compromis performance / interprétabilité pour la classification pixel, tandis que le U-Net capte mieux les structures spatiales. La plateforme est déployée sous forme d’une API FastAPI, d’un tableau de bord Streamlit et d’une interface web React.</w:t>
      </w:r>
    </w:p>
    <w:p>
      <w:pPr>
        <w:spacing w:after="140" w:line="276"/>
        <w:jc w:val="both"/>
      </w:pPr>
      <w:r>
        <w:rPr>
          <w:rFonts w:ascii="Calibri" w:cs="Calibri" w:eastAsia="Calibri" w:hAnsi="Calibri"/>
          <w:b/>
          <w:bCs/>
          <w:color w:val="1A1A1A"/>
          <w:sz w:val="22"/>
          <w:szCs w:val="22"/>
        </w:rPr>
        <w:t xml:space="preserve">Mots-clés : </w:t>
      </w:r>
      <w:r>
        <w:rPr>
          <w:rFonts w:ascii="Calibri" w:cs="Calibri" w:eastAsia="Calibri" w:hAnsi="Calibri"/>
          <w:i/>
          <w:iCs/>
          <w:color w:val="1A1A1A"/>
          <w:sz w:val="22"/>
          <w:szCs w:val="22"/>
        </w:rPr>
        <w:t xml:space="preserve">déforestation, télédétection, Sentinel-2, machine learning, Random Forest, XGBoost, U-Net, NDVI, REDD+, Bassin du Congo, Mai-Ndombe.</w:t>
      </w:r>
    </w:p>
    <w:p>
      <w:r>
        <w:br w:type="page"/>
      </w:r>
    </w:p>
    <w:p>
      <w:pPr>
        <w:pStyle w:val="Heading1"/>
        <w:spacing w:after="180" w:before="320"/>
      </w:pPr>
      <w:r>
        <w:rPr>
          <w:rFonts w:ascii="Cambria" w:cs="Cambria" w:eastAsia="Cambria" w:hAnsi="Cambria"/>
          <w:b/>
          <w:bCs/>
          <w:color w:val="0B6E2D"/>
          <w:sz w:val="30"/>
          <w:szCs w:val="30"/>
        </w:rPr>
        <w:t xml:space="preserve">Abstract</w:t>
      </w:r>
    </w:p>
    <w:p>
      <w:pPr>
        <w:spacing w:after="140" w:line="276"/>
        <w:jc w:val="both"/>
      </w:pPr>
      <w:r>
        <w:rPr>
          <w:rFonts w:ascii="Calibri" w:cs="Calibri" w:eastAsia="Calibri" w:hAnsi="Calibri"/>
          <w:color w:val="1A1A1A"/>
          <w:sz w:val="22"/>
          <w:szCs w:val="22"/>
        </w:rPr>
        <w:t xml:space="preserve">DeforestWatch-DRC is an analysis and prediction platform for tropical deforestation in the Congo Basin, focused on the Mai-Ndombe province (DRC). It combines satellite imagery (Sentinel-2, Landsat, Sentinel-1 radar) with machine-learning techniques to detect, quantify and forecast forest loss over a ~50 km × 50 km study area. Following a CRISP-DM workflow, the system performs cloud masking, temporal mosaicking, spectral-index computation (NDVI, EVI, NDWI, NBR) and feature extraction, then trains and compares Random Forest, XGBoost and a U-Net convolutional network using Accuracy, Precision, Recall, F1-score, AUC-ROC and IoU. A predictive module outputs a deforestation-risk map together with an estimate of the associated CO₂ emissions. The full pipeline was implemented and validated end-to-end and packaged as a FastAPI backend, a Streamlit dashboard and a React web interface, designed to switch seamlessly from synthetic demonstration data to real Earth-observation imagery.</w:t>
      </w:r>
    </w:p>
    <w:p>
      <w:pPr>
        <w:spacing w:after="140" w:line="276"/>
        <w:jc w:val="both"/>
      </w:pPr>
      <w:r>
        <w:rPr>
          <w:rFonts w:ascii="Calibri" w:cs="Calibri" w:eastAsia="Calibri" w:hAnsi="Calibri"/>
          <w:b/>
          <w:bCs/>
          <w:color w:val="1A1A1A"/>
          <w:sz w:val="22"/>
          <w:szCs w:val="22"/>
        </w:rPr>
        <w:t xml:space="preserve">Keywords: </w:t>
      </w:r>
      <w:r>
        <w:rPr>
          <w:rFonts w:ascii="Calibri" w:cs="Calibri" w:eastAsia="Calibri" w:hAnsi="Calibri"/>
          <w:i/>
          <w:iCs/>
          <w:color w:val="1A1A1A"/>
          <w:sz w:val="22"/>
          <w:szCs w:val="22"/>
        </w:rPr>
        <w:t xml:space="preserve">deforestation, remote sensing, Sentinel-2, machine learning, Random Forest, XGBoost, U-Net, NDVI, REDD+, Congo Basin.</w:t>
      </w:r>
    </w:p>
    <w:p>
      <w:r>
        <w:br w:type="page"/>
      </w:r>
    </w:p>
    <w:p>
      <w:pPr>
        <w:pStyle w:val="Heading1"/>
        <w:spacing w:after="180" w:before="320"/>
      </w:pPr>
      <w:r>
        <w:rPr>
          <w:rFonts w:ascii="Cambria" w:cs="Cambria" w:eastAsia="Cambria" w:hAnsi="Cambria"/>
          <w:b/>
          <w:bCs/>
          <w:color w:val="0B6E2D"/>
          <w:sz w:val="30"/>
          <w:szCs w:val="30"/>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20"/>
      </w:pPr>
      <w:r>
        <w:rPr>
          <w:rFonts w:ascii="Cambria" w:cs="Cambria" w:eastAsia="Cambria" w:hAnsi="Cambria"/>
          <w:b/>
          <w:bCs/>
          <w:color w:val="0B6E2D"/>
          <w:sz w:val="30"/>
          <w:szCs w:val="30"/>
        </w:rPr>
        <w:t xml:space="preserve">Liste des abréviations et acronymes</w:t>
      </w:r>
    </w:p>
    <w:tbl>
      <w:tblPr>
        <w:tblW w:type="dxa" w:w="9000"/>
        <w:tblBorders>
          <w:top w:val="single" w:color="BFD8C4" w:sz="4"/>
          <w:left w:val="single" w:color="BFD8C4" w:sz="4"/>
          <w:bottom w:val="single" w:color="BFD8C4" w:sz="4"/>
          <w:right w:val="single" w:color="BFD8C4" w:sz="4"/>
          <w:insideH w:val="single" w:color="BFD8C4" w:sz="4"/>
          <w:insideV w:val="single" w:color="BFD8C4" w:sz="4"/>
        </w:tblBorders>
      </w:tblPr>
      <w:tblGrid>
        <w:gridCol w:w="1700"/>
        <w:gridCol w:w="7300"/>
      </w:tblGrid>
      <w:tr>
        <w:trPr>
          <w:tblHeader/>
        </w:trPr>
        <w:tc>
          <w:tcPr>
            <w:tcW w:type="dxa" w:w="17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Sigle</w:t>
            </w:r>
          </w:p>
        </w:tc>
        <w:tc>
          <w:tcPr>
            <w:tcW w:type="dxa" w:w="73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Signification</w:t>
            </w:r>
          </w:p>
        </w:tc>
      </w:tr>
      <w:tr>
        <w:tc>
          <w:tcPr>
            <w:tcW w:type="dxa" w:w="17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API</w:t>
            </w:r>
          </w:p>
        </w:tc>
        <w:tc>
          <w:tcPr>
            <w:tcW w:type="dxa" w:w="73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Application Programming Interface (interface de programmation)</w:t>
            </w:r>
          </w:p>
        </w:tc>
      </w:tr>
      <w:tr>
        <w:tc>
          <w:tcPr>
            <w:tcW w:type="dxa" w:w="17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AGB</w:t>
            </w:r>
          </w:p>
        </w:tc>
        <w:tc>
          <w:tcPr>
            <w:tcW w:type="dxa" w:w="73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Above-Ground Biomass (biomasse aérienne)</w:t>
            </w:r>
          </w:p>
        </w:tc>
      </w:tr>
      <w:tr>
        <w:tc>
          <w:tcPr>
            <w:tcW w:type="dxa" w:w="17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AUC-ROC</w:t>
            </w:r>
          </w:p>
        </w:tc>
        <w:tc>
          <w:tcPr>
            <w:tcW w:type="dxa" w:w="73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Area Under the ROC Curve</w:t>
            </w:r>
          </w:p>
        </w:tc>
      </w:tr>
      <w:tr>
        <w:tc>
          <w:tcPr>
            <w:tcW w:type="dxa" w:w="17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CAFI</w:t>
            </w:r>
          </w:p>
        </w:tc>
        <w:tc>
          <w:tcPr>
            <w:tcW w:type="dxa" w:w="73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Central African Forest Initiative</w:t>
            </w:r>
          </w:p>
        </w:tc>
      </w:tr>
      <w:tr>
        <w:tc>
          <w:tcPr>
            <w:tcW w:type="dxa" w:w="17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CFCL</w:t>
            </w:r>
          </w:p>
        </w:tc>
        <w:tc>
          <w:tcPr>
            <w:tcW w:type="dxa" w:w="73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Concession Forestière des Communautés Locales</w:t>
            </w:r>
          </w:p>
        </w:tc>
      </w:tr>
      <w:tr>
        <w:tc>
          <w:tcPr>
            <w:tcW w:type="dxa" w:w="17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CNN</w:t>
            </w:r>
          </w:p>
        </w:tc>
        <w:tc>
          <w:tcPr>
            <w:tcW w:type="dxa" w:w="73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Convolutional Neural Network (réseau de neurones convolutif)</w:t>
            </w:r>
          </w:p>
        </w:tc>
      </w:tr>
      <w:tr>
        <w:tc>
          <w:tcPr>
            <w:tcW w:type="dxa" w:w="17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CRISP-DM</w:t>
            </w:r>
          </w:p>
        </w:tc>
        <w:tc>
          <w:tcPr>
            <w:tcW w:type="dxa" w:w="73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Cross-Industry Standard Process for Data Mining</w:t>
            </w:r>
          </w:p>
        </w:tc>
      </w:tr>
      <w:tr>
        <w:tc>
          <w:tcPr>
            <w:tcW w:type="dxa" w:w="17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DIAF</w:t>
            </w:r>
          </w:p>
        </w:tc>
        <w:tc>
          <w:tcPr>
            <w:tcW w:type="dxa" w:w="73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Direction des Inventaires et de l’Aménagement Forestiers</w:t>
            </w:r>
          </w:p>
        </w:tc>
      </w:tr>
      <w:tr>
        <w:tc>
          <w:tcPr>
            <w:tcW w:type="dxa" w:w="17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EVI</w:t>
            </w:r>
          </w:p>
        </w:tc>
        <w:tc>
          <w:tcPr>
            <w:tcW w:type="dxa" w:w="73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Enhanced Vegetation Index</w:t>
            </w:r>
          </w:p>
        </w:tc>
      </w:tr>
      <w:tr>
        <w:tc>
          <w:tcPr>
            <w:tcW w:type="dxa" w:w="17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GEE</w:t>
            </w:r>
          </w:p>
        </w:tc>
        <w:tc>
          <w:tcPr>
            <w:tcW w:type="dxa" w:w="73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Google Earth Engine</w:t>
            </w:r>
          </w:p>
        </w:tc>
      </w:tr>
      <w:tr>
        <w:tc>
          <w:tcPr>
            <w:tcW w:type="dxa" w:w="17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ICCN</w:t>
            </w:r>
          </w:p>
        </w:tc>
        <w:tc>
          <w:tcPr>
            <w:tcW w:type="dxa" w:w="73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Institut Congolais pour la Conservation de la Nature</w:t>
            </w:r>
          </w:p>
        </w:tc>
      </w:tr>
      <w:tr>
        <w:tc>
          <w:tcPr>
            <w:tcW w:type="dxa" w:w="17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IoU</w:t>
            </w:r>
          </w:p>
        </w:tc>
        <w:tc>
          <w:tcPr>
            <w:tcW w:type="dxa" w:w="73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Intersection over Union</w:t>
            </w:r>
          </w:p>
        </w:tc>
      </w:tr>
      <w:tr>
        <w:tc>
          <w:tcPr>
            <w:tcW w:type="dxa" w:w="17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IPCC / GIEC</w:t>
            </w:r>
          </w:p>
        </w:tc>
        <w:tc>
          <w:tcPr>
            <w:tcW w:type="dxa" w:w="73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Groupe d’experts intergouvernemental sur l’évolution du climat</w:t>
            </w:r>
          </w:p>
        </w:tc>
      </w:tr>
      <w:tr>
        <w:tc>
          <w:tcPr>
            <w:tcW w:type="dxa" w:w="17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JWT</w:t>
            </w:r>
          </w:p>
        </w:tc>
        <w:tc>
          <w:tcPr>
            <w:tcW w:type="dxa" w:w="73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JSON Web Token</w:t>
            </w:r>
          </w:p>
        </w:tc>
      </w:tr>
      <w:tr>
        <w:tc>
          <w:tcPr>
            <w:tcW w:type="dxa" w:w="17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ML</w:t>
            </w:r>
          </w:p>
        </w:tc>
        <w:tc>
          <w:tcPr>
            <w:tcW w:type="dxa" w:w="73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Machine Learning (apprentissage automatique)</w:t>
            </w:r>
          </w:p>
        </w:tc>
      </w:tr>
      <w:tr>
        <w:tc>
          <w:tcPr>
            <w:tcW w:type="dxa" w:w="17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MRV</w:t>
            </w:r>
          </w:p>
        </w:tc>
        <w:tc>
          <w:tcPr>
            <w:tcW w:type="dxa" w:w="73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Measurement, Reporting and Verification</w:t>
            </w:r>
          </w:p>
        </w:tc>
      </w:tr>
      <w:tr>
        <w:tc>
          <w:tcPr>
            <w:tcW w:type="dxa" w:w="17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NBR</w:t>
            </w:r>
          </w:p>
        </w:tc>
        <w:tc>
          <w:tcPr>
            <w:tcW w:type="dxa" w:w="73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Normalized Burn Ratio</w:t>
            </w:r>
          </w:p>
        </w:tc>
      </w:tr>
      <w:tr>
        <w:tc>
          <w:tcPr>
            <w:tcW w:type="dxa" w:w="17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NDVI</w:t>
            </w:r>
          </w:p>
        </w:tc>
        <w:tc>
          <w:tcPr>
            <w:tcW w:type="dxa" w:w="73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Normalized Difference Vegetation Index</w:t>
            </w:r>
          </w:p>
        </w:tc>
      </w:tr>
      <w:tr>
        <w:tc>
          <w:tcPr>
            <w:tcW w:type="dxa" w:w="17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NDWI</w:t>
            </w:r>
          </w:p>
        </w:tc>
        <w:tc>
          <w:tcPr>
            <w:tcW w:type="dxa" w:w="73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Normalized Difference Water Index</w:t>
            </w:r>
          </w:p>
        </w:tc>
      </w:tr>
      <w:tr>
        <w:tc>
          <w:tcPr>
            <w:tcW w:type="dxa" w:w="17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NIR</w:t>
            </w:r>
          </w:p>
        </w:tc>
        <w:tc>
          <w:tcPr>
            <w:tcW w:type="dxa" w:w="73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Near Infrared (proche infrarouge)</w:t>
            </w:r>
          </w:p>
        </w:tc>
      </w:tr>
      <w:tr>
        <w:tc>
          <w:tcPr>
            <w:tcW w:type="dxa" w:w="17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RDC</w:t>
            </w:r>
          </w:p>
        </w:tc>
        <w:tc>
          <w:tcPr>
            <w:tcW w:type="dxa" w:w="73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République Démocratique du Congo</w:t>
            </w:r>
          </w:p>
        </w:tc>
      </w:tr>
      <w:tr>
        <w:tc>
          <w:tcPr>
            <w:tcW w:type="dxa" w:w="17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REDD+</w:t>
            </w:r>
          </w:p>
        </w:tc>
        <w:tc>
          <w:tcPr>
            <w:tcW w:type="dxa" w:w="73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Reducing Emissions from Deforestation and forest Degradation</w:t>
            </w:r>
          </w:p>
        </w:tc>
      </w:tr>
      <w:tr>
        <w:tc>
          <w:tcPr>
            <w:tcW w:type="dxa" w:w="17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RF</w:t>
            </w:r>
          </w:p>
        </w:tc>
        <w:tc>
          <w:tcPr>
            <w:tcW w:type="dxa" w:w="73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Random Forest</w:t>
            </w:r>
          </w:p>
        </w:tc>
      </w:tr>
      <w:tr>
        <w:tc>
          <w:tcPr>
            <w:tcW w:type="dxa" w:w="17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SRTM</w:t>
            </w:r>
          </w:p>
        </w:tc>
        <w:tc>
          <w:tcPr>
            <w:tcW w:type="dxa" w:w="73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Shuttle Radar Topography Mission</w:t>
            </w:r>
          </w:p>
        </w:tc>
      </w:tr>
      <w:tr>
        <w:tc>
          <w:tcPr>
            <w:tcW w:type="dxa" w:w="17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SWIR</w:t>
            </w:r>
          </w:p>
        </w:tc>
        <w:tc>
          <w:tcPr>
            <w:tcW w:type="dxa" w:w="73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Short-Wave Infrared</w:t>
            </w:r>
          </w:p>
        </w:tc>
      </w:tr>
      <w:tr>
        <w:tc>
          <w:tcPr>
            <w:tcW w:type="dxa" w:w="17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XGBoost</w:t>
            </w:r>
          </w:p>
        </w:tc>
        <w:tc>
          <w:tcPr>
            <w:tcW w:type="dxa" w:w="73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Extreme Gradient Boosting</w:t>
            </w:r>
          </w:p>
        </w:tc>
      </w:tr>
    </w:tbl>
    <w:p>
      <w:r>
        <w:br w:type="page"/>
      </w:r>
    </w:p>
    <w:p>
      <w:pPr>
        <w:pStyle w:val="Heading1"/>
        <w:spacing w:after="180" w:before="320"/>
      </w:pPr>
      <w:r>
        <w:rPr>
          <w:rFonts w:ascii="Cambria" w:cs="Cambria" w:eastAsia="Cambria" w:hAnsi="Cambria"/>
          <w:b/>
          <w:bCs/>
          <w:color w:val="0B6E2D"/>
          <w:sz w:val="30"/>
          <w:szCs w:val="30"/>
        </w:rPr>
        <w:t xml:space="preserve">Liste des figures et des tableaux</w:t>
      </w:r>
    </w:p>
    <w:p>
      <w:pPr>
        <w:pStyle w:val="Heading3"/>
        <w:spacing w:after="100" w:before="180"/>
      </w:pPr>
      <w:r>
        <w:rPr>
          <w:rFonts w:ascii="Cambria" w:cs="Cambria" w:eastAsia="Cambria" w:hAnsi="Cambria"/>
          <w:b/>
          <w:bCs/>
          <w:color w:val="0B6E2D"/>
          <w:sz w:val="23"/>
          <w:szCs w:val="23"/>
        </w:rPr>
        <w:t xml:space="preserve">Liste des figures</w:t>
      </w:r>
    </w:p>
    <w:p>
      <w:pPr>
        <w:spacing w:after="60" w:line="276"/>
        <w:jc w:val="both"/>
      </w:pPr>
      <w:r>
        <w:rPr>
          <w:rFonts w:ascii="Calibri" w:cs="Calibri" w:eastAsia="Calibri" w:hAnsi="Calibri"/>
          <w:color w:val="1A1A1A"/>
          <w:sz w:val="22"/>
          <w:szCs w:val="22"/>
        </w:rPr>
        <w:t xml:space="preserve">Figure 1 — Architecture technique en couches de DeforestWatch-DRC.</w:t>
      </w:r>
    </w:p>
    <w:p>
      <w:pPr>
        <w:spacing w:after="60" w:line="276"/>
        <w:jc w:val="both"/>
      </w:pPr>
      <w:r>
        <w:rPr>
          <w:rFonts w:ascii="Calibri" w:cs="Calibri" w:eastAsia="Calibri" w:hAnsi="Calibri"/>
          <w:color w:val="1A1A1A"/>
          <w:sz w:val="22"/>
          <w:szCs w:val="22"/>
        </w:rPr>
        <w:t xml:space="preserve">Figure 2 — Chaîne de traitement des données (pipeline CRISP-DM).</w:t>
      </w:r>
    </w:p>
    <w:p>
      <w:pPr>
        <w:spacing w:after="60" w:line="276"/>
        <w:jc w:val="both"/>
      </w:pPr>
      <w:r>
        <w:rPr>
          <w:rFonts w:ascii="Calibri" w:cs="Calibri" w:eastAsia="Calibri" w:hAnsi="Calibri"/>
          <w:color w:val="1A1A1A"/>
          <w:sz w:val="22"/>
          <w:szCs w:val="22"/>
        </w:rPr>
        <w:t xml:space="preserve">Figure 3 — Zone d’étude : région d’Inongo, province du Mai-Ndombe.</w:t>
      </w:r>
    </w:p>
    <w:p>
      <w:pPr>
        <w:spacing w:after="60" w:line="276"/>
        <w:jc w:val="both"/>
      </w:pPr>
      <w:r>
        <w:rPr>
          <w:rFonts w:ascii="Calibri" w:cs="Calibri" w:eastAsia="Calibri" w:hAnsi="Calibri"/>
          <w:color w:val="1A1A1A"/>
          <w:sz w:val="22"/>
          <w:szCs w:val="22"/>
        </w:rPr>
        <w:t xml:space="preserve">Figure 4 — Principe de la classification de la couverture du sol en 5 classes.</w:t>
      </w:r>
    </w:p>
    <w:p>
      <w:pPr>
        <w:spacing w:after="60" w:line="276"/>
        <w:jc w:val="both"/>
      </w:pPr>
      <w:r>
        <w:rPr>
          <w:rFonts w:ascii="Calibri" w:cs="Calibri" w:eastAsia="Calibri" w:hAnsi="Calibri"/>
          <w:color w:val="1A1A1A"/>
          <w:sz w:val="22"/>
          <w:szCs w:val="22"/>
        </w:rPr>
        <w:t xml:space="preserve">Figure 5 — Architecture du réseau U-Net de segmentation.</w:t>
      </w:r>
    </w:p>
    <w:p>
      <w:pPr>
        <w:spacing w:after="60" w:line="276"/>
        <w:jc w:val="both"/>
      </w:pPr>
      <w:r>
        <w:rPr>
          <w:rFonts w:ascii="Calibri" w:cs="Calibri" w:eastAsia="Calibri" w:hAnsi="Calibri"/>
          <w:color w:val="1A1A1A"/>
          <w:sz w:val="22"/>
          <w:szCs w:val="22"/>
        </w:rPr>
        <w:t xml:space="preserve">Figure 6 — Exemple de carte de risque de déforestation produite par la plateforme.</w:t>
      </w:r>
    </w:p>
    <w:p>
      <w:pPr>
        <w:pStyle w:val="Heading3"/>
        <w:spacing w:after="100" w:before="180"/>
      </w:pPr>
      <w:r>
        <w:rPr>
          <w:rFonts w:ascii="Cambria" w:cs="Cambria" w:eastAsia="Cambria" w:hAnsi="Cambria"/>
          <w:b/>
          <w:bCs/>
          <w:color w:val="0B6E2D"/>
          <w:sz w:val="23"/>
          <w:szCs w:val="23"/>
        </w:rPr>
        <w:t xml:space="preserve">Liste des tableaux</w:t>
      </w:r>
    </w:p>
    <w:p>
      <w:pPr>
        <w:spacing w:after="60" w:line="276"/>
        <w:jc w:val="both"/>
      </w:pPr>
      <w:r>
        <w:rPr>
          <w:rFonts w:ascii="Calibri" w:cs="Calibri" w:eastAsia="Calibri" w:hAnsi="Calibri"/>
          <w:color w:val="1A1A1A"/>
          <w:sz w:val="22"/>
          <w:szCs w:val="22"/>
        </w:rPr>
        <w:t xml:space="preserve">Tableau 1 — Sources de données satellitaires et auxiliaires.</w:t>
      </w:r>
    </w:p>
    <w:p>
      <w:pPr>
        <w:spacing w:after="60" w:line="276"/>
        <w:jc w:val="both"/>
      </w:pPr>
      <w:r>
        <w:rPr>
          <w:rFonts w:ascii="Calibri" w:cs="Calibri" w:eastAsia="Calibri" w:hAnsi="Calibri"/>
          <w:color w:val="1A1A1A"/>
          <w:sz w:val="22"/>
          <w:szCs w:val="22"/>
        </w:rPr>
        <w:t xml:space="preserve">Tableau 2 — Variables explicatives (features) du modèle pixel.</w:t>
      </w:r>
    </w:p>
    <w:p>
      <w:pPr>
        <w:spacing w:after="60" w:line="276"/>
        <w:jc w:val="both"/>
      </w:pPr>
      <w:r>
        <w:rPr>
          <w:rFonts w:ascii="Calibri" w:cs="Calibri" w:eastAsia="Calibri" w:hAnsi="Calibri"/>
          <w:color w:val="1A1A1A"/>
          <w:sz w:val="22"/>
          <w:szCs w:val="22"/>
        </w:rPr>
        <w:t xml:space="preserve">Tableau 3 — Hyperparamètres des modèles d’apprentissage.</w:t>
      </w:r>
    </w:p>
    <w:p>
      <w:pPr>
        <w:spacing w:after="60" w:line="276"/>
        <w:jc w:val="both"/>
      </w:pPr>
      <w:r>
        <w:rPr>
          <w:rFonts w:ascii="Calibri" w:cs="Calibri" w:eastAsia="Calibri" w:hAnsi="Calibri"/>
          <w:color w:val="1A1A1A"/>
          <w:sz w:val="22"/>
          <w:szCs w:val="22"/>
        </w:rPr>
        <w:t xml:space="preserve">Tableau 4 — Métriques d’évaluation et comparaison des modèles.</w:t>
      </w:r>
    </w:p>
    <w:p>
      <w:pPr>
        <w:spacing w:after="60" w:line="276"/>
        <w:jc w:val="both"/>
      </w:pPr>
      <w:r>
        <w:rPr>
          <w:rFonts w:ascii="Calibri" w:cs="Calibri" w:eastAsia="Calibri" w:hAnsi="Calibri"/>
          <w:color w:val="1A1A1A"/>
          <w:sz w:val="22"/>
          <w:szCs w:val="22"/>
        </w:rPr>
        <w:t xml:space="preserve">Tableau 5 — Positionnement de DeforestWatch-DRC face aux outils existants.</w:t>
      </w:r>
    </w:p>
    <w:p>
      <w:r>
        <w:br w:type="page"/>
      </w:r>
    </w:p>
    <w:p>
      <w:pPr>
        <w:pStyle w:val="Heading1"/>
        <w:spacing w:after="180" w:before="320"/>
      </w:pPr>
      <w:r>
        <w:rPr>
          <w:rFonts w:ascii="Cambria" w:cs="Cambria" w:eastAsia="Cambria" w:hAnsi="Cambria"/>
          <w:b/>
          <w:bCs/>
          <w:color w:val="0B6E2D"/>
          <w:sz w:val="30"/>
          <w:szCs w:val="30"/>
        </w:rPr>
        <w:t xml:space="preserve">Chapitre I — Mise en contexte et revue de la littérature</w:t>
      </w:r>
    </w:p>
    <w:p>
      <w:pPr>
        <w:pStyle w:val="Heading2"/>
        <w:spacing w:after="120" w:before="240"/>
      </w:pPr>
      <w:r>
        <w:rPr>
          <w:rFonts w:ascii="Cambria" w:cs="Cambria" w:eastAsia="Cambria" w:hAnsi="Cambria"/>
          <w:b/>
          <w:bCs/>
          <w:color w:val="1A1A1A"/>
          <w:sz w:val="26"/>
          <w:szCs w:val="26"/>
        </w:rPr>
        <w:t xml:space="preserve">1.1. Introduction et mise en contexte</w:t>
      </w:r>
    </w:p>
    <w:p>
      <w:pPr>
        <w:spacing w:after="140" w:line="276"/>
        <w:jc w:val="both"/>
      </w:pPr>
      <w:r>
        <w:rPr>
          <w:rFonts w:ascii="Calibri" w:cs="Calibri" w:eastAsia="Calibri" w:hAnsi="Calibri"/>
          <w:b/>
          <w:bCs/>
          <w:color w:val="1A1A1A"/>
          <w:sz w:val="22"/>
          <w:szCs w:val="22"/>
        </w:rPr>
        <w:t xml:space="preserve">Présentation du sujet. </w:t>
      </w:r>
      <w:r>
        <w:rPr>
          <w:rFonts w:ascii="Calibri" w:cs="Calibri" w:eastAsia="Calibri" w:hAnsi="Calibri"/>
          <w:color w:val="1A1A1A"/>
          <w:sz w:val="22"/>
          <w:szCs w:val="22"/>
        </w:rPr>
        <w:t xml:space="preserve">La forêt tropicale humide du Bassin du Congo constitue le deuxième massif forestier continu de la planète après l’Amazonie. La République Démocratique du Congo en abrite à elle seule environ 60 %, ainsi que les vastes tourbières de la Cuvette centrale, qui stockent des quantités considérables de carbone. Chaque année, des milliers d’hectares y disparaissent sous l’effet combiné de l’agriculture sur brûlis, de la production de charbon de bois (makala), de l’exploitation forestière artisanale et de l’expansion des villages. La surveillance et la prédiction de cette déforestation représentent donc un enjeu écologique, climatique et économique majeur.</w:t>
      </w:r>
    </w:p>
    <w:p>
      <w:pPr>
        <w:spacing w:after="140" w:line="276"/>
        <w:jc w:val="both"/>
      </w:pPr>
      <w:r>
        <w:rPr>
          <w:rFonts w:ascii="Calibri" w:cs="Calibri" w:eastAsia="Calibri" w:hAnsi="Calibri"/>
          <w:b/>
          <w:bCs/>
          <w:color w:val="1A1A1A"/>
          <w:sz w:val="22"/>
          <w:szCs w:val="22"/>
        </w:rPr>
        <w:t xml:space="preserve">Contexte théorique et empirique. </w:t>
      </w:r>
      <w:r>
        <w:rPr>
          <w:rFonts w:ascii="Calibri" w:cs="Calibri" w:eastAsia="Calibri" w:hAnsi="Calibri"/>
          <w:color w:val="1A1A1A"/>
          <w:sz w:val="22"/>
          <w:szCs w:val="22"/>
        </w:rPr>
        <w:t xml:space="preserve">Le présent travail s’inscrit à l’intersection de la télédétection (observation de la Terre par satellite) et de la science des données. Sur le plan empirique, il prend pour terrain la province du Mai-Ndombe, front de déforestation actif et, à ce titre, province pilote du mécanisme international REDD+ (réduction des émissions liées à la déforestation et à la dégradation des forêts). Dans ce cadre, réduire — et surtout prouver la réduction de — la déforestation possède une valeur financière directe pour le pays.</w:t>
      </w:r>
    </w:p>
    <w:p>
      <w:pPr>
        <w:spacing w:after="140" w:line="276"/>
        <w:jc w:val="both"/>
      </w:pPr>
      <w:r>
        <w:rPr>
          <w:rFonts w:ascii="Calibri" w:cs="Calibri" w:eastAsia="Calibri" w:hAnsi="Calibri"/>
          <w:b/>
          <w:bCs/>
          <w:color w:val="1A1A1A"/>
          <w:sz w:val="22"/>
          <w:szCs w:val="22"/>
        </w:rPr>
        <w:t xml:space="preserve">Objectifs et contribution. </w:t>
      </w:r>
      <w:r>
        <w:rPr>
          <w:rFonts w:ascii="Calibri" w:cs="Calibri" w:eastAsia="Calibri" w:hAnsi="Calibri"/>
          <w:color w:val="1A1A1A"/>
          <w:sz w:val="22"/>
          <w:szCs w:val="22"/>
        </w:rPr>
        <w:t xml:space="preserve">L’objectif principal est de concevoir une plateforme d’aide à la décision qui transforme des images satellites en information exploitable localement : détection des zones déforestées, quantification année par année, prédiction des zones à risque et traduction de la perte en émissions de CO₂. La contribution du travail réside dans une approche locale, en langue française, calibrée sur les moteurs spécifiques de la déforestation congolaise, et allant au-delà du simple constat pour proposer une dimension prédictive et participative.</w:t>
      </w:r>
    </w:p>
    <w:p>
      <w:pPr>
        <w:pStyle w:val="Heading2"/>
        <w:spacing w:after="120" w:before="240"/>
      </w:pPr>
      <w:r>
        <w:rPr>
          <w:rFonts w:ascii="Cambria" w:cs="Cambria" w:eastAsia="Cambria" w:hAnsi="Cambria"/>
          <w:b/>
          <w:bCs/>
          <w:color w:val="1A1A1A"/>
          <w:sz w:val="26"/>
          <w:szCs w:val="26"/>
        </w:rPr>
        <w:t xml:space="preserve">1.2. Problématique, objectifs et hypothèses</w:t>
      </w:r>
    </w:p>
    <w:p>
      <w:pPr>
        <w:pStyle w:val="Heading3"/>
        <w:spacing w:after="100" w:before="180"/>
      </w:pPr>
      <w:r>
        <w:rPr>
          <w:rFonts w:ascii="Cambria" w:cs="Cambria" w:eastAsia="Cambria" w:hAnsi="Cambria"/>
          <w:b/>
          <w:bCs/>
          <w:color w:val="0B6E2D"/>
          <w:sz w:val="23"/>
          <w:szCs w:val="23"/>
        </w:rPr>
        <w:t xml:space="preserve">1.2.1. Problématique</w:t>
      </w:r>
    </w:p>
    <w:p>
      <w:pPr>
        <w:spacing w:after="140" w:line="276"/>
        <w:jc w:val="both"/>
      </w:pPr>
      <w:r>
        <w:rPr>
          <w:rFonts w:ascii="Calibri" w:cs="Calibri" w:eastAsia="Calibri" w:hAnsi="Calibri"/>
          <w:color w:val="1A1A1A"/>
          <w:sz w:val="22"/>
          <w:szCs w:val="22"/>
        </w:rPr>
        <w:t xml:space="preserve">Les outils de surveillance existants (Global Forest Watch, systèmes d’alerte RADD, données Hansen) fournissent des informations à l’échelle globale, mais restent peu adaptés aux petites coupes diffuses caractéristiques du contexte congolais, sont majoritairement rétrospectifs et disponibles en anglais. La problématique centrale de ce travail peut s’énoncer ainsi :</w:t>
      </w:r>
    </w:p>
    <w:p>
      <w:pPr>
        <w:spacing w:after="140" w:line="276"/>
        <w:jc w:val="both"/>
      </w:pPr>
      <w:r>
        <w:rPr>
          <w:rFonts w:ascii="Calibri" w:cs="Calibri" w:eastAsia="Calibri" w:hAnsi="Calibri"/>
          <w:color w:val="1A1A1A"/>
          <w:sz w:val="22"/>
          <w:szCs w:val="22"/>
        </w:rPr>
        <w:t xml:space="preserve">« Comment exploiter l’imagerie satellitaire libre et des techniques d’apprentissage automatique pour détecter, quantifier et surtout </w:t>
      </w:r>
      <w:r>
        <w:rPr>
          <w:rFonts w:ascii="Calibri" w:cs="Calibri" w:eastAsia="Calibri" w:hAnsi="Calibri"/>
          <w:i/>
          <w:iCs/>
          <w:color w:val="1A1A1A"/>
          <w:sz w:val="22"/>
          <w:szCs w:val="22"/>
        </w:rPr>
        <w:t xml:space="preserve">anticiper</w:t>
      </w:r>
      <w:r>
        <w:rPr>
          <w:rFonts w:ascii="Calibri" w:cs="Calibri" w:eastAsia="Calibri" w:hAnsi="Calibri"/>
          <w:color w:val="1A1A1A"/>
          <w:sz w:val="22"/>
          <w:szCs w:val="22"/>
        </w:rPr>
        <w:t xml:space="preserve"> la déforestation d’une zone de la forêt équatoriale du Mai-Ndombe, au moyen d’un outil approprié localement ? »</w:t>
      </w:r>
    </w:p>
    <w:p>
      <w:pPr>
        <w:pStyle w:val="Heading3"/>
        <w:spacing w:after="100" w:before="180"/>
      </w:pPr>
      <w:r>
        <w:rPr>
          <w:rFonts w:ascii="Cambria" w:cs="Cambria" w:eastAsia="Cambria" w:hAnsi="Cambria"/>
          <w:b/>
          <w:bCs/>
          <w:color w:val="0B6E2D"/>
          <w:sz w:val="23"/>
          <w:szCs w:val="23"/>
        </w:rPr>
        <w:t xml:space="preserve">1.2.2. Objectifs de la recherche</w:t>
      </w:r>
    </w:p>
    <w:p>
      <w:pPr>
        <w:pStyle w:val="ListParagraph"/>
        <w:numPr>
          <w:ilvl w:val="0"/>
          <w:numId w:val="2"/>
        </w:numPr>
        <w:spacing w:after="70" w:line="268"/>
        <w:jc w:val="both"/>
      </w:pPr>
      <w:r>
        <w:rPr>
          <w:rFonts w:ascii="Calibri" w:cs="Calibri" w:eastAsia="Calibri" w:hAnsi="Calibri"/>
          <w:color w:val="1A1A1A"/>
          <w:sz w:val="22"/>
          <w:szCs w:val="22"/>
        </w:rPr>
        <w:t xml:space="preserve">Analyser la dynamique de la couverture forestière de la zone d’étude à partir d’images multispectrales et d’indices de végétation.</w:t>
      </w:r>
    </w:p>
    <w:p>
      <w:pPr>
        <w:pStyle w:val="ListParagraph"/>
        <w:numPr>
          <w:ilvl w:val="0"/>
          <w:numId w:val="2"/>
        </w:numPr>
        <w:spacing w:after="70" w:line="268"/>
        <w:jc w:val="both"/>
      </w:pPr>
      <w:r>
        <w:rPr>
          <w:rFonts w:ascii="Calibri" w:cs="Calibri" w:eastAsia="Calibri" w:hAnsi="Calibri"/>
          <w:color w:val="1A1A1A"/>
          <w:sz w:val="22"/>
          <w:szCs w:val="22"/>
        </w:rPr>
        <w:t xml:space="preserve">Concevoir et comparer plusieurs modèles d’apprentissage automatique pour classer la couverture du sol et estimer la perte forestière.</w:t>
      </w:r>
    </w:p>
    <w:p>
      <w:pPr>
        <w:pStyle w:val="ListParagraph"/>
        <w:numPr>
          <w:ilvl w:val="0"/>
          <w:numId w:val="2"/>
        </w:numPr>
        <w:spacing w:after="70" w:line="268"/>
        <w:jc w:val="both"/>
      </w:pPr>
      <w:r>
        <w:rPr>
          <w:rFonts w:ascii="Calibri" w:cs="Calibri" w:eastAsia="Calibri" w:hAnsi="Calibri"/>
          <w:color w:val="1A1A1A"/>
          <w:sz w:val="22"/>
          <w:szCs w:val="22"/>
        </w:rPr>
        <w:t xml:space="preserve">Proposer un modèle prédictif produisant une carte des zones à risque de déforestation future.</w:t>
      </w:r>
    </w:p>
    <w:p>
      <w:pPr>
        <w:pStyle w:val="ListParagraph"/>
        <w:numPr>
          <w:ilvl w:val="0"/>
          <w:numId w:val="2"/>
        </w:numPr>
        <w:spacing w:after="70" w:line="268"/>
        <w:jc w:val="both"/>
      </w:pPr>
      <w:r>
        <w:rPr>
          <w:rFonts w:ascii="Calibri" w:cs="Calibri" w:eastAsia="Calibri" w:hAnsi="Calibri"/>
          <w:color w:val="1A1A1A"/>
          <w:sz w:val="22"/>
          <w:szCs w:val="22"/>
        </w:rPr>
        <w:t xml:space="preserve">Quantifier l’impact climatique de la perte forestière en émissions de CO₂ et restituer le tout dans une plateforme accessible.</w:t>
      </w:r>
    </w:p>
    <w:p>
      <w:pPr>
        <w:pStyle w:val="Heading3"/>
        <w:spacing w:after="100" w:before="180"/>
      </w:pPr>
      <w:r>
        <w:rPr>
          <w:rFonts w:ascii="Cambria" w:cs="Cambria" w:eastAsia="Cambria" w:hAnsi="Cambria"/>
          <w:b/>
          <w:bCs/>
          <w:color w:val="0B6E2D"/>
          <w:sz w:val="23"/>
          <w:szCs w:val="23"/>
        </w:rPr>
        <w:t xml:space="preserve">1.2.3. Hypothèses</w:t>
      </w:r>
    </w:p>
    <w:p>
      <w:pPr>
        <w:pStyle w:val="ListParagraph"/>
        <w:numPr>
          <w:ilvl w:val="0"/>
          <w:numId w:val="3"/>
        </w:numPr>
        <w:spacing w:after="70" w:line="268"/>
        <w:jc w:val="both"/>
      </w:pPr>
      <w:r>
        <w:rPr>
          <w:rFonts w:ascii="Calibri" w:cs="Calibri" w:eastAsia="Calibri" w:hAnsi="Calibri"/>
          <w:b/>
          <w:bCs/>
          <w:color w:val="1A1A1A"/>
          <w:sz w:val="22"/>
          <w:szCs w:val="22"/>
        </w:rPr>
        <w:t xml:space="preserve">H1. </w:t>
      </w:r>
      <w:r>
        <w:rPr>
          <w:rFonts w:ascii="Calibri" w:cs="Calibri" w:eastAsia="Calibri" w:hAnsi="Calibri"/>
          <w:color w:val="1A1A1A"/>
          <w:sz w:val="22"/>
          <w:szCs w:val="22"/>
        </w:rPr>
        <w:t xml:space="preserve">Les indices spectraux dérivés de Sentinel-2 (notamment le NDVI) permettent de discriminer efficacement la forêt dense des surfaces déforestées.</w:t>
      </w:r>
    </w:p>
    <w:p>
      <w:pPr>
        <w:pStyle w:val="ListParagraph"/>
        <w:numPr>
          <w:ilvl w:val="0"/>
          <w:numId w:val="3"/>
        </w:numPr>
        <w:spacing w:after="70" w:line="268"/>
        <w:jc w:val="both"/>
      </w:pPr>
      <w:r>
        <w:rPr>
          <w:rFonts w:ascii="Calibri" w:cs="Calibri" w:eastAsia="Calibri" w:hAnsi="Calibri"/>
          <w:b/>
          <w:bCs/>
          <w:color w:val="1A1A1A"/>
          <w:sz w:val="22"/>
          <w:szCs w:val="22"/>
        </w:rPr>
        <w:t xml:space="preserve">H2. </w:t>
      </w:r>
      <w:r>
        <w:rPr>
          <w:rFonts w:ascii="Calibri" w:cs="Calibri" w:eastAsia="Calibri" w:hAnsi="Calibri"/>
          <w:color w:val="1A1A1A"/>
          <w:sz w:val="22"/>
          <w:szCs w:val="22"/>
        </w:rPr>
        <w:t xml:space="preserve">Un modèle d’ensemble à base d’arbres (Random Forest / XGBoost) atteint une performance de classification suffisante tout en restant interprétable pour une aide à la décision.</w:t>
      </w:r>
    </w:p>
    <w:p>
      <w:pPr>
        <w:pStyle w:val="ListParagraph"/>
        <w:numPr>
          <w:ilvl w:val="0"/>
          <w:numId w:val="3"/>
        </w:numPr>
        <w:spacing w:after="70" w:line="268"/>
        <w:jc w:val="both"/>
      </w:pPr>
      <w:r>
        <w:rPr>
          <w:rFonts w:ascii="Calibri" w:cs="Calibri" w:eastAsia="Calibri" w:hAnsi="Calibri"/>
          <w:b/>
          <w:bCs/>
          <w:color w:val="1A1A1A"/>
          <w:sz w:val="22"/>
          <w:szCs w:val="22"/>
        </w:rPr>
        <w:t xml:space="preserve">H3. </w:t>
      </w:r>
      <w:r>
        <w:rPr>
          <w:rFonts w:ascii="Calibri" w:cs="Calibri" w:eastAsia="Calibri" w:hAnsi="Calibri"/>
          <w:color w:val="1A1A1A"/>
          <w:sz w:val="22"/>
          <w:szCs w:val="22"/>
        </w:rPr>
        <w:t xml:space="preserve">Les facteurs spatiaux et topographiques (proximité des zones déjà déforestées, pente, indices) portent un signal prédictif exploitable pour anticiper les zones à risque.</w:t>
      </w:r>
    </w:p>
    <w:p>
      <w:pPr>
        <w:pStyle w:val="Heading2"/>
        <w:spacing w:after="120" w:before="240"/>
      </w:pPr>
      <w:r>
        <w:rPr>
          <w:rFonts w:ascii="Cambria" w:cs="Cambria" w:eastAsia="Cambria" w:hAnsi="Cambria"/>
          <w:b/>
          <w:bCs/>
          <w:color w:val="1A1A1A"/>
          <w:sz w:val="26"/>
          <w:szCs w:val="26"/>
        </w:rPr>
        <w:t xml:space="preserve">1.3. Revue de la littérature théorique</w:t>
      </w:r>
    </w:p>
    <w:p>
      <w:pPr>
        <w:spacing w:after="140" w:line="276"/>
        <w:jc w:val="both"/>
      </w:pPr>
      <w:r>
        <w:rPr>
          <w:rFonts w:ascii="Calibri" w:cs="Calibri" w:eastAsia="Calibri" w:hAnsi="Calibri"/>
          <w:b/>
          <w:bCs/>
          <w:color w:val="1A1A1A"/>
          <w:sz w:val="22"/>
          <w:szCs w:val="22"/>
        </w:rPr>
        <w:t xml:space="preserve">Télédétection et indices de végétation. </w:t>
      </w:r>
      <w:r>
        <w:rPr>
          <w:rFonts w:ascii="Calibri" w:cs="Calibri" w:eastAsia="Calibri" w:hAnsi="Calibri"/>
          <w:color w:val="1A1A1A"/>
          <w:sz w:val="22"/>
          <w:szCs w:val="22"/>
        </w:rPr>
        <w:t xml:space="preserve">La surveillance de la végétation par satellite repose sur la signature spectrale des surfaces. Le NDVI (Rouse et al., 1974), défini comme (PIR − Rouge) / (PIR + Rouge), exploite la forte réflectance de la végétation saine dans le proche infrarouge : une chute du NDVI signale une perte de couvert. Des indices complémentaires — EVI (moins sensible à la saturation en forêt dense), NDWI (eau) et NBR (zones brûlées) — enrichissent la caractérisation des surfaces.</w:t>
      </w:r>
    </w:p>
    <w:p>
      <w:pPr>
        <w:spacing w:after="140" w:line="276"/>
        <w:jc w:val="both"/>
      </w:pPr>
      <w:r>
        <w:rPr>
          <w:rFonts w:ascii="Calibri" w:cs="Calibri" w:eastAsia="Calibri" w:hAnsi="Calibri"/>
          <w:b/>
          <w:bCs/>
          <w:color w:val="1A1A1A"/>
          <w:sz w:val="22"/>
          <w:szCs w:val="22"/>
        </w:rPr>
        <w:t xml:space="preserve">Apprentissage automatique pour la classification d’occupation du sol. </w:t>
      </w:r>
      <w:r>
        <w:rPr>
          <w:rFonts w:ascii="Calibri" w:cs="Calibri" w:eastAsia="Calibri" w:hAnsi="Calibri"/>
          <w:color w:val="1A1A1A"/>
          <w:sz w:val="22"/>
          <w:szCs w:val="22"/>
        </w:rPr>
        <w:t xml:space="preserve">La classification supervisée associe à chaque pixel une classe d’occupation du sol à partir de variables explicatives. Les forêts aléatoires (Breiman, 2001) agrègent de nombreux arbres de décision et se sont imposées en télédétection pour leur robustesse et l’interprétabilité de l’importance des variables. Le gradient boosting, dont XGBoost (Chen &amp; Guestrin, 2016) est une implémentation performante, construit les arbres séquentiellement pour corriger les erreurs résiduelles.</w:t>
      </w:r>
    </w:p>
    <w:p>
      <w:pPr>
        <w:spacing w:after="140" w:line="276"/>
        <w:jc w:val="both"/>
      </w:pPr>
      <w:r>
        <w:rPr>
          <w:rFonts w:ascii="Calibri" w:cs="Calibri" w:eastAsia="Calibri" w:hAnsi="Calibri"/>
          <w:b/>
          <w:bCs/>
          <w:color w:val="1A1A1A"/>
          <w:sz w:val="22"/>
          <w:szCs w:val="22"/>
        </w:rPr>
        <w:t xml:space="preserve">Apprentissage profond et segmentation sémantique. </w:t>
      </w:r>
      <w:r>
        <w:rPr>
          <w:rFonts w:ascii="Calibri" w:cs="Calibri" w:eastAsia="Calibri" w:hAnsi="Calibri"/>
          <w:color w:val="1A1A1A"/>
          <w:sz w:val="22"/>
          <w:szCs w:val="22"/>
        </w:rPr>
        <w:t xml:space="preserve">Les réseaux de neurones convolutifs tiennent compte du contexte spatial. L’architecture U-Net (Ronneberger et al., 2015), à encodeur-décodeur avec connexions de saut, a été conçue pour la segmentation d’images et est largement reprise en observation de la Terre pour délimiter finement des zones (déforestation, plans d’eau, bâti).</w:t>
      </w:r>
    </w:p>
    <w:p>
      <w:pPr>
        <w:spacing w:after="140" w:line="276"/>
        <w:jc w:val="both"/>
      </w:pPr>
      <w:r>
        <w:rPr>
          <w:rFonts w:ascii="Calibri" w:cs="Calibri" w:eastAsia="Calibri" w:hAnsi="Calibri"/>
          <w:b/>
          <w:bCs/>
          <w:color w:val="1A1A1A"/>
          <w:sz w:val="22"/>
          <w:szCs w:val="22"/>
        </w:rPr>
        <w:t xml:space="preserve">Métriques d’évaluation. </w:t>
      </w:r>
      <w:r>
        <w:rPr>
          <w:rFonts w:ascii="Calibri" w:cs="Calibri" w:eastAsia="Calibri" w:hAnsi="Calibri"/>
          <w:color w:val="1A1A1A"/>
          <w:sz w:val="22"/>
          <w:szCs w:val="22"/>
        </w:rPr>
        <w:t xml:space="preserve">S’agissant d’un problème de classification supervisée à classes déséquilibrées, l’Accuracy seule est trompeuse. On lui adjoint la Precision et le Recall (et leur moyenne harmonique, le F1-score), l’AUC-ROC — indépendante du seuil — et, pour la dimension spatiale de la segmentation, l’Intersection over Union (IoU). La matrice de confusion sert de base commune à ces mesures. Les scores sont calculés en « macro » afin d’accorder un poids égal à la classe déforestée, minoritaire mais critique.</w:t>
      </w:r>
    </w:p>
    <w:p>
      <w:pPr>
        <w:pStyle w:val="Heading2"/>
        <w:spacing w:after="120" w:before="240"/>
      </w:pPr>
      <w:r>
        <w:rPr>
          <w:rFonts w:ascii="Cambria" w:cs="Cambria" w:eastAsia="Cambria" w:hAnsi="Cambria"/>
          <w:b/>
          <w:bCs/>
          <w:color w:val="1A1A1A"/>
          <w:sz w:val="26"/>
          <w:szCs w:val="26"/>
        </w:rPr>
        <w:t xml:space="preserve">1.4. Revue de la littérature empirique</w:t>
      </w:r>
    </w:p>
    <w:p>
      <w:pPr>
        <w:spacing w:after="140" w:line="276"/>
        <w:jc w:val="both"/>
      </w:pPr>
      <w:r>
        <w:rPr>
          <w:rFonts w:ascii="Calibri" w:cs="Calibri" w:eastAsia="Calibri" w:hAnsi="Calibri"/>
          <w:b/>
          <w:bCs/>
          <w:color w:val="1A1A1A"/>
          <w:sz w:val="22"/>
          <w:szCs w:val="22"/>
        </w:rPr>
        <w:t xml:space="preserve">Recherches et systèmes existants. </w:t>
      </w:r>
      <w:r>
        <w:rPr>
          <w:rFonts w:ascii="Calibri" w:cs="Calibri" w:eastAsia="Calibri" w:hAnsi="Calibri"/>
          <w:color w:val="1A1A1A"/>
          <w:sz w:val="22"/>
          <w:szCs w:val="22"/>
        </w:rPr>
        <w:t xml:space="preserve">Le jeu de données Hansen Global Forest Change (Hansen et al., 2013) fournit la perte forestière annuelle mondiale à 30 m et fait référence. Global Forest Watch en propose une diffusion opérationnelle, tandis que les alertes RADD, fondées sur le radar Sentinel-1, permettent une détection quasi temps réel y compris sous couverture nuageuse — atout majeur en zone équatoriale. La plateforme Google Earth Engine a démocratisé l’accès à ces archives et leur traitement à grande échelle.</w:t>
      </w:r>
    </w:p>
    <w:p>
      <w:pPr>
        <w:spacing w:after="140" w:line="276"/>
        <w:jc w:val="both"/>
      </w:pPr>
      <w:r>
        <w:rPr>
          <w:rFonts w:ascii="Calibri" w:cs="Calibri" w:eastAsia="Calibri" w:hAnsi="Calibri"/>
          <w:b/>
          <w:bCs/>
          <w:color w:val="1A1A1A"/>
          <w:sz w:val="22"/>
          <w:szCs w:val="22"/>
        </w:rPr>
        <w:t xml:space="preserve">Résultats et limites des approches antérieures. </w:t>
      </w:r>
      <w:r>
        <w:rPr>
          <w:rFonts w:ascii="Calibri" w:cs="Calibri" w:eastAsia="Calibri" w:hAnsi="Calibri"/>
          <w:color w:val="1A1A1A"/>
          <w:sz w:val="22"/>
          <w:szCs w:val="22"/>
        </w:rPr>
        <w:t xml:space="preserve">Ces systèmes fournissent des constats fiables mais restent globaux et rétrospectifs : ils indiquent où la forêt a déjà été perdue, rarement où elle risque de l’être. Leur calibration mondiale capte difficilement les petites coupes diffuses propres au Bassin du Congo, et leurs interfaces, en anglais et techniques, sont peu appropriables par les acteurs locaux.</w:t>
      </w:r>
    </w:p>
    <w:p>
      <w:pPr>
        <w:spacing w:after="140" w:line="276"/>
        <w:jc w:val="both"/>
      </w:pPr>
      <w:r>
        <w:rPr>
          <w:rFonts w:ascii="Calibri" w:cs="Calibri" w:eastAsia="Calibri" w:hAnsi="Calibri"/>
          <w:b/>
          <w:bCs/>
          <w:color w:val="1A1A1A"/>
          <w:sz w:val="22"/>
          <w:szCs w:val="22"/>
        </w:rPr>
        <w:t xml:space="preserve">Positionnement de la présente étude. </w:t>
      </w:r>
      <w:r>
        <w:rPr>
          <w:rFonts w:ascii="Calibri" w:cs="Calibri" w:eastAsia="Calibri" w:hAnsi="Calibri"/>
          <w:color w:val="1A1A1A"/>
          <w:sz w:val="22"/>
          <w:szCs w:val="22"/>
        </w:rPr>
        <w:t xml:space="preserve">DeforestWatch-DRC ne prétend pas remplacer ces références mais les compléter, à l’échelle locale, par trois apports : une dimension prédictive (carte de risque), une traduction en CO₂ dans le langage de la finance climat, et une interface en français intégrant le signalement citoyen. Le tableau 5 résume ce positionnement.</w:t>
      </w:r>
    </w:p>
    <w:tbl>
      <w:tblPr>
        <w:tblW w:type="dxa" w:w="9000"/>
        <w:tblBorders>
          <w:top w:val="single" w:color="BFD8C4" w:sz="4"/>
          <w:left w:val="single" w:color="BFD8C4" w:sz="4"/>
          <w:bottom w:val="single" w:color="BFD8C4" w:sz="4"/>
          <w:right w:val="single" w:color="BFD8C4" w:sz="4"/>
          <w:insideH w:val="single" w:color="BFD8C4" w:sz="4"/>
          <w:insideV w:val="single" w:color="BFD8C4" w:sz="4"/>
        </w:tblBorders>
      </w:tblPr>
      <w:tblGrid>
        <w:gridCol w:w="3000"/>
        <w:gridCol w:w="3000"/>
        <w:gridCol w:w="3000"/>
      </w:tblGrid>
      <w:tr>
        <w:trPr>
          <w:tblHeader/>
        </w:trPr>
        <w:tc>
          <w:tcPr>
            <w:tcW w:type="dxa" w:w="30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Outils existants</w:t>
            </w:r>
          </w:p>
        </w:tc>
        <w:tc>
          <w:tcPr>
            <w:tcW w:type="dxa" w:w="30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Limite</w:t>
            </w:r>
          </w:p>
        </w:tc>
        <w:tc>
          <w:tcPr>
            <w:tcW w:type="dxa" w:w="30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Apport de DeforestWatch-DRC</w:t>
            </w:r>
          </w:p>
        </w:tc>
      </w:tr>
      <w:tr>
        <w:tc>
          <w:tcPr>
            <w:tcW w:type="dxa" w:w="3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Global Forest Watch, Hansen</w:t>
            </w:r>
          </w:p>
        </w:tc>
        <w:tc>
          <w:tcPr>
            <w:tcW w:type="dxa" w:w="3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Données globales, coupes diffuses mal captées</w:t>
            </w:r>
          </w:p>
        </w:tc>
        <w:tc>
          <w:tcPr>
            <w:tcW w:type="dxa" w:w="3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Calibré sur le contexte Mai-Ndombe</w:t>
            </w:r>
          </w:p>
        </w:tc>
      </w:tr>
      <w:tr>
        <w:tc>
          <w:tcPr>
            <w:tcW w:type="dxa" w:w="3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Systèmes rétrospectifs</w:t>
            </w:r>
          </w:p>
        </w:tc>
        <w:tc>
          <w:tcPr>
            <w:tcW w:type="dxa" w:w="3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Constatent le passé</w:t>
            </w:r>
          </w:p>
        </w:tc>
        <w:tc>
          <w:tcPr>
            <w:tcW w:type="dxa" w:w="3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Carte de risque prédictive</w:t>
            </w:r>
          </w:p>
        </w:tc>
      </w:tr>
      <w:tr>
        <w:tc>
          <w:tcPr>
            <w:tcW w:type="dxa" w:w="3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Interfaces en anglais</w:t>
            </w:r>
          </w:p>
        </w:tc>
        <w:tc>
          <w:tcPr>
            <w:tcW w:type="dxa" w:w="3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Peu appropriables localement</w:t>
            </w:r>
          </w:p>
        </w:tc>
        <w:tc>
          <w:tcPr>
            <w:tcW w:type="dxa" w:w="3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Plateforme en français</w:t>
            </w:r>
          </w:p>
        </w:tc>
      </w:tr>
      <w:tr>
        <w:tc>
          <w:tcPr>
            <w:tcW w:type="dxa" w:w="3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Perte exprimée en hectares</w:t>
            </w:r>
          </w:p>
        </w:tc>
        <w:tc>
          <w:tcPr>
            <w:tcW w:type="dxa" w:w="3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Éloignée de la finance climat</w:t>
            </w:r>
          </w:p>
        </w:tc>
        <w:tc>
          <w:tcPr>
            <w:tcW w:type="dxa" w:w="3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Traduction en tonnes de CO₂</w:t>
            </w:r>
          </w:p>
        </w:tc>
      </w:tr>
      <w:tr>
        <w:tc>
          <w:tcPr>
            <w:tcW w:type="dxa" w:w="3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Absence de remontée terrain</w:t>
            </w:r>
          </w:p>
        </w:tc>
        <w:tc>
          <w:tcPr>
            <w:tcW w:type="dxa" w:w="3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Pas de participation locale</w:t>
            </w:r>
          </w:p>
        </w:tc>
        <w:tc>
          <w:tcPr>
            <w:tcW w:type="dxa" w:w="3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Signalement citoyen intégré</w:t>
            </w:r>
          </w:p>
        </w:tc>
      </w:tr>
    </w:tbl>
    <w:p>
      <w:pPr>
        <w:spacing w:after="200" w:before="60"/>
        <w:jc w:val="center"/>
      </w:pPr>
      <w:r>
        <w:rPr>
          <w:rFonts w:ascii="Calibri" w:cs="Calibri" w:eastAsia="Calibri" w:hAnsi="Calibri"/>
          <w:i/>
          <w:iCs/>
          <w:color w:val="555555"/>
          <w:sz w:val="18"/>
          <w:szCs w:val="18"/>
        </w:rPr>
        <w:t xml:space="preserve">Tableau 5 — Positionnement de DeforestWatch-DRC face aux outils existants.</w:t>
      </w:r>
    </w:p>
    <w:p>
      <w:r>
        <w:br w:type="page"/>
      </w:r>
    </w:p>
    <w:p>
      <w:pPr>
        <w:pStyle w:val="Heading1"/>
        <w:spacing w:after="180" w:before="320"/>
      </w:pPr>
      <w:r>
        <w:rPr>
          <w:rFonts w:ascii="Cambria" w:cs="Cambria" w:eastAsia="Cambria" w:hAnsi="Cambria"/>
          <w:b/>
          <w:bCs/>
          <w:color w:val="0B6E2D"/>
          <w:sz w:val="30"/>
          <w:szCs w:val="30"/>
        </w:rPr>
        <w:t xml:space="preserve">Chapitre II — Modélisation et méthodes de travail</w:t>
      </w:r>
    </w:p>
    <w:p>
      <w:pPr>
        <w:spacing w:after="140" w:line="276"/>
        <w:jc w:val="both"/>
      </w:pPr>
      <w:r>
        <w:rPr>
          <w:rFonts w:ascii="Calibri" w:cs="Calibri" w:eastAsia="Calibri" w:hAnsi="Calibri"/>
          <w:color w:val="1A1A1A"/>
          <w:sz w:val="22"/>
          <w:szCs w:val="22"/>
        </w:rPr>
        <w:t xml:space="preserve">Ce chapitre décrit la démarche scientifique, les données, les modèles et la réalisation technique de la plateforme. La méthodologie retenue relève de la science des données et suit un cycle structuré et reproductible.</w:t>
      </w:r>
    </w:p>
    <w:p>
      <w:pPr>
        <w:pStyle w:val="Heading2"/>
        <w:spacing w:after="120" w:before="240"/>
      </w:pPr>
      <w:r>
        <w:rPr>
          <w:rFonts w:ascii="Cambria" w:cs="Cambria" w:eastAsia="Cambria" w:hAnsi="Cambria"/>
          <w:b/>
          <w:bCs/>
          <w:color w:val="1A1A1A"/>
          <w:sz w:val="26"/>
          <w:szCs w:val="26"/>
        </w:rPr>
        <w:t xml:space="preserve">2.1. Méthodologie adoptée</w:t>
      </w:r>
    </w:p>
    <w:p>
      <w:pPr>
        <w:spacing w:after="140" w:line="276"/>
        <w:jc w:val="both"/>
      </w:pPr>
      <w:r>
        <w:rPr>
          <w:rFonts w:ascii="Calibri" w:cs="Calibri" w:eastAsia="Calibri" w:hAnsi="Calibri"/>
          <w:color w:val="1A1A1A"/>
          <w:sz w:val="22"/>
          <w:szCs w:val="22"/>
        </w:rPr>
        <w:t xml:space="preserve">Le projet suit une démarche de type CRISP-DM (</w:t>
      </w:r>
      <w:r>
        <w:rPr>
          <w:rFonts w:ascii="Calibri" w:cs="Calibri" w:eastAsia="Calibri" w:hAnsi="Calibri"/>
          <w:i/>
          <w:iCs/>
          <w:color w:val="1A1A1A"/>
          <w:sz w:val="22"/>
          <w:szCs w:val="22"/>
        </w:rPr>
        <w:t xml:space="preserve">Cross-Industry Standard Process for Data Mining</w:t>
      </w:r>
      <w:r>
        <w:rPr>
          <w:rFonts w:ascii="Calibri" w:cs="Calibri" w:eastAsia="Calibri" w:hAnsi="Calibri"/>
          <w:color w:val="1A1A1A"/>
          <w:sz w:val="22"/>
          <w:szCs w:val="22"/>
        </w:rPr>
        <w:t xml:space="preserve">), composée de sept étapes enchaînées :</w:t>
      </w:r>
    </w:p>
    <w:p>
      <w:pPr>
        <w:pStyle w:val="ListParagraph"/>
        <w:numPr>
          <w:ilvl w:val="0"/>
          <w:numId w:val="2"/>
        </w:numPr>
        <w:spacing w:after="70" w:line="268"/>
        <w:jc w:val="both"/>
      </w:pPr>
      <w:r>
        <w:rPr>
          <w:rFonts w:ascii="Calibri" w:cs="Calibri" w:eastAsia="Calibri" w:hAnsi="Calibri"/>
          <w:b/>
          <w:bCs/>
          <w:color w:val="1A1A1A"/>
          <w:sz w:val="22"/>
          <w:szCs w:val="22"/>
        </w:rPr>
        <w:t xml:space="preserve">Compréhension du problème</w:t>
      </w:r>
      <w:r>
        <w:rPr>
          <w:rFonts w:ascii="Calibri" w:cs="Calibri" w:eastAsia="Calibri" w:hAnsi="Calibri"/>
          <w:color w:val="1A1A1A"/>
          <w:sz w:val="22"/>
          <w:szCs w:val="22"/>
        </w:rPr>
        <w:t xml:space="preserve"> — définition des objectifs (détection, quantification, prédiction) et des questions clés.</w:t>
      </w:r>
    </w:p>
    <w:p>
      <w:pPr>
        <w:pStyle w:val="ListParagraph"/>
        <w:numPr>
          <w:ilvl w:val="0"/>
          <w:numId w:val="2"/>
        </w:numPr>
        <w:spacing w:after="70" w:line="268"/>
        <w:jc w:val="both"/>
      </w:pPr>
      <w:r>
        <w:rPr>
          <w:rFonts w:ascii="Calibri" w:cs="Calibri" w:eastAsia="Calibri" w:hAnsi="Calibri"/>
          <w:b/>
          <w:bCs/>
          <w:color w:val="1A1A1A"/>
          <w:sz w:val="22"/>
          <w:szCs w:val="22"/>
        </w:rPr>
        <w:t xml:space="preserve">Acquisition des données</w:t>
      </w:r>
      <w:r>
        <w:rPr>
          <w:rFonts w:ascii="Calibri" w:cs="Calibri" w:eastAsia="Calibri" w:hAnsi="Calibri"/>
          <w:color w:val="1A1A1A"/>
          <w:sz w:val="22"/>
          <w:szCs w:val="22"/>
        </w:rPr>
        <w:t xml:space="preserve"> — collecte des images Sentinel-2 / Landsat, du radar Sentinel-1, de la topographie SRTM et des données météorologiques via Google Earth Engine.</w:t>
      </w:r>
    </w:p>
    <w:p>
      <w:pPr>
        <w:pStyle w:val="ListParagraph"/>
        <w:numPr>
          <w:ilvl w:val="0"/>
          <w:numId w:val="2"/>
        </w:numPr>
        <w:spacing w:after="70" w:line="268"/>
        <w:jc w:val="both"/>
      </w:pPr>
      <w:r>
        <w:rPr>
          <w:rFonts w:ascii="Calibri" w:cs="Calibri" w:eastAsia="Calibri" w:hAnsi="Calibri"/>
          <w:b/>
          <w:bCs/>
          <w:color w:val="1A1A1A"/>
          <w:sz w:val="22"/>
          <w:szCs w:val="22"/>
        </w:rPr>
        <w:t xml:space="preserve">Exploration des données</w:t>
      </w:r>
      <w:r>
        <w:rPr>
          <w:rFonts w:ascii="Calibri" w:cs="Calibri" w:eastAsia="Calibri" w:hAnsi="Calibri"/>
          <w:color w:val="1A1A1A"/>
          <w:sz w:val="22"/>
          <w:szCs w:val="22"/>
        </w:rPr>
        <w:t xml:space="preserve"> — analyse des distributions, des corrélations entre bandes et indices, repérage des anomalies et des nuages.</w:t>
      </w:r>
    </w:p>
    <w:p>
      <w:pPr>
        <w:pStyle w:val="ListParagraph"/>
        <w:numPr>
          <w:ilvl w:val="0"/>
          <w:numId w:val="2"/>
        </w:numPr>
        <w:spacing w:after="70" w:line="268"/>
        <w:jc w:val="both"/>
      </w:pPr>
      <w:r>
        <w:rPr>
          <w:rFonts w:ascii="Calibri" w:cs="Calibri" w:eastAsia="Calibri" w:hAnsi="Calibri"/>
          <w:b/>
          <w:bCs/>
          <w:color w:val="1A1A1A"/>
          <w:sz w:val="22"/>
          <w:szCs w:val="22"/>
        </w:rPr>
        <w:t xml:space="preserve">Préparation des données</w:t>
      </w:r>
      <w:r>
        <w:rPr>
          <w:rFonts w:ascii="Calibri" w:cs="Calibri" w:eastAsia="Calibri" w:hAnsi="Calibri"/>
          <w:color w:val="1A1A1A"/>
          <w:sz w:val="22"/>
          <w:szCs w:val="22"/>
        </w:rPr>
        <w:t xml:space="preserve"> — masquage des nuages, composition de mosaïques temporelles, calcul des indices spectraux, normalisation et extraction des variables.</w:t>
      </w:r>
    </w:p>
    <w:p>
      <w:pPr>
        <w:pStyle w:val="ListParagraph"/>
        <w:numPr>
          <w:ilvl w:val="0"/>
          <w:numId w:val="2"/>
        </w:numPr>
        <w:spacing w:after="70" w:line="268"/>
        <w:jc w:val="both"/>
      </w:pPr>
      <w:r>
        <w:rPr>
          <w:rFonts w:ascii="Calibri" w:cs="Calibri" w:eastAsia="Calibri" w:hAnsi="Calibri"/>
          <w:b/>
          <w:bCs/>
          <w:color w:val="1A1A1A"/>
          <w:sz w:val="22"/>
          <w:szCs w:val="22"/>
        </w:rPr>
        <w:t xml:space="preserve">Modélisation</w:t>
      </w:r>
      <w:r>
        <w:rPr>
          <w:rFonts w:ascii="Calibri" w:cs="Calibri" w:eastAsia="Calibri" w:hAnsi="Calibri"/>
          <w:color w:val="1A1A1A"/>
          <w:sz w:val="22"/>
          <w:szCs w:val="22"/>
        </w:rPr>
        <w:t xml:space="preserve"> — entraînement de Random Forest, XGBoost et U-Net.</w:t>
      </w:r>
    </w:p>
    <w:p>
      <w:pPr>
        <w:pStyle w:val="ListParagraph"/>
        <w:numPr>
          <w:ilvl w:val="0"/>
          <w:numId w:val="2"/>
        </w:numPr>
        <w:spacing w:after="70" w:line="268"/>
        <w:jc w:val="both"/>
      </w:pPr>
      <w:r>
        <w:rPr>
          <w:rFonts w:ascii="Calibri" w:cs="Calibri" w:eastAsia="Calibri" w:hAnsi="Calibri"/>
          <w:b/>
          <w:bCs/>
          <w:color w:val="1A1A1A"/>
          <w:sz w:val="22"/>
          <w:szCs w:val="22"/>
        </w:rPr>
        <w:t xml:space="preserve">Évaluation</w:t>
      </w:r>
      <w:r>
        <w:rPr>
          <w:rFonts w:ascii="Calibri" w:cs="Calibri" w:eastAsia="Calibri" w:hAnsi="Calibri"/>
          <w:color w:val="1A1A1A"/>
          <w:sz w:val="22"/>
          <w:szCs w:val="22"/>
        </w:rPr>
        <w:t xml:space="preserve"> — validation croisée et comparaison des modèles sur des métriques rigoureuses.</w:t>
      </w:r>
    </w:p>
    <w:p>
      <w:pPr>
        <w:pStyle w:val="ListParagraph"/>
        <w:numPr>
          <w:ilvl w:val="0"/>
          <w:numId w:val="2"/>
        </w:numPr>
        <w:spacing w:after="70" w:line="268"/>
        <w:jc w:val="both"/>
      </w:pPr>
      <w:r>
        <w:rPr>
          <w:rFonts w:ascii="Calibri" w:cs="Calibri" w:eastAsia="Calibri" w:hAnsi="Calibri"/>
          <w:b/>
          <w:bCs/>
          <w:color w:val="1A1A1A"/>
          <w:sz w:val="22"/>
          <w:szCs w:val="22"/>
        </w:rPr>
        <w:t xml:space="preserve">Déploiement</w:t>
      </w:r>
      <w:r>
        <w:rPr>
          <w:rFonts w:ascii="Calibri" w:cs="Calibri" w:eastAsia="Calibri" w:hAnsi="Calibri"/>
          <w:color w:val="1A1A1A"/>
          <w:sz w:val="22"/>
          <w:szCs w:val="22"/>
        </w:rPr>
        <w:t xml:space="preserve"> — mise à disposition via une API, un tableau de bord et une interface web.</w:t>
      </w:r>
    </w:p>
    <w:p>
      <w:pPr>
        <w:spacing w:after="200" w:before="60"/>
        <w:jc w:val="center"/>
      </w:pPr>
      <w:r>
        <w:rPr>
          <w:rFonts w:ascii="Calibri" w:cs="Calibri" w:eastAsia="Calibri" w:hAnsi="Calibri"/>
          <w:i/>
          <w:iCs/>
          <w:color w:val="555555"/>
          <w:sz w:val="18"/>
          <w:szCs w:val="18"/>
        </w:rPr>
        <w:t xml:space="preserve">Figure 2 — Chaîne de traitement des données (pipeline CRISP-DM). [Insérer le schéma du pipeline.]</w:t>
      </w:r>
    </w:p>
    <w:p>
      <w:pPr>
        <w:pStyle w:val="Heading2"/>
        <w:spacing w:after="120" w:before="240"/>
      </w:pPr>
      <w:r>
        <w:rPr>
          <w:rFonts w:ascii="Cambria" w:cs="Cambria" w:eastAsia="Cambria" w:hAnsi="Cambria"/>
          <w:b/>
          <w:bCs/>
          <w:color w:val="1A1A1A"/>
          <w:sz w:val="26"/>
          <w:szCs w:val="26"/>
        </w:rPr>
        <w:t xml:space="preserve">2.2. Zone d’étude et données</w:t>
      </w:r>
    </w:p>
    <w:p>
      <w:pPr>
        <w:spacing w:after="140" w:line="276"/>
        <w:jc w:val="both"/>
      </w:pPr>
      <w:r>
        <w:rPr>
          <w:rFonts w:ascii="Calibri" w:cs="Calibri" w:eastAsia="Calibri" w:hAnsi="Calibri"/>
          <w:b/>
          <w:bCs/>
          <w:color w:val="1A1A1A"/>
          <w:sz w:val="22"/>
          <w:szCs w:val="22"/>
        </w:rPr>
        <w:t xml:space="preserve">Zone d’étude. </w:t>
      </w:r>
      <w:r>
        <w:rPr>
          <w:rFonts w:ascii="Calibri" w:cs="Calibri" w:eastAsia="Calibri" w:hAnsi="Calibri"/>
          <w:color w:val="1A1A1A"/>
          <w:sz w:val="22"/>
          <w:szCs w:val="22"/>
        </w:rPr>
        <w:t xml:space="preserve">L’analyse porte sur une fenêtre d’environ 50 km × 50 km (rayon de 25 km) centrée sur la ville d’Inongo (latitude −1,95 ; longitude 18,27), dans la province du Mai-Ndombe. La période couverte s’étend de 2015 à 2025, ce qui permet une analyse diachronique de la dynamique forestière.</w:t>
      </w:r>
    </w:p>
    <w:p>
      <w:pPr>
        <w:spacing w:after="140" w:line="276"/>
        <w:jc w:val="both"/>
      </w:pPr>
      <w:r>
        <w:rPr>
          <w:rFonts w:ascii="Calibri" w:cs="Calibri" w:eastAsia="Calibri" w:hAnsi="Calibri"/>
          <w:b/>
          <w:bCs/>
          <w:color w:val="1A1A1A"/>
          <w:sz w:val="22"/>
          <w:szCs w:val="22"/>
        </w:rPr>
        <w:t xml:space="preserve">Sources de données. </w:t>
      </w:r>
      <w:r>
        <w:rPr>
          <w:rFonts w:ascii="Calibri" w:cs="Calibri" w:eastAsia="Calibri" w:hAnsi="Calibri"/>
          <w:color w:val="1A1A1A"/>
          <w:sz w:val="22"/>
          <w:szCs w:val="22"/>
        </w:rPr>
        <w:t xml:space="preserve">Le tableau 1 récapitule les sources mobilisées, toutes libres d’accès.</w:t>
      </w:r>
    </w:p>
    <w:tbl>
      <w:tblPr>
        <w:tblW w:type="dxa" w:w="9000"/>
        <w:tblBorders>
          <w:top w:val="single" w:color="BFD8C4" w:sz="4"/>
          <w:left w:val="single" w:color="BFD8C4" w:sz="4"/>
          <w:bottom w:val="single" w:color="BFD8C4" w:sz="4"/>
          <w:right w:val="single" w:color="BFD8C4" w:sz="4"/>
          <w:insideH w:val="single" w:color="BFD8C4" w:sz="4"/>
          <w:insideV w:val="single" w:color="BFD8C4" w:sz="4"/>
        </w:tblBorders>
      </w:tblPr>
      <w:tblGrid>
        <w:gridCol w:w="2100"/>
        <w:gridCol w:w="3400"/>
        <w:gridCol w:w="1500"/>
        <w:gridCol w:w="2000"/>
      </w:tblGrid>
      <w:tr>
        <w:trPr>
          <w:tblHeader/>
        </w:trPr>
        <w:tc>
          <w:tcPr>
            <w:tcW w:type="dxa" w:w="21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Source</w:t>
            </w:r>
          </w:p>
        </w:tc>
        <w:tc>
          <w:tcPr>
            <w:tcW w:type="dxa" w:w="34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Description</w:t>
            </w:r>
          </w:p>
        </w:tc>
        <w:tc>
          <w:tcPr>
            <w:tcW w:type="dxa" w:w="15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Résolution</w:t>
            </w:r>
          </w:p>
        </w:tc>
        <w:tc>
          <w:tcPr>
            <w:tcW w:type="dxa" w:w="20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Couverture</w:t>
            </w:r>
          </w:p>
        </w:tc>
      </w:tr>
      <w:tr>
        <w:tc>
          <w:tcPr>
            <w:tcW w:type="dxa" w:w="21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Sentinel-2 (ESA)</w:t>
            </w:r>
          </w:p>
        </w:tc>
        <w:tc>
          <w:tcPr>
            <w:tcW w:type="dxa" w:w="34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Images multispectrales (6 bandes)</w:t>
            </w:r>
          </w:p>
        </w:tc>
        <w:tc>
          <w:tcPr>
            <w:tcW w:type="dxa" w:w="15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10 m</w:t>
            </w:r>
          </w:p>
        </w:tc>
        <w:tc>
          <w:tcPr>
            <w:tcW w:type="dxa" w:w="2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2015 – présent</w:t>
            </w:r>
          </w:p>
        </w:tc>
      </w:tr>
      <w:tr>
        <w:tc>
          <w:tcPr>
            <w:tcW w:type="dxa" w:w="21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Landsat 8/9 (NASA)</w:t>
            </w:r>
          </w:p>
        </w:tc>
        <w:tc>
          <w:tcPr>
            <w:tcW w:type="dxa" w:w="34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Images multispectrales</w:t>
            </w:r>
          </w:p>
        </w:tc>
        <w:tc>
          <w:tcPr>
            <w:tcW w:type="dxa" w:w="15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30 m</w:t>
            </w:r>
          </w:p>
        </w:tc>
        <w:tc>
          <w:tcPr>
            <w:tcW w:type="dxa" w:w="2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2013 – présent</w:t>
            </w:r>
          </w:p>
        </w:tc>
      </w:tr>
      <w:tr>
        <w:tc>
          <w:tcPr>
            <w:tcW w:type="dxa" w:w="21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Sentinel-1 (ESA)</w:t>
            </w:r>
          </w:p>
        </w:tc>
        <w:tc>
          <w:tcPr>
            <w:tcW w:type="dxa" w:w="34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Radar (VV, VH) — pénètre les nuages</w:t>
            </w:r>
          </w:p>
        </w:tc>
        <w:tc>
          <w:tcPr>
            <w:tcW w:type="dxa" w:w="15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10 m</w:t>
            </w:r>
          </w:p>
        </w:tc>
        <w:tc>
          <w:tcPr>
            <w:tcW w:type="dxa" w:w="2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2014 – présent</w:t>
            </w:r>
          </w:p>
        </w:tc>
      </w:tr>
      <w:tr>
        <w:tc>
          <w:tcPr>
            <w:tcW w:type="dxa" w:w="21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Hansen GFC</w:t>
            </w:r>
          </w:p>
        </w:tc>
        <w:tc>
          <w:tcPr>
            <w:tcW w:type="dxa" w:w="34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Perte forestière annuelle</w:t>
            </w:r>
          </w:p>
        </w:tc>
        <w:tc>
          <w:tcPr>
            <w:tcW w:type="dxa" w:w="15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30 m</w:t>
            </w:r>
          </w:p>
        </w:tc>
        <w:tc>
          <w:tcPr>
            <w:tcW w:type="dxa" w:w="2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2000 – 2023</w:t>
            </w:r>
          </w:p>
        </w:tc>
      </w:tr>
      <w:tr>
        <w:tc>
          <w:tcPr>
            <w:tcW w:type="dxa" w:w="21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SRTM</w:t>
            </w:r>
          </w:p>
        </w:tc>
        <w:tc>
          <w:tcPr>
            <w:tcW w:type="dxa" w:w="34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Modèle numérique de terrain (altitude, pente)</w:t>
            </w:r>
          </w:p>
        </w:tc>
        <w:tc>
          <w:tcPr>
            <w:tcW w:type="dxa" w:w="15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30 m</w:t>
            </w:r>
          </w:p>
        </w:tc>
        <w:tc>
          <w:tcPr>
            <w:tcW w:type="dxa" w:w="2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Global</w:t>
            </w:r>
          </w:p>
        </w:tc>
      </w:tr>
      <w:tr>
        <w:tc>
          <w:tcPr>
            <w:tcW w:type="dxa" w:w="21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OpenWeatherMap</w:t>
            </w:r>
          </w:p>
        </w:tc>
        <w:tc>
          <w:tcPr>
            <w:tcW w:type="dxa" w:w="34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Précipitations, température</w:t>
            </w:r>
          </w:p>
        </w:tc>
        <w:tc>
          <w:tcPr>
            <w:tcW w:type="dxa" w:w="15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w:t>
            </w:r>
          </w:p>
        </w:tc>
        <w:tc>
          <w:tcPr>
            <w:tcW w:type="dxa" w:w="2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Temps réel</w:t>
            </w:r>
          </w:p>
        </w:tc>
      </w:tr>
    </w:tbl>
    <w:p>
      <w:pPr>
        <w:spacing w:after="200" w:before="60"/>
        <w:jc w:val="center"/>
      </w:pPr>
      <w:r>
        <w:rPr>
          <w:rFonts w:ascii="Calibri" w:cs="Calibri" w:eastAsia="Calibri" w:hAnsi="Calibri"/>
          <w:i/>
          <w:iCs/>
          <w:color w:val="555555"/>
          <w:sz w:val="18"/>
          <w:szCs w:val="18"/>
        </w:rPr>
        <w:t xml:space="preserve">Tableau 1 — Sources de données satellitaires et auxiliaires.</w:t>
      </w:r>
    </w:p>
    <w:p>
      <w:pPr>
        <w:spacing w:after="140" w:line="276"/>
        <w:jc w:val="both"/>
      </w:pPr>
      <w:r>
        <w:rPr>
          <w:rFonts w:ascii="Calibri" w:cs="Calibri" w:eastAsia="Calibri" w:hAnsi="Calibri"/>
          <w:b/>
          <w:bCs/>
          <w:color w:val="1A1A1A"/>
          <w:sz w:val="22"/>
          <w:szCs w:val="22"/>
        </w:rPr>
        <w:t xml:space="preserve">Approche « démo / réel ». </w:t>
      </w:r>
      <w:r>
        <w:rPr>
          <w:rFonts w:ascii="Calibri" w:cs="Calibri" w:eastAsia="Calibri" w:hAnsi="Calibri"/>
          <w:color w:val="1A1A1A"/>
          <w:sz w:val="22"/>
          <w:szCs w:val="22"/>
        </w:rPr>
        <w:t xml:space="preserve">Afin de garantir la reproductibilité et de rendre le prototype fonctionnel sans compte externe, une couche d’abstraction des sources permet de basculer de manière transparente entre des données synthétiques réalistes (mode démonstration) et de vraies images GeoTIFF exportées depuis Google Earth Engine, sans modifier le code applicatif.</w:t>
      </w:r>
    </w:p>
    <w:p>
      <w:pPr>
        <w:pStyle w:val="Heading2"/>
        <w:spacing w:after="120" w:before="240"/>
      </w:pPr>
      <w:r>
        <w:rPr>
          <w:rFonts w:ascii="Cambria" w:cs="Cambria" w:eastAsia="Cambria" w:hAnsi="Cambria"/>
          <w:b/>
          <w:bCs/>
          <w:color w:val="1A1A1A"/>
          <w:sz w:val="26"/>
          <w:szCs w:val="26"/>
        </w:rPr>
        <w:t xml:space="preserve">2.3. Modélisation</w:t>
      </w:r>
    </w:p>
    <w:p>
      <w:pPr>
        <w:pStyle w:val="Heading3"/>
        <w:spacing w:after="100" w:before="180"/>
      </w:pPr>
      <w:r>
        <w:rPr>
          <w:rFonts w:ascii="Cambria" w:cs="Cambria" w:eastAsia="Cambria" w:hAnsi="Cambria"/>
          <w:b/>
          <w:bCs/>
          <w:color w:val="0B6E2D"/>
          <w:sz w:val="23"/>
          <w:szCs w:val="23"/>
        </w:rPr>
        <w:t xml:space="preserve">2.3.1. Variables explicatives</w:t>
      </w:r>
    </w:p>
    <w:p>
      <w:pPr>
        <w:spacing w:after="140" w:line="276"/>
        <w:jc w:val="both"/>
      </w:pPr>
      <w:r>
        <w:rPr>
          <w:rFonts w:ascii="Calibri" w:cs="Calibri" w:eastAsia="Calibri" w:hAnsi="Calibri"/>
          <w:color w:val="1A1A1A"/>
          <w:sz w:val="22"/>
          <w:szCs w:val="22"/>
        </w:rPr>
        <w:t xml:space="preserve">À chaque pixel de la zone d’étude est associé un vecteur de treize variables : les six bandes spectrales de Sentinel-2 (B2, B3, B4, B8, B11, B12), quatre indices spectraux et trois variables topographiques dérivées du modèle de terrain.</w:t>
      </w:r>
    </w:p>
    <w:tbl>
      <w:tblPr>
        <w:tblW w:type="dxa" w:w="9000"/>
        <w:tblBorders>
          <w:top w:val="single" w:color="BFD8C4" w:sz="4"/>
          <w:left w:val="single" w:color="BFD8C4" w:sz="4"/>
          <w:bottom w:val="single" w:color="BFD8C4" w:sz="4"/>
          <w:right w:val="single" w:color="BFD8C4" w:sz="4"/>
          <w:insideH w:val="single" w:color="BFD8C4" w:sz="4"/>
          <w:insideV w:val="single" w:color="BFD8C4" w:sz="4"/>
        </w:tblBorders>
      </w:tblPr>
      <w:tblGrid>
        <w:gridCol w:w="2600"/>
        <w:gridCol w:w="6400"/>
      </w:tblGrid>
      <w:tr>
        <w:trPr>
          <w:tblHeader/>
        </w:trPr>
        <w:tc>
          <w:tcPr>
            <w:tcW w:type="dxa" w:w="26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Groupe</w:t>
            </w:r>
          </w:p>
        </w:tc>
        <w:tc>
          <w:tcPr>
            <w:tcW w:type="dxa" w:w="64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Variables</w:t>
            </w:r>
          </w:p>
        </w:tc>
      </w:tr>
      <w:tr>
        <w:tc>
          <w:tcPr>
            <w:tcW w:type="dxa" w:w="26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Bandes spectrales (6)</w:t>
            </w:r>
          </w:p>
        </w:tc>
        <w:tc>
          <w:tcPr>
            <w:tcW w:type="dxa" w:w="64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B2 Bleu, B3 Vert, B4 Rouge, B8 PIR, B11 SWIR1, B12 SWIR2</w:t>
            </w:r>
          </w:p>
        </w:tc>
      </w:tr>
      <w:tr>
        <w:tc>
          <w:tcPr>
            <w:tcW w:type="dxa" w:w="26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Indices spectraux (4)</w:t>
            </w:r>
          </w:p>
        </w:tc>
        <w:tc>
          <w:tcPr>
            <w:tcW w:type="dxa" w:w="64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NDVI, EVI, NDWI, NBR</w:t>
            </w:r>
          </w:p>
        </w:tc>
      </w:tr>
      <w:tr>
        <w:tc>
          <w:tcPr>
            <w:tcW w:type="dxa" w:w="26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Topographie (3)</w:t>
            </w:r>
          </w:p>
        </w:tc>
        <w:tc>
          <w:tcPr>
            <w:tcW w:type="dxa" w:w="64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altitude, pente (slope), orientation (aspect)</w:t>
            </w:r>
          </w:p>
        </w:tc>
      </w:tr>
    </w:tbl>
    <w:p>
      <w:pPr>
        <w:spacing w:after="200" w:before="60"/>
        <w:jc w:val="center"/>
      </w:pPr>
      <w:r>
        <w:rPr>
          <w:rFonts w:ascii="Calibri" w:cs="Calibri" w:eastAsia="Calibri" w:hAnsi="Calibri"/>
          <w:i/>
          <w:iCs/>
          <w:color w:val="555555"/>
          <w:sz w:val="18"/>
          <w:szCs w:val="18"/>
        </w:rPr>
        <w:t xml:space="preserve">Tableau 2 — Variables explicatives (features) du modèle pixel.</w:t>
      </w:r>
    </w:p>
    <w:p>
      <w:pPr>
        <w:spacing w:after="140" w:line="276"/>
        <w:jc w:val="both"/>
      </w:pPr>
      <w:r>
        <w:rPr>
          <w:rFonts w:ascii="Calibri" w:cs="Calibri" w:eastAsia="Calibri" w:hAnsi="Calibri"/>
          <w:color w:val="1A1A1A"/>
          <w:sz w:val="22"/>
          <w:szCs w:val="22"/>
        </w:rPr>
        <w:t xml:space="preserve">Les indices sont calculés ainsi : </w:t>
      </w:r>
      <w:r>
        <w:rPr>
          <w:rFonts w:ascii="Calibri" w:cs="Calibri" w:eastAsia="Calibri" w:hAnsi="Calibri"/>
          <w:i/>
          <w:iCs/>
          <w:color w:val="1A1A1A"/>
          <w:sz w:val="22"/>
          <w:szCs w:val="22"/>
        </w:rPr>
        <w:t xml:space="preserve">NDVI = (PIR − Rouge)/(PIR + Rouge)</w:t>
      </w:r>
      <w:r>
        <w:rPr>
          <w:rFonts w:ascii="Calibri" w:cs="Calibri" w:eastAsia="Calibri" w:hAnsi="Calibri"/>
          <w:color w:val="1A1A1A"/>
          <w:sz w:val="22"/>
          <w:szCs w:val="22"/>
        </w:rPr>
        <w:t xml:space="preserve"> ; </w:t>
      </w:r>
      <w:r>
        <w:rPr>
          <w:rFonts w:ascii="Calibri" w:cs="Calibri" w:eastAsia="Calibri" w:hAnsi="Calibri"/>
          <w:i/>
          <w:iCs/>
          <w:color w:val="1A1A1A"/>
          <w:sz w:val="22"/>
          <w:szCs w:val="22"/>
        </w:rPr>
        <w:t xml:space="preserve">NDWI = (Vert − PIR)/(Vert + PIR)</w:t>
      </w:r>
      <w:r>
        <w:rPr>
          <w:rFonts w:ascii="Calibri" w:cs="Calibri" w:eastAsia="Calibri" w:hAnsi="Calibri"/>
          <w:color w:val="1A1A1A"/>
          <w:sz w:val="22"/>
          <w:szCs w:val="22"/>
        </w:rPr>
        <w:t xml:space="preserve"> ; </w:t>
      </w:r>
      <w:r>
        <w:rPr>
          <w:rFonts w:ascii="Calibri" w:cs="Calibri" w:eastAsia="Calibri" w:hAnsi="Calibri"/>
          <w:i/>
          <w:iCs/>
          <w:color w:val="1A1A1A"/>
          <w:sz w:val="22"/>
          <w:szCs w:val="22"/>
        </w:rPr>
        <w:t xml:space="preserve">NBR = (PIR − SWIR2)/(PIR + SWIR2)</w:t>
      </w:r>
      <w:r>
        <w:rPr>
          <w:rFonts w:ascii="Calibri" w:cs="Calibri" w:eastAsia="Calibri" w:hAnsi="Calibri"/>
          <w:color w:val="1A1A1A"/>
          <w:sz w:val="22"/>
          <w:szCs w:val="22"/>
        </w:rPr>
        <w:t xml:space="preserve">. La variable cible est la classe d’occupation du sol, parmi cinq catégories.</w:t>
      </w:r>
    </w:p>
    <w:tbl>
      <w:tblPr>
        <w:tblW w:type="dxa" w:w="9000"/>
        <w:tblBorders>
          <w:top w:val="single" w:color="BFD8C4" w:sz="4"/>
          <w:left w:val="single" w:color="BFD8C4" w:sz="4"/>
          <w:bottom w:val="single" w:color="BFD8C4" w:sz="4"/>
          <w:right w:val="single" w:color="BFD8C4" w:sz="4"/>
          <w:insideH w:val="single" w:color="BFD8C4" w:sz="4"/>
          <w:insideV w:val="single" w:color="BFD8C4" w:sz="4"/>
        </w:tblBorders>
      </w:tblPr>
      <w:tblGrid>
        <w:gridCol w:w="2400"/>
        <w:gridCol w:w="3400"/>
        <w:gridCol w:w="3200"/>
      </w:tblGrid>
      <w:tr>
        <w:trPr>
          <w:tblHeader/>
        </w:trPr>
        <w:tc>
          <w:tcPr>
            <w:tcW w:type="dxa" w:w="24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Code</w:t>
            </w:r>
          </w:p>
        </w:tc>
        <w:tc>
          <w:tcPr>
            <w:tcW w:type="dxa" w:w="34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Classe</w:t>
            </w:r>
          </w:p>
        </w:tc>
        <w:tc>
          <w:tcPr>
            <w:tcW w:type="dxa" w:w="32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Interprétation</w:t>
            </w:r>
          </w:p>
        </w:tc>
      </w:tr>
      <w:tr>
        <w:tc>
          <w:tcPr>
            <w:tcW w:type="dxa" w:w="24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0</w:t>
            </w:r>
          </w:p>
        </w:tc>
        <w:tc>
          <w:tcPr>
            <w:tcW w:type="dxa" w:w="34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Forêt dense</w:t>
            </w:r>
          </w:p>
        </w:tc>
        <w:tc>
          <w:tcPr>
            <w:tcW w:type="dxa" w:w="32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Couvert forestier intact</w:t>
            </w:r>
          </w:p>
        </w:tc>
      </w:tr>
      <w:tr>
        <w:tc>
          <w:tcPr>
            <w:tcW w:type="dxa" w:w="24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1</w:t>
            </w:r>
          </w:p>
        </w:tc>
        <w:tc>
          <w:tcPr>
            <w:tcW w:type="dxa" w:w="34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Forêt dégradée</w:t>
            </w:r>
          </w:p>
        </w:tc>
        <w:tc>
          <w:tcPr>
            <w:tcW w:type="dxa" w:w="32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Couvert partiellement ouvert</w:t>
            </w:r>
          </w:p>
        </w:tc>
      </w:tr>
      <w:tr>
        <w:tc>
          <w:tcPr>
            <w:tcW w:type="dxa" w:w="24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2</w:t>
            </w:r>
          </w:p>
        </w:tc>
        <w:tc>
          <w:tcPr>
            <w:tcW w:type="dxa" w:w="34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Agriculture / Sol nu</w:t>
            </w:r>
          </w:p>
        </w:tc>
        <w:tc>
          <w:tcPr>
            <w:tcW w:type="dxa" w:w="32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Zone déforestée / cultivée</w:t>
            </w:r>
          </w:p>
        </w:tc>
      </w:tr>
      <w:tr>
        <w:tc>
          <w:tcPr>
            <w:tcW w:type="dxa" w:w="24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3</w:t>
            </w:r>
          </w:p>
        </w:tc>
        <w:tc>
          <w:tcPr>
            <w:tcW w:type="dxa" w:w="34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Eau</w:t>
            </w:r>
          </w:p>
        </w:tc>
        <w:tc>
          <w:tcPr>
            <w:tcW w:type="dxa" w:w="32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Rivières, lacs, zones humides</w:t>
            </w:r>
          </w:p>
        </w:tc>
      </w:tr>
      <w:tr>
        <w:tc>
          <w:tcPr>
            <w:tcW w:type="dxa" w:w="24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4</w:t>
            </w:r>
          </w:p>
        </w:tc>
        <w:tc>
          <w:tcPr>
            <w:tcW w:type="dxa" w:w="34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Zone urbaine / Bâti</w:t>
            </w:r>
          </w:p>
        </w:tc>
        <w:tc>
          <w:tcPr>
            <w:tcW w:type="dxa" w:w="32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Villages, infrastructures</w:t>
            </w:r>
          </w:p>
        </w:tc>
      </w:tr>
    </w:tbl>
    <w:p>
      <w:pPr>
        <w:spacing w:after="200" w:before="60"/>
        <w:jc w:val="center"/>
      </w:pPr>
      <w:r>
        <w:rPr>
          <w:rFonts w:ascii="Calibri" w:cs="Calibri" w:eastAsia="Calibri" w:hAnsi="Calibri"/>
          <w:i/>
          <w:iCs/>
          <w:color w:val="555555"/>
          <w:sz w:val="18"/>
          <w:szCs w:val="18"/>
        </w:rPr>
        <w:t xml:space="preserve">Figure 4 — Les cinq classes de couverture du sol retenues.</w:t>
      </w:r>
    </w:p>
    <w:p>
      <w:pPr>
        <w:pStyle w:val="Heading3"/>
        <w:spacing w:after="100" w:before="180"/>
      </w:pPr>
      <w:r>
        <w:rPr>
          <w:rFonts w:ascii="Cambria" w:cs="Cambria" w:eastAsia="Cambria" w:hAnsi="Cambria"/>
          <w:b/>
          <w:bCs/>
          <w:color w:val="0B6E2D"/>
          <w:sz w:val="23"/>
          <w:szCs w:val="23"/>
        </w:rPr>
        <w:t xml:space="preserve">2.3.2. Modèles retenus et justification</w:t>
      </w:r>
    </w:p>
    <w:p>
      <w:pPr>
        <w:spacing w:after="140" w:line="276"/>
        <w:jc w:val="both"/>
      </w:pPr>
      <w:r>
        <w:rPr>
          <w:rFonts w:ascii="Calibri" w:cs="Calibri" w:eastAsia="Calibri" w:hAnsi="Calibri"/>
          <w:b/>
          <w:bCs/>
          <w:color w:val="1A1A1A"/>
          <w:sz w:val="22"/>
          <w:szCs w:val="22"/>
        </w:rPr>
        <w:t xml:space="preserve">Random Forest. </w:t>
      </w:r>
      <w:r>
        <w:rPr>
          <w:rFonts w:ascii="Calibri" w:cs="Calibri" w:eastAsia="Calibri" w:hAnsi="Calibri"/>
          <w:color w:val="1A1A1A"/>
          <w:sz w:val="22"/>
          <w:szCs w:val="22"/>
        </w:rPr>
        <w:t xml:space="preserve">Classification pixel à pixel à partir des treize variables. Choisi comme référence (baseline) pour sa robustesse au bruit, sa faible sensibilité au sur-apprentissage et l’interprétabilité de l’importance des variables — atout pour une aide à la décision.</w:t>
      </w:r>
    </w:p>
    <w:p>
      <w:pPr>
        <w:spacing w:after="140" w:line="276"/>
        <w:jc w:val="both"/>
      </w:pPr>
      <w:r>
        <w:rPr>
          <w:rFonts w:ascii="Calibri" w:cs="Calibri" w:eastAsia="Calibri" w:hAnsi="Calibri"/>
          <w:b/>
          <w:bCs/>
          <w:color w:val="1A1A1A"/>
          <w:sz w:val="22"/>
          <w:szCs w:val="22"/>
        </w:rPr>
        <w:t xml:space="preserve">XGBoost. </w:t>
      </w:r>
      <w:r>
        <w:rPr>
          <w:rFonts w:ascii="Calibri" w:cs="Calibri" w:eastAsia="Calibri" w:hAnsi="Calibri"/>
          <w:color w:val="1A1A1A"/>
          <w:sz w:val="22"/>
          <w:szCs w:val="22"/>
        </w:rPr>
        <w:t xml:space="preserve">Gradient boosting sur les mêmes variables, afin de mesurer le gain d’un modèle séquentiel plus expressif par rapport à la forêt aléatoire.</w:t>
      </w:r>
    </w:p>
    <w:p>
      <w:pPr>
        <w:spacing w:after="140" w:line="276"/>
        <w:jc w:val="both"/>
      </w:pPr>
      <w:r>
        <w:rPr>
          <w:rFonts w:ascii="Calibri" w:cs="Calibri" w:eastAsia="Calibri" w:hAnsi="Calibri"/>
          <w:b/>
          <w:bCs/>
          <w:color w:val="1A1A1A"/>
          <w:sz w:val="22"/>
          <w:szCs w:val="22"/>
        </w:rPr>
        <w:t xml:space="preserve">U-Net (CNN). </w:t>
      </w:r>
      <w:r>
        <w:rPr>
          <w:rFonts w:ascii="Calibri" w:cs="Calibri" w:eastAsia="Calibri" w:hAnsi="Calibri"/>
          <w:color w:val="1A1A1A"/>
          <w:sz w:val="22"/>
          <w:szCs w:val="22"/>
        </w:rPr>
        <w:t xml:space="preserve">Segmentation sémantique prenant en entrée des imagettes de bandes spectrales brutes. Contrairement aux modèles pixel, il exploite le contexte spatial et détecte des motifs (lisières, fronts de coupe) que les approches par pixel ignorent.</w:t>
      </w:r>
    </w:p>
    <w:p>
      <w:pPr>
        <w:spacing w:after="140" w:line="276"/>
        <w:jc w:val="both"/>
      </w:pPr>
      <w:r>
        <w:rPr>
          <w:rFonts w:ascii="Calibri" w:cs="Calibri" w:eastAsia="Calibri" w:hAnsi="Calibri"/>
          <w:color w:val="1A1A1A"/>
          <w:sz w:val="22"/>
          <w:szCs w:val="22"/>
        </w:rPr>
        <w:t xml:space="preserve">Les hyperparamètres principaux sont consignés dans le tableau 3.</w:t>
      </w:r>
    </w:p>
    <w:tbl>
      <w:tblPr>
        <w:tblW w:type="dxa" w:w="9000"/>
        <w:tblBorders>
          <w:top w:val="single" w:color="BFD8C4" w:sz="4"/>
          <w:left w:val="single" w:color="BFD8C4" w:sz="4"/>
          <w:bottom w:val="single" w:color="BFD8C4" w:sz="4"/>
          <w:right w:val="single" w:color="BFD8C4" w:sz="4"/>
          <w:insideH w:val="single" w:color="BFD8C4" w:sz="4"/>
          <w:insideV w:val="single" w:color="BFD8C4" w:sz="4"/>
        </w:tblBorders>
      </w:tblPr>
      <w:tblGrid>
        <w:gridCol w:w="2200"/>
        <w:gridCol w:w="6800"/>
      </w:tblGrid>
      <w:tr>
        <w:trPr>
          <w:tblHeader/>
        </w:trPr>
        <w:tc>
          <w:tcPr>
            <w:tcW w:type="dxa" w:w="22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Modèle</w:t>
            </w:r>
          </w:p>
        </w:tc>
        <w:tc>
          <w:tcPr>
            <w:tcW w:type="dxa" w:w="68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Hyperparamètres principaux</w:t>
            </w:r>
          </w:p>
        </w:tc>
      </w:tr>
      <w:tr>
        <w:tc>
          <w:tcPr>
            <w:tcW w:type="dxa" w:w="22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Random Forest</w:t>
            </w:r>
          </w:p>
        </w:tc>
        <w:tc>
          <w:tcPr>
            <w:tcW w:type="dxa" w:w="68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n_estimators = 200 ; max_depth = 15 ; min_samples_split = 5 ; min_samples_leaf = 2</w:t>
            </w:r>
          </w:p>
        </w:tc>
      </w:tr>
      <w:tr>
        <w:tc>
          <w:tcPr>
            <w:tcW w:type="dxa" w:w="22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XGBoost</w:t>
            </w:r>
          </w:p>
        </w:tc>
        <w:tc>
          <w:tcPr>
            <w:tcW w:type="dxa" w:w="68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n_estimators = 200 ; max_depth = 10 ; learning_rate = 0,1 ; subsample = 0,8</w:t>
            </w:r>
          </w:p>
        </w:tc>
      </w:tr>
      <w:tr>
        <w:tc>
          <w:tcPr>
            <w:tcW w:type="dxa" w:w="22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U-Net</w:t>
            </w:r>
          </w:p>
        </w:tc>
        <w:tc>
          <w:tcPr>
            <w:tcW w:type="dxa" w:w="68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entrée 128×128×6 ; 5 classes ; filtres [32,64,128,256] ; batch = 16 ; 50 époques ; lr = 1e-4</w:t>
            </w:r>
          </w:p>
        </w:tc>
      </w:tr>
    </w:tbl>
    <w:p>
      <w:pPr>
        <w:spacing w:after="200" w:before="60"/>
        <w:jc w:val="center"/>
      </w:pPr>
      <w:r>
        <w:rPr>
          <w:rFonts w:ascii="Calibri" w:cs="Calibri" w:eastAsia="Calibri" w:hAnsi="Calibri"/>
          <w:i/>
          <w:iCs/>
          <w:color w:val="555555"/>
          <w:sz w:val="18"/>
          <w:szCs w:val="18"/>
        </w:rPr>
        <w:t xml:space="preserve">Tableau 3 — Hyperparamètres des modèles d’apprentissage.</w:t>
      </w:r>
    </w:p>
    <w:p>
      <w:pPr>
        <w:pStyle w:val="Heading3"/>
        <w:spacing w:after="100" w:before="180"/>
      </w:pPr>
      <w:r>
        <w:rPr>
          <w:rFonts w:ascii="Cambria" w:cs="Cambria" w:eastAsia="Cambria" w:hAnsi="Cambria"/>
          <w:b/>
          <w:bCs/>
          <w:color w:val="0B6E2D"/>
          <w:sz w:val="23"/>
          <w:szCs w:val="23"/>
        </w:rPr>
        <w:t xml:space="preserve">2.3.3. Module prédictif et estimation du carbone</w:t>
      </w:r>
    </w:p>
    <w:p>
      <w:pPr>
        <w:spacing w:after="140" w:line="276"/>
        <w:jc w:val="both"/>
      </w:pPr>
      <w:r>
        <w:rPr>
          <w:rFonts w:ascii="Calibri" w:cs="Calibri" w:eastAsia="Calibri" w:hAnsi="Calibri"/>
          <w:color w:val="1A1A1A"/>
          <w:sz w:val="22"/>
          <w:szCs w:val="22"/>
        </w:rPr>
        <w:t xml:space="preserve">Au-delà de la classification, un modèle de risque estime, pour chaque secteur, une probabilité de déforestation future à partir de facteurs spatiaux (proximité de zones déjà déforestées, pente, indices). La perte forestière est ensuite convertie en émissions de CO₂ selon la relation :</w:t>
      </w:r>
    </w:p>
    <w:p>
      <w:pPr>
        <w:spacing w:after="140" w:line="276"/>
        <w:jc w:val="center"/>
      </w:pPr>
      <w:r>
        <w:rPr>
          <w:rFonts w:ascii="Calibri" w:cs="Calibri" w:eastAsia="Calibri" w:hAnsi="Calibri"/>
          <w:b/>
          <w:bCs/>
          <w:i/>
          <w:iCs/>
          <w:color w:val="1A1A1A"/>
          <w:sz w:val="22"/>
          <w:szCs w:val="22"/>
        </w:rPr>
        <w:t xml:space="preserve">CO₂ (t/ha) = AGB × fraction de carbone × 44/12</w:t>
      </w:r>
    </w:p>
    <w:p>
      <w:pPr>
        <w:spacing w:after="140" w:line="276"/>
        <w:jc w:val="both"/>
      </w:pPr>
      <w:r>
        <w:rPr>
          <w:rFonts w:ascii="Calibri" w:cs="Calibri" w:eastAsia="Calibri" w:hAnsi="Calibri"/>
          <w:color w:val="1A1A1A"/>
          <w:sz w:val="22"/>
          <w:szCs w:val="22"/>
        </w:rPr>
        <w:t xml:space="preserve">avec une biomasse aérienne (AGB) de 310 t/ha (valeur médiane pour la forêt dense du Bassin du Congo), une fraction de carbone de 0,47 (GIEC) et un facteur de conversion carbone → CO₂ de 3,67, soit environ 534 tonnes de CO₂ par hectare de forêt dense détruite.</w:t>
      </w:r>
    </w:p>
    <w:p>
      <w:pPr>
        <w:pStyle w:val="Heading2"/>
        <w:spacing w:after="120" w:before="240"/>
      </w:pPr>
      <w:r>
        <w:rPr>
          <w:rFonts w:ascii="Cambria" w:cs="Cambria" w:eastAsia="Cambria" w:hAnsi="Cambria"/>
          <w:b/>
          <w:bCs/>
          <w:color w:val="1A1A1A"/>
          <w:sz w:val="26"/>
          <w:szCs w:val="26"/>
        </w:rPr>
        <w:t xml:space="preserve">2.4. Méthodes de travail et outils</w:t>
      </w:r>
    </w:p>
    <w:p>
      <w:pPr>
        <w:spacing w:after="140" w:line="276"/>
        <w:jc w:val="both"/>
      </w:pPr>
      <w:r>
        <w:rPr>
          <w:rFonts w:ascii="Calibri" w:cs="Calibri" w:eastAsia="Calibri" w:hAnsi="Calibri"/>
          <w:color w:val="1A1A1A"/>
          <w:sz w:val="22"/>
          <w:szCs w:val="22"/>
        </w:rPr>
        <w:t xml:space="preserve">Le développement suit une méthodologie itérative et outillée : gestion de versions avec Git/GitHub, intégration continue (tests automatisés via pytest et GitHub Actions), et conteneurisation Docker pour la reproductibilité. Le tableau ci-dessous synthétise la pile technique.</w:t>
      </w:r>
    </w:p>
    <w:tbl>
      <w:tblPr>
        <w:tblW w:type="dxa" w:w="9000"/>
        <w:tblBorders>
          <w:top w:val="single" w:color="BFD8C4" w:sz="4"/>
          <w:left w:val="single" w:color="BFD8C4" w:sz="4"/>
          <w:bottom w:val="single" w:color="BFD8C4" w:sz="4"/>
          <w:right w:val="single" w:color="BFD8C4" w:sz="4"/>
          <w:insideH w:val="single" w:color="BFD8C4" w:sz="4"/>
          <w:insideV w:val="single" w:color="BFD8C4" w:sz="4"/>
        </w:tblBorders>
      </w:tblPr>
      <w:tblGrid>
        <w:gridCol w:w="3000"/>
        <w:gridCol w:w="6000"/>
      </w:tblGrid>
      <w:tr>
        <w:trPr>
          <w:tblHeader/>
        </w:trPr>
        <w:tc>
          <w:tcPr>
            <w:tcW w:type="dxa" w:w="30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Domaine</w:t>
            </w:r>
          </w:p>
        </w:tc>
        <w:tc>
          <w:tcPr>
            <w:tcW w:type="dxa" w:w="60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Technologies</w:t>
            </w:r>
          </w:p>
        </w:tc>
      </w:tr>
      <w:tr>
        <w:tc>
          <w:tcPr>
            <w:tcW w:type="dxa" w:w="3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Langage</w:t>
            </w:r>
          </w:p>
        </w:tc>
        <w:tc>
          <w:tcPr>
            <w:tcW w:type="dxa" w:w="6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Python 3.11</w:t>
            </w:r>
          </w:p>
        </w:tc>
      </w:tr>
      <w:tr>
        <w:tc>
          <w:tcPr>
            <w:tcW w:type="dxa" w:w="3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Collecte satellite</w:t>
            </w:r>
          </w:p>
        </w:tc>
        <w:tc>
          <w:tcPr>
            <w:tcW w:type="dxa" w:w="6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Google Earth Engine (earthengine-api)</w:t>
            </w:r>
          </w:p>
        </w:tc>
      </w:tr>
      <w:tr>
        <w:tc>
          <w:tcPr>
            <w:tcW w:type="dxa" w:w="3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Prétraitement</w:t>
            </w:r>
          </w:p>
        </w:tc>
        <w:tc>
          <w:tcPr>
            <w:tcW w:type="dxa" w:w="6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Rasterio, GDAL, NumPy, PySpark</w:t>
            </w:r>
          </w:p>
        </w:tc>
      </w:tr>
      <w:tr>
        <w:tc>
          <w:tcPr>
            <w:tcW w:type="dxa" w:w="3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ML classique</w:t>
            </w:r>
          </w:p>
        </w:tc>
        <w:tc>
          <w:tcPr>
            <w:tcW w:type="dxa" w:w="6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Scikit-learn (Random Forest, XGBoost)</w:t>
            </w:r>
          </w:p>
        </w:tc>
      </w:tr>
      <w:tr>
        <w:tc>
          <w:tcPr>
            <w:tcW w:type="dxa" w:w="3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Deep learning</w:t>
            </w:r>
          </w:p>
        </w:tc>
        <w:tc>
          <w:tcPr>
            <w:tcW w:type="dxa" w:w="6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TensorFlow / Keras (U-Net)</w:t>
            </w:r>
          </w:p>
        </w:tc>
      </w:tr>
      <w:tr>
        <w:tc>
          <w:tcPr>
            <w:tcW w:type="dxa" w:w="3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Visualisation</w:t>
            </w:r>
          </w:p>
        </w:tc>
        <w:tc>
          <w:tcPr>
            <w:tcW w:type="dxa" w:w="6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Streamlit, Plotly, Matplotlib, Folium</w:t>
            </w:r>
          </w:p>
        </w:tc>
      </w:tr>
      <w:tr>
        <w:tc>
          <w:tcPr>
            <w:tcW w:type="dxa" w:w="3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Backend / API</w:t>
            </w:r>
          </w:p>
        </w:tc>
        <w:tc>
          <w:tcPr>
            <w:tcW w:type="dxa" w:w="6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FastAPI, Pydantic</w:t>
            </w:r>
          </w:p>
        </w:tc>
      </w:tr>
      <w:tr>
        <w:tc>
          <w:tcPr>
            <w:tcW w:type="dxa" w:w="3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Base de données</w:t>
            </w:r>
          </w:p>
        </w:tc>
        <w:tc>
          <w:tcPr>
            <w:tcW w:type="dxa" w:w="6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PostgreSQL / Supabase (repli SQLite)</w:t>
            </w:r>
          </w:p>
        </w:tc>
      </w:tr>
      <w:tr>
        <w:tc>
          <w:tcPr>
            <w:tcW w:type="dxa" w:w="3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Authentification</w:t>
            </w:r>
          </w:p>
        </w:tc>
        <w:tc>
          <w:tcPr>
            <w:tcW w:type="dxa" w:w="6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JWT + double facteur (PyOTP)</w:t>
            </w:r>
          </w:p>
        </w:tc>
      </w:tr>
      <w:tr>
        <w:tc>
          <w:tcPr>
            <w:tcW w:type="dxa" w:w="3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Frontend</w:t>
            </w:r>
          </w:p>
        </w:tc>
        <w:tc>
          <w:tcPr>
            <w:tcW w:type="dxa" w:w="60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React, Vite, Tailwind CSS</w:t>
            </w:r>
          </w:p>
        </w:tc>
      </w:tr>
      <w:tr>
        <w:tc>
          <w:tcPr>
            <w:tcW w:type="dxa" w:w="3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Qualité / déploiement</w:t>
            </w:r>
          </w:p>
        </w:tc>
        <w:tc>
          <w:tcPr>
            <w:tcW w:type="dxa" w:w="60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pytest, GitHub Actions, Docker</w:t>
            </w:r>
          </w:p>
        </w:tc>
      </w:tr>
    </w:tbl>
    <w:p>
      <w:pPr>
        <w:spacing w:after="200" w:before="60"/>
        <w:jc w:val="center"/>
      </w:pPr>
      <w:r>
        <w:rPr>
          <w:rFonts w:ascii="Calibri" w:cs="Calibri" w:eastAsia="Calibri" w:hAnsi="Calibri"/>
          <w:i/>
          <w:iCs/>
          <w:color w:val="555555"/>
          <w:sz w:val="18"/>
          <w:szCs w:val="18"/>
        </w:rPr>
        <w:t xml:space="preserve">Pile technique de la plateforme.</w:t>
      </w:r>
    </w:p>
    <w:p>
      <w:pPr>
        <w:pStyle w:val="Heading2"/>
        <w:spacing w:after="120" w:before="240"/>
      </w:pPr>
      <w:r>
        <w:rPr>
          <w:rFonts w:ascii="Cambria" w:cs="Cambria" w:eastAsia="Cambria" w:hAnsi="Cambria"/>
          <w:b/>
          <w:bCs/>
          <w:color w:val="1A1A1A"/>
          <w:sz w:val="26"/>
          <w:szCs w:val="26"/>
        </w:rPr>
        <w:t xml:space="preserve">2.5. Développement et réalisation</w:t>
      </w:r>
    </w:p>
    <w:p>
      <w:pPr>
        <w:spacing w:after="140" w:line="276"/>
        <w:jc w:val="both"/>
      </w:pPr>
      <w:r>
        <w:rPr>
          <w:rFonts w:ascii="Calibri" w:cs="Calibri" w:eastAsia="Calibri" w:hAnsi="Calibri"/>
          <w:b/>
          <w:bCs/>
          <w:color w:val="1A1A1A"/>
          <w:sz w:val="22"/>
          <w:szCs w:val="22"/>
        </w:rPr>
        <w:t xml:space="preserve">Architecture logicielle. </w:t>
      </w:r>
      <w:r>
        <w:rPr>
          <w:rFonts w:ascii="Calibri" w:cs="Calibri" w:eastAsia="Calibri" w:hAnsi="Calibri"/>
          <w:color w:val="1A1A1A"/>
          <w:sz w:val="22"/>
          <w:szCs w:val="22"/>
        </w:rPr>
        <w:t xml:space="preserve">La plateforme est organisée en couches : (i) collecte, (ii) prétraitement, (iii) modélisation, (iv) déploiement. Le code métier réside dans un paquet src/ (data, preprocessing, models, visualization, api), la configuration est centralisée, et trois interfaces exposent les résultats : une API REST FastAPI, un tableau de bord Streamlit (authentification à double facteur, cartes 2D/3D, alertes, administration) et une interface web React.</w:t>
      </w:r>
    </w:p>
    <w:p>
      <w:pPr>
        <w:spacing w:after="140" w:line="276"/>
        <w:jc w:val="both"/>
      </w:pPr>
      <w:r>
        <w:rPr>
          <w:rFonts w:ascii="Calibri" w:cs="Calibri" w:eastAsia="Calibri" w:hAnsi="Calibri"/>
          <w:b/>
          <w:bCs/>
          <w:color w:val="1A1A1A"/>
          <w:sz w:val="22"/>
          <w:szCs w:val="22"/>
        </w:rPr>
        <w:t xml:space="preserve">Fonctionnalités mises en œuvre. </w:t>
      </w:r>
      <w:r>
        <w:rPr>
          <w:rFonts w:ascii="Calibri" w:cs="Calibri" w:eastAsia="Calibri" w:hAnsi="Calibri"/>
          <w:color w:val="1A1A1A"/>
          <w:sz w:val="22"/>
          <w:szCs w:val="22"/>
        </w:rPr>
        <w:t xml:space="preserve">Outre la classification et la prédiction, la plateforme intègre : une visualisation temporelle « Time Machine » de la déforestation année par année, des cartes interactives, un système d’alertes géolocalisées avec notification par courriel, un module de signalement citoyen, et l’estimation des émissions de CO₂. L’ensemble persiste dans une base de données (utilisateurs, résultats d’analyse, prédictions, signalements, journal d’API, registre des modèles).</w:t>
      </w:r>
    </w:p>
    <w:p>
      <w:pPr>
        <w:spacing w:after="140" w:line="276"/>
        <w:jc w:val="both"/>
      </w:pPr>
      <w:r>
        <w:rPr>
          <w:rFonts w:ascii="Calibri" w:cs="Calibri" w:eastAsia="Calibri" w:hAnsi="Calibri"/>
          <w:b/>
          <w:bCs/>
          <w:color w:val="1A1A1A"/>
          <w:sz w:val="22"/>
          <w:szCs w:val="22"/>
        </w:rPr>
        <w:t xml:space="preserve">Validation de la chaîne. </w:t>
      </w:r>
      <w:r>
        <w:rPr>
          <w:rFonts w:ascii="Calibri" w:cs="Calibri" w:eastAsia="Calibri" w:hAnsi="Calibri"/>
          <w:color w:val="1A1A1A"/>
          <w:sz w:val="22"/>
          <w:szCs w:val="22"/>
        </w:rPr>
        <w:t xml:space="preserve">La chaîne complète a été validée de bout en bout en mode démonstration, garantissant que chaque étape — de la génération des données à la restitution — fonctionne, puis rendue compatible avec de vraies images sans modification du code.</w:t>
      </w:r>
    </w:p>
    <w:p>
      <w:r>
        <w:br w:type="page"/>
      </w:r>
    </w:p>
    <w:p>
      <w:pPr>
        <w:pStyle w:val="Heading1"/>
        <w:spacing w:after="180" w:before="320"/>
      </w:pPr>
      <w:r>
        <w:rPr>
          <w:rFonts w:ascii="Cambria" w:cs="Cambria" w:eastAsia="Cambria" w:hAnsi="Cambria"/>
          <w:b/>
          <w:bCs/>
          <w:color w:val="0B6E2D"/>
          <w:sz w:val="30"/>
          <w:szCs w:val="30"/>
        </w:rPr>
        <w:t xml:space="preserve">Chapitre III — Résultats, discussion et conclusion</w:t>
      </w:r>
    </w:p>
    <w:p>
      <w:pPr>
        <w:pStyle w:val="Heading2"/>
        <w:spacing w:after="120" w:before="240"/>
      </w:pPr>
      <w:r>
        <w:rPr>
          <w:rFonts w:ascii="Cambria" w:cs="Cambria" w:eastAsia="Cambria" w:hAnsi="Cambria"/>
          <w:b/>
          <w:bCs/>
          <w:color w:val="1A1A1A"/>
          <w:sz w:val="26"/>
          <w:szCs w:val="26"/>
        </w:rPr>
        <w:t xml:space="preserve">3.1. Présentation des résultats</w:t>
      </w:r>
    </w:p>
    <w:p>
      <w:pPr>
        <w:spacing w:after="140" w:line="276"/>
        <w:jc w:val="both"/>
      </w:pPr>
      <w:r>
        <w:rPr>
          <w:rFonts w:ascii="Calibri" w:cs="Calibri" w:eastAsia="Calibri" w:hAnsi="Calibri"/>
          <w:b/>
          <w:bCs/>
          <w:color w:val="1A1A1A"/>
          <w:sz w:val="22"/>
          <w:szCs w:val="22"/>
        </w:rPr>
        <w:t xml:space="preserve">Protocole d’évaluation. </w:t>
      </w:r>
      <w:r>
        <w:rPr>
          <w:rFonts w:ascii="Calibri" w:cs="Calibri" w:eastAsia="Calibri" w:hAnsi="Calibri"/>
          <w:color w:val="1A1A1A"/>
          <w:sz w:val="22"/>
          <w:szCs w:val="22"/>
        </w:rPr>
        <w:t xml:space="preserve">Les modèles sont comparés selon l’Accuracy, la Precision (macro), le Recall (macro), le F1-score (macro), l’AUC-ROC et l’IoU moyen, calculés sur un jeu de test distinct par validation croisée. Le module d’évaluation agrège ces mesures et sélectionne automatiquement le meilleur modèle au sens du F1-score.</w:t>
      </w:r>
    </w:p>
    <w:p>
      <w:pPr>
        <w:spacing w:after="140" w:line="276"/>
        <w:jc w:val="both"/>
      </w:pPr>
      <w:r>
        <w:rPr>
          <w:rFonts w:ascii="Calibri" w:cs="Calibri" w:eastAsia="Calibri" w:hAnsi="Calibri"/>
          <w:b/>
          <w:bCs/>
          <w:color w:val="B03A2E"/>
          <w:sz w:val="22"/>
          <w:szCs w:val="22"/>
        </w:rPr>
        <w:t xml:space="preserve">Note méthodologique. </w:t>
      </w:r>
      <w:r>
        <w:rPr>
          <w:rFonts w:ascii="Calibri" w:cs="Calibri" w:eastAsia="Calibri" w:hAnsi="Calibri"/>
          <w:i/>
          <w:iCs/>
          <w:color w:val="B03A2E"/>
          <w:sz w:val="22"/>
          <w:szCs w:val="22"/>
        </w:rPr>
        <w:t xml:space="preserve">Les valeurs du tableau 4 sont issues de la validation de bout en bout de la chaîne sur le jeu de démonstration. Elles illustrent le comportement relatif des modèles et le fonctionnement du protocole ; elles doivent être confirmées sur imagerie réelle avant tout usage opérationnel (voir §3.4).</w:t>
      </w:r>
    </w:p>
    <w:tbl>
      <w:tblPr>
        <w:tblW w:type="dxa" w:w="9000"/>
        <w:tblBorders>
          <w:top w:val="single" w:color="BFD8C4" w:sz="4"/>
          <w:left w:val="single" w:color="BFD8C4" w:sz="4"/>
          <w:bottom w:val="single" w:color="BFD8C4" w:sz="4"/>
          <w:right w:val="single" w:color="BFD8C4" w:sz="4"/>
          <w:insideH w:val="single" w:color="BFD8C4" w:sz="4"/>
          <w:insideV w:val="single" w:color="BFD8C4" w:sz="4"/>
        </w:tblBorders>
      </w:tblPr>
      <w:tblGrid>
        <w:gridCol w:w="2600"/>
        <w:gridCol w:w="1280"/>
        <w:gridCol w:w="1280"/>
        <w:gridCol w:w="1280"/>
        <w:gridCol w:w="1280"/>
        <w:gridCol w:w="1280"/>
      </w:tblGrid>
      <w:tr>
        <w:trPr>
          <w:tblHeader/>
        </w:trPr>
        <w:tc>
          <w:tcPr>
            <w:tcW w:type="dxa" w:w="26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Modèle</w:t>
            </w:r>
          </w:p>
        </w:tc>
        <w:tc>
          <w:tcPr>
            <w:tcW w:type="dxa" w:w="1280"/>
            <w:shd w:fill="0B6E2D" w:color="auto" w:val="clear"/>
            <w:tcMar>
              <w:top w:type="dxa" w:w="60"/>
              <w:left w:type="dxa" w:w="90"/>
              <w:bottom w:type="dxa" w:w="60"/>
              <w:right w:type="dxa" w:w="90"/>
            </w:tcMar>
          </w:tcPr>
          <w:p>
            <w:pPr>
              <w:spacing w:after="0" w:line="252"/>
              <w:jc w:val="center"/>
            </w:pPr>
            <w:r>
              <w:rPr>
                <w:rFonts w:ascii="Calibri" w:cs="Calibri" w:eastAsia="Calibri" w:hAnsi="Calibri"/>
                <w:b/>
                <w:bCs/>
                <w:color w:val="FFFFFF"/>
                <w:sz w:val="19"/>
                <w:szCs w:val="19"/>
              </w:rPr>
              <w:t xml:space="preserve">Accuracy</w:t>
            </w:r>
          </w:p>
        </w:tc>
        <w:tc>
          <w:tcPr>
            <w:tcW w:type="dxa" w:w="1280"/>
            <w:shd w:fill="0B6E2D" w:color="auto" w:val="clear"/>
            <w:tcMar>
              <w:top w:type="dxa" w:w="60"/>
              <w:left w:type="dxa" w:w="90"/>
              <w:bottom w:type="dxa" w:w="60"/>
              <w:right w:type="dxa" w:w="90"/>
            </w:tcMar>
          </w:tcPr>
          <w:p>
            <w:pPr>
              <w:spacing w:after="0" w:line="252"/>
              <w:jc w:val="center"/>
            </w:pPr>
            <w:r>
              <w:rPr>
                <w:rFonts w:ascii="Calibri" w:cs="Calibri" w:eastAsia="Calibri" w:hAnsi="Calibri"/>
                <w:b/>
                <w:bCs/>
                <w:color w:val="FFFFFF"/>
                <w:sz w:val="19"/>
                <w:szCs w:val="19"/>
              </w:rPr>
              <w:t xml:space="preserve">Precision</w:t>
            </w:r>
          </w:p>
        </w:tc>
        <w:tc>
          <w:tcPr>
            <w:tcW w:type="dxa" w:w="1280"/>
            <w:shd w:fill="0B6E2D" w:color="auto" w:val="clear"/>
            <w:tcMar>
              <w:top w:type="dxa" w:w="60"/>
              <w:left w:type="dxa" w:w="90"/>
              <w:bottom w:type="dxa" w:w="60"/>
              <w:right w:type="dxa" w:w="90"/>
            </w:tcMar>
          </w:tcPr>
          <w:p>
            <w:pPr>
              <w:spacing w:after="0" w:line="252"/>
              <w:jc w:val="center"/>
            </w:pPr>
            <w:r>
              <w:rPr>
                <w:rFonts w:ascii="Calibri" w:cs="Calibri" w:eastAsia="Calibri" w:hAnsi="Calibri"/>
                <w:b/>
                <w:bCs/>
                <w:color w:val="FFFFFF"/>
                <w:sz w:val="19"/>
                <w:szCs w:val="19"/>
              </w:rPr>
              <w:t xml:space="preserve">Recall</w:t>
            </w:r>
          </w:p>
        </w:tc>
        <w:tc>
          <w:tcPr>
            <w:tcW w:type="dxa" w:w="1280"/>
            <w:shd w:fill="0B6E2D" w:color="auto" w:val="clear"/>
            <w:tcMar>
              <w:top w:type="dxa" w:w="60"/>
              <w:left w:type="dxa" w:w="90"/>
              <w:bottom w:type="dxa" w:w="60"/>
              <w:right w:type="dxa" w:w="90"/>
            </w:tcMar>
          </w:tcPr>
          <w:p>
            <w:pPr>
              <w:spacing w:after="0" w:line="252"/>
              <w:jc w:val="center"/>
            </w:pPr>
            <w:r>
              <w:rPr>
                <w:rFonts w:ascii="Calibri" w:cs="Calibri" w:eastAsia="Calibri" w:hAnsi="Calibri"/>
                <w:b/>
                <w:bCs/>
                <w:color w:val="FFFFFF"/>
                <w:sz w:val="19"/>
                <w:szCs w:val="19"/>
              </w:rPr>
              <w:t xml:space="preserve">F1-macro</w:t>
            </w:r>
          </w:p>
        </w:tc>
        <w:tc>
          <w:tcPr>
            <w:tcW w:type="dxa" w:w="1280"/>
            <w:shd w:fill="0B6E2D" w:color="auto" w:val="clear"/>
            <w:tcMar>
              <w:top w:type="dxa" w:w="60"/>
              <w:left w:type="dxa" w:w="90"/>
              <w:bottom w:type="dxa" w:w="60"/>
              <w:right w:type="dxa" w:w="90"/>
            </w:tcMar>
          </w:tcPr>
          <w:p>
            <w:pPr>
              <w:spacing w:after="0" w:line="252"/>
              <w:jc w:val="center"/>
            </w:pPr>
            <w:r>
              <w:rPr>
                <w:rFonts w:ascii="Calibri" w:cs="Calibri" w:eastAsia="Calibri" w:hAnsi="Calibri"/>
                <w:b/>
                <w:bCs/>
                <w:color w:val="FFFFFF"/>
                <w:sz w:val="19"/>
                <w:szCs w:val="19"/>
              </w:rPr>
              <w:t xml:space="preserve">Mean IoU</w:t>
            </w:r>
          </w:p>
        </w:tc>
      </w:tr>
      <w:tr>
        <w:tc>
          <w:tcPr>
            <w:tcW w:type="dxa" w:w="2600"/>
            <w:tcMar>
              <w:top w:type="dxa" w:w="60"/>
              <w:left w:type="dxa" w:w="90"/>
              <w:bottom w:type="dxa" w:w="60"/>
              <w:right w:type="dxa" w:w="90"/>
            </w:tcMar>
          </w:tcPr>
          <w:p>
            <w:pPr>
              <w:spacing w:after="0" w:line="252"/>
              <w:jc w:val="left"/>
            </w:pPr>
            <w:r>
              <w:rPr>
                <w:rFonts w:ascii="Calibri" w:cs="Calibri" w:eastAsia="Calibri" w:hAnsi="Calibri"/>
                <w:b/>
                <w:bCs/>
                <w:color w:val="1A1A1A"/>
                <w:sz w:val="19"/>
                <w:szCs w:val="19"/>
              </w:rPr>
              <w:t xml:space="preserve">Random Forest</w:t>
            </w:r>
          </w:p>
        </w:tc>
        <w:tc>
          <w:tcPr>
            <w:tcW w:type="dxa" w:w="1280"/>
            <w:tcMar>
              <w:top w:type="dxa" w:w="60"/>
              <w:left w:type="dxa" w:w="90"/>
              <w:bottom w:type="dxa" w:w="60"/>
              <w:right w:type="dxa" w:w="90"/>
            </w:tcMar>
          </w:tcPr>
          <w:p>
            <w:pPr>
              <w:spacing w:after="0" w:line="252"/>
              <w:jc w:val="center"/>
            </w:pPr>
            <w:r>
              <w:rPr>
                <w:rFonts w:ascii="Calibri" w:cs="Calibri" w:eastAsia="Calibri" w:hAnsi="Calibri"/>
                <w:color w:val="1A1A1A"/>
                <w:sz w:val="19"/>
                <w:szCs w:val="19"/>
              </w:rPr>
              <w:t xml:space="preserve">0,91</w:t>
            </w:r>
          </w:p>
        </w:tc>
        <w:tc>
          <w:tcPr>
            <w:tcW w:type="dxa" w:w="1280"/>
            <w:tcMar>
              <w:top w:type="dxa" w:w="60"/>
              <w:left w:type="dxa" w:w="90"/>
              <w:bottom w:type="dxa" w:w="60"/>
              <w:right w:type="dxa" w:w="90"/>
            </w:tcMar>
          </w:tcPr>
          <w:p>
            <w:pPr>
              <w:spacing w:after="0" w:line="252"/>
              <w:jc w:val="center"/>
            </w:pPr>
            <w:r>
              <w:rPr>
                <w:rFonts w:ascii="Calibri" w:cs="Calibri" w:eastAsia="Calibri" w:hAnsi="Calibri"/>
                <w:color w:val="1A1A1A"/>
                <w:sz w:val="19"/>
                <w:szCs w:val="19"/>
              </w:rPr>
              <w:t xml:space="preserve">0,89</w:t>
            </w:r>
          </w:p>
        </w:tc>
        <w:tc>
          <w:tcPr>
            <w:tcW w:type="dxa" w:w="1280"/>
            <w:tcMar>
              <w:top w:type="dxa" w:w="60"/>
              <w:left w:type="dxa" w:w="90"/>
              <w:bottom w:type="dxa" w:w="60"/>
              <w:right w:type="dxa" w:w="90"/>
            </w:tcMar>
          </w:tcPr>
          <w:p>
            <w:pPr>
              <w:spacing w:after="0" w:line="252"/>
              <w:jc w:val="center"/>
            </w:pPr>
            <w:r>
              <w:rPr>
                <w:rFonts w:ascii="Calibri" w:cs="Calibri" w:eastAsia="Calibri" w:hAnsi="Calibri"/>
                <w:color w:val="1A1A1A"/>
                <w:sz w:val="19"/>
                <w:szCs w:val="19"/>
              </w:rPr>
              <w:t xml:space="preserve">0,88</w:t>
            </w:r>
          </w:p>
        </w:tc>
        <w:tc>
          <w:tcPr>
            <w:tcW w:type="dxa" w:w="1280"/>
            <w:tcMar>
              <w:top w:type="dxa" w:w="60"/>
              <w:left w:type="dxa" w:w="90"/>
              <w:bottom w:type="dxa" w:w="60"/>
              <w:right w:type="dxa" w:w="90"/>
            </w:tcMar>
          </w:tcPr>
          <w:p>
            <w:pPr>
              <w:spacing w:after="0" w:line="252"/>
              <w:jc w:val="center"/>
            </w:pPr>
            <w:r>
              <w:rPr>
                <w:rFonts w:ascii="Calibri" w:cs="Calibri" w:eastAsia="Calibri" w:hAnsi="Calibri"/>
                <w:color w:val="1A1A1A"/>
                <w:sz w:val="19"/>
                <w:szCs w:val="19"/>
              </w:rPr>
              <w:t xml:space="preserve">0,88</w:t>
            </w:r>
          </w:p>
        </w:tc>
        <w:tc>
          <w:tcPr>
            <w:tcW w:type="dxa" w:w="1280"/>
            <w:tcMar>
              <w:top w:type="dxa" w:w="60"/>
              <w:left w:type="dxa" w:w="90"/>
              <w:bottom w:type="dxa" w:w="60"/>
              <w:right w:type="dxa" w:w="90"/>
            </w:tcMar>
          </w:tcPr>
          <w:p>
            <w:pPr>
              <w:spacing w:after="0" w:line="252"/>
              <w:jc w:val="center"/>
            </w:pPr>
            <w:r>
              <w:rPr>
                <w:rFonts w:ascii="Calibri" w:cs="Calibri" w:eastAsia="Calibri" w:hAnsi="Calibri"/>
                <w:color w:val="1A1A1A"/>
                <w:sz w:val="19"/>
                <w:szCs w:val="19"/>
              </w:rPr>
              <w:t xml:space="preserve">0,80</w:t>
            </w:r>
          </w:p>
        </w:tc>
      </w:tr>
      <w:tr>
        <w:tc>
          <w:tcPr>
            <w:tcW w:type="dxa" w:w="2600"/>
            <w:shd w:fill="EAF3EC" w:color="auto" w:val="clear"/>
            <w:tcMar>
              <w:top w:type="dxa" w:w="60"/>
              <w:left w:type="dxa" w:w="90"/>
              <w:bottom w:type="dxa" w:w="60"/>
              <w:right w:type="dxa" w:w="90"/>
            </w:tcMar>
          </w:tcPr>
          <w:p>
            <w:pPr>
              <w:spacing w:after="0" w:line="252"/>
              <w:jc w:val="left"/>
            </w:pPr>
            <w:r>
              <w:rPr>
                <w:rFonts w:ascii="Calibri" w:cs="Calibri" w:eastAsia="Calibri" w:hAnsi="Calibri"/>
                <w:b/>
                <w:bCs/>
                <w:color w:val="1A1A1A"/>
                <w:sz w:val="19"/>
                <w:szCs w:val="19"/>
              </w:rPr>
              <w:t xml:space="preserve">XGBoost</w:t>
            </w:r>
          </w:p>
        </w:tc>
        <w:tc>
          <w:tcPr>
            <w:tcW w:type="dxa" w:w="1280"/>
            <w:shd w:fill="EAF3EC" w:color="auto" w:val="clear"/>
            <w:tcMar>
              <w:top w:type="dxa" w:w="60"/>
              <w:left w:type="dxa" w:w="90"/>
              <w:bottom w:type="dxa" w:w="60"/>
              <w:right w:type="dxa" w:w="90"/>
            </w:tcMar>
          </w:tcPr>
          <w:p>
            <w:pPr>
              <w:spacing w:after="0" w:line="252"/>
              <w:jc w:val="center"/>
            </w:pPr>
            <w:r>
              <w:rPr>
                <w:rFonts w:ascii="Calibri" w:cs="Calibri" w:eastAsia="Calibri" w:hAnsi="Calibri"/>
                <w:color w:val="1A1A1A"/>
                <w:sz w:val="19"/>
                <w:szCs w:val="19"/>
              </w:rPr>
              <w:t xml:space="preserve">0,92</w:t>
            </w:r>
          </w:p>
        </w:tc>
        <w:tc>
          <w:tcPr>
            <w:tcW w:type="dxa" w:w="1280"/>
            <w:shd w:fill="EAF3EC" w:color="auto" w:val="clear"/>
            <w:tcMar>
              <w:top w:type="dxa" w:w="60"/>
              <w:left w:type="dxa" w:w="90"/>
              <w:bottom w:type="dxa" w:w="60"/>
              <w:right w:type="dxa" w:w="90"/>
            </w:tcMar>
          </w:tcPr>
          <w:p>
            <w:pPr>
              <w:spacing w:after="0" w:line="252"/>
              <w:jc w:val="center"/>
            </w:pPr>
            <w:r>
              <w:rPr>
                <w:rFonts w:ascii="Calibri" w:cs="Calibri" w:eastAsia="Calibri" w:hAnsi="Calibri"/>
                <w:color w:val="1A1A1A"/>
                <w:sz w:val="19"/>
                <w:szCs w:val="19"/>
              </w:rPr>
              <w:t xml:space="preserve">0,90</w:t>
            </w:r>
          </w:p>
        </w:tc>
        <w:tc>
          <w:tcPr>
            <w:tcW w:type="dxa" w:w="1280"/>
            <w:shd w:fill="EAF3EC" w:color="auto" w:val="clear"/>
            <w:tcMar>
              <w:top w:type="dxa" w:w="60"/>
              <w:left w:type="dxa" w:w="90"/>
              <w:bottom w:type="dxa" w:w="60"/>
              <w:right w:type="dxa" w:w="90"/>
            </w:tcMar>
          </w:tcPr>
          <w:p>
            <w:pPr>
              <w:spacing w:after="0" w:line="252"/>
              <w:jc w:val="center"/>
            </w:pPr>
            <w:r>
              <w:rPr>
                <w:rFonts w:ascii="Calibri" w:cs="Calibri" w:eastAsia="Calibri" w:hAnsi="Calibri"/>
                <w:color w:val="1A1A1A"/>
                <w:sz w:val="19"/>
                <w:szCs w:val="19"/>
              </w:rPr>
              <w:t xml:space="preserve">0,89</w:t>
            </w:r>
          </w:p>
        </w:tc>
        <w:tc>
          <w:tcPr>
            <w:tcW w:type="dxa" w:w="1280"/>
            <w:shd w:fill="EAF3EC" w:color="auto" w:val="clear"/>
            <w:tcMar>
              <w:top w:type="dxa" w:w="60"/>
              <w:left w:type="dxa" w:w="90"/>
              <w:bottom w:type="dxa" w:w="60"/>
              <w:right w:type="dxa" w:w="90"/>
            </w:tcMar>
          </w:tcPr>
          <w:p>
            <w:pPr>
              <w:spacing w:after="0" w:line="252"/>
              <w:jc w:val="center"/>
            </w:pPr>
            <w:r>
              <w:rPr>
                <w:rFonts w:ascii="Calibri" w:cs="Calibri" w:eastAsia="Calibri" w:hAnsi="Calibri"/>
                <w:color w:val="1A1A1A"/>
                <w:sz w:val="19"/>
                <w:szCs w:val="19"/>
              </w:rPr>
              <w:t xml:space="preserve">0,90</w:t>
            </w:r>
          </w:p>
        </w:tc>
        <w:tc>
          <w:tcPr>
            <w:tcW w:type="dxa" w:w="1280"/>
            <w:shd w:fill="EAF3EC" w:color="auto" w:val="clear"/>
            <w:tcMar>
              <w:top w:type="dxa" w:w="60"/>
              <w:left w:type="dxa" w:w="90"/>
              <w:bottom w:type="dxa" w:w="60"/>
              <w:right w:type="dxa" w:w="90"/>
            </w:tcMar>
          </w:tcPr>
          <w:p>
            <w:pPr>
              <w:spacing w:after="0" w:line="252"/>
              <w:jc w:val="center"/>
            </w:pPr>
            <w:r>
              <w:rPr>
                <w:rFonts w:ascii="Calibri" w:cs="Calibri" w:eastAsia="Calibri" w:hAnsi="Calibri"/>
                <w:color w:val="1A1A1A"/>
                <w:sz w:val="19"/>
                <w:szCs w:val="19"/>
              </w:rPr>
              <w:t xml:space="preserve">0,82</w:t>
            </w:r>
          </w:p>
        </w:tc>
      </w:tr>
      <w:tr>
        <w:tc>
          <w:tcPr>
            <w:tcW w:type="dxa" w:w="2600"/>
            <w:tcMar>
              <w:top w:type="dxa" w:w="60"/>
              <w:left w:type="dxa" w:w="90"/>
              <w:bottom w:type="dxa" w:w="60"/>
              <w:right w:type="dxa" w:w="90"/>
            </w:tcMar>
          </w:tcPr>
          <w:p>
            <w:pPr>
              <w:spacing w:after="0" w:line="252"/>
              <w:jc w:val="left"/>
            </w:pPr>
            <w:r>
              <w:rPr>
                <w:rFonts w:ascii="Calibri" w:cs="Calibri" w:eastAsia="Calibri" w:hAnsi="Calibri"/>
                <w:b/>
                <w:bCs/>
                <w:color w:val="1A1A1A"/>
                <w:sz w:val="19"/>
                <w:szCs w:val="19"/>
              </w:rPr>
              <w:t xml:space="preserve">U-Net (CNN)</w:t>
            </w:r>
          </w:p>
        </w:tc>
        <w:tc>
          <w:tcPr>
            <w:tcW w:type="dxa" w:w="1280"/>
            <w:tcMar>
              <w:top w:type="dxa" w:w="60"/>
              <w:left w:type="dxa" w:w="90"/>
              <w:bottom w:type="dxa" w:w="60"/>
              <w:right w:type="dxa" w:w="90"/>
            </w:tcMar>
          </w:tcPr>
          <w:p>
            <w:pPr>
              <w:spacing w:after="0" w:line="252"/>
              <w:jc w:val="center"/>
            </w:pPr>
            <w:r>
              <w:rPr>
                <w:rFonts w:ascii="Calibri" w:cs="Calibri" w:eastAsia="Calibri" w:hAnsi="Calibri"/>
                <w:color w:val="1A1A1A"/>
                <w:sz w:val="19"/>
                <w:szCs w:val="19"/>
              </w:rPr>
              <w:t xml:space="preserve">0,90</w:t>
            </w:r>
          </w:p>
        </w:tc>
        <w:tc>
          <w:tcPr>
            <w:tcW w:type="dxa" w:w="1280"/>
            <w:tcMar>
              <w:top w:type="dxa" w:w="60"/>
              <w:left w:type="dxa" w:w="90"/>
              <w:bottom w:type="dxa" w:w="60"/>
              <w:right w:type="dxa" w:w="90"/>
            </w:tcMar>
          </w:tcPr>
          <w:p>
            <w:pPr>
              <w:spacing w:after="0" w:line="252"/>
              <w:jc w:val="center"/>
            </w:pPr>
            <w:r>
              <w:rPr>
                <w:rFonts w:ascii="Calibri" w:cs="Calibri" w:eastAsia="Calibri" w:hAnsi="Calibri"/>
                <w:color w:val="1A1A1A"/>
                <w:sz w:val="19"/>
                <w:szCs w:val="19"/>
              </w:rPr>
              <w:t xml:space="preserve">0,87</w:t>
            </w:r>
          </w:p>
        </w:tc>
        <w:tc>
          <w:tcPr>
            <w:tcW w:type="dxa" w:w="1280"/>
            <w:tcMar>
              <w:top w:type="dxa" w:w="60"/>
              <w:left w:type="dxa" w:w="90"/>
              <w:bottom w:type="dxa" w:w="60"/>
              <w:right w:type="dxa" w:w="90"/>
            </w:tcMar>
          </w:tcPr>
          <w:p>
            <w:pPr>
              <w:spacing w:after="0" w:line="252"/>
              <w:jc w:val="center"/>
            </w:pPr>
            <w:r>
              <w:rPr>
                <w:rFonts w:ascii="Calibri" w:cs="Calibri" w:eastAsia="Calibri" w:hAnsi="Calibri"/>
                <w:color w:val="1A1A1A"/>
                <w:sz w:val="19"/>
                <w:szCs w:val="19"/>
              </w:rPr>
              <w:t xml:space="preserve">0,90</w:t>
            </w:r>
          </w:p>
        </w:tc>
        <w:tc>
          <w:tcPr>
            <w:tcW w:type="dxa" w:w="1280"/>
            <w:tcMar>
              <w:top w:type="dxa" w:w="60"/>
              <w:left w:type="dxa" w:w="90"/>
              <w:bottom w:type="dxa" w:w="60"/>
              <w:right w:type="dxa" w:w="90"/>
            </w:tcMar>
          </w:tcPr>
          <w:p>
            <w:pPr>
              <w:spacing w:after="0" w:line="252"/>
              <w:jc w:val="center"/>
            </w:pPr>
            <w:r>
              <w:rPr>
                <w:rFonts w:ascii="Calibri" w:cs="Calibri" w:eastAsia="Calibri" w:hAnsi="Calibri"/>
                <w:color w:val="1A1A1A"/>
                <w:sz w:val="19"/>
                <w:szCs w:val="19"/>
              </w:rPr>
              <w:t xml:space="preserve">0,88</w:t>
            </w:r>
          </w:p>
        </w:tc>
        <w:tc>
          <w:tcPr>
            <w:tcW w:type="dxa" w:w="1280"/>
            <w:tcMar>
              <w:top w:type="dxa" w:w="60"/>
              <w:left w:type="dxa" w:w="90"/>
              <w:bottom w:type="dxa" w:w="60"/>
              <w:right w:type="dxa" w:w="90"/>
            </w:tcMar>
          </w:tcPr>
          <w:p>
            <w:pPr>
              <w:spacing w:after="0" w:line="252"/>
              <w:jc w:val="center"/>
            </w:pPr>
            <w:r>
              <w:rPr>
                <w:rFonts w:ascii="Calibri" w:cs="Calibri" w:eastAsia="Calibri" w:hAnsi="Calibri"/>
                <w:color w:val="1A1A1A"/>
                <w:sz w:val="19"/>
                <w:szCs w:val="19"/>
              </w:rPr>
              <w:t xml:space="preserve">0,84</w:t>
            </w:r>
          </w:p>
        </w:tc>
      </w:tr>
    </w:tbl>
    <w:p>
      <w:pPr>
        <w:spacing w:after="200" w:before="60"/>
        <w:jc w:val="center"/>
      </w:pPr>
      <w:r>
        <w:rPr>
          <w:rFonts w:ascii="Calibri" w:cs="Calibri" w:eastAsia="Calibri" w:hAnsi="Calibri"/>
          <w:i/>
          <w:iCs/>
          <w:color w:val="555555"/>
          <w:sz w:val="18"/>
          <w:szCs w:val="18"/>
        </w:rPr>
        <w:t xml:space="preserve">Tableau 4 — Comparaison des modèles (jeu de démonstration ; valeurs indicatives à valider sur données réelles).</w:t>
      </w:r>
    </w:p>
    <w:p>
      <w:pPr>
        <w:spacing w:after="140" w:line="276"/>
        <w:jc w:val="both"/>
      </w:pPr>
      <w:r>
        <w:rPr>
          <w:rFonts w:ascii="Calibri" w:cs="Calibri" w:eastAsia="Calibri" w:hAnsi="Calibri"/>
          <w:b/>
          <w:bCs/>
          <w:color w:val="1A1A1A"/>
          <w:sz w:val="22"/>
          <w:szCs w:val="22"/>
        </w:rPr>
        <w:t xml:space="preserve">Lecture des résultats. </w:t>
      </w:r>
      <w:r>
        <w:rPr>
          <w:rFonts w:ascii="Calibri" w:cs="Calibri" w:eastAsia="Calibri" w:hAnsi="Calibri"/>
          <w:color w:val="1A1A1A"/>
          <w:sz w:val="22"/>
          <w:szCs w:val="22"/>
        </w:rPr>
        <w:t xml:space="preserve">Sur ce jeu, XGBoost obtient le meilleur F1-macro parmi les modèles pixel, confirmant l’intérêt du boosting face à la forêt aléatoire, elle-même très compétitive et plus interprétable. Le U-Net présente le meilleur IoU moyen, cohérent avec sa capacité à exploiter le contexte spatial et à mieux délimiter les zones. Ces observations valident le choix de faire coexister deux familles de modèles : arbres pour la classification pixel interprétable, réseau convolutif pour la segmentation spatiale.</w:t>
      </w:r>
    </w:p>
    <w:p>
      <w:pPr>
        <w:spacing w:after="200" w:before="60"/>
        <w:jc w:val="center"/>
      </w:pPr>
      <w:r>
        <w:rPr>
          <w:rFonts w:ascii="Calibri" w:cs="Calibri" w:eastAsia="Calibri" w:hAnsi="Calibri"/>
          <w:i/>
          <w:iCs/>
          <w:color w:val="555555"/>
          <w:sz w:val="18"/>
          <w:szCs w:val="18"/>
        </w:rPr>
        <w:t xml:space="preserve">Figure 6 — Exemple de carte de risque de déforestation produite par la plateforme. [Insérer la capture.]</w:t>
      </w:r>
    </w:p>
    <w:p>
      <w:pPr>
        <w:pStyle w:val="Heading2"/>
        <w:spacing w:after="120" w:before="240"/>
      </w:pPr>
      <w:r>
        <w:rPr>
          <w:rFonts w:ascii="Cambria" w:cs="Cambria" w:eastAsia="Cambria" w:hAnsi="Cambria"/>
          <w:b/>
          <w:bCs/>
          <w:color w:val="1A1A1A"/>
          <w:sz w:val="26"/>
          <w:szCs w:val="26"/>
        </w:rPr>
        <w:t xml:space="preserve">3.2. Discussion</w:t>
      </w:r>
    </w:p>
    <w:p>
      <w:pPr>
        <w:spacing w:after="140" w:line="276"/>
        <w:jc w:val="both"/>
      </w:pPr>
      <w:r>
        <w:rPr>
          <w:rFonts w:ascii="Calibri" w:cs="Calibri" w:eastAsia="Calibri" w:hAnsi="Calibri"/>
          <w:b/>
          <w:bCs/>
          <w:color w:val="1A1A1A"/>
          <w:sz w:val="22"/>
          <w:szCs w:val="22"/>
        </w:rPr>
        <w:t xml:space="preserve">Validation des hypothèses. </w:t>
      </w:r>
      <w:r>
        <w:rPr>
          <w:rFonts w:ascii="Calibri" w:cs="Calibri" w:eastAsia="Calibri" w:hAnsi="Calibri"/>
          <w:color w:val="1A1A1A"/>
          <w:sz w:val="22"/>
          <w:szCs w:val="22"/>
        </w:rPr>
        <w:t xml:space="preserve">Les résultats confortent H1 (les indices spectraux, NDVI en tête, discriminent efficacement forêt et surfaces déforestées) et H2 (un modèle d’ensemble à base d’arbres atteint une performance élevée tout en restant interprétable). H3 (valeur prédictive des facteurs spatiaux et topographiques) est soutenue par le fonctionnement du module de risque, mais demande une validation quantitative sur séries temporelles réelles.</w:t>
      </w:r>
    </w:p>
    <w:p>
      <w:pPr>
        <w:spacing w:after="140" w:line="276"/>
        <w:jc w:val="both"/>
      </w:pPr>
      <w:r>
        <w:rPr>
          <w:rFonts w:ascii="Calibri" w:cs="Calibri" w:eastAsia="Calibri" w:hAnsi="Calibri"/>
          <w:b/>
          <w:bCs/>
          <w:color w:val="1A1A1A"/>
          <w:sz w:val="22"/>
          <w:szCs w:val="22"/>
        </w:rPr>
        <w:t xml:space="preserve">Comparaison avec la littérature. </w:t>
      </w:r>
      <w:r>
        <w:rPr>
          <w:rFonts w:ascii="Calibri" w:cs="Calibri" w:eastAsia="Calibri" w:hAnsi="Calibri"/>
          <w:color w:val="1A1A1A"/>
          <w:sz w:val="22"/>
          <w:szCs w:val="22"/>
        </w:rPr>
        <w:t xml:space="preserve">Les niveaux de performance obtenus sont cohérents avec ceux rapportés dans la littérature de télédétection pour la classification d’occupation du sol par forêts aléatoires et gradient boosting. L’apport de ce travail n’est pas tant un gain de performance brute que le passage d’un outil de constat à un outil d’action, adapté au contexte local.</w:t>
      </w:r>
    </w:p>
    <w:p>
      <w:pPr>
        <w:spacing w:after="140" w:line="276"/>
        <w:jc w:val="both"/>
      </w:pPr>
      <w:r>
        <w:rPr>
          <w:rFonts w:ascii="Calibri" w:cs="Calibri" w:eastAsia="Calibri" w:hAnsi="Calibri"/>
          <w:b/>
          <w:bCs/>
          <w:color w:val="1A1A1A"/>
          <w:sz w:val="22"/>
          <w:szCs w:val="22"/>
        </w:rPr>
        <w:t xml:space="preserve">Implications pratiques. </w:t>
      </w:r>
      <w:r>
        <w:rPr>
          <w:rFonts w:ascii="Calibri" w:cs="Calibri" w:eastAsia="Calibri" w:hAnsi="Calibri"/>
          <w:color w:val="1A1A1A"/>
          <w:sz w:val="22"/>
          <w:szCs w:val="22"/>
        </w:rPr>
        <w:t xml:space="preserve">Pour le Ministère de l’Environnement et la DIAF, la plateforme constitue une brique vers un système national de surveillance (MRV REDD+) et renforce la souveraineté sur les données. Pour les gardes forestiers (ICCN), les alertes géolocalisées — appuyées par le radar Sentinel-1, opérationnel même sous les nuages — permettent d’intervenir rapidement. Pour les porteurs de projets carbone et les bailleurs (CAFI, Banque mondiale), la traduction en CO₂ alimente la transparence qui conditionne les paiements aux résultats.</w:t>
      </w:r>
    </w:p>
    <w:p>
      <w:pPr>
        <w:spacing w:after="140" w:line="276"/>
        <w:jc w:val="both"/>
      </w:pPr>
      <w:r>
        <w:rPr>
          <w:rFonts w:ascii="Calibri" w:cs="Calibri" w:eastAsia="Calibri" w:hAnsi="Calibri"/>
          <w:b/>
          <w:bCs/>
          <w:color w:val="1A1A1A"/>
          <w:sz w:val="22"/>
          <w:szCs w:val="22"/>
        </w:rPr>
        <w:t xml:space="preserve">Points forts et faiblesses. </w:t>
      </w:r>
      <w:r>
        <w:rPr>
          <w:rFonts w:ascii="Calibri" w:cs="Calibri" w:eastAsia="Calibri" w:hAnsi="Calibri"/>
          <w:color w:val="1A1A1A"/>
          <w:sz w:val="22"/>
          <w:szCs w:val="22"/>
        </w:rPr>
        <w:t xml:space="preserve">Les principaux atouts sont la couverture complète de la chaîne (de la collecte au déploiement), la reproductibilité (mode démo, tests, conteneurisation) et l’appropriabilité locale (français, signalement citoyen). La principale faiblesse est le statut de preuve de concept : les chiffres de performance doivent encore être établis sur images réelles et confrontés à des points de vérité terrain.</w:t>
      </w:r>
    </w:p>
    <w:p>
      <w:pPr>
        <w:pStyle w:val="Heading2"/>
        <w:spacing w:after="120" w:before="240"/>
      </w:pPr>
      <w:r>
        <w:rPr>
          <w:rFonts w:ascii="Cambria" w:cs="Cambria" w:eastAsia="Cambria" w:hAnsi="Cambria"/>
          <w:b/>
          <w:bCs/>
          <w:color w:val="1A1A1A"/>
          <w:sz w:val="26"/>
          <w:szCs w:val="26"/>
        </w:rPr>
        <w:t xml:space="preserve">3.3. Conclusion</w:t>
      </w:r>
    </w:p>
    <w:p>
      <w:pPr>
        <w:spacing w:after="140" w:line="276"/>
        <w:jc w:val="both"/>
      </w:pPr>
      <w:r>
        <w:rPr>
          <w:rFonts w:ascii="Calibri" w:cs="Calibri" w:eastAsia="Calibri" w:hAnsi="Calibri"/>
          <w:color w:val="1A1A1A"/>
          <w:sz w:val="22"/>
          <w:szCs w:val="22"/>
        </w:rPr>
        <w:t xml:space="preserve">Ce travail a conçu et implémenté DeforestWatch-DRC, une plateforme complète de surveillance et de prédiction de la déforestation de la forêt équatoriale du Mai-Ndombe. À partir d’imagerie satellitaire libre et de techniques d’apprentissage automatique, il détecte la couverture forestière, quantifie sa perte, anticipe les zones à risque et en traduit l’impact en émissions de CO₂, le tout restitué dans une API, un tableau de bord et une interface web appropriables localement.</w:t>
      </w:r>
    </w:p>
    <w:p>
      <w:pPr>
        <w:spacing w:after="140" w:line="276"/>
        <w:jc w:val="both"/>
      </w:pPr>
      <w:r>
        <w:rPr>
          <w:rFonts w:ascii="Calibri" w:cs="Calibri" w:eastAsia="Calibri" w:hAnsi="Calibri"/>
          <w:b/>
          <w:bCs/>
          <w:color w:val="1A1A1A"/>
          <w:sz w:val="22"/>
          <w:szCs w:val="22"/>
        </w:rPr>
        <w:t xml:space="preserve">Contributions. </w:t>
      </w:r>
      <w:r>
        <w:rPr>
          <w:rFonts w:ascii="Calibri" w:cs="Calibri" w:eastAsia="Calibri" w:hAnsi="Calibri"/>
          <w:color w:val="1A1A1A"/>
          <w:sz w:val="22"/>
          <w:szCs w:val="22"/>
        </w:rPr>
        <w:t xml:space="preserve">Sur le plan scientifique, le projet met en œuvre et compare rigoureusement trois familles de modèles sur un problème réel de classification d’occupation du sol. Sur le plan pratique, il propose un outil qui déplace le curseur du constat vers l’action et la prévention, en phase avec les enjeux REDD+ de la RDC.</w:t>
      </w:r>
    </w:p>
    <w:p>
      <w:pPr>
        <w:pStyle w:val="Heading2"/>
        <w:spacing w:after="120" w:before="240"/>
      </w:pPr>
      <w:r>
        <w:rPr>
          <w:rFonts w:ascii="Cambria" w:cs="Cambria" w:eastAsia="Cambria" w:hAnsi="Cambria"/>
          <w:b/>
          <w:bCs/>
          <w:color w:val="1A1A1A"/>
          <w:sz w:val="26"/>
          <w:szCs w:val="26"/>
        </w:rPr>
        <w:t xml:space="preserve">3.4. Limites de l’étude</w:t>
      </w:r>
    </w:p>
    <w:p>
      <w:pPr>
        <w:pStyle w:val="ListParagraph"/>
        <w:numPr>
          <w:ilvl w:val="0"/>
          <w:numId w:val="3"/>
        </w:numPr>
        <w:spacing w:after="70" w:line="268"/>
        <w:jc w:val="both"/>
      </w:pPr>
      <w:r>
        <w:rPr>
          <w:rFonts w:ascii="Calibri" w:cs="Calibri" w:eastAsia="Calibri" w:hAnsi="Calibri"/>
          <w:color w:val="1A1A1A"/>
          <w:sz w:val="22"/>
          <w:szCs w:val="22"/>
        </w:rPr>
        <w:t xml:space="preserve">Statut de prototype : les résultats chiffrés doivent être validés sur de vraies images et sur des points de vérité terrain (GPS) avant tout usage opérationnel.</w:t>
      </w:r>
    </w:p>
    <w:p>
      <w:pPr>
        <w:pStyle w:val="ListParagraph"/>
        <w:numPr>
          <w:ilvl w:val="0"/>
          <w:numId w:val="3"/>
        </w:numPr>
        <w:spacing w:after="70" w:line="268"/>
        <w:jc w:val="both"/>
      </w:pPr>
      <w:r>
        <w:rPr>
          <w:rFonts w:ascii="Calibri" w:cs="Calibri" w:eastAsia="Calibri" w:hAnsi="Calibri"/>
          <w:color w:val="1A1A1A"/>
          <w:sz w:val="22"/>
          <w:szCs w:val="22"/>
        </w:rPr>
        <w:t xml:space="preserve">La plateforme complète, mais ne remplace pas, un système national de surveillance ; elle vaut aussi comme renforcement de capacités locales.</w:t>
      </w:r>
    </w:p>
    <w:p>
      <w:pPr>
        <w:pStyle w:val="ListParagraph"/>
        <w:numPr>
          <w:ilvl w:val="0"/>
          <w:numId w:val="3"/>
        </w:numPr>
        <w:spacing w:after="70" w:line="268"/>
        <w:jc w:val="both"/>
      </w:pPr>
      <w:r>
        <w:rPr>
          <w:rFonts w:ascii="Calibri" w:cs="Calibri" w:eastAsia="Calibri" w:hAnsi="Calibri"/>
          <w:color w:val="1A1A1A"/>
          <w:sz w:val="22"/>
          <w:szCs w:val="22"/>
        </w:rPr>
        <w:t xml:space="preserve">Contraintes de terrain : accès aux données, connectivité et maintenance dans la durée.</w:t>
      </w:r>
    </w:p>
    <w:p>
      <w:pPr>
        <w:pStyle w:val="Heading2"/>
        <w:spacing w:after="120" w:before="240"/>
      </w:pPr>
      <w:r>
        <w:rPr>
          <w:rFonts w:ascii="Cambria" w:cs="Cambria" w:eastAsia="Cambria" w:hAnsi="Cambria"/>
          <w:b/>
          <w:bCs/>
          <w:color w:val="1A1A1A"/>
          <w:sz w:val="26"/>
          <w:szCs w:val="26"/>
        </w:rPr>
        <w:t xml:space="preserve">3.5. Suggestions pour des recherches futures</w:t>
      </w:r>
    </w:p>
    <w:p>
      <w:pPr>
        <w:pStyle w:val="ListParagraph"/>
        <w:numPr>
          <w:ilvl w:val="0"/>
          <w:numId w:val="3"/>
        </w:numPr>
        <w:spacing w:after="70" w:line="268"/>
        <w:jc w:val="both"/>
      </w:pPr>
      <w:r>
        <w:rPr>
          <w:rFonts w:ascii="Calibri" w:cs="Calibri" w:eastAsia="Calibri" w:hAnsi="Calibri"/>
          <w:color w:val="1A1A1A"/>
          <w:sz w:val="22"/>
          <w:szCs w:val="22"/>
        </w:rPr>
        <w:t xml:space="preserve">Entraîner et valider les modèles sur des séries Sentinel-2 réelles pluriannuelles, avec collecte de vérités terrain.</w:t>
      </w:r>
    </w:p>
    <w:p>
      <w:pPr>
        <w:pStyle w:val="ListParagraph"/>
        <w:numPr>
          <w:ilvl w:val="0"/>
          <w:numId w:val="3"/>
        </w:numPr>
        <w:spacing w:after="70" w:line="268"/>
        <w:jc w:val="both"/>
      </w:pPr>
      <w:r>
        <w:rPr>
          <w:rFonts w:ascii="Calibri" w:cs="Calibri" w:eastAsia="Calibri" w:hAnsi="Calibri"/>
          <w:color w:val="1A1A1A"/>
          <w:sz w:val="22"/>
          <w:szCs w:val="22"/>
        </w:rPr>
        <w:t xml:space="preserve">Intégrer explicitement les séries temporelles radar Sentinel-1 pour une détection quasi temps réel sous couverture nuageuse.</w:t>
      </w:r>
    </w:p>
    <w:p>
      <w:pPr>
        <w:pStyle w:val="ListParagraph"/>
        <w:numPr>
          <w:ilvl w:val="0"/>
          <w:numId w:val="3"/>
        </w:numPr>
        <w:spacing w:after="70" w:line="268"/>
        <w:jc w:val="both"/>
      </w:pPr>
      <w:r>
        <w:rPr>
          <w:rFonts w:ascii="Calibri" w:cs="Calibri" w:eastAsia="Calibri" w:hAnsi="Calibri"/>
          <w:color w:val="1A1A1A"/>
          <w:sz w:val="22"/>
          <w:szCs w:val="22"/>
        </w:rPr>
        <w:t xml:space="preserve">Enrichir le modèle prédictif par des variables socio-économiques (routes, densité de population, marchés du bois-énergie).</w:t>
      </w:r>
    </w:p>
    <w:p>
      <w:pPr>
        <w:pStyle w:val="ListParagraph"/>
        <w:numPr>
          <w:ilvl w:val="0"/>
          <w:numId w:val="3"/>
        </w:numPr>
        <w:spacing w:after="70" w:line="268"/>
        <w:jc w:val="both"/>
      </w:pPr>
      <w:r>
        <w:rPr>
          <w:rFonts w:ascii="Calibri" w:cs="Calibri" w:eastAsia="Calibri" w:hAnsi="Calibri"/>
          <w:color w:val="1A1A1A"/>
          <w:sz w:val="22"/>
          <w:szCs w:val="22"/>
        </w:rPr>
        <w:t xml:space="preserve">Mener une évaluation de terrain avec les gardes forestiers de l’ICCN pour mesurer l’utilité opérationnelle des alertes.</w:t>
      </w:r>
    </w:p>
    <w:p>
      <w:r>
        <w:br w:type="page"/>
      </w:r>
    </w:p>
    <w:p>
      <w:pPr>
        <w:pStyle w:val="Heading1"/>
        <w:spacing w:after="180" w:before="320"/>
      </w:pPr>
      <w:r>
        <w:rPr>
          <w:rFonts w:ascii="Cambria" w:cs="Cambria" w:eastAsia="Cambria" w:hAnsi="Cambria"/>
          <w:b/>
          <w:bCs/>
          <w:color w:val="0B6E2D"/>
          <w:sz w:val="30"/>
          <w:szCs w:val="30"/>
        </w:rPr>
        <w:t xml:space="preserve">Bibliographie</w:t>
      </w:r>
    </w:p>
    <w:p>
      <w:pPr>
        <w:spacing w:after="120" w:line="268"/>
        <w:ind w:left="360" w:hanging="360"/>
        <w:jc w:val="both"/>
      </w:pPr>
      <w:r>
        <w:rPr>
          <w:rFonts w:ascii="Calibri" w:cs="Calibri" w:eastAsia="Calibri" w:hAnsi="Calibri"/>
          <w:color w:val="1A1A1A"/>
          <w:sz w:val="22"/>
          <w:szCs w:val="22"/>
        </w:rPr>
        <w:t xml:space="preserve">Breiman, L. (2001). Random Forests. Machine Learning, 45(1), 5–32.</w:t>
      </w:r>
    </w:p>
    <w:p>
      <w:pPr>
        <w:spacing w:after="120" w:line="268"/>
        <w:ind w:left="360" w:hanging="360"/>
        <w:jc w:val="both"/>
      </w:pPr>
      <w:r>
        <w:rPr>
          <w:rFonts w:ascii="Calibri" w:cs="Calibri" w:eastAsia="Calibri" w:hAnsi="Calibri"/>
          <w:color w:val="1A1A1A"/>
          <w:sz w:val="22"/>
          <w:szCs w:val="22"/>
        </w:rPr>
        <w:t xml:space="preserve">Chen, T., &amp; Guestrin, C. (2016). XGBoost: A Scalable Tree Boosting System. Proceedings of the 22nd ACM SIGKDD, 785–794.</w:t>
      </w:r>
    </w:p>
    <w:p>
      <w:pPr>
        <w:spacing w:after="120" w:line="268"/>
        <w:ind w:left="360" w:hanging="360"/>
        <w:jc w:val="both"/>
      </w:pPr>
      <w:r>
        <w:rPr>
          <w:rFonts w:ascii="Calibri" w:cs="Calibri" w:eastAsia="Calibri" w:hAnsi="Calibri"/>
          <w:color w:val="1A1A1A"/>
          <w:sz w:val="22"/>
          <w:szCs w:val="22"/>
        </w:rPr>
        <w:t xml:space="preserve">Gorelick, N., Hancher, M., Dixon, M., et al. (2017). Google Earth Engine: Planetary-scale geospatial analysis for everyone. Remote Sensing of Environment, 202, 18–27.</w:t>
      </w:r>
    </w:p>
    <w:p>
      <w:pPr>
        <w:spacing w:after="120" w:line="268"/>
        <w:ind w:left="360" w:hanging="360"/>
        <w:jc w:val="both"/>
      </w:pPr>
      <w:r>
        <w:rPr>
          <w:rFonts w:ascii="Calibri" w:cs="Calibri" w:eastAsia="Calibri" w:hAnsi="Calibri"/>
          <w:color w:val="1A1A1A"/>
          <w:sz w:val="22"/>
          <w:szCs w:val="22"/>
        </w:rPr>
        <w:t xml:space="preserve">Hansen, M. C., Potapov, P. V., Moore, R., et al. (2013). High-Resolution Global Maps of 21st-Century Forest Cover Change. Science, 342(6160), 850–853.</w:t>
      </w:r>
    </w:p>
    <w:p>
      <w:pPr>
        <w:spacing w:after="120" w:line="268"/>
        <w:ind w:left="360" w:hanging="360"/>
        <w:jc w:val="both"/>
      </w:pPr>
      <w:r>
        <w:rPr>
          <w:rFonts w:ascii="Calibri" w:cs="Calibri" w:eastAsia="Calibri" w:hAnsi="Calibri"/>
          <w:color w:val="1A1A1A"/>
          <w:sz w:val="22"/>
          <w:szCs w:val="22"/>
        </w:rPr>
        <w:t xml:space="preserve">Huete, A., Didan, K., Miura, T., et al. (2002). Overview of the radiometric and biophysical performance of the MODIS vegetation indices. Remote Sensing of Environment, 83(1–2), 195–213.</w:t>
      </w:r>
    </w:p>
    <w:p>
      <w:pPr>
        <w:spacing w:after="120" w:line="268"/>
        <w:ind w:left="360" w:hanging="360"/>
        <w:jc w:val="both"/>
      </w:pPr>
      <w:r>
        <w:rPr>
          <w:rFonts w:ascii="Calibri" w:cs="Calibri" w:eastAsia="Calibri" w:hAnsi="Calibri"/>
          <w:color w:val="1A1A1A"/>
          <w:sz w:val="22"/>
          <w:szCs w:val="22"/>
        </w:rPr>
        <w:t xml:space="preserve">IPCC (2006). Guidelines for National Greenhouse Gas Inventories, Vol. 4: Agriculture, Forestry and Other Land Use. Geneva: IPCC.</w:t>
      </w:r>
    </w:p>
    <w:p>
      <w:pPr>
        <w:spacing w:after="120" w:line="268"/>
        <w:ind w:left="360" w:hanging="360"/>
        <w:jc w:val="both"/>
      </w:pPr>
      <w:r>
        <w:rPr>
          <w:rFonts w:ascii="Calibri" w:cs="Calibri" w:eastAsia="Calibri" w:hAnsi="Calibri"/>
          <w:color w:val="1A1A1A"/>
          <w:sz w:val="22"/>
          <w:szCs w:val="22"/>
        </w:rPr>
        <w:t xml:space="preserve">Ronneberger, O., Fischer, P., &amp; Brox, T. (2015). U-Net: Convolutional Networks for Biomedical Image Segmentation. MICCAI 2015, 234–241.</w:t>
      </w:r>
    </w:p>
    <w:p>
      <w:pPr>
        <w:spacing w:after="120" w:line="268"/>
        <w:ind w:left="360" w:hanging="360"/>
        <w:jc w:val="both"/>
      </w:pPr>
      <w:r>
        <w:rPr>
          <w:rFonts w:ascii="Calibri" w:cs="Calibri" w:eastAsia="Calibri" w:hAnsi="Calibri"/>
          <w:color w:val="1A1A1A"/>
          <w:sz w:val="22"/>
          <w:szCs w:val="22"/>
        </w:rPr>
        <w:t xml:space="preserve">Rouse, J. W., Haas, R. H., Schell, J. A., &amp; Deering, D. W. (1974). Monitoring vegetation systems in the Great Plains with ERTS. NASA Special Publication, 351, 309–317.</w:t>
      </w:r>
    </w:p>
    <w:p>
      <w:pPr>
        <w:pStyle w:val="Heading2"/>
        <w:spacing w:after="120" w:before="240"/>
      </w:pPr>
      <w:r>
        <w:rPr>
          <w:rFonts w:ascii="Cambria" w:cs="Cambria" w:eastAsia="Cambria" w:hAnsi="Cambria"/>
          <w:b/>
          <w:bCs/>
          <w:color w:val="1A1A1A"/>
          <w:sz w:val="26"/>
          <w:szCs w:val="26"/>
        </w:rPr>
        <w:t xml:space="preserve">Webographie</w:t>
      </w:r>
    </w:p>
    <w:p>
      <w:pPr>
        <w:spacing w:after="100" w:line="268"/>
        <w:ind w:left="360" w:hanging="360"/>
        <w:jc w:val="both"/>
      </w:pPr>
      <w:r>
        <w:rPr>
          <w:rFonts w:ascii="Calibri" w:cs="Calibri" w:eastAsia="Calibri" w:hAnsi="Calibri"/>
          <w:color w:val="1A1A1A"/>
          <w:sz w:val="22"/>
          <w:szCs w:val="22"/>
        </w:rPr>
        <w:t xml:space="preserve">Global Forest Watch — https://www.globalforestwatch.org (consulté en 2026).</w:t>
      </w:r>
    </w:p>
    <w:p>
      <w:pPr>
        <w:spacing w:after="100" w:line="268"/>
        <w:ind w:left="360" w:hanging="360"/>
        <w:jc w:val="both"/>
      </w:pPr>
      <w:r>
        <w:rPr>
          <w:rFonts w:ascii="Calibri" w:cs="Calibri" w:eastAsia="Calibri" w:hAnsi="Calibri"/>
          <w:color w:val="1A1A1A"/>
          <w:sz w:val="22"/>
          <w:szCs w:val="22"/>
        </w:rPr>
        <w:t xml:space="preserve">Copernicus / Sentinel Hub (ESA) — https://www.copernicus.eu (consulté en 2026).</w:t>
      </w:r>
    </w:p>
    <w:p>
      <w:pPr>
        <w:spacing w:after="100" w:line="268"/>
        <w:ind w:left="360" w:hanging="360"/>
        <w:jc w:val="both"/>
      </w:pPr>
      <w:r>
        <w:rPr>
          <w:rFonts w:ascii="Calibri" w:cs="Calibri" w:eastAsia="Calibri" w:hAnsi="Calibri"/>
          <w:color w:val="1A1A1A"/>
          <w:sz w:val="22"/>
          <w:szCs w:val="22"/>
        </w:rPr>
        <w:t xml:space="preserve">Central African Forest Initiative (CAFI) — https://www.cafi.org (consulté en 2026).</w:t>
      </w:r>
    </w:p>
    <w:p>
      <w:pPr>
        <w:spacing w:after="100" w:line="268"/>
        <w:ind w:left="360" w:hanging="360"/>
        <w:jc w:val="both"/>
      </w:pPr>
      <w:r>
        <w:rPr>
          <w:rFonts w:ascii="Calibri" w:cs="Calibri" w:eastAsia="Calibri" w:hAnsi="Calibri"/>
          <w:color w:val="1A1A1A"/>
          <w:sz w:val="22"/>
          <w:szCs w:val="22"/>
        </w:rPr>
        <w:t xml:space="preserve">Documentation Google Earth Engine — https://developers.google.com/earth-engine (consulté en 2026).</w:t>
      </w:r>
    </w:p>
    <w:p>
      <w:r>
        <w:br w:type="page"/>
      </w:r>
    </w:p>
    <w:p>
      <w:pPr>
        <w:pStyle w:val="Heading1"/>
        <w:spacing w:after="180" w:before="320"/>
      </w:pPr>
      <w:r>
        <w:rPr>
          <w:rFonts w:ascii="Cambria" w:cs="Cambria" w:eastAsia="Cambria" w:hAnsi="Cambria"/>
          <w:b/>
          <w:bCs/>
          <w:color w:val="0B6E2D"/>
          <w:sz w:val="30"/>
          <w:szCs w:val="30"/>
        </w:rPr>
        <w:t xml:space="preserve">Annexes</w:t>
      </w:r>
    </w:p>
    <w:p>
      <w:pPr>
        <w:pStyle w:val="Heading2"/>
        <w:spacing w:after="120" w:before="240"/>
      </w:pPr>
      <w:r>
        <w:rPr>
          <w:rFonts w:ascii="Cambria" w:cs="Cambria" w:eastAsia="Cambria" w:hAnsi="Cambria"/>
          <w:b/>
          <w:bCs/>
          <w:color w:val="1A1A1A"/>
          <w:sz w:val="26"/>
          <w:szCs w:val="26"/>
        </w:rPr>
        <w:t xml:space="preserve">Annexe A — Architecture technique en couches</w:t>
      </w:r>
    </w:p>
    <w:p>
      <w:pPr>
        <w:spacing w:after="140" w:line="276"/>
        <w:jc w:val="both"/>
      </w:pPr>
      <w:r>
        <w:rPr>
          <w:rFonts w:ascii="Calibri" w:cs="Calibri" w:eastAsia="Calibri" w:hAnsi="Calibri"/>
          <w:color w:val="1A1A1A"/>
          <w:sz w:val="22"/>
          <w:szCs w:val="22"/>
        </w:rPr>
        <w:t xml:space="preserve">Le système s’organise en quatre couches successives : collecte des données (Google Earth Engine, Sentinel-2, Landsat, météo), prétraitement (mosaïques, correction, indices, masquage des nuages, extraction de variables), modélisation (Random Forest, XGBoost, U-Net ; validation croisée et comparaison) et déploiement (FastAPI, Streamlit, PostgreSQL, authentification à double facteur, administration).</w:t>
      </w:r>
    </w:p>
    <w:p>
      <w:pPr>
        <w:spacing w:after="200" w:before="60"/>
        <w:jc w:val="center"/>
      </w:pPr>
      <w:r>
        <w:rPr>
          <w:rFonts w:ascii="Calibri" w:cs="Calibri" w:eastAsia="Calibri" w:hAnsi="Calibri"/>
          <w:i/>
          <w:iCs/>
          <w:color w:val="555555"/>
          <w:sz w:val="18"/>
          <w:szCs w:val="18"/>
        </w:rPr>
        <w:t xml:space="preserve">Figure 1 — Architecture technique en couches. [Insérer le schéma.]</w:t>
      </w:r>
    </w:p>
    <w:p>
      <w:pPr>
        <w:pStyle w:val="Heading2"/>
        <w:spacing w:after="120" w:before="240"/>
      </w:pPr>
      <w:r>
        <w:rPr>
          <w:rFonts w:ascii="Cambria" w:cs="Cambria" w:eastAsia="Cambria" w:hAnsi="Cambria"/>
          <w:b/>
          <w:bCs/>
          <w:color w:val="1A1A1A"/>
          <w:sz w:val="26"/>
          <w:szCs w:val="26"/>
        </w:rPr>
        <w:t xml:space="preserve">Annexe B — Classes et code couleur de la couverture du sol</w:t>
      </w:r>
    </w:p>
    <w:tbl>
      <w:tblPr>
        <w:tblW w:type="dxa" w:w="9000"/>
        <w:tblBorders>
          <w:top w:val="single" w:color="BFD8C4" w:sz="4"/>
          <w:left w:val="single" w:color="BFD8C4" w:sz="4"/>
          <w:bottom w:val="single" w:color="BFD8C4" w:sz="4"/>
          <w:right w:val="single" w:color="BFD8C4" w:sz="4"/>
          <w:insideH w:val="single" w:color="BFD8C4" w:sz="4"/>
          <w:insideV w:val="single" w:color="BFD8C4" w:sz="4"/>
        </w:tblBorders>
      </w:tblPr>
      <w:tblGrid>
        <w:gridCol w:w="2600"/>
        <w:gridCol w:w="3200"/>
        <w:gridCol w:w="3200"/>
      </w:tblGrid>
      <w:tr>
        <w:trPr>
          <w:tblHeader/>
        </w:trPr>
        <w:tc>
          <w:tcPr>
            <w:tcW w:type="dxa" w:w="26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Classe</w:t>
            </w:r>
          </w:p>
        </w:tc>
        <w:tc>
          <w:tcPr>
            <w:tcW w:type="dxa" w:w="32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Libellé</w:t>
            </w:r>
          </w:p>
        </w:tc>
        <w:tc>
          <w:tcPr>
            <w:tcW w:type="dxa" w:w="3200"/>
            <w:shd w:fill="0B6E2D" w:color="auto"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Couleur (hex)</w:t>
            </w:r>
          </w:p>
        </w:tc>
      </w:tr>
      <w:tr>
        <w:tc>
          <w:tcPr>
            <w:tcW w:type="dxa" w:w="26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0</w:t>
            </w:r>
          </w:p>
        </w:tc>
        <w:tc>
          <w:tcPr>
            <w:tcW w:type="dxa" w:w="32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Forêt dense</w:t>
            </w:r>
          </w:p>
        </w:tc>
        <w:tc>
          <w:tcPr>
            <w:tcW w:type="dxa" w:w="32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#0B6E2D</w:t>
            </w:r>
          </w:p>
        </w:tc>
      </w:tr>
      <w:tr>
        <w:tc>
          <w:tcPr>
            <w:tcW w:type="dxa" w:w="26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1</w:t>
            </w:r>
          </w:p>
        </w:tc>
        <w:tc>
          <w:tcPr>
            <w:tcW w:type="dxa" w:w="32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Forêt dégradée</w:t>
            </w:r>
          </w:p>
        </w:tc>
        <w:tc>
          <w:tcPr>
            <w:tcW w:type="dxa" w:w="32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#9BCC4F</w:t>
            </w:r>
          </w:p>
        </w:tc>
      </w:tr>
      <w:tr>
        <w:tc>
          <w:tcPr>
            <w:tcW w:type="dxa" w:w="26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2</w:t>
            </w:r>
          </w:p>
        </w:tc>
        <w:tc>
          <w:tcPr>
            <w:tcW w:type="dxa" w:w="32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Agriculture / Sol nu</w:t>
            </w:r>
          </w:p>
        </w:tc>
        <w:tc>
          <w:tcPr>
            <w:tcW w:type="dxa" w:w="32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#D9A441</w:t>
            </w:r>
          </w:p>
        </w:tc>
      </w:tr>
      <w:tr>
        <w:tc>
          <w:tcPr>
            <w:tcW w:type="dxa" w:w="26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3</w:t>
            </w:r>
          </w:p>
        </w:tc>
        <w:tc>
          <w:tcPr>
            <w:tcW w:type="dxa" w:w="32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Eau</w:t>
            </w:r>
          </w:p>
        </w:tc>
        <w:tc>
          <w:tcPr>
            <w:tcW w:type="dxa" w:w="3200"/>
            <w:shd w:fill="EAF3EC" w:color="auto" w:val="clear"/>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#2E86C1</w:t>
            </w:r>
          </w:p>
        </w:tc>
      </w:tr>
      <w:tr>
        <w:tc>
          <w:tcPr>
            <w:tcW w:type="dxa" w:w="26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4</w:t>
            </w:r>
          </w:p>
        </w:tc>
        <w:tc>
          <w:tcPr>
            <w:tcW w:type="dxa" w:w="32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Zone urbaine / Bâti</w:t>
            </w:r>
          </w:p>
        </w:tc>
        <w:tc>
          <w:tcPr>
            <w:tcW w:type="dxa" w:w="3200"/>
            <w:tcMar>
              <w:top w:type="dxa" w:w="60"/>
              <w:left w:type="dxa" w:w="90"/>
              <w:bottom w:type="dxa" w:w="60"/>
              <w:right w:type="dxa" w:w="90"/>
            </w:tcMar>
          </w:tcPr>
          <w:p>
            <w:pPr>
              <w:spacing w:after="0" w:line="252"/>
              <w:jc w:val="left"/>
            </w:pPr>
            <w:r>
              <w:rPr>
                <w:rFonts w:ascii="Calibri" w:cs="Calibri" w:eastAsia="Calibri" w:hAnsi="Calibri"/>
                <w:color w:val="1A1A1A"/>
                <w:sz w:val="19"/>
                <w:szCs w:val="19"/>
              </w:rPr>
              <w:t xml:space="preserve">#C0392B</w:t>
            </w:r>
          </w:p>
        </w:tc>
      </w:tr>
    </w:tbl>
    <w:p>
      <w:pPr>
        <w:pStyle w:val="Heading2"/>
        <w:spacing w:after="120" w:before="240"/>
      </w:pPr>
      <w:r>
        <w:rPr>
          <w:rFonts w:ascii="Cambria" w:cs="Cambria" w:eastAsia="Cambria" w:hAnsi="Cambria"/>
          <w:b/>
          <w:bCs/>
          <w:color w:val="1A1A1A"/>
          <w:sz w:val="26"/>
          <w:szCs w:val="26"/>
        </w:rPr>
        <w:t xml:space="preserve">Annexe C — Accès au code source</w:t>
      </w:r>
    </w:p>
    <w:p>
      <w:pPr>
        <w:spacing w:after="140" w:line="276"/>
        <w:jc w:val="both"/>
      </w:pPr>
      <w:r>
        <w:rPr>
          <w:rFonts w:ascii="Calibri" w:cs="Calibri" w:eastAsia="Calibri" w:hAnsi="Calibri"/>
          <w:color w:val="1A1A1A"/>
          <w:sz w:val="22"/>
          <w:szCs w:val="22"/>
        </w:rPr>
        <w:t xml:space="preserve">Le code source complet du projet, sa documentation (guide d’installation, mode d’emploi) et les scripts de reproduction sont versionnés sous Git et hébergés sur un dépôt GitHub. Le projet fonctionne « clé en main » en mode démonstration, sans dépendance externe.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E3D4" w:sz="4" w:space="4"/>
      </w:pBdr>
      <w:spacing w:after="0"/>
      <w:jc w:val="right"/>
    </w:pPr>
    <w:r>
      <w:rPr>
        <w:rFonts w:ascii="Calibri" w:cs="Calibri" w:eastAsia="Calibri" w:hAnsi="Calibri"/>
        <w:i/>
        <w:iCs/>
        <w:color w:val="555555"/>
        <w:sz w:val="16"/>
        <w:szCs w:val="16"/>
      </w:rPr>
      <w:t xml:space="preserve">DeforestWatch-DRC — Monographie L3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B6E2D"/>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DeforestWatch-DRC — Monographie L3</dc:title>
  <dc:creator>Joyce A. WETUNGANI</dc:creator>
  <dc:description>Monographie de projet de fin de cycle — UPC / FASI</dc:description>
  <cp:lastModifiedBy>Un-named</cp:lastModifiedBy>
  <cp:revision>1</cp:revision>
  <dcterms:created xsi:type="dcterms:W3CDTF">2026-08-15T06:13:51.033Z</dcterms:created>
  <dcterms:modified xsi:type="dcterms:W3CDTF">2026-08-15T06:13:51.034Z</dcterms:modified>
</cp:coreProperties>
</file>

<file path=docProps/custom.xml><?xml version="1.0" encoding="utf-8"?>
<Properties xmlns="http://schemas.openxmlformats.org/officeDocument/2006/custom-properties" xmlns:vt="http://schemas.openxmlformats.org/officeDocument/2006/docPropsVTypes"/>
</file>