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云澜市一体化政务服务平台运维及功能升级项目</w:t>
      </w:r>
    </w:p>
    <w:p>
      <w:pPr>
        <w:jc w:val="center"/>
      </w:pPr>
      <w:r>
        <w:rPr>
          <w:b/>
          <w:sz w:val="52"/>
        </w:rPr>
        <w:t>招 标 文 件</w:t>
      </w:r>
    </w:p>
    <w:p>
      <w:pPr>
        <w:jc w:val="center"/>
      </w:pPr>
      <w:r>
        <w:rPr>
          <w:b w:val="0"/>
          <w:sz w:val="24"/>
        </w:rPr>
        <w:t>项目编号：YLCG-2026-GK-0387</w:t>
      </w:r>
    </w:p>
    <w:p>
      <w:pPr>
        <w:jc w:val="center"/>
      </w:pPr>
      <w:r>
        <w:rPr>
          <w:b w:val="0"/>
          <w:sz w:val="24"/>
        </w:rPr>
      </w:r>
    </w:p>
    <w:p>
      <w:pPr>
        <w:jc w:val="center"/>
      </w:pPr>
      <w:r>
        <w:rPr>
          <w:b/>
          <w:sz w:val="28"/>
        </w:rPr>
        <w:t>采购人：云澜市政务服务和数据管理局</w:t>
      </w:r>
    </w:p>
    <w:p>
      <w:pPr>
        <w:jc w:val="center"/>
      </w:pPr>
      <w:r>
        <w:rPr>
          <w:b/>
          <w:sz w:val="28"/>
        </w:rPr>
        <w:t>代理机构：云澜市公共资源交易中心</w:t>
      </w:r>
    </w:p>
    <w:p>
      <w:pPr>
        <w:jc w:val="center"/>
      </w:pPr>
      <w:r>
        <w:rPr>
          <w:b/>
          <w:sz w:val="28"/>
        </w:rPr>
        <w:t>二〇二六年九月</w:t>
      </w:r>
    </w:p>
    <w:p>
      <w:pPr>
        <w:pStyle w:val="Heading1"/>
      </w:pPr>
      <w:r>
        <w:t>第一章 投标邀请</w:t>
      </w:r>
    </w:p>
    <w:p>
      <w:pPr/>
      <w:r>
        <w:rPr>
          <w:b w:val="0"/>
        </w:rPr>
        <w:t>云澜市政务服务和数据管理局（以下简称“采购人”）拟就云澜市一体化政务服务平台运维及功能升级项目进行公开招标，欢迎符合资格条件的投标人参加投标。</w:t>
      </w:r>
    </w:p>
    <w:p>
      <w:pPr>
        <w:pStyle w:val="Heading2"/>
      </w:pPr>
      <w:r>
        <w:t>一、项目概况</w:t>
      </w:r>
    </w:p>
    <w:tbl>
      <w:tblPr>
        <w:tblStyle w:val="TableGrid"/>
        <w:tblW w:type="auto" w:w="0"/>
        <w:tblLook w:firstColumn="1" w:firstRow="1" w:lastColumn="0" w:lastRow="0" w:noHBand="0" w:noVBand="1" w:val="04A0"/>
      </w:tblPr>
      <w:tblGrid>
        <w:gridCol w:w="4320"/>
        <w:gridCol w:w="4320"/>
      </w:tblGrid>
      <w:tr>
        <w:tc>
          <w:tcPr>
            <w:tcW w:type="dxa" w:w="4320"/>
          </w:tcPr>
          <w:p>
            <w:r>
              <w:rPr>
                <w:b/>
              </w:rPr>
              <w:t>项目</w:t>
            </w:r>
          </w:p>
        </w:tc>
        <w:tc>
          <w:tcPr>
            <w:tcW w:type="dxa" w:w="4320"/>
          </w:tcPr>
          <w:p>
            <w:r>
              <w:rPr>
                <w:b/>
              </w:rPr>
              <w:t>内容</w:t>
            </w:r>
          </w:p>
        </w:tc>
      </w:tr>
      <w:tr>
        <w:tc>
          <w:tcPr>
            <w:tcW w:type="dxa" w:w="4320"/>
          </w:tcPr>
          <w:p>
            <w:r>
              <w:t>项目名称</w:t>
            </w:r>
          </w:p>
        </w:tc>
        <w:tc>
          <w:tcPr>
            <w:tcW w:type="dxa" w:w="4320"/>
          </w:tcPr>
          <w:p>
            <w:r>
              <w:t>云澜市一体化政务服务平台运维及功能升级项目</w:t>
            </w:r>
          </w:p>
        </w:tc>
      </w:tr>
      <w:tr>
        <w:tc>
          <w:tcPr>
            <w:tcW w:type="dxa" w:w="4320"/>
          </w:tcPr>
          <w:p>
            <w:r>
              <w:t>项目编号</w:t>
            </w:r>
          </w:p>
        </w:tc>
        <w:tc>
          <w:tcPr>
            <w:tcW w:type="dxa" w:w="4320"/>
          </w:tcPr>
          <w:p>
            <w:r>
              <w:t>YLCG-2026-GK-0387</w:t>
            </w:r>
          </w:p>
        </w:tc>
      </w:tr>
      <w:tr>
        <w:tc>
          <w:tcPr>
            <w:tcW w:type="dxa" w:w="4320"/>
          </w:tcPr>
          <w:p>
            <w:r>
              <w:t>采购方式</w:t>
            </w:r>
          </w:p>
        </w:tc>
        <w:tc>
          <w:tcPr>
            <w:tcW w:type="dxa" w:w="4320"/>
          </w:tcPr>
          <w:p>
            <w:r>
              <w:t>公开招标</w:t>
            </w:r>
          </w:p>
        </w:tc>
      </w:tr>
      <w:tr>
        <w:tc>
          <w:tcPr>
            <w:tcW w:type="dxa" w:w="4320"/>
          </w:tcPr>
          <w:p>
            <w:r>
              <w:t>预算金额</w:t>
            </w:r>
          </w:p>
        </w:tc>
        <w:tc>
          <w:tcPr>
            <w:tcW w:type="dxa" w:w="4320"/>
          </w:tcPr>
          <w:p>
            <w:r>
              <w:t>人民币 398 万元（含税），投标报价超过预算金额的作无效标处理</w:t>
            </w:r>
          </w:p>
        </w:tc>
      </w:tr>
      <w:tr>
        <w:tc>
          <w:tcPr>
            <w:tcW w:type="dxa" w:w="4320"/>
          </w:tcPr>
          <w:p>
            <w:r>
              <w:t>服务期限</w:t>
            </w:r>
          </w:p>
        </w:tc>
        <w:tc>
          <w:tcPr>
            <w:tcW w:type="dxa" w:w="4320"/>
          </w:tcPr>
          <w:p>
            <w:r>
              <w:t>自合同签订之日起 12 个月</w:t>
            </w:r>
          </w:p>
        </w:tc>
      </w:tr>
      <w:tr>
        <w:tc>
          <w:tcPr>
            <w:tcW w:type="dxa" w:w="4320"/>
          </w:tcPr>
          <w:p>
            <w:r>
              <w:t>服务地点</w:t>
            </w:r>
          </w:p>
        </w:tc>
        <w:tc>
          <w:tcPr>
            <w:tcW w:type="dxa" w:w="4320"/>
          </w:tcPr>
          <w:p>
            <w:r>
              <w:t>云澜市青梧区政务服务中心及采购人指定地点</w:t>
            </w:r>
          </w:p>
        </w:tc>
      </w:tr>
      <w:tr>
        <w:tc>
          <w:tcPr>
            <w:tcW w:type="dxa" w:w="4320"/>
          </w:tcPr>
          <w:p>
            <w:r>
              <w:t>质量标准</w:t>
            </w:r>
          </w:p>
        </w:tc>
        <w:tc>
          <w:tcPr>
            <w:tcW w:type="dxa" w:w="4320"/>
          </w:tcPr>
          <w:p>
            <w:r>
              <w:t>符合国家及行业现行标准，满足本项目第五章采购需求</w:t>
            </w:r>
          </w:p>
        </w:tc>
      </w:tr>
    </w:tbl>
    <w:p>
      <w:pPr>
        <w:pStyle w:val="Heading2"/>
      </w:pPr>
      <w:r>
        <w:t>二、投标人资格要求</w:t>
      </w:r>
    </w:p>
    <w:p>
      <w:pPr/>
      <w:r>
        <w:rPr>
          <w:b w:val="0"/>
        </w:rPr>
        <w:t>投标人须具备下列条件（提供相应证明材料，资格条件不符的作无效标处理）：</w:t>
      </w:r>
    </w:p>
    <w:p>
      <w:pPr>
        <w:pStyle w:val="ListBullet"/>
      </w:pPr>
      <w:r>
        <w:t>（一）在中华人民共和国境内注册、具有独立承担民事责任能力的法人或其他组织，具有有效的营业执照；</w:t>
      </w:r>
    </w:p>
    <w:p>
      <w:pPr>
        <w:pStyle w:val="ListBullet"/>
      </w:pPr>
      <w:r>
        <w:t>（二）具有有效的质量管理体系认证（ISO9001）证书；</w:t>
      </w:r>
    </w:p>
    <w:p>
      <w:pPr>
        <w:pStyle w:val="ListBullet"/>
      </w:pPr>
      <w:r>
        <w:t>（三）2023 年 1 月 1 日以来，至少承担过 2 个单项合同金额 100 万元（含）以上的信息化运维或政务信息化平台建设类似业绩（提供合同关键页复印件并加盖公章）；</w:t>
      </w:r>
    </w:p>
    <w:p>
      <w:pPr>
        <w:pStyle w:val="ListBullet"/>
      </w:pPr>
      <w:r>
        <w:t>（四）拟派项目经理须具备 PMP 或信息系统项目管理师（高级）资格，且为本单位在职人员（提供证书及近 6 个月社保证明）；</w:t>
      </w:r>
    </w:p>
    <w:p>
      <w:pPr>
        <w:pStyle w:val="ListBullet"/>
      </w:pPr>
      <w:r>
        <w:t>（五）参加本次采购活动前三年内，在经营活动中没有重大违法记录（提供声明函）；</w:t>
      </w:r>
    </w:p>
    <w:p>
      <w:pPr>
        <w:pStyle w:val="ListBullet"/>
      </w:pPr>
      <w:r>
        <w:t>（六）本项目不接受联合体投标，不允许分包、转包。</w:t>
      </w:r>
    </w:p>
    <w:p>
      <w:pPr>
        <w:pStyle w:val="Heading2"/>
      </w:pPr>
      <w:r>
        <w:t>三、时间安排</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事项</w:t>
            </w:r>
          </w:p>
        </w:tc>
        <w:tc>
          <w:tcPr>
            <w:tcW w:type="dxa" w:w="2880"/>
          </w:tcPr>
          <w:p>
            <w:r>
              <w:rPr>
                <w:b/>
              </w:rPr>
              <w:t>时间</w:t>
            </w:r>
          </w:p>
        </w:tc>
        <w:tc>
          <w:tcPr>
            <w:tcW w:type="dxa" w:w="2880"/>
          </w:tcPr>
          <w:p>
            <w:r>
              <w:rPr>
                <w:b/>
              </w:rPr>
              <w:t>地点/方式</w:t>
            </w:r>
          </w:p>
        </w:tc>
      </w:tr>
      <w:tr>
        <w:tc>
          <w:tcPr>
            <w:tcW w:type="dxa" w:w="2880"/>
          </w:tcPr>
          <w:p>
            <w:r>
              <w:t>招标公告发布</w:t>
            </w:r>
          </w:p>
        </w:tc>
        <w:tc>
          <w:tcPr>
            <w:tcW w:type="dxa" w:w="2880"/>
          </w:tcPr>
          <w:p>
            <w:r>
              <w:t>2026年9月28日</w:t>
            </w:r>
          </w:p>
        </w:tc>
        <w:tc>
          <w:tcPr>
            <w:tcW w:type="dxa" w:w="2880"/>
          </w:tcPr>
          <w:p>
            <w:r>
              <w:t>云澜市公共资源交易网</w:t>
            </w:r>
          </w:p>
        </w:tc>
      </w:tr>
      <w:tr>
        <w:tc>
          <w:tcPr>
            <w:tcW w:type="dxa" w:w="2880"/>
          </w:tcPr>
          <w:p>
            <w:r>
              <w:t>现场踏勘</w:t>
            </w:r>
          </w:p>
        </w:tc>
        <w:tc>
          <w:tcPr>
            <w:tcW w:type="dxa" w:w="2880"/>
          </w:tcPr>
          <w:p>
            <w:r>
              <w:t>2026年10月12日 09:30</w:t>
            </w:r>
          </w:p>
        </w:tc>
        <w:tc>
          <w:tcPr>
            <w:tcW w:type="dxa" w:w="2880"/>
          </w:tcPr>
          <w:p>
            <w:r>
              <w:t>云澜市青梧区政务服务中心</w:t>
            </w:r>
          </w:p>
        </w:tc>
      </w:tr>
      <w:tr>
        <w:tc>
          <w:tcPr>
            <w:tcW w:type="dxa" w:w="2880"/>
          </w:tcPr>
          <w:p>
            <w:r>
              <w:t>答疑截止</w:t>
            </w:r>
          </w:p>
        </w:tc>
        <w:tc>
          <w:tcPr>
            <w:tcW w:type="dxa" w:w="2880"/>
          </w:tcPr>
          <w:p>
            <w:r>
              <w:t>2026年10月13日 17:00</w:t>
            </w:r>
          </w:p>
        </w:tc>
        <w:tc>
          <w:tcPr>
            <w:tcW w:type="dxa" w:w="2880"/>
          </w:tcPr>
          <w:p>
            <w:r>
              <w:t>书面形式提交代理机构</w:t>
            </w:r>
          </w:p>
        </w:tc>
      </w:tr>
      <w:tr>
        <w:tc>
          <w:tcPr>
            <w:tcW w:type="dxa" w:w="2880"/>
          </w:tcPr>
          <w:p>
            <w:r>
              <w:t>投标截止及开标</w:t>
            </w:r>
          </w:p>
        </w:tc>
        <w:tc>
          <w:tcPr>
            <w:tcW w:type="dxa" w:w="2880"/>
          </w:tcPr>
          <w:p>
            <w:r>
              <w:t>2026年10月20日 09:30</w:t>
            </w:r>
          </w:p>
        </w:tc>
        <w:tc>
          <w:tcPr>
            <w:tcW w:type="dxa" w:w="2880"/>
          </w:tcPr>
          <w:p>
            <w:r>
              <w:t>云澜市公共资源交易中心第三开标室</w:t>
            </w:r>
          </w:p>
        </w:tc>
      </w:tr>
    </w:tbl>
    <w:p>
      <w:pPr>
        <w:pStyle w:val="Heading2"/>
      </w:pPr>
      <w:r>
        <w:t>四、投标保证金</w:t>
      </w:r>
    </w:p>
    <w:p>
      <w:pPr/>
      <w:r>
        <w:rPr>
          <w:b w:val="0"/>
        </w:rPr>
        <w:t>本项目投标保证金为人民币 7 万元整，须于投标截止时间前从投标人基本账户转账至指定账户，否则其投标文件将被拒收。未中标人的保证金在中标通知书发出后 5 个工作日内退还（不计息）。</w:t>
      </w:r>
    </w:p>
    <w:p>
      <w:pPr>
        <w:pStyle w:val="Heading2"/>
      </w:pPr>
      <w:r>
        <w:t>五、联系方式</w:t>
      </w:r>
    </w:p>
    <w:p>
      <w:pPr/>
      <w:r>
        <w:rPr>
          <w:b w:val="0"/>
        </w:rPr>
        <w:t>代理机构：云澜市公共资源交易中心；地址：云澜市星洲区府前路 100 号；联系人：周雨桐；电话：0588-6688 0102。</w:t>
      </w:r>
    </w:p>
    <w:p>
      <w:pPr>
        <w:pStyle w:val="Heading1"/>
      </w:pPr>
      <w:r>
        <w:t>第二章 投标人须知</w:t>
      </w:r>
    </w:p>
    <w:p>
      <w:pPr>
        <w:pStyle w:val="Heading2"/>
      </w:pPr>
      <w:r>
        <w:t>一、投标人须知前附表</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条款名称</w:t>
            </w:r>
          </w:p>
        </w:tc>
        <w:tc>
          <w:tcPr>
            <w:tcW w:type="dxa" w:w="2880"/>
          </w:tcPr>
          <w:p>
            <w:r>
              <w:rPr>
                <w:b/>
              </w:rPr>
              <w:t>编列内容</w:t>
            </w:r>
          </w:p>
        </w:tc>
      </w:tr>
      <w:tr>
        <w:tc>
          <w:tcPr>
            <w:tcW w:type="dxa" w:w="2880"/>
          </w:tcPr>
          <w:p>
            <w:r>
              <w:t>1</w:t>
            </w:r>
          </w:p>
        </w:tc>
        <w:tc>
          <w:tcPr>
            <w:tcW w:type="dxa" w:w="2880"/>
          </w:tcPr>
          <w:p>
            <w:r>
              <w:t>项目名称</w:t>
            </w:r>
          </w:p>
        </w:tc>
        <w:tc>
          <w:tcPr>
            <w:tcW w:type="dxa" w:w="2880"/>
          </w:tcPr>
          <w:p>
            <w:r>
              <w:t>云澜市一体化政务服务平台运维及功能升级项目</w:t>
            </w:r>
          </w:p>
        </w:tc>
      </w:tr>
      <w:tr>
        <w:tc>
          <w:tcPr>
            <w:tcW w:type="dxa" w:w="2880"/>
          </w:tcPr>
          <w:p>
            <w:r>
              <w:t>2</w:t>
            </w:r>
          </w:p>
        </w:tc>
        <w:tc>
          <w:tcPr>
            <w:tcW w:type="dxa" w:w="2880"/>
          </w:tcPr>
          <w:p>
            <w:r>
              <w:t>服务期限</w:t>
            </w:r>
          </w:p>
        </w:tc>
        <w:tc>
          <w:tcPr>
            <w:tcW w:type="dxa" w:w="2880"/>
          </w:tcPr>
          <w:p>
            <w:r>
              <w:t>12 个月</w:t>
            </w:r>
          </w:p>
        </w:tc>
      </w:tr>
      <w:tr>
        <w:tc>
          <w:tcPr>
            <w:tcW w:type="dxa" w:w="2880"/>
          </w:tcPr>
          <w:p>
            <w:r>
              <w:t>3</w:t>
            </w:r>
          </w:p>
        </w:tc>
        <w:tc>
          <w:tcPr>
            <w:tcW w:type="dxa" w:w="2880"/>
          </w:tcPr>
          <w:p>
            <w:r>
              <w:t>投标有效期</w:t>
            </w:r>
          </w:p>
        </w:tc>
        <w:tc>
          <w:tcPr>
            <w:tcW w:type="dxa" w:w="2880"/>
          </w:tcPr>
          <w:p>
            <w:r>
              <w:t>自开标之日起 90 日</w:t>
            </w:r>
          </w:p>
        </w:tc>
      </w:tr>
      <w:tr>
        <w:tc>
          <w:tcPr>
            <w:tcW w:type="dxa" w:w="2880"/>
          </w:tcPr>
          <w:p>
            <w:r>
              <w:t>4</w:t>
            </w:r>
          </w:p>
        </w:tc>
        <w:tc>
          <w:tcPr>
            <w:tcW w:type="dxa" w:w="2880"/>
          </w:tcPr>
          <w:p>
            <w:r>
              <w:t>投标文件份数</w:t>
            </w:r>
          </w:p>
        </w:tc>
        <w:tc>
          <w:tcPr>
            <w:tcW w:type="dxa" w:w="2880"/>
          </w:tcPr>
          <w:p>
            <w:r>
              <w:t>正本 1 份、副本 4 份、电子版（U盘）1 份</w:t>
            </w:r>
          </w:p>
        </w:tc>
      </w:tr>
      <w:tr>
        <w:tc>
          <w:tcPr>
            <w:tcW w:type="dxa" w:w="2880"/>
          </w:tcPr>
          <w:p>
            <w:r>
              <w:t>5</w:t>
            </w:r>
          </w:p>
        </w:tc>
        <w:tc>
          <w:tcPr>
            <w:tcW w:type="dxa" w:w="2880"/>
          </w:tcPr>
          <w:p>
            <w:r>
              <w:t>投标保证金</w:t>
            </w:r>
          </w:p>
        </w:tc>
        <w:tc>
          <w:tcPr>
            <w:tcW w:type="dxa" w:w="2880"/>
          </w:tcPr>
          <w:p>
            <w:r>
              <w:t>7 万元</w:t>
            </w:r>
          </w:p>
        </w:tc>
      </w:tr>
      <w:tr>
        <w:tc>
          <w:tcPr>
            <w:tcW w:type="dxa" w:w="2880"/>
          </w:tcPr>
          <w:p>
            <w:r>
              <w:t>6</w:t>
            </w:r>
          </w:p>
        </w:tc>
        <w:tc>
          <w:tcPr>
            <w:tcW w:type="dxa" w:w="2880"/>
          </w:tcPr>
          <w:p>
            <w:r>
              <w:t>踏勘现场</w:t>
            </w:r>
          </w:p>
        </w:tc>
        <w:tc>
          <w:tcPr>
            <w:tcW w:type="dxa" w:w="2880"/>
          </w:tcPr>
          <w:p>
            <w:r>
              <w:t>统一组织，2026年10月12日</w:t>
            </w:r>
          </w:p>
        </w:tc>
      </w:tr>
      <w:tr>
        <w:tc>
          <w:tcPr>
            <w:tcW w:type="dxa" w:w="2880"/>
          </w:tcPr>
          <w:p>
            <w:r>
              <w:t>7</w:t>
            </w:r>
          </w:p>
        </w:tc>
        <w:tc>
          <w:tcPr>
            <w:tcW w:type="dxa" w:w="2880"/>
          </w:tcPr>
          <w:p>
            <w:r>
              <w:t>评标办法</w:t>
            </w:r>
          </w:p>
        </w:tc>
        <w:tc>
          <w:tcPr>
            <w:tcW w:type="dxa" w:w="2880"/>
          </w:tcPr>
          <w:p>
            <w:r>
              <w:t>综合评分法（详见第三章）</w:t>
            </w:r>
          </w:p>
        </w:tc>
      </w:tr>
      <w:tr>
        <w:tc>
          <w:tcPr>
            <w:tcW w:type="dxa" w:w="2880"/>
          </w:tcPr>
          <w:p>
            <w:r>
              <w:t>8</w:t>
            </w:r>
          </w:p>
        </w:tc>
        <w:tc>
          <w:tcPr>
            <w:tcW w:type="dxa" w:w="2880"/>
          </w:tcPr>
          <w:p>
            <w:r>
              <w:t>开标时间及地点</w:t>
            </w:r>
          </w:p>
        </w:tc>
        <w:tc>
          <w:tcPr>
            <w:tcW w:type="dxa" w:w="2880"/>
          </w:tcPr>
          <w:p>
            <w:r>
              <w:t>2026年10月20日 09:30，第三开标室</w:t>
            </w:r>
          </w:p>
        </w:tc>
      </w:tr>
    </w:tbl>
    <w:p>
      <w:pPr>
        <w:pStyle w:val="Heading2"/>
      </w:pPr>
      <w:r>
        <w:t>二、总则</w:t>
      </w:r>
    </w:p>
    <w:p>
      <w:pPr/>
      <w:r>
        <w:rPr>
          <w:b w:val="0"/>
        </w:rPr>
        <w:t>1. 适用范围：本招标文件仅适用于本次投标邀请所述项目的招标投标活动。</w:t>
      </w:r>
    </w:p>
    <w:p>
      <w:pPr/>
      <w:r>
        <w:rPr>
          <w:b w:val="0"/>
        </w:rPr>
        <w:t>2. 费用承担：投标人准备和提交投标文件以及参加投标所涉及的一切费用均由投标人自行承担。</w:t>
      </w:r>
    </w:p>
    <w:p>
      <w:pPr/>
      <w:r>
        <w:rPr>
          <w:b w:val="0"/>
        </w:rPr>
        <w:t>3. 语言文字：投标文件以及投标人与采购人、代理机构之间往来文件均使用简体中文。</w:t>
      </w:r>
    </w:p>
    <w:p>
      <w:pPr>
        <w:pStyle w:val="Heading2"/>
      </w:pPr>
      <w:r>
        <w:t>三、现场踏勘</w:t>
      </w:r>
    </w:p>
    <w:p>
      <w:pPr/>
      <w:r>
        <w:rPr>
          <w:b w:val="0"/>
        </w:rPr>
        <w:t>采购人于 2026 年 10 月 12 日统一组织现场踏勘，介绍平台现状与机房环境。投标人可自主决定是否参加；未参加踏勘的投标人视为已充分了解项目现场情况，中标后不得以不了解现场为由提出任何形式的索赔。</w:t>
      </w:r>
    </w:p>
    <w:p>
      <w:pPr>
        <w:pStyle w:val="Heading2"/>
      </w:pPr>
      <w:r>
        <w:t>四、投标文件的组成</w:t>
      </w:r>
    </w:p>
    <w:p>
      <w:pPr/>
      <w:r>
        <w:rPr>
          <w:b w:val="0"/>
        </w:rPr>
        <w:t>投标文件由商务部分、技术部分、报价部分三部分组成，缺少任一部分的作无效标处理：</w:t>
      </w:r>
    </w:p>
    <w:p>
      <w:pPr>
        <w:pStyle w:val="ListBullet"/>
      </w:pPr>
      <w:r>
        <w:t>（一）商务部分：投标函、法定代表人身份证明及授权委托书、投标保证金交纳凭证、资格证明文件、类似业绩合同、资质证书、项目团队一览表及社保证明、中小企业声明函（如有）、服务承诺函；</w:t>
      </w:r>
    </w:p>
    <w:p>
      <w:pPr>
        <w:pStyle w:val="ListBullet"/>
      </w:pPr>
      <w:r>
        <w:t>（二）技术部分：技术方案（含平台理解与现状分析、运维服务方案、功能升级技术方案、项目实施计划、应急预案、培训与知识转移方案）；</w:t>
      </w:r>
    </w:p>
    <w:p>
      <w:pPr>
        <w:pStyle w:val="ListBullet"/>
      </w:pPr>
      <w:r>
        <w:t>（三）报价部分：投标报价一览表、分项报价明细表。</w:t>
      </w:r>
    </w:p>
    <w:p>
      <w:pPr>
        <w:pStyle w:val="Heading2"/>
      </w:pPr>
      <w:r>
        <w:t>五、投标文件的编制、密封与递交</w:t>
      </w:r>
    </w:p>
    <w:p>
      <w:pPr/>
      <w:r>
        <w:rPr>
          <w:b w:val="0"/>
        </w:rPr>
        <w:t>1. 投标文件须打印或用不褪色墨水书写，由法定代表人或其授权委托人签字并加盖单位公章；任何行间插字、涂改须由签署人在旁边签字确认，否则作无效标处理。</w:t>
      </w:r>
    </w:p>
    <w:p>
      <w:pPr/>
      <w:r>
        <w:rPr>
          <w:b w:val="0"/>
        </w:rPr>
        <w:t>2. 投标文件正本、副本统一封装，封套上标明项目名称、项目编号、投标人名称并注明“正本”“副本”字样，封口处加盖单位公章。</w:t>
      </w:r>
    </w:p>
    <w:p>
      <w:pPr/>
      <w:r>
        <w:rPr>
          <w:b w:val="0"/>
        </w:rPr>
        <w:t>3. 投标文件须于 2026 年 10 月 20 日 09:30 前递交至云澜市公共资源交易中心第三开标室，逾期送达或未按要求密封的投标文件将被拒收。</w:t>
      </w:r>
    </w:p>
    <w:p>
      <w:pPr>
        <w:pStyle w:val="Heading2"/>
      </w:pPr>
      <w:r>
        <w:t>六、废标条款</w:t>
      </w:r>
    </w:p>
    <w:p>
      <w:pPr/>
      <w:r>
        <w:rPr>
          <w:b w:val="0"/>
        </w:rPr>
        <w:t>出现下列情形之一的，投标文件将被拒收或作无效标处理：</w:t>
      </w:r>
    </w:p>
    <w:p>
      <w:pPr>
        <w:pStyle w:val="ListBullet"/>
      </w:pPr>
      <w:r>
        <w:t>（一）投标文件未按规定要求签署、盖章或密封的；</w:t>
      </w:r>
    </w:p>
    <w:p>
      <w:pPr>
        <w:pStyle w:val="ListBullet"/>
      </w:pPr>
      <w:r>
        <w:t>（二）报价超过本项目预算金额（398 万元）的；</w:t>
      </w:r>
    </w:p>
    <w:p>
      <w:pPr>
        <w:pStyle w:val="ListBullet"/>
      </w:pPr>
      <w:r>
        <w:t>（三）投标人资格条件不符合第二章投标邀请第二款要求的；</w:t>
      </w:r>
    </w:p>
    <w:p>
      <w:pPr>
        <w:pStyle w:val="ListBullet"/>
      </w:pPr>
      <w:r>
        <w:t>（四）投标文件组成缺项（商务、技术、报价任一部分缺失）或关键内容字迹模糊、无法辨认的；</w:t>
      </w:r>
    </w:p>
    <w:p>
      <w:pPr>
        <w:pStyle w:val="ListBullet"/>
      </w:pPr>
      <w:r>
        <w:t>（五）未按规定提交投标保证金或保证金未从基本账户转出的；</w:t>
      </w:r>
    </w:p>
    <w:p>
      <w:pPr>
        <w:pStyle w:val="ListBullet"/>
      </w:pPr>
      <w:r>
        <w:t>（六）投标有效期不足 90 日的；</w:t>
      </w:r>
    </w:p>
    <w:p>
      <w:pPr>
        <w:pStyle w:val="ListBullet"/>
      </w:pPr>
      <w:r>
        <w:t>（七）投标人相互串通投标、与采购人或代理机构串通投标，或提供虚假材料的；</w:t>
      </w:r>
    </w:p>
    <w:p>
      <w:pPr>
        <w:pStyle w:val="ListBullet"/>
      </w:pPr>
      <w:r>
        <w:t>（八）法律、法规和本招标文件规定的其他无效标情形。</w:t>
      </w:r>
    </w:p>
    <w:p>
      <w:pPr>
        <w:pStyle w:val="Heading2"/>
      </w:pPr>
      <w:r>
        <w:t>七、开标、评标与定标</w:t>
      </w:r>
    </w:p>
    <w:p>
      <w:pPr/>
      <w:r>
        <w:rPr>
          <w:b w:val="0"/>
        </w:rPr>
        <w:t>1. 开标于投标截止同一时间公开进行，投标人法定代表人或授权代表须持有效身份证明出席，否则视为认可开标结果。</w:t>
      </w:r>
    </w:p>
    <w:p>
      <w:pPr/>
      <w:r>
        <w:rPr>
          <w:b w:val="0"/>
        </w:rPr>
        <w:t>2. 评标由依法组建的评标委员会负责，评标委员会成员为 5 人，其中技术、经济方面的专家不少于三分之二。</w:t>
      </w:r>
    </w:p>
    <w:p>
      <w:pPr/>
      <w:r>
        <w:rPr>
          <w:b w:val="0"/>
        </w:rPr>
        <w:t>3. 评标委员会按符合性审查、技术商务评审、报价评审的程序进行，具体评分标准见第三章。</w:t>
      </w:r>
    </w:p>
    <w:p>
      <w:pPr/>
      <w:r>
        <w:rPr>
          <w:b w:val="0"/>
        </w:rPr>
        <w:t>4. 采购人依据评标委员会推荐的中标候选人顺序确定中标人，并向中标人发出中标通知书。</w:t>
      </w:r>
    </w:p>
    <w:p>
      <w:pPr>
        <w:pStyle w:val="Heading1"/>
      </w:pPr>
      <w:r>
        <w:t>第三章 评标办法（综合评分法）</w:t>
      </w:r>
    </w:p>
    <w:p>
      <w:pPr/>
      <w:r>
        <w:rPr>
          <w:b w:val="0"/>
        </w:rPr>
        <w:t>通过资格性检查与符合性审查（含第二章第六款废标条款）的投标人进入详细评审。综合评分满分 100 分：价格部分 30 分、技术部分 55 分、商务部分 15 分。按评审总得分由高到低推荐中标候选人；总得分相同的，报价低者优先。</w:t>
      </w:r>
    </w:p>
    <w:p>
      <w:pPr>
        <w:pStyle w:val="Heading2"/>
      </w:pPr>
      <w:r>
        <w:t>一、价格分（30 分）</w:t>
      </w:r>
    </w:p>
    <w:p>
      <w:pPr/>
      <w:r>
        <w:rPr>
          <w:b w:val="0"/>
        </w:rPr>
        <w:t>以满足招标文件要求且投标价格最低的投标报价为评审基准价，其价格分为满分 30 分。其他投标人的价格分统一按照下列公式计算：价格分 =（评审基准价 ÷ 投标报价）× 30，保留小数点后两位。报价明显低于成本价且无法合理说明的，按无效标处理。</w:t>
      </w:r>
    </w:p>
    <w:p>
      <w:pPr>
        <w:pStyle w:val="Heading2"/>
      </w:pPr>
      <w:r>
        <w:t>二、技术分（55 分）</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评审因素</w:t>
            </w:r>
          </w:p>
        </w:tc>
        <w:tc>
          <w:tcPr>
            <w:tcW w:type="dxa" w:w="2880"/>
          </w:tcPr>
          <w:p>
            <w:r>
              <w:rPr>
                <w:b/>
              </w:rPr>
              <w:t>评审标准</w:t>
            </w:r>
          </w:p>
        </w:tc>
        <w:tc>
          <w:tcPr>
            <w:tcW w:type="dxa" w:w="2880"/>
          </w:tcPr>
          <w:p>
            <w:r>
              <w:rPr>
                <w:b/>
              </w:rPr>
              <w:t>分值</w:t>
            </w:r>
          </w:p>
        </w:tc>
      </w:tr>
      <w:tr>
        <w:tc>
          <w:tcPr>
            <w:tcW w:type="dxa" w:w="2880"/>
          </w:tcPr>
          <w:p>
            <w:r>
              <w:t>平台理解与现状分析</w:t>
            </w:r>
          </w:p>
        </w:tc>
        <w:tc>
          <w:tcPr>
            <w:tcW w:type="dxa" w:w="2880"/>
          </w:tcPr>
          <w:p>
            <w:r>
              <w:t>对一体化政务服务平台现状、架构与痛点的理解准确、分析透彻，得 6-8 分；理解基本准确得 3-5 分；理解有明显偏差得 0-2 分</w:t>
            </w:r>
          </w:p>
        </w:tc>
        <w:tc>
          <w:tcPr>
            <w:tcW w:type="dxa" w:w="2880"/>
          </w:tcPr>
          <w:p>
            <w:r>
              <w:t>8 分</w:t>
            </w:r>
          </w:p>
        </w:tc>
      </w:tr>
      <w:tr>
        <w:tc>
          <w:tcPr>
            <w:tcW w:type="dxa" w:w="2880"/>
          </w:tcPr>
          <w:p>
            <w:r>
              <w:t>运维服务方案</w:t>
            </w:r>
          </w:p>
        </w:tc>
        <w:tc>
          <w:tcPr>
            <w:tcW w:type="dxa" w:w="2880"/>
          </w:tcPr>
          <w:p>
            <w:r>
              <w:t>运维组织体系、服务目录、巡检与故障分级响应、SLA 承诺完整可行，得 11-15 分；基本完整得 6-10 分；粗略不可行得 0-5 分</w:t>
            </w:r>
          </w:p>
        </w:tc>
        <w:tc>
          <w:tcPr>
            <w:tcW w:type="dxa" w:w="2880"/>
          </w:tcPr>
          <w:p>
            <w:r>
              <w:t>15 分</w:t>
            </w:r>
          </w:p>
        </w:tc>
      </w:tr>
      <w:tr>
        <w:tc>
          <w:tcPr>
            <w:tcW w:type="dxa" w:w="2880"/>
          </w:tcPr>
          <w:p>
            <w:r>
              <w:t>功能升级技术方案</w:t>
            </w:r>
          </w:p>
        </w:tc>
        <w:tc>
          <w:tcPr>
            <w:tcW w:type="dxa" w:w="2880"/>
          </w:tcPr>
          <w:p>
            <w:r>
              <w:t>五个升级模块（智能导办、电子证照集成、好差评分析、移动端适配、数据大屏）方案具体、技术选型合理、与现有平台衔接充分，得 11-15 分；基本合理得 6-10 分；笼统含糊得 0-5 分</w:t>
            </w:r>
          </w:p>
        </w:tc>
        <w:tc>
          <w:tcPr>
            <w:tcW w:type="dxa" w:w="2880"/>
          </w:tcPr>
          <w:p>
            <w:r>
              <w:t>15 分</w:t>
            </w:r>
          </w:p>
        </w:tc>
      </w:tr>
      <w:tr>
        <w:tc>
          <w:tcPr>
            <w:tcW w:type="dxa" w:w="2880"/>
          </w:tcPr>
          <w:p>
            <w:r>
              <w:t>应急预案</w:t>
            </w:r>
          </w:p>
        </w:tc>
        <w:tc>
          <w:tcPr>
            <w:tcW w:type="dxa" w:w="2880"/>
          </w:tcPr>
          <w:p>
            <w:r>
              <w:t>重大故障、网络安全事件等应急预案完整且具备可操作性，得 5-7 分；基本具备得 3-4 分；缺失或不可操作得 0-2 分</w:t>
            </w:r>
          </w:p>
        </w:tc>
        <w:tc>
          <w:tcPr>
            <w:tcW w:type="dxa" w:w="2880"/>
          </w:tcPr>
          <w:p>
            <w:r>
              <w:t>7 分</w:t>
            </w:r>
          </w:p>
        </w:tc>
      </w:tr>
      <w:tr>
        <w:tc>
          <w:tcPr>
            <w:tcW w:type="dxa" w:w="2880"/>
          </w:tcPr>
          <w:p>
            <w:r>
              <w:t>项目团队</w:t>
            </w:r>
          </w:p>
        </w:tc>
        <w:tc>
          <w:tcPr>
            <w:tcW w:type="dxa" w:w="2880"/>
          </w:tcPr>
          <w:p>
            <w:r>
              <w:t>项目经理及成员配置与资格满足要求、分工清晰，得 4-5 分；基本满足得 2-3 分；不满足得 0-1 分</w:t>
            </w:r>
          </w:p>
        </w:tc>
        <w:tc>
          <w:tcPr>
            <w:tcW w:type="dxa" w:w="2880"/>
          </w:tcPr>
          <w:p>
            <w:r>
              <w:t>5 分</w:t>
            </w:r>
          </w:p>
        </w:tc>
      </w:tr>
      <w:tr>
        <w:tc>
          <w:tcPr>
            <w:tcW w:type="dxa" w:w="2880"/>
          </w:tcPr>
          <w:p>
            <w:r>
              <w:t>培训与知识转移</w:t>
            </w:r>
          </w:p>
        </w:tc>
        <w:tc>
          <w:tcPr>
            <w:tcW w:type="dxa" w:w="2880"/>
          </w:tcPr>
          <w:p>
            <w:r>
              <w:t>培训计划与知识转移安排具体可考核，得 4-5 分；基本安排得 2-3 分；未安排得 0-1 分</w:t>
            </w:r>
          </w:p>
        </w:tc>
        <w:tc>
          <w:tcPr>
            <w:tcW w:type="dxa" w:w="2880"/>
          </w:tcPr>
          <w:p>
            <w:r>
              <w:t>5 分</w:t>
            </w:r>
          </w:p>
        </w:tc>
      </w:tr>
    </w:tbl>
    <w:p>
      <w:pPr>
        <w:pStyle w:val="Heading2"/>
      </w:pPr>
      <w:r>
        <w:t>三、商务分（15 分）</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评审因素</w:t>
            </w:r>
          </w:p>
        </w:tc>
        <w:tc>
          <w:tcPr>
            <w:tcW w:type="dxa" w:w="2880"/>
          </w:tcPr>
          <w:p>
            <w:r>
              <w:rPr>
                <w:b/>
              </w:rPr>
              <w:t>评审标准</w:t>
            </w:r>
          </w:p>
        </w:tc>
        <w:tc>
          <w:tcPr>
            <w:tcW w:type="dxa" w:w="2880"/>
          </w:tcPr>
          <w:p>
            <w:r>
              <w:rPr>
                <w:b/>
              </w:rPr>
              <w:t>分值</w:t>
            </w:r>
          </w:p>
        </w:tc>
      </w:tr>
      <w:tr>
        <w:tc>
          <w:tcPr>
            <w:tcW w:type="dxa" w:w="2880"/>
          </w:tcPr>
          <w:p>
            <w:r>
              <w:t>类似业绩</w:t>
            </w:r>
          </w:p>
        </w:tc>
        <w:tc>
          <w:tcPr>
            <w:tcW w:type="dxa" w:w="2880"/>
          </w:tcPr>
          <w:p>
            <w:r>
              <w:t>2023 年以来每提供 1 个单项合同金额 100 万元以上的信息化运维或政务平台建设业绩得 3 分，最多计 3 个</w:t>
            </w:r>
          </w:p>
        </w:tc>
        <w:tc>
          <w:tcPr>
            <w:tcW w:type="dxa" w:w="2880"/>
          </w:tcPr>
          <w:p>
            <w:r>
              <w:t>9 分</w:t>
            </w:r>
          </w:p>
        </w:tc>
      </w:tr>
      <w:tr>
        <w:tc>
          <w:tcPr>
            <w:tcW w:type="dxa" w:w="2880"/>
          </w:tcPr>
          <w:p>
            <w:r>
              <w:t>体系与资质证书</w:t>
            </w:r>
          </w:p>
        </w:tc>
        <w:tc>
          <w:tcPr>
            <w:tcW w:type="dxa" w:w="2880"/>
          </w:tcPr>
          <w:p>
            <w:r>
              <w:t>具有信息技术服务管理体系认证（ISO20000）得 2 分；信息安全管理体系认证（ISO27001）得 2 分；CMMI 3 级及以上得 2 分</w:t>
            </w:r>
          </w:p>
        </w:tc>
        <w:tc>
          <w:tcPr>
            <w:tcW w:type="dxa" w:w="2880"/>
          </w:tcPr>
          <w:p>
            <w:r>
              <w:t>6 分</w:t>
            </w:r>
          </w:p>
        </w:tc>
      </w:tr>
    </w:tbl>
    <w:p>
      <w:pPr>
        <w:pStyle w:val="Heading2"/>
      </w:pPr>
      <w:r>
        <w:t>四、评分汇总表</w:t>
      </w:r>
    </w:p>
    <w:tbl>
      <w:tblPr>
        <w:tblStyle w:val="TableGrid"/>
        <w:tblW w:type="auto" w:w="0"/>
        <w:tblLook w:firstColumn="1" w:firstRow="1" w:lastColumn="0" w:lastRow="0" w:noHBand="0" w:noVBand="1" w:val="04A0"/>
      </w:tblPr>
      <w:tblGrid>
        <w:gridCol w:w="4320"/>
        <w:gridCol w:w="4320"/>
      </w:tblGrid>
      <w:tr>
        <w:tc>
          <w:tcPr>
            <w:tcW w:type="dxa" w:w="4320"/>
          </w:tcPr>
          <w:p>
            <w:r>
              <w:rPr>
                <w:b/>
              </w:rPr>
              <w:t>评分部分</w:t>
            </w:r>
          </w:p>
        </w:tc>
        <w:tc>
          <w:tcPr>
            <w:tcW w:type="dxa" w:w="4320"/>
          </w:tcPr>
          <w:p>
            <w:r>
              <w:rPr>
                <w:b/>
              </w:rPr>
              <w:t>分值</w:t>
            </w:r>
          </w:p>
        </w:tc>
      </w:tr>
      <w:tr>
        <w:tc>
          <w:tcPr>
            <w:tcW w:type="dxa" w:w="4320"/>
          </w:tcPr>
          <w:p>
            <w:r>
              <w:t>价格部分</w:t>
            </w:r>
          </w:p>
        </w:tc>
        <w:tc>
          <w:tcPr>
            <w:tcW w:type="dxa" w:w="4320"/>
          </w:tcPr>
          <w:p>
            <w:r>
              <w:t>30 分</w:t>
            </w:r>
          </w:p>
        </w:tc>
      </w:tr>
      <w:tr>
        <w:tc>
          <w:tcPr>
            <w:tcW w:type="dxa" w:w="4320"/>
          </w:tcPr>
          <w:p>
            <w:r>
              <w:t>技术部分</w:t>
            </w:r>
          </w:p>
        </w:tc>
        <w:tc>
          <w:tcPr>
            <w:tcW w:type="dxa" w:w="4320"/>
          </w:tcPr>
          <w:p>
            <w:r>
              <w:t>55 分</w:t>
            </w:r>
          </w:p>
        </w:tc>
      </w:tr>
      <w:tr>
        <w:tc>
          <w:tcPr>
            <w:tcW w:type="dxa" w:w="4320"/>
          </w:tcPr>
          <w:p>
            <w:r>
              <w:t>商务部分</w:t>
            </w:r>
          </w:p>
        </w:tc>
        <w:tc>
          <w:tcPr>
            <w:tcW w:type="dxa" w:w="4320"/>
          </w:tcPr>
          <w:p>
            <w:r>
              <w:t>15 分</w:t>
            </w:r>
          </w:p>
        </w:tc>
      </w:tr>
      <w:tr>
        <w:tc>
          <w:tcPr>
            <w:tcW w:type="dxa" w:w="4320"/>
          </w:tcPr>
          <w:p>
            <w:r>
              <w:t>合计</w:t>
            </w:r>
          </w:p>
        </w:tc>
        <w:tc>
          <w:tcPr>
            <w:tcW w:type="dxa" w:w="4320"/>
          </w:tcPr>
          <w:p>
            <w:r>
              <w:t>100 分</w:t>
            </w:r>
          </w:p>
        </w:tc>
      </w:tr>
    </w:tbl>
    <w:p>
      <w:pPr>
        <w:pStyle w:val="Heading1"/>
      </w:pPr>
      <w:r>
        <w:t>第四章 合同主要条款</w:t>
      </w:r>
    </w:p>
    <w:p>
      <w:pPr>
        <w:pStyle w:val="Heading2"/>
      </w:pPr>
      <w:r>
        <w:t>一、合同类型与价款</w:t>
      </w:r>
    </w:p>
    <w:p>
      <w:pPr/>
      <w:r>
        <w:rPr>
          <w:b w:val="0"/>
        </w:rPr>
        <w:t>本项目采用固定总价合同，合同价款为中标人的投标报价，服务期内不因人力成本波动调整。合同价款包含完成本项目全部服务内容所需的人工、差旅、工具、税费等一切费用。</w:t>
      </w:r>
    </w:p>
    <w:p>
      <w:pPr>
        <w:pStyle w:val="Heading2"/>
      </w:pPr>
      <w:r>
        <w:t>二、付款方式</w:t>
      </w:r>
    </w:p>
    <w:p>
      <w:pPr/>
      <w:r>
        <w:rPr>
          <w:b w:val="0"/>
        </w:rPr>
        <w:t>1. 合同签订并生效后 10 个工作日内，支付合同总额的 30% 作为预付款；</w:t>
      </w:r>
    </w:p>
    <w:p>
      <w:pPr/>
      <w:r>
        <w:rPr>
          <w:b w:val="0"/>
        </w:rPr>
        <w:t>2. 功能升级部分通过初步验收且试运行满 3 个月后，支付合同总额的 60%；</w:t>
      </w:r>
    </w:p>
    <w:p>
      <w:pPr/>
      <w:r>
        <w:rPr>
          <w:b w:val="0"/>
        </w:rPr>
        <w:t>3. 服务期满且通过终验、质保期满无质量问题后，支付剩余 10% 尾款。</w:t>
      </w:r>
    </w:p>
    <w:p>
      <w:pPr>
        <w:pStyle w:val="Heading2"/>
      </w:pPr>
      <w:r>
        <w:t>三、验收</w:t>
      </w:r>
    </w:p>
    <w:p>
      <w:pPr/>
      <w:r>
        <w:rPr>
          <w:b w:val="0"/>
        </w:rPr>
        <w:t>验收分初步验收（升级功能上线后 15 日内）、试运行（3 个月）、最终验收（服务期满后 30 日内）三个阶段。验收标准以招标文件第五章采购需求及双方确认的实施方案为准。</w:t>
      </w:r>
    </w:p>
    <w:p>
      <w:pPr>
        <w:pStyle w:val="Heading2"/>
      </w:pPr>
      <w:r>
        <w:t>四、质保与售后</w:t>
      </w:r>
    </w:p>
    <w:p>
      <w:pPr/>
      <w:r>
        <w:rPr>
          <w:b w:val="0"/>
        </w:rPr>
        <w:t>终验合格后进入质保期，质保期为 12 个月。质保期内发现的缺陷由中标人免费修复；重大缺陷 24 小时内未响应的，采购人可委托第三方修复，费用从未付款项中扣除。</w:t>
      </w:r>
    </w:p>
    <w:p>
      <w:pPr>
        <w:pStyle w:val="Heading2"/>
      </w:pPr>
      <w:r>
        <w:t>五、违约责任</w:t>
      </w:r>
    </w:p>
    <w:p>
      <w:pPr/>
      <w:r>
        <w:rPr>
          <w:b w:val="0"/>
        </w:rPr>
        <w:t>中标人无正当理由未按期交付或服务不达标的，每逾期或每发生一次扣减合同总额的 0.5%，累计不超过 10%；情节严重的，采购人有权解除合同并追究违约责任。</w:t>
      </w:r>
    </w:p>
    <w:p>
      <w:pPr>
        <w:pStyle w:val="Heading2"/>
      </w:pPr>
      <w:r>
        <w:t>六、保密条款</w:t>
      </w:r>
    </w:p>
    <w:p>
      <w:pPr/>
      <w:r>
        <w:rPr>
          <w:b w:val="0"/>
        </w:rPr>
        <w:t>中标人对履行合同过程中知悉的政务数据、公民个人信息及采购人内部资料负有保密义务，保密期限不受合同期限限制。</w:t>
      </w:r>
    </w:p>
    <w:p>
      <w:pPr>
        <w:pStyle w:val="Heading1"/>
      </w:pPr>
      <w:r>
        <w:t>第五章 采购需求与技术要求</w:t>
      </w:r>
    </w:p>
    <w:p>
      <w:pPr>
        <w:pStyle w:val="Heading2"/>
      </w:pPr>
      <w:r>
        <w:t>一、平台现状</w:t>
      </w:r>
    </w:p>
    <w:p>
      <w:pPr/>
      <w:r>
        <w:rPr>
          <w:b w:val="0"/>
        </w:rPr>
        <w:t>云澜市一体化政务服务平台于 2019 年建成上线，承载全市 42 个部门 1,800 余项政务服务事项的统一受理、审批协同与电子监察，日均办件量约 3.2 万件。平台包含政务服务门户、统一受理平台、电子监察系统、数据交换共享模块与统一用户认证模块五个子系统。随着业务量增长与国产化改造推进，平台亟需在稳定运维的基础上完成功能升级。</w:t>
      </w:r>
    </w:p>
    <w:p>
      <w:pPr>
        <w:pStyle w:val="Heading2"/>
      </w:pPr>
      <w:r>
        <w:t>二、运维服务范围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系统/模块</w:t>
            </w:r>
          </w:p>
        </w:tc>
        <w:tc>
          <w:tcPr>
            <w:tcW w:type="dxa" w:w="2880"/>
          </w:tcPr>
          <w:p>
            <w:r>
              <w:rPr>
                <w:b/>
              </w:rPr>
              <w:t>运维内容说明</w:t>
            </w:r>
          </w:p>
        </w:tc>
      </w:tr>
      <w:tr>
        <w:tc>
          <w:tcPr>
            <w:tcW w:type="dxa" w:w="2880"/>
          </w:tcPr>
          <w:p>
            <w:r>
              <w:t>1</w:t>
            </w:r>
          </w:p>
        </w:tc>
        <w:tc>
          <w:tcPr>
            <w:tcW w:type="dxa" w:w="2880"/>
          </w:tcPr>
          <w:p>
            <w:r>
              <w:t>政务服务门户</w:t>
            </w:r>
          </w:p>
        </w:tc>
        <w:tc>
          <w:tcPr>
            <w:tcW w:type="dxa" w:w="2880"/>
          </w:tcPr>
          <w:p>
            <w:r>
              <w:t>页面栏目维护、事项指南更新、发布管理、链接巡检</w:t>
            </w:r>
          </w:p>
        </w:tc>
      </w:tr>
      <w:tr>
        <w:tc>
          <w:tcPr>
            <w:tcW w:type="dxa" w:w="2880"/>
          </w:tcPr>
          <w:p>
            <w:r>
              <w:t>2</w:t>
            </w:r>
          </w:p>
        </w:tc>
        <w:tc>
          <w:tcPr>
            <w:tcW w:type="dxa" w:w="2880"/>
          </w:tcPr>
          <w:p>
            <w:r>
              <w:t>统一受理平台</w:t>
            </w:r>
          </w:p>
        </w:tc>
        <w:tc>
          <w:tcPr>
            <w:tcW w:type="dxa" w:w="2880"/>
          </w:tcPr>
          <w:p>
            <w:r>
              <w:t>受理流程配置、表单维护、办件异常处理、与省一体化平台对接保障</w:t>
            </w:r>
          </w:p>
        </w:tc>
      </w:tr>
      <w:tr>
        <w:tc>
          <w:tcPr>
            <w:tcW w:type="dxa" w:w="2880"/>
          </w:tcPr>
          <w:p>
            <w:r>
              <w:t>3</w:t>
            </w:r>
          </w:p>
        </w:tc>
        <w:tc>
          <w:tcPr>
            <w:tcW w:type="dxa" w:w="2880"/>
          </w:tcPr>
          <w:p>
            <w:r>
              <w:t>电子监察系统</w:t>
            </w:r>
          </w:p>
        </w:tc>
        <w:tc>
          <w:tcPr>
            <w:tcW w:type="dxa" w:w="2880"/>
          </w:tcPr>
          <w:p>
            <w:r>
              <w:t>监察规则维护、预警数据处理、绩效报表核查</w:t>
            </w:r>
          </w:p>
        </w:tc>
      </w:tr>
      <w:tr>
        <w:tc>
          <w:tcPr>
            <w:tcW w:type="dxa" w:w="2880"/>
          </w:tcPr>
          <w:p>
            <w:r>
              <w:t>4</w:t>
            </w:r>
          </w:p>
        </w:tc>
        <w:tc>
          <w:tcPr>
            <w:tcW w:type="dxa" w:w="2880"/>
          </w:tcPr>
          <w:p>
            <w:r>
              <w:t>数据交换共享模块</w:t>
            </w:r>
          </w:p>
        </w:tc>
        <w:tc>
          <w:tcPr>
            <w:tcW w:type="dxa" w:w="2880"/>
          </w:tcPr>
          <w:p>
            <w:r>
              <w:t>交换通道监控、数据质量核查、接口异常处置</w:t>
            </w:r>
          </w:p>
        </w:tc>
      </w:tr>
      <w:tr>
        <w:tc>
          <w:tcPr>
            <w:tcW w:type="dxa" w:w="2880"/>
          </w:tcPr>
          <w:p>
            <w:r>
              <w:t>5</w:t>
            </w:r>
          </w:p>
        </w:tc>
        <w:tc>
          <w:tcPr>
            <w:tcW w:type="dxa" w:w="2880"/>
          </w:tcPr>
          <w:p>
            <w:r>
              <w:t>统一用户认证模块</w:t>
            </w:r>
          </w:p>
        </w:tc>
        <w:tc>
          <w:tcPr>
            <w:tcW w:type="dxa" w:w="2880"/>
          </w:tcPr>
          <w:p>
            <w:r>
              <w:t>账号体系维护、单点登录保障、实名认证对接</w:t>
            </w:r>
          </w:p>
        </w:tc>
      </w:tr>
    </w:tbl>
    <w:p>
      <w:pPr>
        <w:pStyle w:val="Heading2"/>
      </w:pPr>
      <w:r>
        <w:t>三、运维服务要求</w:t>
      </w:r>
    </w:p>
    <w:p>
      <w:pPr/>
      <w:r>
        <w:rPr>
          <w:b w:val="0"/>
        </w:rPr>
        <w:t>1. 提供 7×24 小时运维支持服务，故障分级响应时限如下：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故障级别</w:t>
            </w:r>
          </w:p>
        </w:tc>
        <w:tc>
          <w:tcPr>
            <w:tcW w:type="dxa" w:w="2160"/>
          </w:tcPr>
          <w:p>
            <w:r>
              <w:rPr>
                <w:b/>
              </w:rPr>
              <w:t>定义</w:t>
            </w:r>
          </w:p>
        </w:tc>
        <w:tc>
          <w:tcPr>
            <w:tcW w:type="dxa" w:w="2160"/>
          </w:tcPr>
          <w:p>
            <w:r>
              <w:rPr>
                <w:b/>
              </w:rPr>
              <w:t>响应时限</w:t>
            </w:r>
          </w:p>
        </w:tc>
        <w:tc>
          <w:tcPr>
            <w:tcW w:type="dxa" w:w="2160"/>
          </w:tcPr>
          <w:p>
            <w:r>
              <w:rPr>
                <w:b/>
              </w:rPr>
              <w:t>解决时限</w:t>
            </w:r>
          </w:p>
        </w:tc>
      </w:tr>
      <w:tr>
        <w:tc>
          <w:tcPr>
            <w:tcW w:type="dxa" w:w="2160"/>
          </w:tcPr>
          <w:p>
            <w:r>
              <w:t>紧急故障（一级）</w:t>
            </w:r>
          </w:p>
        </w:tc>
        <w:tc>
          <w:tcPr>
            <w:tcW w:type="dxa" w:w="2160"/>
          </w:tcPr>
          <w:p>
            <w:r>
              <w:t>平台整体不可用或核心办件中断</w:t>
            </w:r>
          </w:p>
        </w:tc>
        <w:tc>
          <w:tcPr>
            <w:tcW w:type="dxa" w:w="2160"/>
          </w:tcPr>
          <w:p>
            <w:r>
              <w:t>15 分钟内响应，2 小时内到场</w:t>
            </w:r>
          </w:p>
        </w:tc>
        <w:tc>
          <w:tcPr>
            <w:tcW w:type="dxa" w:w="2160"/>
          </w:tcPr>
          <w:p>
            <w:r>
              <w:t>8 小时内恢复</w:t>
            </w:r>
          </w:p>
        </w:tc>
      </w:tr>
      <w:tr>
        <w:tc>
          <w:tcPr>
            <w:tcW w:type="dxa" w:w="2160"/>
          </w:tcPr>
          <w:p>
            <w:r>
              <w:t>重大故障（二级）</w:t>
            </w:r>
          </w:p>
        </w:tc>
        <w:tc>
          <w:tcPr>
            <w:tcW w:type="dxa" w:w="2160"/>
          </w:tcPr>
          <w:p>
            <w:r>
              <w:t>单个子系统不可用或严重影响使用</w:t>
            </w:r>
          </w:p>
        </w:tc>
        <w:tc>
          <w:tcPr>
            <w:tcW w:type="dxa" w:w="2160"/>
          </w:tcPr>
          <w:p>
            <w:r>
              <w:t>30 分钟内响应</w:t>
            </w:r>
          </w:p>
        </w:tc>
        <w:tc>
          <w:tcPr>
            <w:tcW w:type="dxa" w:w="2160"/>
          </w:tcPr>
          <w:p>
            <w:r>
              <w:t>24 小时内恢复</w:t>
            </w:r>
          </w:p>
        </w:tc>
      </w:tr>
      <w:tr>
        <w:tc>
          <w:tcPr>
            <w:tcW w:type="dxa" w:w="2160"/>
          </w:tcPr>
          <w:p>
            <w:r>
              <w:t>一般故障（三级）</w:t>
            </w:r>
          </w:p>
        </w:tc>
        <w:tc>
          <w:tcPr>
            <w:tcW w:type="dxa" w:w="2160"/>
          </w:tcPr>
          <w:p>
            <w:r>
              <w:t>局部功能异常，有替代途径</w:t>
            </w:r>
          </w:p>
        </w:tc>
        <w:tc>
          <w:tcPr>
            <w:tcW w:type="dxa" w:w="2160"/>
          </w:tcPr>
          <w:p>
            <w:r>
              <w:t>4 小时内响应</w:t>
            </w:r>
          </w:p>
        </w:tc>
        <w:tc>
          <w:tcPr>
            <w:tcW w:type="dxa" w:w="2160"/>
          </w:tcPr>
          <w:p>
            <w:r>
              <w:t>3 个工作日内解决</w:t>
            </w:r>
          </w:p>
        </w:tc>
      </w:tr>
    </w:tbl>
    <w:p>
      <w:pPr/>
      <w:r>
        <w:rPr>
          <w:b w:val="0"/>
        </w:rPr>
        <w:t>2. 每月开展一次全面巡检并出具巡检报告；每季度开展一次性能压测与容量评估。</w:t>
      </w:r>
    </w:p>
    <w:p>
      <w:pPr/>
      <w:r>
        <w:rPr>
          <w:b w:val="0"/>
        </w:rPr>
        <w:t>3. 重大活动、办件高峰期间须安排工程师现场值守。</w:t>
      </w:r>
    </w:p>
    <w:p>
      <w:pPr/>
      <w:r>
        <w:rPr>
          <w:b w:val="0"/>
        </w:rPr>
        <w:t>4. 高危漏洞须在发现后 48 小时内完成修复或提供有效缓解措施。</w:t>
      </w:r>
    </w:p>
    <w:p>
      <w:pPr>
        <w:pStyle w:val="Heading2"/>
      </w:pPr>
      <w:r>
        <w:t>四、功能升级需求</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功能模块</w:t>
            </w:r>
          </w:p>
        </w:tc>
        <w:tc>
          <w:tcPr>
            <w:tcW w:type="dxa" w:w="2880"/>
          </w:tcPr>
          <w:p>
            <w:r>
              <w:rPr>
                <w:b/>
              </w:rPr>
              <w:t>需求描述</w:t>
            </w:r>
          </w:p>
        </w:tc>
      </w:tr>
      <w:tr>
        <w:tc>
          <w:tcPr>
            <w:tcW w:type="dxa" w:w="2880"/>
          </w:tcPr>
          <w:p>
            <w:r>
              <w:t>1</w:t>
            </w:r>
          </w:p>
        </w:tc>
        <w:tc>
          <w:tcPr>
            <w:tcW w:type="dxa" w:w="2880"/>
          </w:tcPr>
          <w:p>
            <w:r>
              <w:t>智能导办</w:t>
            </w:r>
          </w:p>
        </w:tc>
        <w:tc>
          <w:tcPr>
            <w:tcW w:type="dxa" w:w="2880"/>
          </w:tcPr>
          <w:p>
            <w:r>
              <w:t>基于办件情形的智能引导，支持群众输入口语化描述自动匹配事项与材料清单，准确率不低于 90%</w:t>
            </w:r>
          </w:p>
        </w:tc>
      </w:tr>
      <w:tr>
        <w:tc>
          <w:tcPr>
            <w:tcW w:type="dxa" w:w="2880"/>
          </w:tcPr>
          <w:p>
            <w:r>
              <w:t>2</w:t>
            </w:r>
          </w:p>
        </w:tc>
        <w:tc>
          <w:tcPr>
            <w:tcW w:type="dxa" w:w="2880"/>
          </w:tcPr>
          <w:p>
            <w:r>
              <w:t>电子证照调用集成</w:t>
            </w:r>
          </w:p>
        </w:tc>
        <w:tc>
          <w:tcPr>
            <w:tcW w:type="dxa" w:w="2880"/>
          </w:tcPr>
          <w:p>
            <w:r>
              <w:t>对接市级电子证照库，实现 50 类高频证照在受理环节自动调取、免提交</w:t>
            </w:r>
          </w:p>
        </w:tc>
      </w:tr>
      <w:tr>
        <w:tc>
          <w:tcPr>
            <w:tcW w:type="dxa" w:w="2880"/>
          </w:tcPr>
          <w:p>
            <w:r>
              <w:t>3</w:t>
            </w:r>
          </w:p>
        </w:tc>
        <w:tc>
          <w:tcPr>
            <w:tcW w:type="dxa" w:w="2880"/>
          </w:tcPr>
          <w:p>
            <w:r>
              <w:t>好差评分析</w:t>
            </w:r>
          </w:p>
        </w:tc>
        <w:tc>
          <w:tcPr>
            <w:tcW w:type="dxa" w:w="2880"/>
          </w:tcPr>
          <w:p>
            <w:r>
              <w:t>汇聚办件评价数据，自动生成差评归因分析与整改台账，支持按部门/事项多维统计</w:t>
            </w:r>
          </w:p>
        </w:tc>
      </w:tr>
      <w:tr>
        <w:tc>
          <w:tcPr>
            <w:tcW w:type="dxa" w:w="2880"/>
          </w:tcPr>
          <w:p>
            <w:r>
              <w:t>4</w:t>
            </w:r>
          </w:p>
        </w:tc>
        <w:tc>
          <w:tcPr>
            <w:tcW w:type="dxa" w:w="2880"/>
          </w:tcPr>
          <w:p>
            <w:r>
              <w:t>移动端适配</w:t>
            </w:r>
          </w:p>
        </w:tc>
        <w:tc>
          <w:tcPr>
            <w:tcW w:type="dxa" w:w="2880"/>
          </w:tcPr>
          <w:p>
            <w:r>
              <w:t>门户与高频事项办理页适配移动端浏览与操作，支持主流移动浏览器</w:t>
            </w:r>
          </w:p>
        </w:tc>
      </w:tr>
      <w:tr>
        <w:tc>
          <w:tcPr>
            <w:tcW w:type="dxa" w:w="2880"/>
          </w:tcPr>
          <w:p>
            <w:r>
              <w:t>5</w:t>
            </w:r>
          </w:p>
        </w:tc>
        <w:tc>
          <w:tcPr>
            <w:tcW w:type="dxa" w:w="2880"/>
          </w:tcPr>
          <w:p>
            <w:r>
              <w:t>数据大屏</w:t>
            </w:r>
          </w:p>
        </w:tc>
        <w:tc>
          <w:tcPr>
            <w:tcW w:type="dxa" w:w="2880"/>
          </w:tcPr>
          <w:p>
            <w:r>
              <w:t>建设运行监测大屏，实时展示办件量、好差评、部门效能等核心指标，支持大屏投放</w:t>
            </w:r>
          </w:p>
        </w:tc>
      </w:tr>
    </w:tbl>
    <w:p>
      <w:pPr>
        <w:pStyle w:val="Heading2"/>
      </w:pPr>
      <w:r>
        <w:t>五、性能与安全要求</w:t>
      </w:r>
    </w:p>
    <w:p>
      <w:pPr/>
      <w:r>
        <w:rPr>
          <w:b w:val="0"/>
        </w:rPr>
        <w:t>1. 平台须支持 1,000 并发用户在线，核心页面响应时间不超过 3 秒；</w:t>
      </w:r>
    </w:p>
    <w:p>
      <w:pPr/>
      <w:r>
        <w:rPr>
          <w:b w:val="0"/>
        </w:rPr>
        <w:t>2. 系统须符合网络安全等级保护第三级要求，配合采购人完成等保测评整改；</w:t>
      </w:r>
    </w:p>
    <w:p>
      <w:pPr/>
      <w:r>
        <w:rPr>
          <w:b w:val="0"/>
        </w:rPr>
        <w:t>3. 功能升级部分须完成国产化环境适配，服务器操作系统支持统信 UOS 与银河麒麟，数据库支持达梦与 openGauss；</w:t>
      </w:r>
    </w:p>
    <w:p>
      <w:pPr/>
      <w:r>
        <w:rPr>
          <w:b w:val="0"/>
        </w:rPr>
        <w:t>4. 涉及政务数据的接口须全部鉴权留痕，敏感数据传输与存储加密。</w:t>
      </w:r>
    </w:p>
    <w:p>
      <w:pPr>
        <w:pStyle w:val="Heading2"/>
      </w:pPr>
      <w:r>
        <w:t>六、实施与交付要求</w:t>
      </w:r>
    </w:p>
    <w:p>
      <w:pPr/>
      <w:r>
        <w:rPr>
          <w:b w:val="0"/>
        </w:rPr>
        <w:t>1. 合同签订后 60 日内完成五个功能模块的开发、测试与上线试运行；</w:t>
      </w:r>
    </w:p>
    <w:p>
      <w:pPr/>
      <w:r>
        <w:rPr>
          <w:b w:val="0"/>
        </w:rPr>
        <w:t>2. 项目实施期间不得影响平台正常对外服务，升级切换须安排在非工作时段；</w:t>
      </w:r>
    </w:p>
    <w:p>
      <w:pPr/>
      <w:r>
        <w:rPr>
          <w:b w:val="0"/>
        </w:rPr>
        <w:t>3. 交付物包括：可运行系统、源代码、部署文档、操作手册、培训材料；</w:t>
      </w:r>
    </w:p>
    <w:p>
      <w:pPr/>
      <w:r>
        <w:rPr>
          <w:b w:val="0"/>
        </w:rPr>
        <w:t>4. 面向采购人及窗口人员提供不少于 3 场次培训，覆盖系统操作与日常维护；</w:t>
      </w:r>
    </w:p>
    <w:p>
      <w:pPr/>
      <w:r>
        <w:rPr>
          <w:b w:val="0"/>
        </w:rPr>
        <w:t>5. 服务期内每月 5 日前提交上月运维月报。</w:t>
      </w:r>
    </w:p>
    <w:p>
      <w:pPr>
        <w:pStyle w:val="Heading1"/>
      </w:pPr>
      <w:r>
        <w:t>第六章 投标文件格式</w:t>
      </w:r>
    </w:p>
    <w:p>
      <w:pPr/>
      <w:r>
        <w:rPr>
          <w:b w:val="0"/>
        </w:rPr>
        <w:t>以下格式件为投标文件商务部分的组成部分，投标人须按格式填写并加盖公章，未按格式提供的以无效标处理。</w:t>
      </w:r>
    </w:p>
    <w:p>
      <w:pPr>
        <w:pStyle w:val="Heading2"/>
      </w:pPr>
      <w:r>
        <w:t>格式一 投标函</w:t>
      </w:r>
    </w:p>
    <w:p>
      <w:pPr/>
      <w:r>
        <w:rPr>
          <w:b w:val="0"/>
        </w:rPr>
        <w:t>致：云澜市政务服务和数据管理局</w:t>
      </w:r>
    </w:p>
    <w:p>
      <w:pPr/>
      <w:r>
        <w:rPr>
          <w:b w:val="0"/>
        </w:rPr>
        <w:t>1. 我方已仔细研究云澜市一体化政务服务平台运维及功能升级项目（项目编号：YLCG-2026-GK-0387）招标文件的全部内容，愿意以人民币（大写）　　　　元（¥　　　　）的投标总报价，按合同约定实施和完成本项目全部服务内容。</w:t>
      </w:r>
    </w:p>
    <w:p>
      <w:pPr/>
      <w:r>
        <w:rPr>
          <w:b w:val="0"/>
        </w:rPr>
        <w:t>2. 我方承诺投标有效期自开标之日起 90 日。</w:t>
      </w:r>
    </w:p>
    <w:p>
      <w:pPr/>
      <w:r>
        <w:rPr>
          <w:b w:val="0"/>
        </w:rPr>
        <w:t>3. 我方同意按招标文件规定交纳投标保证金，并承诺遵守废标条款的全部要求。</w:t>
      </w:r>
    </w:p>
    <w:p>
      <w:pPr/>
      <w:r>
        <w:rPr>
          <w:b w:val="0"/>
        </w:rPr>
        <w:t>4. 如我方中标，我方承诺在收到中标通知书后 28 日内与采购人签订合同。</w:t>
      </w:r>
    </w:p>
    <w:p>
      <w:pPr/>
      <w:r>
        <w:rPr>
          <w:b w:val="0"/>
        </w:rPr>
        <w:t>投标人（盖章）：　　　　　　法定代表人或授权代表（签字）：　　　　　　日期：　　年　　月　　日</w:t>
      </w:r>
    </w:p>
    <w:p>
      <w:pPr>
        <w:pStyle w:val="Heading2"/>
      </w:pPr>
      <w:r>
        <w:t>格式二 法定代表人身份证明及授权委托书</w:t>
      </w:r>
    </w:p>
    <w:p>
      <w:pPr/>
      <w:r>
        <w:rPr>
          <w:b w:val="0"/>
        </w:rPr>
        <w:t>（一）法定代表人身份证明</w:t>
      </w:r>
    </w:p>
    <w:p>
      <w:pPr/>
      <w:r>
        <w:rPr>
          <w:b w:val="0"/>
        </w:rPr>
        <w:t>单位名称：　　　　　　；统一社会信用代码：　　　　　　；姓名：　　　　；性别：　　；职务：　　　　；系我单位法定代表人。特此证明。附：身份证复印件。</w:t>
      </w:r>
    </w:p>
    <w:p>
      <w:pPr/>
      <w:r>
        <w:rPr>
          <w:b w:val="0"/>
        </w:rPr>
        <w:t>（二）授权委托书</w:t>
      </w:r>
    </w:p>
    <w:p>
      <w:pPr/>
      <w:r>
        <w:rPr>
          <w:b w:val="0"/>
        </w:rPr>
        <w:t>本授权委托书声明：我　　　　（姓名）系　　　　　　（投标人名称）的法定代表人，现授权我单位　　　　（姓名）为我方代理人，以我方名义参加本项目的投标活动。代理人在开标、评标、合同谈判过程中所签署的一切文件和处理与之有关的一切事务，我方均予以承认。授权期限：自签署之日起至本项目投标有效期届满。</w:t>
      </w:r>
    </w:p>
    <w:p>
      <w:pPr>
        <w:pStyle w:val="Heading2"/>
      </w:pPr>
      <w:r>
        <w:t>格式三 投标保证金交纳凭证</w:t>
      </w:r>
    </w:p>
    <w:p>
      <w:pPr/>
      <w:r>
        <w:rPr>
          <w:b w:val="0"/>
        </w:rPr>
        <w:t>附基本账户转账凭证复印件（须显示付款账户为投标人基本账户），并注明项目编号。</w:t>
      </w:r>
    </w:p>
    <w:p>
      <w:pPr>
        <w:pStyle w:val="Heading2"/>
      </w:pPr>
      <w:r>
        <w:t>格式四 资格声明函</w:t>
      </w:r>
    </w:p>
    <w:p>
      <w:pPr/>
      <w:r>
        <w:rPr>
          <w:b w:val="0"/>
        </w:rPr>
        <w:t>我方声明具备招标文件规定的全部资格条件，所提供的业绩合同、资质证书、人员证书等材料真实有效，如有虚假，愿意承担被取消投标或中标资格、没收投标保证金的后果。近三年内我方无重大违法记录。</w:t>
      </w:r>
    </w:p>
    <w:p>
      <w:pPr>
        <w:pStyle w:val="Heading2"/>
      </w:pPr>
      <w:r>
        <w:t>格式五 中小企业声明函（如有）</w:t>
      </w:r>
    </w:p>
    <w:p>
      <w:pPr/>
      <w:r>
        <w:rPr>
          <w:b w:val="0"/>
        </w:rPr>
        <w:t>本公司（联合体）郑重声明，根据《政府采购促进中小企业发展管理办法》的规定，本公司参加本项目采购活动为符合条件的小型/微型企业。本公司对声明的真实性负责。</w:t>
      </w:r>
    </w:p>
    <w:p>
      <w:pPr>
        <w:pStyle w:val="Heading2"/>
      </w:pPr>
      <w:r>
        <w:t>格式六 项目团队一览表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姓名</w:t>
            </w:r>
          </w:p>
        </w:tc>
        <w:tc>
          <w:tcPr>
            <w:tcW w:type="dxa" w:w="1728"/>
          </w:tcPr>
          <w:p>
            <w:r>
              <w:rPr>
                <w:b/>
              </w:rPr>
              <w:t>本项目岗位</w:t>
            </w:r>
          </w:p>
        </w:tc>
        <w:tc>
          <w:tcPr>
            <w:tcW w:type="dxa" w:w="1728"/>
          </w:tcPr>
          <w:p>
            <w:r>
              <w:rPr>
                <w:b/>
              </w:rPr>
              <w:t>职业资格/证书</w:t>
            </w:r>
          </w:p>
        </w:tc>
        <w:tc>
          <w:tcPr>
            <w:tcW w:type="dxa" w:w="1728"/>
          </w:tcPr>
          <w:p>
            <w:r>
              <w:rPr>
                <w:b/>
              </w:rPr>
              <w:t>证书编号</w:t>
            </w:r>
          </w:p>
        </w:tc>
        <w:tc>
          <w:tcPr>
            <w:tcW w:type="dxa" w:w="1728"/>
          </w:tcPr>
          <w:p>
            <w:r>
              <w:rPr>
                <w:b/>
              </w:rPr>
              <w:t>备注（社保）</w:t>
            </w:r>
          </w:p>
        </w:tc>
      </w:tr>
      <w:tr>
        <w:tc>
          <w:tcPr>
            <w:tcW w:type="dxa" w:w="1728"/>
          </w:tcPr>
          <w:p>
            <w:r/>
          </w:p>
        </w:tc>
        <w:tc>
          <w:tcPr>
            <w:tcW w:type="dxa" w:w="1728"/>
          </w:tcPr>
          <w:p>
            <w:r>
              <w:t>项目经理</w:t>
            </w:r>
          </w:p>
        </w:tc>
        <w:tc>
          <w:tcPr>
            <w:tcW w:type="dxa" w:w="1728"/>
          </w:tcPr>
          <w:p>
            <w:r/>
          </w:p>
        </w:tc>
        <w:tc>
          <w:tcPr>
            <w:tcW w:type="dxa" w:w="1728"/>
          </w:tcPr>
          <w:p>
            <w:r/>
          </w:p>
        </w:tc>
        <w:tc>
          <w:tcPr>
            <w:tcW w:type="dxa" w:w="1728"/>
          </w:tcPr>
          <w:p>
            <w:r>
              <w:t>近6个月社保</w:t>
            </w:r>
          </w:p>
        </w:tc>
      </w:tr>
      <w:tr>
        <w:tc>
          <w:tcPr>
            <w:tcW w:type="dxa" w:w="1728"/>
          </w:tcPr>
          <w:p>
            <w:r/>
          </w:p>
        </w:tc>
        <w:tc>
          <w:tcPr>
            <w:tcW w:type="dxa" w:w="1728"/>
          </w:tcPr>
          <w:p>
            <w:r>
              <w:t>技术负责人</w:t>
            </w:r>
          </w:p>
        </w:tc>
        <w:tc>
          <w:tcPr>
            <w:tcW w:type="dxa" w:w="1728"/>
          </w:tcPr>
          <w:p>
            <w:r/>
          </w:p>
        </w:tc>
        <w:tc>
          <w:tcPr>
            <w:tcW w:type="dxa" w:w="1728"/>
          </w:tcPr>
          <w:p>
            <w:r/>
          </w:p>
        </w:tc>
        <w:tc>
          <w:tcPr>
            <w:tcW w:type="dxa" w:w="1728"/>
          </w:tcPr>
          <w:p>
            <w:r>
              <w:t>近6个月社保</w:t>
            </w:r>
          </w:p>
        </w:tc>
      </w:tr>
      <w:tr>
        <w:tc>
          <w:tcPr>
            <w:tcW w:type="dxa" w:w="1728"/>
          </w:tcPr>
          <w:p>
            <w:r/>
          </w:p>
        </w:tc>
        <w:tc>
          <w:tcPr>
            <w:tcW w:type="dxa" w:w="1728"/>
          </w:tcPr>
          <w:p>
            <w:r>
              <w:t>运维工程师</w:t>
            </w:r>
          </w:p>
        </w:tc>
        <w:tc>
          <w:tcPr>
            <w:tcW w:type="dxa" w:w="1728"/>
          </w:tcPr>
          <w:p>
            <w:r/>
          </w:p>
        </w:tc>
        <w:tc>
          <w:tcPr>
            <w:tcW w:type="dxa" w:w="1728"/>
          </w:tcPr>
          <w:p>
            <w:r/>
          </w:p>
        </w:tc>
        <w:tc>
          <w:tcPr>
            <w:tcW w:type="dxa" w:w="1728"/>
          </w:tcPr>
          <w:p>
            <w:r>
              <w:t>近6个月社保</w:t>
            </w:r>
          </w:p>
        </w:tc>
      </w:tr>
      <w:tr>
        <w:tc>
          <w:tcPr>
            <w:tcW w:type="dxa" w:w="1728"/>
          </w:tcPr>
          <w:p>
            <w:r/>
          </w:p>
        </w:tc>
        <w:tc>
          <w:tcPr>
            <w:tcW w:type="dxa" w:w="1728"/>
          </w:tcPr>
          <w:p>
            <w:r>
              <w:t>安全工程师</w:t>
            </w:r>
          </w:p>
        </w:tc>
        <w:tc>
          <w:tcPr>
            <w:tcW w:type="dxa" w:w="1728"/>
          </w:tcPr>
          <w:p>
            <w:r/>
          </w:p>
        </w:tc>
        <w:tc>
          <w:tcPr>
            <w:tcW w:type="dxa" w:w="1728"/>
          </w:tcPr>
          <w:p>
            <w:r/>
          </w:p>
        </w:tc>
        <w:tc>
          <w:tcPr>
            <w:tcW w:type="dxa" w:w="1728"/>
          </w:tcPr>
          <w:p>
            <w:r>
              <w:t>近6个月社保</w:t>
            </w:r>
          </w:p>
        </w:tc>
      </w:tr>
    </w:tbl>
    <w:p>
      <w:pPr>
        <w:pStyle w:val="Heading2"/>
      </w:pPr>
      <w:r>
        <w:t>格式七 技术方案目录</w:t>
      </w:r>
    </w:p>
    <w:p>
      <w:pPr/>
      <w:r>
        <w:rPr>
          <w:b w:val="0"/>
        </w:rPr>
        <w:t>技术方案应至少包含以下章节：一、平台理解与现状分析；二、总体思路；三、运维服务方案（含服务目录、巡检方案、故障分级响应、SLA 承诺）；四、功能升级技术方案（五个模块分述）；五、项目实施计划与进度安排；六、应急预案；七、项目团队与分工；八、培训与知识转移；九、售后服务承诺。技术方案篇幅原则上不超过 200 页。</w:t>
      </w:r>
    </w:p>
    <w:p>
      <w:pPr>
        <w:pStyle w:val="Heading2"/>
      </w:pPr>
      <w:r>
        <w:t>格式八 服务承诺函</w:t>
      </w:r>
    </w:p>
    <w:p>
      <w:pPr/>
      <w:r>
        <w:rPr>
          <w:b w:val="0"/>
        </w:rPr>
        <w:t>我方郑重承诺：1. 严格遵守招标文件各项要求；2. 服务期内派驻不少于 4 名工程师提供驻场与远程结合的运维服务；3. 重大故障 15 分钟内响应、2 小时内到场；4. 严格履行保密义务。</w:t>
      </w:r>
    </w:p>
    <w:p>
      <w:pPr/>
      <w:r>
        <w:rPr>
          <w:b w:val="0"/>
        </w:rPr>
      </w:r>
    </w:p>
    <w:p>
      <w:pPr/>
      <w:r>
        <w:rPr>
          <w:b/>
        </w:rPr>
        <w:t>采购人：云澜市政务服务和数据管理局</w:t>
      </w:r>
    </w:p>
    <w:p>
      <w:pPr/>
      <w:r>
        <w:rPr>
          <w:b/>
        </w:rPr>
        <w:t>代理机构：云澜市公共资源交易中心</w:t>
      </w:r>
    </w:p>
    <w:p>
      <w:pPr/>
      <w:r>
        <w:rPr>
          <w:b w:val="0"/>
        </w:rPr>
        <w:t>二〇二六年九月二十八日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等线" w:hAnsi="等线" w:eastAsia="等线"/>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等线" w:hAnsi="等线" w:eastAsia="等线"/>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等线" w:hAnsi="等线" w:eastAsia="等线"/>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等线" w:hAnsi="等线" w:eastAsia="等线"/>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