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青湖高新区智慧园区综合管理平台建设项目</w:t>
      </w:r>
    </w:p>
    <w:p>
      <w:pPr>
        <w:jc w:val="center"/>
      </w:pPr>
      <w:r>
        <w:rPr>
          <w:b/>
          <w:sz w:val="32"/>
        </w:rPr>
        <w:t>投 标 文 件（技术部分）</w:t>
      </w:r>
    </w:p>
    <w:p>
      <w:pPr>
        <w:jc w:val="center"/>
      </w:pPr>
      <w:r>
        <w:rPr>
          <w:b/>
          <w:sz w:val="26"/>
        </w:rPr>
        <w:t>投标人：星灵创科信息技术有限公司</w:t>
      </w:r>
    </w:p>
    <w:p>
      <w:pPr>
        <w:jc w:val="center"/>
      </w:pPr>
      <w:r>
        <w:rPr>
          <w:b w:val="0"/>
          <w:sz w:val="26"/>
        </w:rPr>
        <w:t>二〇二五年六月</w:t>
      </w:r>
    </w:p>
    <w:p>
      <w:pPr>
        <w:pStyle w:val="Heading1"/>
      </w:pPr>
      <w:r>
        <w:t>第一章 项目理解与总体思路</w:t>
      </w:r>
    </w:p>
    <w:p>
      <w:pPr/>
      <w:r>
        <w:rPr>
          <w:b w:val="0"/>
        </w:rPr>
        <w:t>青湖高新区作为全市产业升级的核心载体，园区管理正从“分散管理、被动响应”向“一网统管、主动服务”转型。本项目建设的智慧园区综合管理平台，需要打通安防、能耗、访客、资产四类核心数据，形成园区运行全景视图。我方理解，本项目的关键不在单点系统的先进性，而在于数据的贯通与业务闭环：以统一园区数据底座为基础，向上支撑智慧安防、能耗监测、访客管理等应用，向下兼容园区既有门禁、视频、电表等设备资产，避免形成新的数据孤岛。</w:t>
      </w:r>
    </w:p>
    <w:p>
      <w:pPr/>
      <w:r>
        <w:rPr>
          <w:b w:val="0"/>
        </w:rPr>
        <w:t>基于上述理解，我方确立“一个底座、三大应用、一套机制”的总体思路：一个园区数据底座实现设备、事件、空间数据的统一接入与治理；智慧安防、能耗监测、访客管理三大应用覆盖园区高频管理场景；一套运行机制通过事件流转、工单闭环与考核看板保障平台长效运营。</w:t>
      </w:r>
    </w:p>
    <w:p>
      <w:pPr>
        <w:pStyle w:val="Heading1"/>
      </w:pPr>
      <w:r>
        <w:t>第二章 总体技术方案</w:t>
      </w:r>
    </w:p>
    <w:p>
      <w:pPr>
        <w:pStyle w:val="Heading2"/>
      </w:pPr>
      <w:r>
        <w:t>2.1 总体架构</w:t>
      </w:r>
    </w:p>
    <w:p>
      <w:pPr/>
      <w:r>
        <w:rPr>
          <w:b w:val="0"/>
        </w:rPr>
        <w:t>平台采用“端—边—云—用”四层架构。端侧兼容园区既有的门禁控制器、视频摄像机、智能水电表等设备，通过标准协议接入；边缘层部署边缘网关，实现视频流本地分析与数据预处理，降低带宽压力；云侧部署园区数据底座与业务应用，采用微服务架构，支持按模块独立扩展；应用层面向园区管理中心、入驻企业与访客提供 PC 端与移动端入口。</w:t>
      </w:r>
    </w:p>
    <w:p>
      <w:pPr>
        <w:pStyle w:val="Heading2"/>
      </w:pPr>
      <w:r>
        <w:t>2.2 技术路线</w:t>
      </w:r>
    </w:p>
    <w:p>
      <w:pPr/>
      <w:r>
        <w:rPr>
          <w:b w:val="0"/>
        </w:rPr>
        <w:t>后端采用 Spring Cloud 微服务体系，服务注册、配置中心、网关均为高可用部署；数据层区分结构化与非结构化数据，结构化数据采用 PostgreSQL 集群，视频与图片等非结构化数据采用对象存储；前端采用 Vue 3 组件化开发，大屏采用可视化组件库适配多种分辨率。全栈已完成信创环境适配，可运行于统信 UOS 服务器操作系统与达梦数据库环境，满足国产化部署要求。</w:t>
      </w:r>
    </w:p>
    <w:p>
      <w:pPr>
        <w:pStyle w:val="Heading2"/>
      </w:pPr>
      <w:r>
        <w:t>2.3 数据架构</w:t>
      </w:r>
    </w:p>
    <w:p>
      <w:pPr/>
      <w:r>
        <w:rPr>
          <w:b w:val="0"/>
        </w:rPr>
        <w:t>数据底座划分为源数据层、标准层、主题层三级。源数据层原样接入设备与业务系统数据并全量留痕；标准层完成主数据统一编码，覆盖空间（楼栋/楼层/房间）、人员（员工/访客/承包商）、设备（安防/能耗/通行）三类主数据；主题层面向安防事件、能耗趋势、访客轨迹等分析场景组织数据。数据质量方面建立完整性、及时性、一致性三类校验规则，异常数据自动告警并进入人工复核队列。</w:t>
      </w:r>
    </w:p>
    <w:p>
      <w:pPr>
        <w:pStyle w:val="Heading1"/>
      </w:pPr>
      <w:r>
        <w:t>第三章 功能实现方案</w:t>
      </w:r>
    </w:p>
    <w:p>
      <w:pPr>
        <w:pStyle w:val="Heading2"/>
      </w:pPr>
      <w:r>
        <w:t>3.1 智慧安防应用</w:t>
      </w:r>
    </w:p>
    <w:p>
      <w:pPr/>
      <w:r>
        <w:rPr>
          <w:b w:val="0"/>
        </w:rPr>
        <w:t>整合园区 320 路视频监控与 86 个门禁点位，提供实时预览、周界防范、越界告警、消防联动四项核心能力。视频分析算法部署于边缘节点，重点区域实现人员徘徊、物品遗留等异常行为识别，告警自动关联就近摄像头弹出画面，并生成安防事件工单推送园区安保人员处置，处置结果回写形成闭环。</w:t>
      </w:r>
    </w:p>
    <w:p>
      <w:pPr>
        <w:pStyle w:val="Heading2"/>
      </w:pPr>
      <w:r>
        <w:t>3.2 能耗监测应用</w:t>
      </w:r>
    </w:p>
    <w:p>
      <w:pPr/>
      <w:r>
        <w:rPr>
          <w:b w:val="0"/>
        </w:rPr>
        <w:t>对园区 14 栋楼宇的水、电、气分类分项计量，按楼栋、楼层、租户三个维度形成能耗台账。支持同期对比、趋势分析与异常用能预警，对连续超出基线 20% 的计量点自动推送核查提醒。支持与园区收费系统的数据对接，为租户账单核算提供准确计量依据。</w:t>
      </w:r>
    </w:p>
    <w:p>
      <w:pPr>
        <w:pStyle w:val="Heading2"/>
      </w:pPr>
      <w:r>
        <w:t>3.3 访客管理应用</w:t>
      </w:r>
    </w:p>
    <w:p>
      <w:pPr/>
      <w:r>
        <w:rPr>
          <w:b w:val="0"/>
        </w:rPr>
        <w:t>提供访客预约、审批、通行、签离全流程线上化。访客通过移动端预约并上传身份信息，被访人确认后自动生成通行二维码；通行数据实时同步至数据底座，形成访客轨迹档案。对施工、送货等长期承包商实行白名单批次管理，证件到期自动提醒。</w:t>
      </w:r>
    </w:p>
    <w:p>
      <w:pPr>
        <w:pStyle w:val="Heading1"/>
      </w:pPr>
      <w:r>
        <w:t>第四章 项目实施方案</w:t>
      </w:r>
    </w:p>
    <w:p>
      <w:pPr>
        <w:pStyle w:val="Heading2"/>
      </w:pPr>
      <w:r>
        <w:t>4.1 实施进度计划</w:t>
      </w:r>
    </w:p>
    <w:p>
      <w:pPr/>
      <w:r>
        <w:rPr>
          <w:b w:val="0"/>
        </w:rPr>
        <w:t>项目总工期 8 个月，分四个阶段：第 1-2 个月完成需求调研与深化设计，输出需求规格说明书并经建设方评审确认；第 3-5 个月完成数据底座与三大应用开发及既有设备接入；第 6 个月完成系统集成测试与性能压测；第 7-8 个月开展试运行、问题整改与竣工验收。每个阶段设置里程碑评审，评审不通过不进入下一阶段。</w:t>
      </w:r>
    </w:p>
    <w:p>
      <w:pPr>
        <w:pStyle w:val="Heading2"/>
      </w:pPr>
      <w:r>
        <w:t>4.2 项目组织与质量保证</w:t>
      </w:r>
    </w:p>
    <w:p>
      <w:pPr/>
      <w:r>
        <w:rPr>
          <w:b w:val="0"/>
        </w:rPr>
        <w:t>项目组设项目经理 1 名、技术负责人 1 名，下设开发、实施、测试三个小组共 12 人。质量管理执行公司 ISO9001 与 CMMI 3 级过程规范：需求变更走统一变更委员会流程，代码提交强制同行评审，测试覆盖功能、性能、安全三类用例，缺陷按严重程度分级闭环，重大缺陷修复后须回归验证。</w:t>
      </w:r>
    </w:p>
    <w:p>
      <w:pPr>
        <w:pStyle w:val="Heading2"/>
      </w:pPr>
      <w:r>
        <w:t>4.3 风险管理</w:t>
      </w:r>
    </w:p>
    <w:p>
      <w:pPr/>
      <w:r>
        <w:rPr>
          <w:b w:val="0"/>
        </w:rPr>
        <w:t>识别本项目主要风险三项：既有设备协议适配风险、园区业务连续性风险、进度风险。对应措施分别为：进场首月完成全部设备协议摸底并形成适配清单；系统切换采用新旧并行一个月的策略，并行期双写双查；进度执行周例会双周滚动计划纠偏，关键路径任务配置备份资源。</w:t>
      </w:r>
    </w:p>
    <w:p>
      <w:pPr>
        <w:pStyle w:val="Heading1"/>
      </w:pPr>
      <w:r>
        <w:t>第五章 培训与知识转移</w:t>
      </w:r>
    </w:p>
    <w:p>
      <w:pPr/>
      <w:r>
        <w:rPr>
          <w:b w:val="0"/>
        </w:rPr>
        <w:t>培训分管理层、操作层、运维层三个层次设计。管理层培训聚焦平台运行态势解读与管理决策支持，时长半天；操作层培训覆盖安防值守、能耗管理、访客服务等岗位实操，采取“集中授课 + 上机演练”形式，每场不少于 2 小时；运维层培训面向园区信息中心人员，内容包括日常巡检、常见故障处置与数据备份恢复，安排在试运行期间以师带徒方式进行。全部培训材料（操作手册、运维手册、常见问题集）随竣工资料移交，确保园区在质保期结束后具备自主运营能力。</w:t>
      </w:r>
    </w:p>
    <w:p>
      <w:pPr>
        <w:pStyle w:val="Heading1"/>
      </w:pPr>
      <w:r>
        <w:t>第六章 售后服务与运维承诺</w:t>
      </w:r>
    </w:p>
    <w:p>
      <w:pPr/>
      <w:r>
        <w:rPr>
          <w:b w:val="0"/>
        </w:rPr>
        <w:t>质保期 12 个月，提供 7×24 小时服务热线与远程支持，紧急故障 30 分钟内响应、4 小时内恢复；一般问题 4 小时内响应、2 个工作日内解决。质保期内每月提供一次预防性巡检并出具报告，每季度提供一次系统健康度评估。质保期满后，可根据园区需要签订年度运维服务合同，延续同等服务水平；公司承诺对本项目开发的全部功能模块提供不少于 5 年的升级兼容支持，杜绝“交付即断代”。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等线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等线" w:hAnsi="等线" w:eastAsia="等线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等线" w:hAnsi="等线" w:eastAsia="等线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等线" w:hAnsi="等线" w:eastAsia="等线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等线" w:hAnsi="等线" w:eastAsia="等线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