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星灵创科信息技术有限公司财务审计报告（摘要）</w:t>
      </w:r>
    </w:p>
    <w:p>
      <w:pPr>
        <w:pStyle w:val="Heading1"/>
      </w:pPr>
      <w:r>
        <w:t>一、审计意见</w:t>
      </w:r>
    </w:p>
    <w:p>
      <w:pPr/>
      <w:r>
        <w:rPr>
          <w:b w:val="0"/>
        </w:rPr>
        <w:t>云澜诚正会计师事务所（普通合伙）接受星灵创科信息技术有限公司委托，对公司 2024 年度财务报表进行了审计，并出具了标准无保留意见审计报告（报告编号：云澜诚正审字〔2025〕第 066 号）。</w:t>
      </w:r>
    </w:p>
    <w:p>
      <w:pPr>
        <w:pStyle w:val="Heading1"/>
      </w:pPr>
      <w:r>
        <w:t>二、主要财务数据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2023年度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2024年度</w:t>
            </w:r>
          </w:p>
        </w:tc>
      </w:tr>
      <w:tr>
        <w:tc>
          <w:tcPr>
            <w:tcW w:type="dxa" w:w="2880"/>
          </w:tcPr>
          <w:p>
            <w:r>
              <w:t>营业收入</w:t>
            </w:r>
          </w:p>
        </w:tc>
        <w:tc>
          <w:tcPr>
            <w:tcW w:type="dxa" w:w="2880"/>
          </w:tcPr>
          <w:p>
            <w:r>
              <w:t>7,215 万元</w:t>
            </w:r>
          </w:p>
        </w:tc>
        <w:tc>
          <w:tcPr>
            <w:tcW w:type="dxa" w:w="2880"/>
          </w:tcPr>
          <w:p>
            <w:r>
              <w:t>8,642 万元</w:t>
            </w:r>
          </w:p>
        </w:tc>
      </w:tr>
      <w:tr>
        <w:tc>
          <w:tcPr>
            <w:tcW w:type="dxa" w:w="2880"/>
          </w:tcPr>
          <w:p>
            <w:r>
              <w:t>净利润</w:t>
            </w:r>
          </w:p>
        </w:tc>
        <w:tc>
          <w:tcPr>
            <w:tcW w:type="dxa" w:w="2880"/>
          </w:tcPr>
          <w:p>
            <w:r>
              <w:t>812 万元</w:t>
            </w:r>
          </w:p>
        </w:tc>
        <w:tc>
          <w:tcPr>
            <w:tcW w:type="dxa" w:w="2880"/>
          </w:tcPr>
          <w:p>
            <w:r>
              <w:t>986 万元</w:t>
            </w:r>
          </w:p>
        </w:tc>
      </w:tr>
      <w:tr>
        <w:tc>
          <w:tcPr>
            <w:tcW w:type="dxa" w:w="2880"/>
          </w:tcPr>
          <w:p>
            <w:r>
              <w:t>资产总额</w:t>
            </w:r>
          </w:p>
        </w:tc>
        <w:tc>
          <w:tcPr>
            <w:tcW w:type="dxa" w:w="2880"/>
          </w:tcPr>
          <w:p>
            <w:r>
              <w:t>7,986 万元</w:t>
            </w:r>
          </w:p>
        </w:tc>
        <w:tc>
          <w:tcPr>
            <w:tcW w:type="dxa" w:w="2880"/>
          </w:tcPr>
          <w:p>
            <w:r>
              <w:t>8,902 万元</w:t>
            </w:r>
          </w:p>
        </w:tc>
      </w:tr>
      <w:tr>
        <w:tc>
          <w:tcPr>
            <w:tcW w:type="dxa" w:w="2880"/>
          </w:tcPr>
          <w:p>
            <w:r>
              <w:t>净资产</w:t>
            </w:r>
          </w:p>
        </w:tc>
        <w:tc>
          <w:tcPr>
            <w:tcW w:type="dxa" w:w="2880"/>
          </w:tcPr>
          <w:p>
            <w:r>
              <w:t>4,613 万元</w:t>
            </w:r>
          </w:p>
        </w:tc>
        <w:tc>
          <w:tcPr>
            <w:tcW w:type="dxa" w:w="2880"/>
          </w:tcPr>
          <w:p>
            <w:r>
              <w:t>5,230 万元</w:t>
            </w:r>
          </w:p>
        </w:tc>
      </w:tr>
      <w:tr>
        <w:tc>
          <w:tcPr>
            <w:tcW w:type="dxa" w:w="2880"/>
          </w:tcPr>
          <w:p>
            <w:r>
              <w:t>资产负债率</w:t>
            </w:r>
          </w:p>
        </w:tc>
        <w:tc>
          <w:tcPr>
            <w:tcW w:type="dxa" w:w="2880"/>
          </w:tcPr>
          <w:p>
            <w:r>
              <w:t>42.2%</w:t>
            </w:r>
          </w:p>
        </w:tc>
        <w:tc>
          <w:tcPr>
            <w:tcW w:type="dxa" w:w="2880"/>
          </w:tcPr>
          <w:p>
            <w:r>
              <w:t>41.2%</w:t>
            </w:r>
          </w:p>
        </w:tc>
      </w:tr>
      <w:tr>
        <w:tc>
          <w:tcPr>
            <w:tcW w:type="dxa" w:w="2880"/>
          </w:tcPr>
          <w:p>
            <w:r>
              <w:t>研发投入占营业收入比例</w:t>
            </w:r>
          </w:p>
        </w:tc>
        <w:tc>
          <w:tcPr>
            <w:tcW w:type="dxa" w:w="2880"/>
          </w:tcPr>
          <w:p>
            <w:r>
              <w:t>10.8%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</w:tbl>
    <w:p>
      <w:pPr>
        <w:pStyle w:val="Heading1"/>
      </w:pPr>
      <w:r>
        <w:t>三、说明</w:t>
      </w:r>
    </w:p>
    <w:p>
      <w:pPr/>
      <w:r>
        <w:rPr>
          <w:b w:val="0"/>
        </w:rPr>
        <w:t>1. 上述数据取自经审计的 2024 年度财务报表及上年度比较数据；</w:t>
      </w:r>
    </w:p>
    <w:p>
      <w:pPr/>
      <w:r>
        <w:rPr>
          <w:b w:val="0"/>
        </w:rPr>
        <w:t>2. 公司近三年经营性现金流均为正，无重大诉讼、无不良信贷记录；</w:t>
      </w:r>
    </w:p>
    <w:p>
      <w:pPr/>
      <w:r>
        <w:rPr>
          <w:b w:val="0"/>
        </w:rPr>
        <w:t>3. 完整审计报告原件备查。</w:t>
      </w:r>
    </w:p>
    <w:p>
      <w:pPr/>
      <w:r>
        <w:rPr>
          <w:b w:val="0"/>
        </w:rPr>
        <w:t>编制单位：星灵创科信息技术有限公司；编制日期：2026年9月10日。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