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C563" w14:textId="77777777" w:rsidR="00696D7D" w:rsidRDefault="00696D7D" w:rsidP="00696D7D">
      <w:pPr>
        <w:rPr>
          <w:rFonts w:ascii="Montserrat" w:eastAsia="Montserrat" w:hAnsi="Montserrat" w:cs="Montserrat"/>
          <w:b/>
          <w:sz w:val="36"/>
          <w:szCs w:val="36"/>
        </w:rPr>
      </w:pPr>
      <w:r w:rsidRPr="10B083AD">
        <w:rPr>
          <w:rFonts w:ascii="Montserrat" w:eastAsia="Montserrat" w:hAnsi="Montserrat" w:cs="Montserrat"/>
          <w:b/>
          <w:bCs/>
          <w:sz w:val="36"/>
          <w:szCs w:val="36"/>
        </w:rPr>
        <w:t>Plus, Minus, Interesting (PMI)</w:t>
      </w:r>
    </w:p>
    <w:p w14:paraId="645362B2" w14:textId="2664DA4F" w:rsidR="39CF42F7" w:rsidRDefault="39CF42F7" w:rsidP="10B083AD">
      <w:pPr>
        <w:rPr>
          <w:rFonts w:ascii="Montserrat" w:eastAsia="Montserrat" w:hAnsi="Montserrat" w:cs="Montserrat"/>
          <w:b/>
          <w:bCs/>
          <w:sz w:val="36"/>
          <w:szCs w:val="36"/>
        </w:rPr>
      </w:pPr>
      <w:r w:rsidRPr="10B083AD">
        <w:rPr>
          <w:rFonts w:ascii="Montserrat" w:eastAsia="Montserrat" w:hAnsi="Montserrat" w:cs="Montserrat"/>
          <w:b/>
          <w:bCs/>
          <w:sz w:val="36"/>
          <w:szCs w:val="36"/>
        </w:rPr>
        <w:t>Topic:</w:t>
      </w:r>
      <w:r w:rsidR="00E05139">
        <w:rPr>
          <w:rFonts w:ascii="Montserrat" w:eastAsia="Montserrat" w:hAnsi="Montserrat" w:cs="Montserrat"/>
          <w:b/>
          <w:bCs/>
          <w:sz w:val="36"/>
          <w:szCs w:val="36"/>
        </w:rPr>
        <w:t xml:space="preserve"> </w:t>
      </w:r>
      <w:r w:rsidR="00E05139" w:rsidRPr="00E05139">
        <w:rPr>
          <w:rFonts w:ascii="Montserrat" w:eastAsia="Montserrat" w:hAnsi="Montserrat" w:cs="Montserrat"/>
          <w:b/>
          <w:bCs/>
          <w:sz w:val="36"/>
          <w:szCs w:val="36"/>
        </w:rPr>
        <w:t>Learning Environment Management</w:t>
      </w:r>
    </w:p>
    <w:p w14:paraId="6A05A809" w14:textId="77777777" w:rsidR="00696D7D" w:rsidRDefault="00696D7D" w:rsidP="00696D7D">
      <w:pPr>
        <w:rPr>
          <w:rFonts w:ascii="Montserrat" w:eastAsia="Montserrat" w:hAnsi="Montserrat" w:cs="Montserrat"/>
          <w:b/>
          <w:sz w:val="36"/>
          <w:szCs w:val="36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154"/>
        <w:gridCol w:w="2155"/>
        <w:gridCol w:w="2155"/>
        <w:gridCol w:w="2155"/>
        <w:gridCol w:w="1998"/>
        <w:gridCol w:w="2313"/>
      </w:tblGrid>
      <w:tr w:rsidR="00696D7D" w14:paraId="206BEF5B" w14:textId="77777777" w:rsidTr="00696D7D">
        <w:trPr>
          <w:trHeight w:val="1374"/>
        </w:trPr>
        <w:tc>
          <w:tcPr>
            <w:tcW w:w="2154" w:type="dxa"/>
            <w:tcBorders>
              <w:right w:val="nil"/>
            </w:tcBorders>
            <w:shd w:val="clear" w:color="auto" w:fill="99FF66"/>
            <w:vAlign w:val="center"/>
          </w:tcPr>
          <w:p w14:paraId="3B8C747A" w14:textId="77777777" w:rsidR="00696D7D" w:rsidRPr="00696D7D" w:rsidRDefault="00696D7D" w:rsidP="004808BB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noProof/>
                <w:lang w:val="en-AU"/>
              </w:rPr>
              <w:drawing>
                <wp:anchor distT="0" distB="0" distL="114300" distR="114300" simplePos="0" relativeHeight="251679744" behindDoc="0" locked="0" layoutInCell="1" allowOverlap="1" wp14:anchorId="14F9990F" wp14:editId="467195F0">
                  <wp:simplePos x="0" y="0"/>
                  <wp:positionH relativeFrom="margin">
                    <wp:posOffset>228600</wp:posOffset>
                  </wp:positionH>
                  <wp:positionV relativeFrom="paragraph">
                    <wp:posOffset>40005</wp:posOffset>
                  </wp:positionV>
                  <wp:extent cx="756920" cy="756920"/>
                  <wp:effectExtent l="38100" t="38100" r="100330" b="10033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Asset 3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" cy="7569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5" w:type="dxa"/>
            <w:tcBorders>
              <w:left w:val="nil"/>
            </w:tcBorders>
            <w:shd w:val="clear" w:color="auto" w:fill="99FF66"/>
            <w:vAlign w:val="center"/>
          </w:tcPr>
          <w:p w14:paraId="42DF60D8" w14:textId="77777777" w:rsidR="00696D7D" w:rsidRPr="00696D7D" w:rsidRDefault="00696D7D" w:rsidP="004808BB">
            <w:pPr>
              <w:rPr>
                <w:rFonts w:ascii="Montserrat" w:eastAsia="Montserrat" w:hAnsi="Montserrat" w:cs="Montserrat"/>
                <w:b/>
                <w:sz w:val="32"/>
                <w:szCs w:val="32"/>
              </w:rPr>
            </w:pPr>
            <w:r w:rsidRPr="00696D7D">
              <w:rPr>
                <w:rFonts w:ascii="Montserrat" w:eastAsia="Montserrat" w:hAnsi="Montserrat" w:cs="Montserrat"/>
                <w:b/>
                <w:sz w:val="32"/>
                <w:szCs w:val="32"/>
              </w:rPr>
              <w:t>Plus</w:t>
            </w:r>
          </w:p>
        </w:tc>
        <w:tc>
          <w:tcPr>
            <w:tcW w:w="2155" w:type="dxa"/>
            <w:tcBorders>
              <w:right w:val="nil"/>
            </w:tcBorders>
            <w:shd w:val="clear" w:color="auto" w:fill="FF9966"/>
            <w:vAlign w:val="center"/>
          </w:tcPr>
          <w:p w14:paraId="5FD672B5" w14:textId="77777777" w:rsidR="00696D7D" w:rsidRPr="00387ED6" w:rsidRDefault="00696D7D" w:rsidP="004808BB">
            <w:pPr>
              <w:jc w:val="center"/>
              <w:rPr>
                <w:rFonts w:ascii="Montserrat" w:eastAsia="Montserrat" w:hAnsi="Montserrat" w:cs="Montserrat"/>
                <w:b/>
                <w:sz w:val="28"/>
                <w:szCs w:val="28"/>
              </w:rPr>
            </w:pPr>
            <w:r>
              <w:rPr>
                <w:noProof/>
                <w:lang w:val="en-AU"/>
              </w:rPr>
              <w:drawing>
                <wp:anchor distT="0" distB="0" distL="114300" distR="114300" simplePos="0" relativeHeight="251680768" behindDoc="0" locked="0" layoutInCell="1" allowOverlap="1" wp14:anchorId="0E91E897" wp14:editId="0E949883">
                  <wp:simplePos x="0" y="0"/>
                  <wp:positionH relativeFrom="margin">
                    <wp:posOffset>216535</wp:posOffset>
                  </wp:positionH>
                  <wp:positionV relativeFrom="paragraph">
                    <wp:posOffset>42545</wp:posOffset>
                  </wp:positionV>
                  <wp:extent cx="756920" cy="756920"/>
                  <wp:effectExtent l="38100" t="38100" r="100330" b="10033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Asset 3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" cy="7569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155" w:type="dxa"/>
            <w:tcBorders>
              <w:left w:val="nil"/>
            </w:tcBorders>
            <w:shd w:val="clear" w:color="auto" w:fill="FF9966"/>
            <w:vAlign w:val="center"/>
          </w:tcPr>
          <w:p w14:paraId="4D2BC746" w14:textId="77777777" w:rsidR="00696D7D" w:rsidRPr="00696D7D" w:rsidRDefault="00696D7D" w:rsidP="004808BB">
            <w:pPr>
              <w:rPr>
                <w:rFonts w:ascii="Montserrat" w:eastAsia="Montserrat" w:hAnsi="Montserrat" w:cs="Montserrat"/>
                <w:b/>
                <w:sz w:val="32"/>
                <w:szCs w:val="32"/>
              </w:rPr>
            </w:pPr>
            <w:r w:rsidRPr="00696D7D">
              <w:rPr>
                <w:rFonts w:ascii="Montserrat" w:eastAsia="Montserrat" w:hAnsi="Montserrat" w:cs="Montserrat"/>
                <w:b/>
                <w:sz w:val="32"/>
                <w:szCs w:val="32"/>
              </w:rPr>
              <w:t>Minus</w:t>
            </w:r>
          </w:p>
        </w:tc>
        <w:tc>
          <w:tcPr>
            <w:tcW w:w="1998" w:type="dxa"/>
            <w:tcBorders>
              <w:right w:val="nil"/>
            </w:tcBorders>
            <w:shd w:val="clear" w:color="auto" w:fill="33CCFF"/>
            <w:vAlign w:val="center"/>
          </w:tcPr>
          <w:p w14:paraId="3B50AEF8" w14:textId="77777777" w:rsidR="00696D7D" w:rsidRDefault="00696D7D" w:rsidP="004808BB">
            <w:pPr>
              <w:jc w:val="center"/>
              <w:rPr>
                <w:rFonts w:ascii="Montserrat" w:eastAsia="Montserrat" w:hAnsi="Montserrat" w:cs="Montserrat"/>
                <w:b/>
                <w:sz w:val="36"/>
                <w:szCs w:val="36"/>
              </w:rPr>
            </w:pPr>
            <w:r>
              <w:rPr>
                <w:noProof/>
                <w:lang w:val="en-AU"/>
              </w:rPr>
              <w:drawing>
                <wp:anchor distT="0" distB="0" distL="114300" distR="114300" simplePos="0" relativeHeight="251681792" behindDoc="0" locked="0" layoutInCell="1" allowOverlap="1" wp14:anchorId="75ABA125" wp14:editId="5451F430">
                  <wp:simplePos x="0" y="0"/>
                  <wp:positionH relativeFrom="margin">
                    <wp:posOffset>232410</wp:posOffset>
                  </wp:positionH>
                  <wp:positionV relativeFrom="paragraph">
                    <wp:posOffset>46990</wp:posOffset>
                  </wp:positionV>
                  <wp:extent cx="756920" cy="756920"/>
                  <wp:effectExtent l="38100" t="38100" r="100330" b="10033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Asset 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920" cy="756920"/>
                          </a:xfrm>
                          <a:prstGeom prst="rect">
                            <a:avLst/>
                          </a:prstGeom>
                          <a:effectLst>
                            <a:outerShdw blurRad="50800" dist="38100" dir="270000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3" w:type="dxa"/>
            <w:tcBorders>
              <w:left w:val="nil"/>
            </w:tcBorders>
            <w:shd w:val="clear" w:color="auto" w:fill="33CCFF"/>
            <w:vAlign w:val="center"/>
          </w:tcPr>
          <w:p w14:paraId="378EB10F" w14:textId="77777777" w:rsidR="00696D7D" w:rsidRPr="00696D7D" w:rsidRDefault="00696D7D" w:rsidP="004808BB">
            <w:pPr>
              <w:rPr>
                <w:rFonts w:ascii="Montserrat" w:eastAsia="Montserrat" w:hAnsi="Montserrat" w:cs="Montserrat"/>
                <w:b/>
                <w:sz w:val="32"/>
                <w:szCs w:val="32"/>
              </w:rPr>
            </w:pPr>
            <w:r w:rsidRPr="00696D7D">
              <w:rPr>
                <w:rFonts w:ascii="Montserrat" w:eastAsia="Montserrat" w:hAnsi="Montserrat" w:cs="Montserrat"/>
                <w:b/>
                <w:sz w:val="32"/>
                <w:szCs w:val="32"/>
              </w:rPr>
              <w:t>Interesting</w:t>
            </w:r>
          </w:p>
        </w:tc>
      </w:tr>
      <w:tr w:rsidR="00696D7D" w14:paraId="5A39BBE3" w14:textId="77777777" w:rsidTr="004808BB">
        <w:tc>
          <w:tcPr>
            <w:tcW w:w="4309" w:type="dxa"/>
            <w:gridSpan w:val="2"/>
          </w:tcPr>
          <w:p w14:paraId="6E4FF359" w14:textId="77777777" w:rsidR="000E3A48" w:rsidRPr="000E3A48" w:rsidRDefault="000E3A48" w:rsidP="000E3A4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E3A48">
              <w:rPr>
                <w:rFonts w:ascii="Montserrat" w:eastAsia="Montserrat" w:hAnsi="Montserrat" w:cs="Montserrat"/>
                <w:sz w:val="24"/>
                <w:szCs w:val="24"/>
              </w:rPr>
              <w:t>Using humor and friendly conversations can make technical topics easier to understand.</w:t>
            </w:r>
          </w:p>
          <w:p w14:paraId="0C379333" w14:textId="77777777" w:rsidR="000E3A48" w:rsidRDefault="000E3A48" w:rsidP="000E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B1371A8" w14:textId="77777777" w:rsidR="00E6288F" w:rsidRPr="000E3A48" w:rsidRDefault="00E6288F" w:rsidP="000E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B16B45D" w14:textId="77777777" w:rsidR="000E3A48" w:rsidRDefault="000E3A48" w:rsidP="000E3A4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E3A48">
              <w:rPr>
                <w:rFonts w:ascii="Montserrat" w:eastAsia="Montserrat" w:hAnsi="Montserrat" w:cs="Montserrat"/>
                <w:sz w:val="24"/>
                <w:szCs w:val="24"/>
              </w:rPr>
              <w:t>Collaborative activities like group discussions can help learners grasp complex concepts.</w:t>
            </w:r>
          </w:p>
          <w:p w14:paraId="13CA9AC8" w14:textId="77777777" w:rsidR="00E6288F" w:rsidRPr="000E3A48" w:rsidRDefault="00E6288F" w:rsidP="00E628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1122D66" w14:textId="77777777" w:rsidR="000E3A48" w:rsidRPr="000E3A48" w:rsidRDefault="000E3A48" w:rsidP="000E3A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1C8F396" w14:textId="7164852F" w:rsidR="00696D7D" w:rsidRPr="006F173F" w:rsidRDefault="000E3A48" w:rsidP="000E3A48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0E3A48">
              <w:rPr>
                <w:rFonts w:ascii="Montserrat" w:eastAsia="Montserrat" w:hAnsi="Montserrat" w:cs="Montserrat"/>
                <w:sz w:val="24"/>
                <w:szCs w:val="24"/>
              </w:rPr>
              <w:t>I realized that fostering a community among learners improves engagement and knowledge retention.</w:t>
            </w:r>
          </w:p>
        </w:tc>
        <w:tc>
          <w:tcPr>
            <w:tcW w:w="4310" w:type="dxa"/>
            <w:gridSpan w:val="2"/>
          </w:tcPr>
          <w:p w14:paraId="57666AA7" w14:textId="77777777" w:rsidR="0075006A" w:rsidRDefault="0075006A" w:rsidP="0075006A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5006A">
              <w:rPr>
                <w:rFonts w:ascii="Montserrat" w:eastAsia="Montserrat" w:hAnsi="Montserrat" w:cs="Montserrat"/>
                <w:sz w:val="24"/>
                <w:szCs w:val="24"/>
              </w:rPr>
              <w:t>It might be challenging to balance engaging strategies with covering technical content in CCBC courses.</w:t>
            </w:r>
          </w:p>
          <w:p w14:paraId="502055CB" w14:textId="77777777" w:rsidR="00E6288F" w:rsidRPr="0075006A" w:rsidRDefault="00E6288F" w:rsidP="00E6288F">
            <w:pPr>
              <w:widowControl w:val="0"/>
              <w:ind w:left="36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F167D8F" w14:textId="77777777" w:rsidR="0075006A" w:rsidRDefault="0075006A" w:rsidP="0075006A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5006A">
              <w:rPr>
                <w:rFonts w:ascii="Montserrat" w:eastAsia="Montserrat" w:hAnsi="Montserrat" w:cs="Montserrat"/>
                <w:sz w:val="24"/>
                <w:szCs w:val="24"/>
              </w:rPr>
              <w:t>Creating a sense of community in online learning environments seems unclear.</w:t>
            </w:r>
          </w:p>
          <w:p w14:paraId="2E6F180B" w14:textId="77777777" w:rsidR="00E6288F" w:rsidRDefault="00E6288F" w:rsidP="00E6288F">
            <w:pPr>
              <w:pStyle w:val="ListParagrap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49C1E4B0" w14:textId="77777777" w:rsidR="00E6288F" w:rsidRPr="0075006A" w:rsidRDefault="00E6288F" w:rsidP="00E6288F">
            <w:pPr>
              <w:widowControl w:val="0"/>
              <w:ind w:left="36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72A3D3EC" w14:textId="6CDB9836" w:rsidR="00696D7D" w:rsidRPr="006F173F" w:rsidRDefault="0075006A" w:rsidP="0075006A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5006A">
              <w:rPr>
                <w:rFonts w:ascii="Montserrat" w:eastAsia="Montserrat" w:hAnsi="Montserrat" w:cs="Montserrat"/>
                <w:sz w:val="24"/>
                <w:szCs w:val="24"/>
              </w:rPr>
              <w:t>Consistently applying these strategies in a hybrid setting requires more planning and practice.</w:t>
            </w:r>
          </w:p>
        </w:tc>
        <w:tc>
          <w:tcPr>
            <w:tcW w:w="4311" w:type="dxa"/>
            <w:gridSpan w:val="2"/>
          </w:tcPr>
          <w:p w14:paraId="42045CE5" w14:textId="77777777" w:rsidR="0075006A" w:rsidRDefault="0075006A" w:rsidP="0075006A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5006A">
              <w:rPr>
                <w:rFonts w:ascii="Montserrat" w:eastAsia="Montserrat" w:hAnsi="Montserrat" w:cs="Montserrat"/>
                <w:sz w:val="24"/>
                <w:szCs w:val="24"/>
              </w:rPr>
              <w:t>Digital tools like Padlet can enhance interaction in CCBC classes.</w:t>
            </w:r>
          </w:p>
          <w:p w14:paraId="6DA7E540" w14:textId="77777777" w:rsidR="00E6288F" w:rsidRPr="0075006A" w:rsidRDefault="00E6288F" w:rsidP="00E6288F">
            <w:pPr>
              <w:widowControl w:val="0"/>
              <w:ind w:left="36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3C6C94DC" w14:textId="77777777" w:rsidR="0075006A" w:rsidRDefault="0075006A" w:rsidP="0075006A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5006A">
              <w:rPr>
                <w:rFonts w:ascii="Montserrat" w:eastAsia="Montserrat" w:hAnsi="Montserrat" w:cs="Montserrat"/>
                <w:sz w:val="24"/>
                <w:szCs w:val="24"/>
              </w:rPr>
              <w:t>Building an inclusive learning environment can help every learner feel valued and involved.</w:t>
            </w:r>
          </w:p>
          <w:p w14:paraId="3877A584" w14:textId="77777777" w:rsidR="00E6288F" w:rsidRDefault="00E6288F" w:rsidP="00E6288F">
            <w:pPr>
              <w:pStyle w:val="ListParagraph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2FBE7412" w14:textId="77777777" w:rsidR="00E6288F" w:rsidRPr="0075006A" w:rsidRDefault="00E6288F" w:rsidP="00E6288F">
            <w:pPr>
              <w:widowControl w:val="0"/>
              <w:ind w:left="36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  <w:p w14:paraId="0D0B940D" w14:textId="2C978354" w:rsidR="00696D7D" w:rsidRPr="00387ED6" w:rsidRDefault="0075006A" w:rsidP="0075006A">
            <w:pPr>
              <w:widowControl w:val="0"/>
              <w:numPr>
                <w:ilvl w:val="0"/>
                <w:numId w:val="2"/>
              </w:num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5006A">
              <w:rPr>
                <w:rFonts w:ascii="Montserrat" w:eastAsia="Montserrat" w:hAnsi="Montserrat" w:cs="Montserrat"/>
                <w:sz w:val="24"/>
                <w:szCs w:val="24"/>
              </w:rPr>
              <w:t>I want to explore how to combine digital tools with humor and conversations for better engagement.</w:t>
            </w:r>
          </w:p>
        </w:tc>
      </w:tr>
    </w:tbl>
    <w:p w14:paraId="0E27B00A" w14:textId="77777777" w:rsidR="00696D7D" w:rsidRDefault="00696D7D" w:rsidP="00696D7D"/>
    <w:p w14:paraId="60061E4C" w14:textId="77777777" w:rsidR="00696D7D" w:rsidRDefault="00696D7D" w:rsidP="00387ED6"/>
    <w:sectPr w:rsidR="00696D7D" w:rsidSect="006F173F">
      <w:pgSz w:w="15840" w:h="12240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405"/>
    <w:multiLevelType w:val="multilevel"/>
    <w:tmpl w:val="52CA6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0B97610"/>
    <w:multiLevelType w:val="multilevel"/>
    <w:tmpl w:val="3E965A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673616B"/>
    <w:multiLevelType w:val="multilevel"/>
    <w:tmpl w:val="1702312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51336867">
    <w:abstractNumId w:val="0"/>
  </w:num>
  <w:num w:numId="2" w16cid:durableId="1762751583">
    <w:abstractNumId w:val="2"/>
  </w:num>
  <w:num w:numId="3" w16cid:durableId="1621839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C43"/>
    <w:rsid w:val="000E3A48"/>
    <w:rsid w:val="00387ED6"/>
    <w:rsid w:val="005B3C43"/>
    <w:rsid w:val="00696D7D"/>
    <w:rsid w:val="006F173F"/>
    <w:rsid w:val="0075006A"/>
    <w:rsid w:val="00A10A4E"/>
    <w:rsid w:val="00B3663C"/>
    <w:rsid w:val="00E05139"/>
    <w:rsid w:val="00E6288F"/>
    <w:rsid w:val="10B083AD"/>
    <w:rsid w:val="39CF42F7"/>
    <w:rsid w:val="609E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AAA06"/>
  <w15:docId w15:val="{CBF5B085-C65A-4FA4-B503-D476A6C34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6F17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62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1D615AAF1F534F9E772C96E70A4CDD" ma:contentTypeVersion="12" ma:contentTypeDescription="Create a new document." ma:contentTypeScope="" ma:versionID="1a2caf8822fbe4f51a4e877a2ad93f90">
  <xsd:schema xmlns:xsd="http://www.w3.org/2001/XMLSchema" xmlns:xs="http://www.w3.org/2001/XMLSchema" xmlns:p="http://schemas.microsoft.com/office/2006/metadata/properties" xmlns:ns2="33b92c94-707a-4082-b0a4-0bb550a5d521" xmlns:ns3="abf34686-7b35-4dd1-8df2-53add65cf4b3" targetNamespace="http://schemas.microsoft.com/office/2006/metadata/properties" ma:root="true" ma:fieldsID="0d9c360c7e07e8e3502cf9e32a3224a8" ns2:_="" ns3:_="">
    <xsd:import namespace="33b92c94-707a-4082-b0a4-0bb550a5d521"/>
    <xsd:import namespace="abf34686-7b35-4dd1-8df2-53add65cf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b92c94-707a-4082-b0a4-0bb550a5d5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f34686-7b35-4dd1-8df2-53add65cf4b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B697626-9916-48A0-90CA-385DBD8D58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A134B2-0094-4DF8-9705-1D4F68B1A5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b92c94-707a-4082-b0a4-0bb550a5d521"/>
    <ds:schemaRef ds:uri="abf34686-7b35-4dd1-8df2-53add65cf4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862DAE3-F108-486A-8486-EA3D4463607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137</Words>
  <Characters>787</Characters>
  <Application>Microsoft Office Word</Application>
  <DocSecurity>0</DocSecurity>
  <Lines>6</Lines>
  <Paragraphs>1</Paragraphs>
  <ScaleCrop>false</ScaleCrop>
  <Company>NSW Department of Education</Company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Tahlea Taylor</dc:creator>
  <cp:lastModifiedBy>Chakroborti, Debasish</cp:lastModifiedBy>
  <cp:revision>8</cp:revision>
  <dcterms:created xsi:type="dcterms:W3CDTF">2020-04-23T08:43:00Z</dcterms:created>
  <dcterms:modified xsi:type="dcterms:W3CDTF">2025-05-30T07:19:00Z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0x0101008F1D615AAF1F534F9E772C96E70A4CDD</vt:lpwstr>
  </property>
</Properties>
</file>