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4"/>
        </w:rPr>
        <w:t>LITERATURE REVIEW &amp; REFERENCES</w:t>
      </w:r>
    </w:p>
    <w:p>
      <w:pPr>
        <w:spacing w:after="280"/>
      </w:pPr>
      <w:r>
        <w:rPr>
          <w:b/>
          <w:color w:val="475569"/>
          <w:sz w:val="26"/>
        </w:rPr>
        <w:t>QKraft: AI-Driven Database Schema &amp; Query Optimization Platform</w:t>
      </w:r>
    </w:p>
    <w:tbl>
      <w:tblPr>
        <w:tblW w:type="auto" w:w="0"/>
        <w:jc w:val="center"/>
        <w:tblLook w:firstColumn="1" w:firstRow="1" w:lastColumn="0" w:lastRow="0" w:noHBand="0" w:noVBand="1" w:val="04A0"/>
      </w:tblPr>
      <w:tblGrid>
        <w:gridCol w:w="4680"/>
        <w:gridCol w:w="4680"/>
      </w:tblGrid>
      <w:tr>
        <w:tc>
          <w:tcPr>
            <w:tcW w:type="dxa" w:w="3168"/>
            <w:vAlign w:val="center"/>
            <w:tcMar>
              <w:top w:w="100" w:type="dxa"/>
              <w:bottom w:w="100" w:type="dxa"/>
              <w:left w:w="140" w:type="dxa"/>
              <w:right w:w="140" w:type="dxa"/>
            </w:tcMar>
            <w:shd w:fill="E2E8F0"/>
          </w:tcPr>
          <w:p>
            <w:pPr>
              <w:spacing w:before="60" w:after="60"/>
            </w:pPr>
            <w:r>
              <w:rPr>
                <w:b/>
                <w:color w:val="0F172A"/>
                <w:sz w:val="19"/>
              </w:rPr>
              <w:t>Project Title</w:t>
            </w:r>
          </w:p>
        </w:tc>
        <w:tc>
          <w:tcPr>
            <w:tcW w:type="dxa" w:w="6192"/>
            <w:vAlign w:val="center"/>
            <w:tcMar>
              <w:top w:w="100" w:type="dxa"/>
              <w:bottom w:w="100" w:type="dxa"/>
              <w:left w:w="140" w:type="dxa"/>
              <w:right w:w="140" w:type="dxa"/>
            </w:tcMar>
            <w:shd w:fill="E2E8F0"/>
          </w:tcPr>
          <w:p>
            <w:pPr>
              <w:spacing w:before="60" w:after="60"/>
            </w:pPr>
            <w:r>
              <w:rPr>
                <w:b/>
                <w:color w:val="0F172A"/>
                <w:sz w:val="19"/>
              </w:rPr>
              <w:t>QKraft – Automated Schema &amp; Query Optimizer</w:t>
            </w:r>
          </w:p>
        </w:tc>
      </w:tr>
      <w:tr>
        <w:tc>
          <w:tcPr>
            <w:tcW w:type="dxa" w:w="3168"/>
            <w:vAlign w:val="center"/>
            <w:tcMar>
              <w:top w:w="100" w:type="dxa"/>
              <w:bottom w:w="100" w:type="dxa"/>
              <w:left w:w="140" w:type="dxa"/>
              <w:right w:w="140" w:type="dxa"/>
            </w:tcMar>
            <w:shd w:fill="F1F5F9"/>
          </w:tcPr>
          <w:p>
            <w:pPr>
              <w:spacing w:before="50" w:after="50"/>
            </w:pPr>
            <w:r>
              <w:rPr>
                <w:b/>
                <w:color w:val="1E3A8A"/>
                <w:sz w:val="18"/>
              </w:rPr>
              <w:t>Student / Developer</w:t>
            </w:r>
          </w:p>
        </w:tc>
        <w:tc>
          <w:tcPr>
            <w:tcW w:type="dxa" w:w="6192"/>
            <w:vAlign w:val="center"/>
            <w:tcMar>
              <w:top w:w="100" w:type="dxa"/>
              <w:bottom w:w="100" w:type="dxa"/>
              <w:left w:w="140" w:type="dxa"/>
              <w:right w:w="140" w:type="dxa"/>
            </w:tcMar>
            <w:shd w:fill="F1F5F9"/>
          </w:tcPr>
          <w:p>
            <w:pPr>
              <w:spacing w:before="50" w:after="50"/>
            </w:pPr>
            <w:r>
              <w:rPr>
                <w:sz w:val="18"/>
              </w:rPr>
              <w:t>Romel</w:t>
            </w:r>
          </w:p>
        </w:tc>
      </w:tr>
      <w:tr>
        <w:tc>
          <w:tcPr>
            <w:tcW w:type="dxa" w:w="3168"/>
            <w:vAlign w:val="center"/>
            <w:tcMar>
              <w:top w:w="100" w:type="dxa"/>
              <w:bottom w:w="100" w:type="dxa"/>
              <w:left w:w="140" w:type="dxa"/>
              <w:right w:w="140" w:type="dxa"/>
            </w:tcMar>
            <w:shd w:fill="FFFFFF"/>
          </w:tcPr>
          <w:p>
            <w:pPr>
              <w:spacing w:before="50" w:after="50"/>
            </w:pPr>
            <w:r>
              <w:rPr>
                <w:b/>
                <w:color w:val="1E3A8A"/>
                <w:sz w:val="18"/>
              </w:rPr>
              <w:t>Academic Domain</w:t>
            </w:r>
          </w:p>
        </w:tc>
        <w:tc>
          <w:tcPr>
            <w:tcW w:type="dxa" w:w="6192"/>
            <w:vAlign w:val="center"/>
            <w:tcMar>
              <w:top w:w="100" w:type="dxa"/>
              <w:bottom w:w="100" w:type="dxa"/>
              <w:left w:w="140" w:type="dxa"/>
              <w:right w:w="140" w:type="dxa"/>
            </w:tcMar>
            <w:shd w:fill="FFFFFF"/>
          </w:tcPr>
          <w:p>
            <w:pPr>
              <w:spacing w:before="50" w:after="50"/>
            </w:pPr>
            <w:r>
              <w:rPr>
                <w:sz w:val="18"/>
              </w:rPr>
              <w:t>Database Engineering, Generative AI (LLMs), Cloud DevTools</w:t>
            </w:r>
          </w:p>
        </w:tc>
      </w:tr>
      <w:tr>
        <w:tc>
          <w:tcPr>
            <w:tcW w:type="dxa" w:w="3168"/>
            <w:vAlign w:val="center"/>
            <w:tcMar>
              <w:top w:w="100" w:type="dxa"/>
              <w:bottom w:w="100" w:type="dxa"/>
              <w:left w:w="140" w:type="dxa"/>
              <w:right w:w="140" w:type="dxa"/>
            </w:tcMar>
            <w:shd w:fill="F1F5F9"/>
          </w:tcPr>
          <w:p>
            <w:pPr>
              <w:spacing w:before="50" w:after="50"/>
            </w:pPr>
            <w:r>
              <w:rPr>
                <w:b/>
                <w:color w:val="1E3A8A"/>
                <w:sz w:val="18"/>
              </w:rPr>
              <w:t>Review Milestone</w:t>
            </w:r>
          </w:p>
        </w:tc>
        <w:tc>
          <w:tcPr>
            <w:tcW w:type="dxa" w:w="6192"/>
            <w:vAlign w:val="center"/>
            <w:tcMar>
              <w:top w:w="100" w:type="dxa"/>
              <w:bottom w:w="100" w:type="dxa"/>
              <w:left w:w="140" w:type="dxa"/>
              <w:right w:w="140" w:type="dxa"/>
            </w:tcMar>
            <w:shd w:fill="F1F5F9"/>
          </w:tcPr>
          <w:p>
            <w:pPr>
              <w:spacing w:before="50" w:after="50"/>
            </w:pPr>
            <w:r>
              <w:rPr>
                <w:sz w:val="18"/>
              </w:rPr>
              <w:t>Project Review 1 &amp; 2 Literature Survey &amp; Academic References</w:t>
            </w:r>
          </w:p>
        </w:tc>
      </w:tr>
    </w:tbl>
    <w:p>
      <w:pPr>
        <w:spacing w:after="200"/>
      </w:pPr>
    </w:p>
    <w:p>
      <w:pPr>
        <w:keepNext/>
        <w:spacing w:before="320" w:after="120"/>
      </w:pPr>
      <w:r>
        <w:rPr>
          <w:b/>
          <w:color w:val="1E3A8A"/>
          <w:sz w:val="29"/>
        </w:rPr>
        <w:t>1. Introduction &amp; Theoretical Background</w:t>
      </w:r>
    </w:p>
    <w:p>
      <w:pPr>
        <w:spacing w:line="276" w:lineRule="auto"/>
      </w:pPr>
      <w:r>
        <w:t>Relational Database Management Systems (RDBMS) represent the transactional and analytical backbone of modern enterprise software. Over the last three decades, database query and physical design optimization has traversed three distinct architectural eras:</w:t>
        <w:br/>
        <w:br/>
        <w:t>1. Rule-Based &amp; Cost-Based Optimizers (RBO/CBO): Initiated in early relational prototypes (System R, Volcano, Cascades), these engines evaluate candidate query plans using mathematical cost estimation formulas based on table cardinality, attribute histograms, and disk I/O models.</w:t>
        <w:br/>
        <w:t>2. Automated Physical Design Advisors: Developed in the late 1990s and early 2000s (e.g., Microsoft AutoAdmin, IBM DB2 Design Advisor), these tools inspect historical SQL trace logs from production to recommend secondary B-Tree indexes, partition schemes, and materialized views.</w:t>
        <w:br/>
        <w:t>3. Learned &amp; AI-Augmented Database Engineering: Modern paradigms incorporating Deep Reinforcement Learning (DRL), Large Language Models (LLMs), and automated sandboxing to optimize schemas, rewrite non-SARGable queries, and synthesize test data.</w:t>
        <w:br/>
        <w:br/>
        <w:t>Despite these technological advances, traditional database tuning remains fundamentally reactive: performance defects are examined only after applications reach production and experience latency spikes, lock contention, or exorbitant cloud infrastructure bills. QKraft addresses this critical bottleneck by shifting database optimization 'left' into the developer's pre-production design phase, pairing deterministic heuristics with Google Gemini AI, automated SQLite sandboxing, and empirical side-by-side execution latency benchmarking.</w:t>
      </w:r>
    </w:p>
    <w:p>
      <w:pPr>
        <w:keepNext/>
        <w:spacing w:before="320" w:after="120"/>
      </w:pPr>
      <w:r>
        <w:rPr>
          <w:b/>
          <w:color w:val="1E3A8A"/>
          <w:sz w:val="29"/>
        </w:rPr>
        <w:t>2. Literature Survey Matrix (Comparative Analysis)</w:t>
      </w:r>
    </w:p>
    <w:p>
      <w:pPr>
        <w:spacing w:line="276" w:lineRule="auto"/>
      </w:pPr>
      <w:r>
        <w:t>A systematic review of 12 landmark and contemporary research papers spanning physical design tuning, cost-based optimizer accuracy, learned database systems, text-to-SQL semantic parsing, and test data generation is detailed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vAlign w:val="center"/>
            <w:tcMar>
              <w:top w:w="100" w:type="dxa"/>
              <w:bottom w:w="100" w:type="dxa"/>
              <w:left w:w="140" w:type="dxa"/>
              <w:right w:w="140" w:type="dxa"/>
            </w:tcMar>
            <w:shd w:fill="1E3A8A"/>
          </w:tcPr>
          <w:p>
            <w:pPr>
              <w:spacing w:before="60" w:after="60"/>
            </w:pPr>
            <w:r>
              <w:rPr>
                <w:b/>
                <w:color w:val="FFFFFF"/>
                <w:sz w:val="19"/>
              </w:rPr>
              <w:t>Ref</w:t>
            </w:r>
          </w:p>
        </w:tc>
        <w:tc>
          <w:tcPr>
            <w:tcW w:type="dxa" w:w="1584"/>
            <w:vAlign w:val="center"/>
            <w:tcMar>
              <w:top w:w="100" w:type="dxa"/>
              <w:bottom w:w="100" w:type="dxa"/>
              <w:left w:w="140" w:type="dxa"/>
              <w:right w:w="140" w:type="dxa"/>
            </w:tcMar>
            <w:shd w:fill="1E3A8A"/>
          </w:tcPr>
          <w:p>
            <w:pPr>
              <w:spacing w:before="60" w:after="60"/>
            </w:pPr>
            <w:r>
              <w:rPr>
                <w:b/>
                <w:color w:val="FFFFFF"/>
                <w:sz w:val="19"/>
              </w:rPr>
              <w:t>Author(s) &amp; Year</w:t>
            </w:r>
          </w:p>
        </w:tc>
        <w:tc>
          <w:tcPr>
            <w:tcW w:type="dxa" w:w="1872"/>
            <w:vAlign w:val="center"/>
            <w:tcMar>
              <w:top w:w="100" w:type="dxa"/>
              <w:bottom w:w="100" w:type="dxa"/>
              <w:left w:w="140" w:type="dxa"/>
              <w:right w:w="140" w:type="dxa"/>
            </w:tcMar>
            <w:shd w:fill="1E3A8A"/>
          </w:tcPr>
          <w:p>
            <w:pPr>
              <w:spacing w:before="60" w:after="60"/>
            </w:pPr>
            <w:r>
              <w:rPr>
                <w:b/>
                <w:color w:val="FFFFFF"/>
                <w:sz w:val="19"/>
              </w:rPr>
              <w:t>Paper Title &amp; Venue</w:t>
            </w:r>
          </w:p>
        </w:tc>
        <w:tc>
          <w:tcPr>
            <w:tcW w:type="dxa" w:w="1584"/>
            <w:vAlign w:val="center"/>
            <w:tcMar>
              <w:top w:w="100" w:type="dxa"/>
              <w:bottom w:w="100" w:type="dxa"/>
              <w:left w:w="140" w:type="dxa"/>
              <w:right w:w="140" w:type="dxa"/>
            </w:tcMar>
            <w:shd w:fill="1E3A8A"/>
          </w:tcPr>
          <w:p>
            <w:pPr>
              <w:spacing w:before="60" w:after="60"/>
            </w:pPr>
            <w:r>
              <w:rPr>
                <w:b/>
                <w:color w:val="FFFFFF"/>
                <w:sz w:val="19"/>
              </w:rPr>
              <w:t>Core Methodology</w:t>
            </w:r>
          </w:p>
        </w:tc>
        <w:tc>
          <w:tcPr>
            <w:tcW w:type="dxa" w:w="1584"/>
            <w:vAlign w:val="center"/>
            <w:tcMar>
              <w:top w:w="100" w:type="dxa"/>
              <w:bottom w:w="100" w:type="dxa"/>
              <w:left w:w="140" w:type="dxa"/>
              <w:right w:w="140" w:type="dxa"/>
            </w:tcMar>
            <w:shd w:fill="1E3A8A"/>
          </w:tcPr>
          <w:p>
            <w:pPr>
              <w:spacing w:before="60" w:after="60"/>
            </w:pPr>
            <w:r>
              <w:rPr>
                <w:b/>
                <w:color w:val="FFFFFF"/>
                <w:sz w:val="19"/>
              </w:rPr>
              <w:t>Key Strengths</w:t>
            </w:r>
          </w:p>
        </w:tc>
        <w:tc>
          <w:tcPr>
            <w:tcW w:type="dxa" w:w="1728"/>
            <w:vAlign w:val="center"/>
            <w:tcMar>
              <w:top w:w="100" w:type="dxa"/>
              <w:bottom w:w="100" w:type="dxa"/>
              <w:left w:w="140" w:type="dxa"/>
              <w:right w:w="140" w:type="dxa"/>
            </w:tcMar>
            <w:shd w:fill="1E3A8A"/>
          </w:tcPr>
          <w:p>
            <w:pPr>
              <w:spacing w:before="60" w:after="60"/>
            </w:pPr>
            <w:r>
              <w:rPr>
                <w:b/>
                <w:color w:val="FFFFFF"/>
                <w:sz w:val="19"/>
              </w:rPr>
              <w:t>Limitations / Gap</w:t>
            </w:r>
          </w:p>
        </w:tc>
        <w:tc>
          <w:tcPr>
            <w:tcW w:type="dxa" w:w="1728"/>
            <w:vAlign w:val="center"/>
            <w:tcMar>
              <w:top w:w="100" w:type="dxa"/>
              <w:bottom w:w="100" w:type="dxa"/>
              <w:left w:w="140" w:type="dxa"/>
              <w:right w:w="140" w:type="dxa"/>
            </w:tcMar>
            <w:shd w:fill="1E3A8A"/>
          </w:tcPr>
          <w:p>
            <w:pPr>
              <w:spacing w:before="60" w:after="60"/>
            </w:pPr>
            <w:r>
              <w:rPr>
                <w:b/>
                <w:color w:val="FFFFFF"/>
                <w:sz w:val="19"/>
              </w:rPr>
              <w:t>Relevance to QKraft</w:t>
            </w:r>
          </w:p>
        </w:tc>
      </w:tr>
      <w:tr>
        <w:tc>
          <w:tcPr>
            <w:tcW w:type="dxa" w:w="576"/>
            <w:vAlign w:val="center"/>
            <w:tcMar>
              <w:top w:w="100" w:type="dxa"/>
              <w:bottom w:w="100" w:type="dxa"/>
              <w:left w:w="140" w:type="dxa"/>
              <w:right w:w="140" w:type="dxa"/>
            </w:tcMar>
            <w:shd w:fill="F8FAFC"/>
          </w:tcPr>
          <w:p>
            <w:pPr>
              <w:spacing w:before="50" w:after="50"/>
            </w:pPr>
            <w:r>
              <w:rPr>
                <w:sz w:val="18"/>
              </w:rPr>
              <w:t>[1]</w:t>
            </w:r>
          </w:p>
        </w:tc>
        <w:tc>
          <w:tcPr>
            <w:tcW w:type="dxa" w:w="1584"/>
            <w:vAlign w:val="center"/>
            <w:tcMar>
              <w:top w:w="100" w:type="dxa"/>
              <w:bottom w:w="100" w:type="dxa"/>
              <w:left w:w="140" w:type="dxa"/>
              <w:right w:w="140" w:type="dxa"/>
            </w:tcMar>
            <w:shd w:fill="F8FAFC"/>
          </w:tcPr>
          <w:p>
            <w:pPr>
              <w:spacing w:before="50" w:after="50"/>
            </w:pPr>
            <w:r>
              <w:rPr>
                <w:sz w:val="18"/>
              </w:rPr>
              <w:t>S. Chaudhuri &amp; V. Narasayya (1997)</w:t>
            </w:r>
          </w:p>
        </w:tc>
        <w:tc>
          <w:tcPr>
            <w:tcW w:type="dxa" w:w="1872"/>
            <w:vAlign w:val="center"/>
            <w:tcMar>
              <w:top w:w="100" w:type="dxa"/>
              <w:bottom w:w="100" w:type="dxa"/>
              <w:left w:w="140" w:type="dxa"/>
              <w:right w:w="140" w:type="dxa"/>
            </w:tcMar>
            <w:shd w:fill="F8FAFC"/>
          </w:tcPr>
          <w:p>
            <w:pPr>
              <w:spacing w:before="50" w:after="50"/>
            </w:pPr>
            <w:r>
              <w:rPr>
                <w:sz w:val="18"/>
              </w:rPr>
              <w:t>An Efficient Cost-Driven Index Selection Tool for Microsoft SQL Server (VLDB)</w:t>
            </w:r>
          </w:p>
        </w:tc>
        <w:tc>
          <w:tcPr>
            <w:tcW w:type="dxa" w:w="1584"/>
            <w:vAlign w:val="center"/>
            <w:tcMar>
              <w:top w:w="100" w:type="dxa"/>
              <w:bottom w:w="100" w:type="dxa"/>
              <w:left w:w="140" w:type="dxa"/>
              <w:right w:w="140" w:type="dxa"/>
            </w:tcMar>
            <w:shd w:fill="F8FAFC"/>
          </w:tcPr>
          <w:p>
            <w:pPr>
              <w:spacing w:before="50" w:after="50"/>
            </w:pPr>
            <w:r>
              <w:rPr>
                <w:sz w:val="18"/>
              </w:rPr>
              <w:t>Workload-driven index tuning using optimizer cost estimates (AutoAdmin architecture).</w:t>
            </w:r>
          </w:p>
        </w:tc>
        <w:tc>
          <w:tcPr>
            <w:tcW w:type="dxa" w:w="1584"/>
            <w:vAlign w:val="center"/>
            <w:tcMar>
              <w:top w:w="100" w:type="dxa"/>
              <w:bottom w:w="100" w:type="dxa"/>
              <w:left w:w="140" w:type="dxa"/>
              <w:right w:w="140" w:type="dxa"/>
            </w:tcMar>
            <w:shd w:fill="F8FAFC"/>
          </w:tcPr>
          <w:p>
            <w:pPr>
              <w:spacing w:before="50" w:after="50"/>
            </w:pPr>
            <w:r>
              <w:rPr>
                <w:sz w:val="18"/>
              </w:rPr>
              <w:t>Established candidate index generation and configuration evaluation algorithms.</w:t>
            </w:r>
          </w:p>
        </w:tc>
        <w:tc>
          <w:tcPr>
            <w:tcW w:type="dxa" w:w="1728"/>
            <w:vAlign w:val="center"/>
            <w:tcMar>
              <w:top w:w="100" w:type="dxa"/>
              <w:bottom w:w="100" w:type="dxa"/>
              <w:left w:w="140" w:type="dxa"/>
              <w:right w:w="140" w:type="dxa"/>
            </w:tcMar>
            <w:shd w:fill="F8FAFC"/>
          </w:tcPr>
          <w:p>
            <w:pPr>
              <w:spacing w:before="50" w:after="50"/>
            </w:pPr>
            <w:r>
              <w:rPr>
                <w:sz w:val="18"/>
              </w:rPr>
              <w:t>Post-hoc analysis requiring historic trace logs; cannot detect design flaws during early DDL authoring.</w:t>
            </w:r>
          </w:p>
        </w:tc>
        <w:tc>
          <w:tcPr>
            <w:tcW w:type="dxa" w:w="1728"/>
            <w:vAlign w:val="center"/>
            <w:tcMar>
              <w:top w:w="100" w:type="dxa"/>
              <w:bottom w:w="100" w:type="dxa"/>
              <w:left w:w="140" w:type="dxa"/>
              <w:right w:w="140" w:type="dxa"/>
            </w:tcMar>
            <w:shd w:fill="F8FAFC"/>
          </w:tcPr>
          <w:p>
            <w:pPr>
              <w:spacing w:before="50" w:after="50"/>
            </w:pPr>
            <w:r>
              <w:rPr>
                <w:sz w:val="18"/>
              </w:rPr>
              <w:t>QKraft extends candidate index selection directly onto raw DDL files before production deployment.</w:t>
            </w:r>
          </w:p>
        </w:tc>
      </w:tr>
      <w:tr>
        <w:tc>
          <w:tcPr>
            <w:tcW w:type="dxa" w:w="576"/>
            <w:vAlign w:val="center"/>
            <w:tcMar>
              <w:top w:w="100" w:type="dxa"/>
              <w:bottom w:w="100" w:type="dxa"/>
              <w:left w:w="140" w:type="dxa"/>
              <w:right w:w="140" w:type="dxa"/>
            </w:tcMar>
            <w:shd w:fill="FFFFFF"/>
          </w:tcPr>
          <w:p>
            <w:pPr>
              <w:spacing w:before="50" w:after="50"/>
            </w:pPr>
            <w:r>
              <w:rPr>
                <w:sz w:val="18"/>
              </w:rPr>
              <w:t>[2]</w:t>
            </w:r>
          </w:p>
        </w:tc>
        <w:tc>
          <w:tcPr>
            <w:tcW w:type="dxa" w:w="1584"/>
            <w:vAlign w:val="center"/>
            <w:tcMar>
              <w:top w:w="100" w:type="dxa"/>
              <w:bottom w:w="100" w:type="dxa"/>
              <w:left w:w="140" w:type="dxa"/>
              <w:right w:w="140" w:type="dxa"/>
            </w:tcMar>
            <w:shd w:fill="FFFFFF"/>
          </w:tcPr>
          <w:p>
            <w:pPr>
              <w:spacing w:before="50" w:after="50"/>
            </w:pPr>
            <w:r>
              <w:rPr>
                <w:sz w:val="18"/>
              </w:rPr>
              <w:t>V. Leis et al. (2015)</w:t>
            </w:r>
          </w:p>
        </w:tc>
        <w:tc>
          <w:tcPr>
            <w:tcW w:type="dxa" w:w="1872"/>
            <w:vAlign w:val="center"/>
            <w:tcMar>
              <w:top w:w="100" w:type="dxa"/>
              <w:bottom w:w="100" w:type="dxa"/>
              <w:left w:w="140" w:type="dxa"/>
              <w:right w:w="140" w:type="dxa"/>
            </w:tcMar>
            <w:shd w:fill="FFFFFF"/>
          </w:tcPr>
          <w:p>
            <w:pPr>
              <w:spacing w:before="50" w:after="50"/>
            </w:pPr>
            <w:r>
              <w:rPr>
                <w:sz w:val="18"/>
              </w:rPr>
              <w:t>How Good Are Query Optimizers, Really? (PVLDB)</w:t>
            </w:r>
          </w:p>
        </w:tc>
        <w:tc>
          <w:tcPr>
            <w:tcW w:type="dxa" w:w="1584"/>
            <w:vAlign w:val="center"/>
            <w:tcMar>
              <w:top w:w="100" w:type="dxa"/>
              <w:bottom w:w="100" w:type="dxa"/>
              <w:left w:w="140" w:type="dxa"/>
              <w:right w:w="140" w:type="dxa"/>
            </w:tcMar>
            <w:shd w:fill="FFFFFF"/>
          </w:tcPr>
          <w:p>
            <w:pPr>
              <w:spacing w:before="50" w:after="50"/>
            </w:pPr>
            <w:r>
              <w:rPr>
                <w:sz w:val="18"/>
              </w:rPr>
              <w:t>Empirical analysis of PostgreSQL, MySQL, and commercial CBOs on the Join Order Benchmark (JOB).</w:t>
            </w:r>
          </w:p>
        </w:tc>
        <w:tc>
          <w:tcPr>
            <w:tcW w:type="dxa" w:w="1584"/>
            <w:vAlign w:val="center"/>
            <w:tcMar>
              <w:top w:w="100" w:type="dxa"/>
              <w:bottom w:w="100" w:type="dxa"/>
              <w:left w:w="140" w:type="dxa"/>
              <w:right w:w="140" w:type="dxa"/>
            </w:tcMar>
            <w:shd w:fill="FFFFFF"/>
          </w:tcPr>
          <w:p>
            <w:pPr>
              <w:spacing w:before="50" w:after="50"/>
            </w:pPr>
            <w:r>
              <w:rPr>
                <w:sz w:val="18"/>
              </w:rPr>
              <w:t>Proved that cardinality estimation errors compound exponentially, causing suboptimal plan selection.</w:t>
            </w:r>
          </w:p>
        </w:tc>
        <w:tc>
          <w:tcPr>
            <w:tcW w:type="dxa" w:w="1728"/>
            <w:vAlign w:val="center"/>
            <w:tcMar>
              <w:top w:w="100" w:type="dxa"/>
              <w:bottom w:w="100" w:type="dxa"/>
              <w:left w:w="140" w:type="dxa"/>
              <w:right w:w="140" w:type="dxa"/>
            </w:tcMar>
            <w:shd w:fill="FFFFFF"/>
          </w:tcPr>
          <w:p>
            <w:pPr>
              <w:spacing w:before="50" w:after="50"/>
            </w:pPr>
            <w:r>
              <w:rPr>
                <w:sz w:val="18"/>
              </w:rPr>
              <w:t>Benchmarked engines without providing automated developer-facing remediation tools.</w:t>
            </w:r>
          </w:p>
        </w:tc>
        <w:tc>
          <w:tcPr>
            <w:tcW w:type="dxa" w:w="1728"/>
            <w:vAlign w:val="center"/>
            <w:tcMar>
              <w:top w:w="100" w:type="dxa"/>
              <w:bottom w:w="100" w:type="dxa"/>
              <w:left w:w="140" w:type="dxa"/>
              <w:right w:w="140" w:type="dxa"/>
            </w:tcMar>
            <w:shd w:fill="FFFFFF"/>
          </w:tcPr>
          <w:p>
            <w:pPr>
              <w:spacing w:before="50" w:after="50"/>
            </w:pPr>
            <w:r>
              <w:rPr>
                <w:sz w:val="18"/>
              </w:rPr>
              <w:t>Justifies QKraft's empirical execution benchmarking in sandboxes over relying solely on theoretical cost plans.</w:t>
            </w:r>
          </w:p>
        </w:tc>
      </w:tr>
      <w:tr>
        <w:tc>
          <w:tcPr>
            <w:tcW w:type="dxa" w:w="576"/>
            <w:vAlign w:val="center"/>
            <w:tcMar>
              <w:top w:w="100" w:type="dxa"/>
              <w:bottom w:w="100" w:type="dxa"/>
              <w:left w:w="140" w:type="dxa"/>
              <w:right w:w="140" w:type="dxa"/>
            </w:tcMar>
            <w:shd w:fill="F8FAFC"/>
          </w:tcPr>
          <w:p>
            <w:pPr>
              <w:spacing w:before="50" w:after="50"/>
            </w:pPr>
            <w:r>
              <w:rPr>
                <w:sz w:val="18"/>
              </w:rPr>
              <w:t>[3]</w:t>
            </w:r>
          </w:p>
        </w:tc>
        <w:tc>
          <w:tcPr>
            <w:tcW w:type="dxa" w:w="1584"/>
            <w:vAlign w:val="center"/>
            <w:tcMar>
              <w:top w:w="100" w:type="dxa"/>
              <w:bottom w:w="100" w:type="dxa"/>
              <w:left w:w="140" w:type="dxa"/>
              <w:right w:w="140" w:type="dxa"/>
            </w:tcMar>
            <w:shd w:fill="F8FAFC"/>
          </w:tcPr>
          <w:p>
            <w:pPr>
              <w:spacing w:before="50" w:after="50"/>
            </w:pPr>
            <w:r>
              <w:rPr>
                <w:sz w:val="18"/>
              </w:rPr>
              <w:t>T. Kraska et al. (2018)</w:t>
            </w:r>
          </w:p>
        </w:tc>
        <w:tc>
          <w:tcPr>
            <w:tcW w:type="dxa" w:w="1872"/>
            <w:vAlign w:val="center"/>
            <w:tcMar>
              <w:top w:w="100" w:type="dxa"/>
              <w:bottom w:w="100" w:type="dxa"/>
              <w:left w:w="140" w:type="dxa"/>
              <w:right w:w="140" w:type="dxa"/>
            </w:tcMar>
            <w:shd w:fill="F8FAFC"/>
          </w:tcPr>
          <w:p>
            <w:pPr>
              <w:spacing w:before="50" w:after="50"/>
            </w:pPr>
            <w:r>
              <w:rPr>
                <w:sz w:val="18"/>
              </w:rPr>
              <w:t>The Case for Learned Index Structures (ACM SIGMOD)</w:t>
            </w:r>
          </w:p>
        </w:tc>
        <w:tc>
          <w:tcPr>
            <w:tcW w:type="dxa" w:w="1584"/>
            <w:vAlign w:val="center"/>
            <w:tcMar>
              <w:top w:w="100" w:type="dxa"/>
              <w:bottom w:w="100" w:type="dxa"/>
              <w:left w:w="140" w:type="dxa"/>
              <w:right w:w="140" w:type="dxa"/>
            </w:tcMar>
            <w:shd w:fill="F8FAFC"/>
          </w:tcPr>
          <w:p>
            <w:pPr>
              <w:spacing w:before="50" w:after="50"/>
            </w:pPr>
            <w:r>
              <w:rPr>
                <w:sz w:val="18"/>
              </w:rPr>
              <w:t>Replacing traditional B-Trees with learned Cumulative Distribution Function (CDF) neural models.</w:t>
            </w:r>
          </w:p>
        </w:tc>
        <w:tc>
          <w:tcPr>
            <w:tcW w:type="dxa" w:w="1584"/>
            <w:vAlign w:val="center"/>
            <w:tcMar>
              <w:top w:w="100" w:type="dxa"/>
              <w:bottom w:w="100" w:type="dxa"/>
              <w:left w:w="140" w:type="dxa"/>
              <w:right w:w="140" w:type="dxa"/>
            </w:tcMar>
            <w:shd w:fill="F8FAFC"/>
          </w:tcPr>
          <w:p>
            <w:pPr>
              <w:spacing w:before="50" w:after="50"/>
            </w:pPr>
            <w:r>
              <w:rPr>
                <w:sz w:val="18"/>
              </w:rPr>
              <w:t>Showed significant memory footprint reduction and faster lookup times on static read-only data.</w:t>
            </w:r>
          </w:p>
        </w:tc>
        <w:tc>
          <w:tcPr>
            <w:tcW w:type="dxa" w:w="1728"/>
            <w:vAlign w:val="center"/>
            <w:tcMar>
              <w:top w:w="100" w:type="dxa"/>
              <w:bottom w:w="100" w:type="dxa"/>
              <w:left w:w="140" w:type="dxa"/>
              <w:right w:w="140" w:type="dxa"/>
            </w:tcMar>
            <w:shd w:fill="F8FAFC"/>
          </w:tcPr>
          <w:p>
            <w:pPr>
              <w:spacing w:before="50" w:after="50"/>
            </w:pPr>
            <w:r>
              <w:rPr>
                <w:sz w:val="18"/>
              </w:rPr>
              <w:t>High training overhead; poor write performance; impractical for general dynamic transactional schemas.</w:t>
            </w:r>
          </w:p>
        </w:tc>
        <w:tc>
          <w:tcPr>
            <w:tcW w:type="dxa" w:w="1728"/>
            <w:vAlign w:val="center"/>
            <w:tcMar>
              <w:top w:w="100" w:type="dxa"/>
              <w:bottom w:w="100" w:type="dxa"/>
              <w:left w:w="140" w:type="dxa"/>
              <w:right w:w="140" w:type="dxa"/>
            </w:tcMar>
            <w:shd w:fill="F8FAFC"/>
          </w:tcPr>
          <w:p>
            <w:pPr>
              <w:spacing w:before="50" w:after="50"/>
            </w:pPr>
            <w:r>
              <w:rPr>
                <w:sz w:val="18"/>
              </w:rPr>
              <w:t>Inspires QKraft's hybrid design: retain robust B-Tree index structures while using AI for index placement heuristics.</w:t>
            </w:r>
          </w:p>
        </w:tc>
      </w:tr>
      <w:tr>
        <w:tc>
          <w:tcPr>
            <w:tcW w:type="dxa" w:w="576"/>
            <w:vAlign w:val="center"/>
            <w:tcMar>
              <w:top w:w="100" w:type="dxa"/>
              <w:bottom w:w="100" w:type="dxa"/>
              <w:left w:w="140" w:type="dxa"/>
              <w:right w:w="140" w:type="dxa"/>
            </w:tcMar>
            <w:shd w:fill="FFFFFF"/>
          </w:tcPr>
          <w:p>
            <w:pPr>
              <w:spacing w:before="50" w:after="50"/>
            </w:pPr>
            <w:r>
              <w:rPr>
                <w:sz w:val="18"/>
              </w:rPr>
              <w:t>[4]</w:t>
            </w:r>
          </w:p>
        </w:tc>
        <w:tc>
          <w:tcPr>
            <w:tcW w:type="dxa" w:w="1584"/>
            <w:vAlign w:val="center"/>
            <w:tcMar>
              <w:top w:w="100" w:type="dxa"/>
              <w:bottom w:w="100" w:type="dxa"/>
              <w:left w:w="140" w:type="dxa"/>
              <w:right w:w="140" w:type="dxa"/>
            </w:tcMar>
            <w:shd w:fill="FFFFFF"/>
          </w:tcPr>
          <w:p>
            <w:pPr>
              <w:spacing w:before="50" w:after="50"/>
            </w:pPr>
            <w:r>
              <w:rPr>
                <w:sz w:val="18"/>
              </w:rPr>
              <w:t>R. Marcus et al. (2021)</w:t>
            </w:r>
          </w:p>
        </w:tc>
        <w:tc>
          <w:tcPr>
            <w:tcW w:type="dxa" w:w="1872"/>
            <w:vAlign w:val="center"/>
            <w:tcMar>
              <w:top w:w="100" w:type="dxa"/>
              <w:bottom w:w="100" w:type="dxa"/>
              <w:left w:w="140" w:type="dxa"/>
              <w:right w:w="140" w:type="dxa"/>
            </w:tcMar>
            <w:shd w:fill="FFFFFF"/>
          </w:tcPr>
          <w:p>
            <w:pPr>
              <w:spacing w:before="50" w:after="50"/>
            </w:pPr>
            <w:r>
              <w:rPr>
                <w:sz w:val="18"/>
              </w:rPr>
              <w:t>Bao: Making Learned Query Optimization Practical (ACM SIGMOD)</w:t>
            </w:r>
          </w:p>
        </w:tc>
        <w:tc>
          <w:tcPr>
            <w:tcW w:type="dxa" w:w="1584"/>
            <w:vAlign w:val="center"/>
            <w:tcMar>
              <w:top w:w="100" w:type="dxa"/>
              <w:bottom w:w="100" w:type="dxa"/>
              <w:left w:w="140" w:type="dxa"/>
              <w:right w:w="140" w:type="dxa"/>
            </w:tcMar>
            <w:shd w:fill="FFFFFF"/>
          </w:tcPr>
          <w:p>
            <w:pPr>
              <w:spacing w:before="50" w:after="50"/>
            </w:pPr>
            <w:r>
              <w:rPr>
                <w:sz w:val="18"/>
              </w:rPr>
              <w:t>Steering PostgreSQL query optimizer via contextual bandit reinforcement learning and plan hints.</w:t>
            </w:r>
          </w:p>
        </w:tc>
        <w:tc>
          <w:tcPr>
            <w:tcW w:type="dxa" w:w="1584"/>
            <w:vAlign w:val="center"/>
            <w:tcMar>
              <w:top w:w="100" w:type="dxa"/>
              <w:bottom w:w="100" w:type="dxa"/>
              <w:left w:w="140" w:type="dxa"/>
              <w:right w:w="140" w:type="dxa"/>
            </w:tcMar>
            <w:shd w:fill="FFFFFF"/>
          </w:tcPr>
          <w:p>
            <w:pPr>
              <w:spacing w:before="50" w:after="50"/>
            </w:pPr>
            <w:r>
              <w:rPr>
                <w:sz w:val="18"/>
              </w:rPr>
              <w:t>Provides robust guardrails against catastrophic plan choices with minimal runtime overhead.</w:t>
            </w:r>
          </w:p>
        </w:tc>
        <w:tc>
          <w:tcPr>
            <w:tcW w:type="dxa" w:w="1728"/>
            <w:vAlign w:val="center"/>
            <w:tcMar>
              <w:top w:w="100" w:type="dxa"/>
              <w:bottom w:w="100" w:type="dxa"/>
              <w:left w:w="140" w:type="dxa"/>
              <w:right w:w="140" w:type="dxa"/>
            </w:tcMar>
            <w:shd w:fill="FFFFFF"/>
          </w:tcPr>
          <w:p>
            <w:pPr>
              <w:spacing w:before="50" w:after="50"/>
            </w:pPr>
            <w:r>
              <w:rPr>
                <w:sz w:val="18"/>
              </w:rPr>
              <w:t>Focuses strictly on query execution plan steering; does not alter table schemas or add missing FK indexes.</w:t>
            </w:r>
          </w:p>
        </w:tc>
        <w:tc>
          <w:tcPr>
            <w:tcW w:type="dxa" w:w="1728"/>
            <w:vAlign w:val="center"/>
            <w:tcMar>
              <w:top w:w="100" w:type="dxa"/>
              <w:bottom w:w="100" w:type="dxa"/>
              <w:left w:w="140" w:type="dxa"/>
              <w:right w:w="140" w:type="dxa"/>
            </w:tcMar>
            <w:shd w:fill="FFFFFF"/>
          </w:tcPr>
          <w:p>
            <w:pPr>
              <w:spacing w:before="50" w:after="50"/>
            </w:pPr>
            <w:r>
              <w:rPr>
                <w:sz w:val="18"/>
              </w:rPr>
              <w:t>Complements QKraft's Query Advisor module by demonstrating the impact of join order and index hints.</w:t>
            </w:r>
          </w:p>
        </w:tc>
      </w:tr>
      <w:tr>
        <w:tc>
          <w:tcPr>
            <w:tcW w:type="dxa" w:w="576"/>
            <w:vAlign w:val="center"/>
            <w:tcMar>
              <w:top w:w="100" w:type="dxa"/>
              <w:bottom w:w="100" w:type="dxa"/>
              <w:left w:w="140" w:type="dxa"/>
              <w:right w:w="140" w:type="dxa"/>
            </w:tcMar>
            <w:shd w:fill="F8FAFC"/>
          </w:tcPr>
          <w:p>
            <w:pPr>
              <w:spacing w:before="50" w:after="50"/>
            </w:pPr>
            <w:r>
              <w:rPr>
                <w:sz w:val="18"/>
              </w:rPr>
              <w:t>[5]</w:t>
            </w:r>
          </w:p>
        </w:tc>
        <w:tc>
          <w:tcPr>
            <w:tcW w:type="dxa" w:w="1584"/>
            <w:vAlign w:val="center"/>
            <w:tcMar>
              <w:top w:w="100" w:type="dxa"/>
              <w:bottom w:w="100" w:type="dxa"/>
              <w:left w:w="140" w:type="dxa"/>
              <w:right w:w="140" w:type="dxa"/>
            </w:tcMar>
            <w:shd w:fill="F8FAFC"/>
          </w:tcPr>
          <w:p>
            <w:pPr>
              <w:spacing w:before="50" w:after="50"/>
            </w:pPr>
            <w:r>
              <w:rPr>
                <w:sz w:val="18"/>
              </w:rPr>
              <w:t>J. Zhang et al. (2019)</w:t>
            </w:r>
          </w:p>
        </w:tc>
        <w:tc>
          <w:tcPr>
            <w:tcW w:type="dxa" w:w="1872"/>
            <w:vAlign w:val="center"/>
            <w:tcMar>
              <w:top w:w="100" w:type="dxa"/>
              <w:bottom w:w="100" w:type="dxa"/>
              <w:left w:w="140" w:type="dxa"/>
              <w:right w:w="140" w:type="dxa"/>
            </w:tcMar>
            <w:shd w:fill="F8FAFC"/>
          </w:tcPr>
          <w:p>
            <w:pPr>
              <w:spacing w:before="50" w:after="50"/>
            </w:pPr>
            <w:r>
              <w:rPr>
                <w:sz w:val="18"/>
              </w:rPr>
              <w:t>An End-to-End Automatic Cloud Database Tuning System Using DRL (ACM SIGMOD)</w:t>
            </w:r>
          </w:p>
        </w:tc>
        <w:tc>
          <w:tcPr>
            <w:tcW w:type="dxa" w:w="1584"/>
            <w:vAlign w:val="center"/>
            <w:tcMar>
              <w:top w:w="100" w:type="dxa"/>
              <w:bottom w:w="100" w:type="dxa"/>
              <w:left w:w="140" w:type="dxa"/>
              <w:right w:w="140" w:type="dxa"/>
            </w:tcMar>
            <w:shd w:fill="F8FAFC"/>
          </w:tcPr>
          <w:p>
            <w:pPr>
              <w:spacing w:before="50" w:after="50"/>
            </w:pPr>
            <w:r>
              <w:rPr>
                <w:sz w:val="18"/>
              </w:rPr>
              <w:t>CDBTune: Deep Reinforcement Learning for cloud database runtime parameter (buffer pool, cache) tuning.</w:t>
            </w:r>
          </w:p>
        </w:tc>
        <w:tc>
          <w:tcPr>
            <w:tcW w:type="dxa" w:w="1584"/>
            <w:vAlign w:val="center"/>
            <w:tcMar>
              <w:top w:w="100" w:type="dxa"/>
              <w:bottom w:w="100" w:type="dxa"/>
              <w:left w:w="140" w:type="dxa"/>
              <w:right w:w="140" w:type="dxa"/>
            </w:tcMar>
            <w:shd w:fill="F8FAFC"/>
          </w:tcPr>
          <w:p>
            <w:pPr>
              <w:spacing w:before="50" w:after="50"/>
            </w:pPr>
            <w:r>
              <w:rPr>
                <w:sz w:val="18"/>
              </w:rPr>
              <w:t>Outperformed experienced DBAs in tuning memory and I/O buffer pools in continuous parameter spaces.</w:t>
            </w:r>
          </w:p>
        </w:tc>
        <w:tc>
          <w:tcPr>
            <w:tcW w:type="dxa" w:w="1728"/>
            <w:vAlign w:val="center"/>
            <w:tcMar>
              <w:top w:w="100" w:type="dxa"/>
              <w:bottom w:w="100" w:type="dxa"/>
              <w:left w:w="140" w:type="dxa"/>
              <w:right w:w="140" w:type="dxa"/>
            </w:tcMar>
            <w:shd w:fill="F8FAFC"/>
          </w:tcPr>
          <w:p>
            <w:pPr>
              <w:spacing w:before="50" w:after="50"/>
            </w:pPr>
            <w:r>
              <w:rPr>
                <w:sz w:val="18"/>
              </w:rPr>
              <w:t>Tunes server-level flags; does not inspect or optimize structural DDL schemas or query logic.</w:t>
            </w:r>
          </w:p>
        </w:tc>
        <w:tc>
          <w:tcPr>
            <w:tcW w:type="dxa" w:w="1728"/>
            <w:vAlign w:val="center"/>
            <w:tcMar>
              <w:top w:w="100" w:type="dxa"/>
              <w:bottom w:w="100" w:type="dxa"/>
              <w:left w:w="140" w:type="dxa"/>
              <w:right w:w="140" w:type="dxa"/>
            </w:tcMar>
            <w:shd w:fill="F8FAFC"/>
          </w:tcPr>
          <w:p>
            <w:pPr>
              <w:spacing w:before="50" w:after="50"/>
            </w:pPr>
            <w:r>
              <w:rPr>
                <w:sz w:val="18"/>
              </w:rPr>
              <w:t>QKraft targets application-level schema bottlenecks, which parameter tuning cannot resolve.</w:t>
            </w:r>
          </w:p>
        </w:tc>
      </w:tr>
      <w:tr>
        <w:tc>
          <w:tcPr>
            <w:tcW w:type="dxa" w:w="576"/>
            <w:vAlign w:val="center"/>
            <w:tcMar>
              <w:top w:w="100" w:type="dxa"/>
              <w:bottom w:w="100" w:type="dxa"/>
              <w:left w:w="140" w:type="dxa"/>
              <w:right w:w="140" w:type="dxa"/>
            </w:tcMar>
            <w:shd w:fill="FFFFFF"/>
          </w:tcPr>
          <w:p>
            <w:pPr>
              <w:spacing w:before="50" w:after="50"/>
            </w:pPr>
            <w:r>
              <w:rPr>
                <w:sz w:val="18"/>
              </w:rPr>
              <w:t>[6]</w:t>
            </w:r>
          </w:p>
        </w:tc>
        <w:tc>
          <w:tcPr>
            <w:tcW w:type="dxa" w:w="1584"/>
            <w:vAlign w:val="center"/>
            <w:tcMar>
              <w:top w:w="100" w:type="dxa"/>
              <w:bottom w:w="100" w:type="dxa"/>
              <w:left w:w="140" w:type="dxa"/>
              <w:right w:w="140" w:type="dxa"/>
            </w:tcMar>
            <w:shd w:fill="FFFFFF"/>
          </w:tcPr>
          <w:p>
            <w:pPr>
              <w:spacing w:before="50" w:after="50"/>
            </w:pPr>
            <w:r>
              <w:rPr>
                <w:sz w:val="18"/>
              </w:rPr>
              <w:t>T. Yu et al. (2018)</w:t>
            </w:r>
          </w:p>
        </w:tc>
        <w:tc>
          <w:tcPr>
            <w:tcW w:type="dxa" w:w="1872"/>
            <w:vAlign w:val="center"/>
            <w:tcMar>
              <w:top w:w="100" w:type="dxa"/>
              <w:bottom w:w="100" w:type="dxa"/>
              <w:left w:w="140" w:type="dxa"/>
              <w:right w:w="140" w:type="dxa"/>
            </w:tcMar>
            <w:shd w:fill="FFFFFF"/>
          </w:tcPr>
          <w:p>
            <w:pPr>
              <w:spacing w:before="50" w:after="50"/>
            </w:pPr>
            <w:r>
              <w:rPr>
                <w:sz w:val="18"/>
              </w:rPr>
              <w:t>Spider: A Large-Scale Human-Labeled Dataset for Complex Text-to-SQL (EMNLP)</w:t>
            </w:r>
          </w:p>
        </w:tc>
        <w:tc>
          <w:tcPr>
            <w:tcW w:type="dxa" w:w="1584"/>
            <w:vAlign w:val="center"/>
            <w:tcMar>
              <w:top w:w="100" w:type="dxa"/>
              <w:bottom w:w="100" w:type="dxa"/>
              <w:left w:w="140" w:type="dxa"/>
              <w:right w:w="140" w:type="dxa"/>
            </w:tcMar>
            <w:shd w:fill="FFFFFF"/>
          </w:tcPr>
          <w:p>
            <w:pPr>
              <w:spacing w:before="50" w:after="50"/>
            </w:pPr>
            <w:r>
              <w:rPr>
                <w:sz w:val="18"/>
              </w:rPr>
              <w:t>Cross-domain semantic parsing benchmark across 200 databases and complex multi-table joins.</w:t>
            </w:r>
          </w:p>
        </w:tc>
        <w:tc>
          <w:tcPr>
            <w:tcW w:type="dxa" w:w="1584"/>
            <w:vAlign w:val="center"/>
            <w:tcMar>
              <w:top w:w="100" w:type="dxa"/>
              <w:bottom w:w="100" w:type="dxa"/>
              <w:left w:w="140" w:type="dxa"/>
              <w:right w:w="140" w:type="dxa"/>
            </w:tcMar>
            <w:shd w:fill="FFFFFF"/>
          </w:tcPr>
          <w:p>
            <w:pPr>
              <w:spacing w:before="50" w:after="50"/>
            </w:pPr>
            <w:r>
              <w:rPr>
                <w:sz w:val="18"/>
              </w:rPr>
              <w:t>Established standard benchmarks for translating natural language queries to structured SQL.</w:t>
            </w:r>
          </w:p>
        </w:tc>
        <w:tc>
          <w:tcPr>
            <w:tcW w:type="dxa" w:w="1728"/>
            <w:vAlign w:val="center"/>
            <w:tcMar>
              <w:top w:w="100" w:type="dxa"/>
              <w:bottom w:w="100" w:type="dxa"/>
              <w:left w:w="140" w:type="dxa"/>
              <w:right w:w="140" w:type="dxa"/>
            </w:tcMar>
            <w:shd w:fill="FFFFFF"/>
          </w:tcPr>
          <w:p>
            <w:pPr>
              <w:spacing w:before="50" w:after="50"/>
            </w:pPr>
            <w:r>
              <w:rPr>
                <w:sz w:val="18"/>
              </w:rPr>
              <w:t>Classical semantic parsers struggled with domain generalization and non-standard schema idioms.</w:t>
            </w:r>
          </w:p>
        </w:tc>
        <w:tc>
          <w:tcPr>
            <w:tcW w:type="dxa" w:w="1728"/>
            <w:vAlign w:val="center"/>
            <w:tcMar>
              <w:top w:w="100" w:type="dxa"/>
              <w:bottom w:w="100" w:type="dxa"/>
              <w:left w:w="140" w:type="dxa"/>
              <w:right w:w="140" w:type="dxa"/>
            </w:tcMar>
            <w:shd w:fill="FFFFFF"/>
          </w:tcPr>
          <w:p>
            <w:pPr>
              <w:spacing w:before="50" w:after="50"/>
            </w:pPr>
            <w:r>
              <w:rPr>
                <w:sz w:val="18"/>
              </w:rPr>
              <w:t>Forms the benchmark foundation for QKraft's Natural Language Query Advisor and prompt engineering.</w:t>
            </w:r>
          </w:p>
        </w:tc>
      </w:tr>
      <w:tr>
        <w:tc>
          <w:tcPr>
            <w:tcW w:type="dxa" w:w="576"/>
            <w:vAlign w:val="center"/>
            <w:tcMar>
              <w:top w:w="100" w:type="dxa"/>
              <w:bottom w:w="100" w:type="dxa"/>
              <w:left w:w="140" w:type="dxa"/>
              <w:right w:w="140" w:type="dxa"/>
            </w:tcMar>
            <w:shd w:fill="F8FAFC"/>
          </w:tcPr>
          <w:p>
            <w:pPr>
              <w:spacing w:before="50" w:after="50"/>
            </w:pPr>
            <w:r>
              <w:rPr>
                <w:sz w:val="18"/>
              </w:rPr>
              <w:t>[7]</w:t>
            </w:r>
          </w:p>
        </w:tc>
        <w:tc>
          <w:tcPr>
            <w:tcW w:type="dxa" w:w="1584"/>
            <w:vAlign w:val="center"/>
            <w:tcMar>
              <w:top w:w="100" w:type="dxa"/>
              <w:bottom w:w="100" w:type="dxa"/>
              <w:left w:w="140" w:type="dxa"/>
              <w:right w:w="140" w:type="dxa"/>
            </w:tcMar>
            <w:shd w:fill="F8FAFC"/>
          </w:tcPr>
          <w:p>
            <w:pPr>
              <w:spacing w:before="50" w:after="50"/>
            </w:pPr>
            <w:r>
              <w:rPr>
                <w:sz w:val="18"/>
              </w:rPr>
              <w:t>M. Pourreza &amp; D. Rafiei (2023)</w:t>
            </w:r>
          </w:p>
        </w:tc>
        <w:tc>
          <w:tcPr>
            <w:tcW w:type="dxa" w:w="1872"/>
            <w:vAlign w:val="center"/>
            <w:tcMar>
              <w:top w:w="100" w:type="dxa"/>
              <w:bottom w:w="100" w:type="dxa"/>
              <w:left w:w="140" w:type="dxa"/>
              <w:right w:w="140" w:type="dxa"/>
            </w:tcMar>
            <w:shd w:fill="F8FAFC"/>
          </w:tcPr>
          <w:p>
            <w:pPr>
              <w:spacing w:before="50" w:after="50"/>
            </w:pPr>
            <w:r>
              <w:rPr>
                <w:sz w:val="18"/>
              </w:rPr>
              <w:t>DIN-SQL: Decomposed In-Context Learning of Text-to-SQL (NeurIPS)</w:t>
            </w:r>
          </w:p>
        </w:tc>
        <w:tc>
          <w:tcPr>
            <w:tcW w:type="dxa" w:w="1584"/>
            <w:vAlign w:val="center"/>
            <w:tcMar>
              <w:top w:w="100" w:type="dxa"/>
              <w:bottom w:w="100" w:type="dxa"/>
              <w:left w:w="140" w:type="dxa"/>
              <w:right w:w="140" w:type="dxa"/>
            </w:tcMar>
            <w:shd w:fill="F8FAFC"/>
          </w:tcPr>
          <w:p>
            <w:pPr>
              <w:spacing w:before="50" w:after="50"/>
            </w:pPr>
            <w:r>
              <w:rPr>
                <w:sz w:val="18"/>
              </w:rPr>
              <w:t>Multi-step LLM decomposition: schema linking, query classification, SQL generation, and self-correction.</w:t>
            </w:r>
          </w:p>
        </w:tc>
        <w:tc>
          <w:tcPr>
            <w:tcW w:type="dxa" w:w="1584"/>
            <w:vAlign w:val="center"/>
            <w:tcMar>
              <w:top w:w="100" w:type="dxa"/>
              <w:bottom w:w="100" w:type="dxa"/>
              <w:left w:w="140" w:type="dxa"/>
              <w:right w:w="140" w:type="dxa"/>
            </w:tcMar>
            <w:shd w:fill="F8FAFC"/>
          </w:tcPr>
          <w:p>
            <w:pPr>
              <w:spacing w:before="50" w:after="50"/>
            </w:pPr>
            <w:r>
              <w:rPr>
                <w:sz w:val="18"/>
              </w:rPr>
              <w:t>Achieved state-of-the-art accuracy on Spider through step-wise cognitive decomposition.</w:t>
            </w:r>
          </w:p>
        </w:tc>
        <w:tc>
          <w:tcPr>
            <w:tcW w:type="dxa" w:w="1728"/>
            <w:vAlign w:val="center"/>
            <w:tcMar>
              <w:top w:w="100" w:type="dxa"/>
              <w:bottom w:w="100" w:type="dxa"/>
              <w:left w:w="140" w:type="dxa"/>
              <w:right w:w="140" w:type="dxa"/>
            </w:tcMar>
            <w:shd w:fill="F8FAFC"/>
          </w:tcPr>
          <w:p>
            <w:pPr>
              <w:spacing w:before="50" w:after="50"/>
            </w:pPr>
            <w:r>
              <w:rPr>
                <w:sz w:val="18"/>
              </w:rPr>
              <w:t>High token cost; lacks execution sandboxing to verify that generated SQL runs efficiently.</w:t>
            </w:r>
          </w:p>
        </w:tc>
        <w:tc>
          <w:tcPr>
            <w:tcW w:type="dxa" w:w="1728"/>
            <w:vAlign w:val="center"/>
            <w:tcMar>
              <w:top w:w="100" w:type="dxa"/>
              <w:bottom w:w="100" w:type="dxa"/>
              <w:left w:w="140" w:type="dxa"/>
              <w:right w:w="140" w:type="dxa"/>
            </w:tcMar>
            <w:shd w:fill="F8FAFC"/>
          </w:tcPr>
          <w:p>
            <w:pPr>
              <w:spacing w:before="50" w:after="50"/>
            </w:pPr>
            <w:r>
              <w:rPr>
                <w:sz w:val="18"/>
              </w:rPr>
              <w:t>QKraft integrates decomposed prompting with sandbox validation to verify syntax and timing.</w:t>
            </w:r>
          </w:p>
        </w:tc>
      </w:tr>
      <w:tr>
        <w:tc>
          <w:tcPr>
            <w:tcW w:type="dxa" w:w="576"/>
            <w:vAlign w:val="center"/>
            <w:tcMar>
              <w:top w:w="100" w:type="dxa"/>
              <w:bottom w:w="100" w:type="dxa"/>
              <w:left w:w="140" w:type="dxa"/>
              <w:right w:w="140" w:type="dxa"/>
            </w:tcMar>
            <w:shd w:fill="FFFFFF"/>
          </w:tcPr>
          <w:p>
            <w:pPr>
              <w:spacing w:before="50" w:after="50"/>
            </w:pPr>
            <w:r>
              <w:rPr>
                <w:sz w:val="18"/>
              </w:rPr>
              <w:t>[8]</w:t>
            </w:r>
          </w:p>
        </w:tc>
        <w:tc>
          <w:tcPr>
            <w:tcW w:type="dxa" w:w="1584"/>
            <w:vAlign w:val="center"/>
            <w:tcMar>
              <w:top w:w="100" w:type="dxa"/>
              <w:bottom w:w="100" w:type="dxa"/>
              <w:left w:w="140" w:type="dxa"/>
              <w:right w:w="140" w:type="dxa"/>
            </w:tcMar>
            <w:shd w:fill="FFFFFF"/>
          </w:tcPr>
          <w:p>
            <w:pPr>
              <w:spacing w:before="50" w:after="50"/>
            </w:pPr>
            <w:r>
              <w:rPr>
                <w:sz w:val="18"/>
              </w:rPr>
              <w:t>I. Trummer (2022)</w:t>
            </w:r>
          </w:p>
        </w:tc>
        <w:tc>
          <w:tcPr>
            <w:tcW w:type="dxa" w:w="1872"/>
            <w:vAlign w:val="center"/>
            <w:tcMar>
              <w:top w:w="100" w:type="dxa"/>
              <w:bottom w:w="100" w:type="dxa"/>
              <w:left w:w="140" w:type="dxa"/>
              <w:right w:w="140" w:type="dxa"/>
            </w:tcMar>
            <w:shd w:fill="FFFFFF"/>
          </w:tcPr>
          <w:p>
            <w:pPr>
              <w:spacing w:before="50" w:after="50"/>
            </w:pPr>
            <w:r>
              <w:rPr>
                <w:sz w:val="18"/>
              </w:rPr>
              <w:t>CodexDB: Synthesizing Code for Query Processing with GPT-3 (PVLDB)</w:t>
            </w:r>
          </w:p>
        </w:tc>
        <w:tc>
          <w:tcPr>
            <w:tcW w:type="dxa" w:w="1584"/>
            <w:vAlign w:val="center"/>
            <w:tcMar>
              <w:top w:w="100" w:type="dxa"/>
              <w:bottom w:w="100" w:type="dxa"/>
              <w:left w:w="140" w:type="dxa"/>
              <w:right w:w="140" w:type="dxa"/>
            </w:tcMar>
            <w:shd w:fill="FFFFFF"/>
          </w:tcPr>
          <w:p>
            <w:pPr>
              <w:spacing w:before="50" w:after="50"/>
            </w:pPr>
            <w:r>
              <w:rPr>
                <w:sz w:val="18"/>
              </w:rPr>
              <w:t>Synthesizing custom C++/Python data processing pipelines from natural language using LLMs.</w:t>
            </w:r>
          </w:p>
        </w:tc>
        <w:tc>
          <w:tcPr>
            <w:tcW w:type="dxa" w:w="1584"/>
            <w:vAlign w:val="center"/>
            <w:tcMar>
              <w:top w:w="100" w:type="dxa"/>
              <w:bottom w:w="100" w:type="dxa"/>
              <w:left w:w="140" w:type="dxa"/>
              <w:right w:w="140" w:type="dxa"/>
            </w:tcMar>
            <w:shd w:fill="FFFFFF"/>
          </w:tcPr>
          <w:p>
            <w:pPr>
              <w:spacing w:before="50" w:after="50"/>
            </w:pPr>
            <w:r>
              <w:rPr>
                <w:sz w:val="18"/>
              </w:rPr>
              <w:t>Demonstrated zero-shot code generation capabilities for data processing operators.</w:t>
            </w:r>
          </w:p>
        </w:tc>
        <w:tc>
          <w:tcPr>
            <w:tcW w:type="dxa" w:w="1728"/>
            <w:vAlign w:val="center"/>
            <w:tcMar>
              <w:top w:w="100" w:type="dxa"/>
              <w:bottom w:w="100" w:type="dxa"/>
              <w:left w:w="140" w:type="dxa"/>
              <w:right w:w="140" w:type="dxa"/>
            </w:tcMar>
            <w:shd w:fill="FFFFFF"/>
          </w:tcPr>
          <w:p>
            <w:pPr>
              <w:spacing w:before="50" w:after="50"/>
            </w:pPr>
            <w:r>
              <w:rPr>
                <w:sz w:val="18"/>
              </w:rPr>
              <w:t>High compilation latency and unpredictable memory safety; not deployable in standard SQL engines.</w:t>
            </w:r>
          </w:p>
        </w:tc>
        <w:tc>
          <w:tcPr>
            <w:tcW w:type="dxa" w:w="1728"/>
            <w:vAlign w:val="center"/>
            <w:tcMar>
              <w:top w:w="100" w:type="dxa"/>
              <w:bottom w:w="100" w:type="dxa"/>
              <w:left w:w="140" w:type="dxa"/>
              <w:right w:w="140" w:type="dxa"/>
            </w:tcMar>
            <w:shd w:fill="FFFFFF"/>
          </w:tcPr>
          <w:p>
            <w:pPr>
              <w:spacing w:before="50" w:after="50"/>
            </w:pPr>
            <w:r>
              <w:rPr>
                <w:sz w:val="18"/>
              </w:rPr>
              <w:t>Guided QKraft to keep standard SQL as the execution target while using LLMs for query rewriting.</w:t>
            </w:r>
          </w:p>
        </w:tc>
      </w:tr>
      <w:tr>
        <w:tc>
          <w:tcPr>
            <w:tcW w:type="dxa" w:w="576"/>
            <w:vAlign w:val="center"/>
            <w:tcMar>
              <w:top w:w="100" w:type="dxa"/>
              <w:bottom w:w="100" w:type="dxa"/>
              <w:left w:w="140" w:type="dxa"/>
              <w:right w:w="140" w:type="dxa"/>
            </w:tcMar>
            <w:shd w:fill="F8FAFC"/>
          </w:tcPr>
          <w:p>
            <w:pPr>
              <w:spacing w:before="50" w:after="50"/>
            </w:pPr>
            <w:r>
              <w:rPr>
                <w:sz w:val="18"/>
              </w:rPr>
              <w:t>[9]</w:t>
            </w:r>
          </w:p>
        </w:tc>
        <w:tc>
          <w:tcPr>
            <w:tcW w:type="dxa" w:w="1584"/>
            <w:vAlign w:val="center"/>
            <w:tcMar>
              <w:top w:w="100" w:type="dxa"/>
              <w:bottom w:w="100" w:type="dxa"/>
              <w:left w:w="140" w:type="dxa"/>
              <w:right w:w="140" w:type="dxa"/>
            </w:tcMar>
            <w:shd w:fill="F8FAFC"/>
          </w:tcPr>
          <w:p>
            <w:pPr>
              <w:spacing w:before="50" w:after="50"/>
            </w:pPr>
            <w:r>
              <w:rPr>
                <w:sz w:val="18"/>
              </w:rPr>
              <w:t>I. Trummer (2024)</w:t>
            </w:r>
          </w:p>
        </w:tc>
        <w:tc>
          <w:tcPr>
            <w:tcW w:type="dxa" w:w="1872"/>
            <w:vAlign w:val="center"/>
            <w:tcMar>
              <w:top w:w="100" w:type="dxa"/>
              <w:bottom w:w="100" w:type="dxa"/>
              <w:left w:w="140" w:type="dxa"/>
              <w:right w:w="140" w:type="dxa"/>
            </w:tcMar>
            <w:shd w:fill="F8FAFC"/>
          </w:tcPr>
          <w:p>
            <w:pPr>
              <w:spacing w:before="50" w:after="50"/>
            </w:pPr>
            <w:r>
              <w:rPr>
                <w:sz w:val="18"/>
              </w:rPr>
              <w:t>Can Large Language Models Optimize SQL Queries? (IEEE TKDE)</w:t>
            </w:r>
          </w:p>
        </w:tc>
        <w:tc>
          <w:tcPr>
            <w:tcW w:type="dxa" w:w="1584"/>
            <w:vAlign w:val="center"/>
            <w:tcMar>
              <w:top w:w="100" w:type="dxa"/>
              <w:bottom w:w="100" w:type="dxa"/>
              <w:left w:w="140" w:type="dxa"/>
              <w:right w:w="140" w:type="dxa"/>
            </w:tcMar>
            <w:shd w:fill="F8FAFC"/>
          </w:tcPr>
          <w:p>
            <w:pPr>
              <w:spacing w:before="50" w:after="50"/>
            </w:pPr>
            <w:r>
              <w:rPr>
                <w:sz w:val="18"/>
              </w:rPr>
              <w:t>Evaluating GPT-4 on SQL query rewriting (pushing predicates, decorrelating subqueries, index suggestions).</w:t>
            </w:r>
          </w:p>
        </w:tc>
        <w:tc>
          <w:tcPr>
            <w:tcW w:type="dxa" w:w="1584"/>
            <w:vAlign w:val="center"/>
            <w:tcMar>
              <w:top w:w="100" w:type="dxa"/>
              <w:bottom w:w="100" w:type="dxa"/>
              <w:left w:w="140" w:type="dxa"/>
              <w:right w:w="140" w:type="dxa"/>
            </w:tcMar>
            <w:shd w:fill="F8FAFC"/>
          </w:tcPr>
          <w:p>
            <w:pPr>
              <w:spacing w:before="50" w:after="50"/>
            </w:pPr>
            <w:r>
              <w:rPr>
                <w:sz w:val="18"/>
              </w:rPr>
              <w:t>Demonstrated that LLMs can identify non-SARGable clauses and propose equivalent faster queries.</w:t>
            </w:r>
          </w:p>
        </w:tc>
        <w:tc>
          <w:tcPr>
            <w:tcW w:type="dxa" w:w="1728"/>
            <w:vAlign w:val="center"/>
            <w:tcMar>
              <w:top w:w="100" w:type="dxa"/>
              <w:bottom w:w="100" w:type="dxa"/>
              <w:left w:w="140" w:type="dxa"/>
              <w:right w:w="140" w:type="dxa"/>
            </w:tcMar>
            <w:shd w:fill="F8FAFC"/>
          </w:tcPr>
          <w:p>
            <w:pPr>
              <w:spacing w:before="50" w:after="50"/>
            </w:pPr>
            <w:r>
              <w:rPr>
                <w:sz w:val="18"/>
              </w:rPr>
              <w:t>Prone to semantic drift and hallucination without an isolated database to verify result equivalence.</w:t>
            </w:r>
          </w:p>
        </w:tc>
        <w:tc>
          <w:tcPr>
            <w:tcW w:type="dxa" w:w="1728"/>
            <w:vAlign w:val="center"/>
            <w:tcMar>
              <w:top w:w="100" w:type="dxa"/>
              <w:bottom w:w="100" w:type="dxa"/>
              <w:left w:w="140" w:type="dxa"/>
              <w:right w:w="140" w:type="dxa"/>
            </w:tcMar>
            <w:shd w:fill="F8FAFC"/>
          </w:tcPr>
          <w:p>
            <w:pPr>
              <w:spacing w:before="50" w:after="50"/>
            </w:pPr>
            <w:r>
              <w:rPr>
                <w:sz w:val="18"/>
              </w:rPr>
              <w:t>Directly motivates QKraft's side-by-side sandbox verification: candidate SQL is verified for result correctness and speedup.</w:t>
            </w:r>
          </w:p>
        </w:tc>
      </w:tr>
      <w:tr>
        <w:tc>
          <w:tcPr>
            <w:tcW w:type="dxa" w:w="576"/>
            <w:vAlign w:val="center"/>
            <w:tcMar>
              <w:top w:w="100" w:type="dxa"/>
              <w:bottom w:w="100" w:type="dxa"/>
              <w:left w:w="140" w:type="dxa"/>
              <w:right w:w="140" w:type="dxa"/>
            </w:tcMar>
            <w:shd w:fill="FFFFFF"/>
          </w:tcPr>
          <w:p>
            <w:pPr>
              <w:spacing w:before="50" w:after="50"/>
            </w:pPr>
            <w:r>
              <w:rPr>
                <w:sz w:val="18"/>
              </w:rPr>
              <w:t>[10]</w:t>
            </w:r>
          </w:p>
        </w:tc>
        <w:tc>
          <w:tcPr>
            <w:tcW w:type="dxa" w:w="1584"/>
            <w:vAlign w:val="center"/>
            <w:tcMar>
              <w:top w:w="100" w:type="dxa"/>
              <w:bottom w:w="100" w:type="dxa"/>
              <w:left w:w="140" w:type="dxa"/>
              <w:right w:w="140" w:type="dxa"/>
            </w:tcMar>
            <w:shd w:fill="FFFFFF"/>
          </w:tcPr>
          <w:p>
            <w:pPr>
              <w:spacing w:before="50" w:after="50"/>
            </w:pPr>
            <w:r>
              <w:rPr>
                <w:sz w:val="18"/>
              </w:rPr>
              <w:t>J. Gray et al. (1994)</w:t>
            </w:r>
          </w:p>
        </w:tc>
        <w:tc>
          <w:tcPr>
            <w:tcW w:type="dxa" w:w="1872"/>
            <w:vAlign w:val="center"/>
            <w:tcMar>
              <w:top w:w="100" w:type="dxa"/>
              <w:bottom w:w="100" w:type="dxa"/>
              <w:left w:w="140" w:type="dxa"/>
              <w:right w:w="140" w:type="dxa"/>
            </w:tcMar>
            <w:shd w:fill="FFFFFF"/>
          </w:tcPr>
          <w:p>
            <w:pPr>
              <w:spacing w:before="50" w:after="50"/>
            </w:pPr>
            <w:r>
              <w:rPr>
                <w:sz w:val="18"/>
              </w:rPr>
              <w:t>Quickly Generating Billion-Record Synthetic Databases (ACM SIGMOD)</w:t>
            </w:r>
          </w:p>
        </w:tc>
        <w:tc>
          <w:tcPr>
            <w:tcW w:type="dxa" w:w="1584"/>
            <w:vAlign w:val="center"/>
            <w:tcMar>
              <w:top w:w="100" w:type="dxa"/>
              <w:bottom w:w="100" w:type="dxa"/>
              <w:left w:w="140" w:type="dxa"/>
              <w:right w:w="140" w:type="dxa"/>
            </w:tcMar>
            <w:shd w:fill="FFFFFF"/>
          </w:tcPr>
          <w:p>
            <w:pPr>
              <w:spacing w:before="50" w:after="50"/>
            </w:pPr>
            <w:r>
              <w:rPr>
                <w:sz w:val="18"/>
              </w:rPr>
              <w:t>Parallel pseudo-random synthetic data generation with realistic cardinality and skew.</w:t>
            </w:r>
          </w:p>
        </w:tc>
        <w:tc>
          <w:tcPr>
            <w:tcW w:type="dxa" w:w="1584"/>
            <w:vAlign w:val="center"/>
            <w:tcMar>
              <w:top w:w="100" w:type="dxa"/>
              <w:bottom w:w="100" w:type="dxa"/>
              <w:left w:w="140" w:type="dxa"/>
              <w:right w:w="140" w:type="dxa"/>
            </w:tcMar>
            <w:shd w:fill="FFFFFF"/>
          </w:tcPr>
          <w:p>
            <w:pPr>
              <w:spacing w:before="50" w:after="50"/>
            </w:pPr>
            <w:r>
              <w:rPr>
                <w:sz w:val="18"/>
              </w:rPr>
              <w:t>Foundational work for TPC-C/TPC-H benchmarks; enabled reproducible synthetic testing.</w:t>
            </w:r>
          </w:p>
        </w:tc>
        <w:tc>
          <w:tcPr>
            <w:tcW w:type="dxa" w:w="1728"/>
            <w:vAlign w:val="center"/>
            <w:tcMar>
              <w:top w:w="100" w:type="dxa"/>
              <w:bottom w:w="100" w:type="dxa"/>
              <w:left w:w="140" w:type="dxa"/>
              <w:right w:w="140" w:type="dxa"/>
            </w:tcMar>
            <w:shd w:fill="FFFFFF"/>
          </w:tcPr>
          <w:p>
            <w:pPr>
              <w:spacing w:before="50" w:after="50"/>
            </w:pPr>
            <w:r>
              <w:rPr>
                <w:sz w:val="18"/>
              </w:rPr>
              <w:t>Generated flat tabular distributions without automated foreign key constraint satisfaction.</w:t>
            </w:r>
          </w:p>
        </w:tc>
        <w:tc>
          <w:tcPr>
            <w:tcW w:type="dxa" w:w="1728"/>
            <w:vAlign w:val="center"/>
            <w:tcMar>
              <w:top w:w="100" w:type="dxa"/>
              <w:bottom w:w="100" w:type="dxa"/>
              <w:left w:w="140" w:type="dxa"/>
              <w:right w:w="140" w:type="dxa"/>
            </w:tcMar>
            <w:shd w:fill="FFFFFF"/>
          </w:tcPr>
          <w:p>
            <w:pPr>
              <w:spacing w:before="50" w:after="50"/>
            </w:pPr>
            <w:r>
              <w:rPr>
                <w:sz w:val="18"/>
              </w:rPr>
              <w:t>QKraft's synthetic mock data engine adopts these principles to auto-seed isolated SQLite sandboxes.</w:t>
            </w:r>
          </w:p>
        </w:tc>
      </w:tr>
      <w:tr>
        <w:tc>
          <w:tcPr>
            <w:tcW w:type="dxa" w:w="576"/>
            <w:vAlign w:val="center"/>
            <w:tcMar>
              <w:top w:w="100" w:type="dxa"/>
              <w:bottom w:w="100" w:type="dxa"/>
              <w:left w:w="140" w:type="dxa"/>
              <w:right w:w="140" w:type="dxa"/>
            </w:tcMar>
            <w:shd w:fill="F8FAFC"/>
          </w:tcPr>
          <w:p>
            <w:pPr>
              <w:spacing w:before="50" w:after="50"/>
            </w:pPr>
            <w:r>
              <w:rPr>
                <w:sz w:val="18"/>
              </w:rPr>
              <w:t>[11]</w:t>
            </w:r>
          </w:p>
        </w:tc>
        <w:tc>
          <w:tcPr>
            <w:tcW w:type="dxa" w:w="1584"/>
            <w:vAlign w:val="center"/>
            <w:tcMar>
              <w:top w:w="100" w:type="dxa"/>
              <w:bottom w:w="100" w:type="dxa"/>
              <w:left w:w="140" w:type="dxa"/>
              <w:right w:w="140" w:type="dxa"/>
            </w:tcMar>
            <w:shd w:fill="F8FAFC"/>
          </w:tcPr>
          <w:p>
            <w:pPr>
              <w:spacing w:before="50" w:after="50"/>
            </w:pPr>
            <w:r>
              <w:rPr>
                <w:sz w:val="18"/>
              </w:rPr>
              <w:t>X. Zhou et al. (2023)</w:t>
            </w:r>
          </w:p>
        </w:tc>
        <w:tc>
          <w:tcPr>
            <w:tcW w:type="dxa" w:w="1872"/>
            <w:vAlign w:val="center"/>
            <w:tcMar>
              <w:top w:w="100" w:type="dxa"/>
              <w:bottom w:w="100" w:type="dxa"/>
              <w:left w:w="140" w:type="dxa"/>
              <w:right w:w="140" w:type="dxa"/>
            </w:tcMar>
            <w:shd w:fill="F8FAFC"/>
          </w:tcPr>
          <w:p>
            <w:pPr>
              <w:spacing w:before="50" w:after="50"/>
            </w:pPr>
            <w:r>
              <w:rPr>
                <w:sz w:val="18"/>
              </w:rPr>
              <w:t>DB-GPT: Large Language Model Meets Database (Data Science and Eng.)</w:t>
            </w:r>
          </w:p>
        </w:tc>
        <w:tc>
          <w:tcPr>
            <w:tcW w:type="dxa" w:w="1584"/>
            <w:vAlign w:val="center"/>
            <w:tcMar>
              <w:top w:w="100" w:type="dxa"/>
              <w:bottom w:w="100" w:type="dxa"/>
              <w:left w:w="140" w:type="dxa"/>
              <w:right w:w="140" w:type="dxa"/>
            </w:tcMar>
            <w:shd w:fill="F8FAFC"/>
          </w:tcPr>
          <w:p>
            <w:pPr>
              <w:spacing w:before="50" w:after="50"/>
            </w:pPr>
            <w:r>
              <w:rPr>
                <w:sz w:val="18"/>
              </w:rPr>
              <w:t>Service-oriented architecture pairing private LLMs with multi-source databases for conversational BI.</w:t>
            </w:r>
          </w:p>
        </w:tc>
        <w:tc>
          <w:tcPr>
            <w:tcW w:type="dxa" w:w="1584"/>
            <w:vAlign w:val="center"/>
            <w:tcMar>
              <w:top w:w="100" w:type="dxa"/>
              <w:bottom w:w="100" w:type="dxa"/>
              <w:left w:w="140" w:type="dxa"/>
              <w:right w:w="140" w:type="dxa"/>
            </w:tcMar>
            <w:shd w:fill="F8FAFC"/>
          </w:tcPr>
          <w:p>
            <w:pPr>
              <w:spacing w:before="50" w:after="50"/>
            </w:pPr>
            <w:r>
              <w:rPr>
                <w:sz w:val="18"/>
              </w:rPr>
              <w:t>Provides private enterprise RAG pipelines for querying heterogeneous databases.</w:t>
            </w:r>
          </w:p>
        </w:tc>
        <w:tc>
          <w:tcPr>
            <w:tcW w:type="dxa" w:w="1728"/>
            <w:vAlign w:val="center"/>
            <w:tcMar>
              <w:top w:w="100" w:type="dxa"/>
              <w:bottom w:w="100" w:type="dxa"/>
              <w:left w:w="140" w:type="dxa"/>
              <w:right w:w="140" w:type="dxa"/>
            </w:tcMar>
            <w:shd w:fill="F8FAFC"/>
          </w:tcPr>
          <w:p>
            <w:pPr>
              <w:spacing w:before="50" w:after="50"/>
            </w:pPr>
            <w:r>
              <w:rPr>
                <w:sz w:val="18"/>
              </w:rPr>
              <w:t>Focuses on conversational analytics and business intelligence; does not optimize DDL or benchmark query latency.</w:t>
            </w:r>
          </w:p>
        </w:tc>
        <w:tc>
          <w:tcPr>
            <w:tcW w:type="dxa" w:w="1728"/>
            <w:vAlign w:val="center"/>
            <w:tcMar>
              <w:top w:w="100" w:type="dxa"/>
              <w:bottom w:w="100" w:type="dxa"/>
              <w:left w:w="140" w:type="dxa"/>
              <w:right w:w="140" w:type="dxa"/>
            </w:tcMar>
            <w:shd w:fill="F8FAFC"/>
          </w:tcPr>
          <w:p>
            <w:pPr>
              <w:spacing w:before="50" w:after="50"/>
            </w:pPr>
            <w:r>
              <w:rPr>
                <w:sz w:val="18"/>
              </w:rPr>
              <w:t>Contrasts with QKraft: QKraft is a developer-centric engineering workbench for schema tuning and latency profiling.</w:t>
            </w:r>
          </w:p>
        </w:tc>
      </w:tr>
      <w:tr>
        <w:tc>
          <w:tcPr>
            <w:tcW w:type="dxa" w:w="576"/>
            <w:vAlign w:val="center"/>
            <w:tcMar>
              <w:top w:w="100" w:type="dxa"/>
              <w:bottom w:w="100" w:type="dxa"/>
              <w:left w:w="140" w:type="dxa"/>
              <w:right w:w="140" w:type="dxa"/>
            </w:tcMar>
            <w:shd w:fill="FFFFFF"/>
          </w:tcPr>
          <w:p>
            <w:pPr>
              <w:spacing w:before="50" w:after="50"/>
            </w:pPr>
            <w:r>
              <w:rPr>
                <w:sz w:val="18"/>
              </w:rPr>
              <w:t>[12]</w:t>
            </w:r>
          </w:p>
        </w:tc>
        <w:tc>
          <w:tcPr>
            <w:tcW w:type="dxa" w:w="1584"/>
            <w:vAlign w:val="center"/>
            <w:tcMar>
              <w:top w:w="100" w:type="dxa"/>
              <w:bottom w:w="100" w:type="dxa"/>
              <w:left w:w="140" w:type="dxa"/>
              <w:right w:w="140" w:type="dxa"/>
            </w:tcMar>
            <w:shd w:fill="FFFFFF"/>
          </w:tcPr>
          <w:p>
            <w:pPr>
              <w:spacing w:before="50" w:after="50"/>
            </w:pPr>
            <w:r>
              <w:rPr>
                <w:sz w:val="18"/>
              </w:rPr>
              <w:t>N. Bruno &amp; S. Chaudhuri (2005)</w:t>
            </w:r>
          </w:p>
        </w:tc>
        <w:tc>
          <w:tcPr>
            <w:tcW w:type="dxa" w:w="1872"/>
            <w:vAlign w:val="center"/>
            <w:tcMar>
              <w:top w:w="100" w:type="dxa"/>
              <w:bottom w:w="100" w:type="dxa"/>
              <w:left w:w="140" w:type="dxa"/>
              <w:right w:w="140" w:type="dxa"/>
            </w:tcMar>
            <w:shd w:fill="FFFFFF"/>
          </w:tcPr>
          <w:p>
            <w:pPr>
              <w:spacing w:before="50" w:after="50"/>
            </w:pPr>
            <w:r>
              <w:rPr>
                <w:sz w:val="18"/>
              </w:rPr>
              <w:t>Automatic Physical Database Tuning: A Relaxation-Based Approach (IEEE TKDE)</w:t>
            </w:r>
          </w:p>
        </w:tc>
        <w:tc>
          <w:tcPr>
            <w:tcW w:type="dxa" w:w="1584"/>
            <w:vAlign w:val="center"/>
            <w:tcMar>
              <w:top w:w="100" w:type="dxa"/>
              <w:bottom w:w="100" w:type="dxa"/>
              <w:left w:w="140" w:type="dxa"/>
              <w:right w:w="140" w:type="dxa"/>
            </w:tcMar>
            <w:shd w:fill="FFFFFF"/>
          </w:tcPr>
          <w:p>
            <w:pPr>
              <w:spacing w:before="50" w:after="50"/>
            </w:pPr>
            <w:r>
              <w:rPr>
                <w:sz w:val="18"/>
              </w:rPr>
              <w:t>Unified physical design algorithm searching across indexes, materialized views, and partitioning.</w:t>
            </w:r>
          </w:p>
        </w:tc>
        <w:tc>
          <w:tcPr>
            <w:tcW w:type="dxa" w:w="1584"/>
            <w:vAlign w:val="center"/>
            <w:tcMar>
              <w:top w:w="100" w:type="dxa"/>
              <w:bottom w:w="100" w:type="dxa"/>
              <w:left w:w="140" w:type="dxa"/>
              <w:right w:w="140" w:type="dxa"/>
            </w:tcMar>
            <w:shd w:fill="FFFFFF"/>
          </w:tcPr>
          <w:p>
            <w:pPr>
              <w:spacing w:before="50" w:after="50"/>
            </w:pPr>
            <w:r>
              <w:rPr>
                <w:sz w:val="18"/>
              </w:rPr>
              <w:t>Eliminated redundant index configurations and handled joint space optimization.</w:t>
            </w:r>
          </w:p>
        </w:tc>
        <w:tc>
          <w:tcPr>
            <w:tcW w:type="dxa" w:w="1728"/>
            <w:vAlign w:val="center"/>
            <w:tcMar>
              <w:top w:w="100" w:type="dxa"/>
              <w:bottom w:w="100" w:type="dxa"/>
              <w:left w:w="140" w:type="dxa"/>
              <w:right w:w="140" w:type="dxa"/>
            </w:tcMar>
            <w:shd w:fill="FFFFFF"/>
          </w:tcPr>
          <w:p>
            <w:pPr>
              <w:spacing w:before="50" w:after="50"/>
            </w:pPr>
            <w:r>
              <w:rPr>
                <w:sz w:val="18"/>
              </w:rPr>
              <w:t>Heavy reliance on offline workload traces and DBMS vendor-specific optimizer APIs.</w:t>
            </w:r>
          </w:p>
        </w:tc>
        <w:tc>
          <w:tcPr>
            <w:tcW w:type="dxa" w:w="1728"/>
            <w:vAlign w:val="center"/>
            <w:tcMar>
              <w:top w:w="100" w:type="dxa"/>
              <w:bottom w:w="100" w:type="dxa"/>
              <w:left w:w="140" w:type="dxa"/>
              <w:right w:w="140" w:type="dxa"/>
            </w:tcMar>
            <w:shd w:fill="FFFFFF"/>
          </w:tcPr>
          <w:p>
            <w:pPr>
              <w:spacing w:before="50" w:after="50"/>
            </w:pPr>
            <w:r>
              <w:rPr>
                <w:sz w:val="18"/>
              </w:rPr>
              <w:t>Highlights the need for lightweight, vendor-agnostic DDL-level heuristic optimization in QKraft.</w:t>
            </w:r>
          </w:p>
        </w:tc>
      </w:tr>
    </w:tbl>
    <w:p>
      <w:pPr>
        <w:spacing w:after="160"/>
      </w:pPr>
    </w:p>
    <w:p>
      <w:pPr>
        <w:keepNext/>
        <w:spacing w:before="320" w:after="120"/>
      </w:pPr>
      <w:r>
        <w:rPr>
          <w:b/>
          <w:color w:val="1E3A8A"/>
          <w:sz w:val="29"/>
        </w:rPr>
        <w:t>3. Thematic Critical Review &amp; Deep Synthesis</w:t>
      </w:r>
    </w:p>
    <w:p>
      <w:pPr>
        <w:keepNext/>
        <w:spacing w:before="240" w:after="80"/>
      </w:pPr>
      <w:r>
        <w:rPr>
          <w:b/>
          <w:color w:val="0E7490"/>
          <w:sz w:val="24"/>
        </w:rPr>
        <w:t>3.1 Automated Physical Schema Design &amp; Index Selection</w:t>
      </w:r>
    </w:p>
    <w:p>
      <w:pPr>
        <w:spacing w:line="276" w:lineRule="auto"/>
      </w:pPr>
      <w:r>
        <w:t>Automated physical database design has traditionally focused on post-deployment workload analysis. Chaudhuri &amp; Narasayya [1] and Bruno &amp; Chaudhuri [12] introduced the relaxation-based paradigm utilized in commercial tools such as Microsoft Database Tuning Advisor and IBM DB2 Design Advisor. These systems take a static workload trace file and simulate candidate index configurations using the engine's internal cost model to recommend a minimal set of B-Trees.</w:t>
        <w:br/>
        <w:br/>
        <w:t>However, these systems suffer from two core limitations: first, they are reactive, requiring extensive historical query logs from production before bottlenecks are recognized; second, as rigorously shown by Leis et al. [2], cost-based optimizers frequently misestimate cardinalities by orders of magnitude due to attribute correlation and skew, resulting in faulty index choices. QKraft addresses this by shifting analysis to the pre-production DDL level, combining deterministic structural rules with contextual AI.</w:t>
      </w:r>
    </w:p>
    <w:p>
      <w:pPr>
        <w:keepNext/>
        <w:spacing w:before="240" w:after="80"/>
      </w:pPr>
      <w:r>
        <w:rPr>
          <w:b/>
          <w:color w:val="0E7490"/>
          <w:sz w:val="24"/>
        </w:rPr>
        <w:t>3.2 Machine Learning &amp; Learned Database Optimizers</w:t>
      </w:r>
    </w:p>
    <w:p>
      <w:pPr>
        <w:spacing w:line="276" w:lineRule="auto"/>
      </w:pPr>
      <w:r>
        <w:t>The application of machine learning to core relational engines has garnered substantial research attention:</w:t>
        <w:br/>
        <w:t>• Learned Index Structures: Kraska et al. [3] proposed replacing traditional B-Trees with learned regression models. While memory-efficient for static read-only data, learned indexes incur prohibitive retraining penalties during high-throughput inserts and updates, limiting their utility in transactional systems.</w:t>
        <w:br/>
        <w:t>• Learned Query Planners: Marcus et al. [4] (Bao) demonstrated that bandit reinforcement learning can steer optimizer plan choices to prevent catastrophic query regressions. However, Bao assumes an existing physical schema and cannot add missing foreign key indexes.</w:t>
        <w:br/>
        <w:t>• Cloud Parameter Tuning: Zhang et al. [5] (CDBTune) applied Deep Deterministic Policy Gradients to tune runtime cache parameters. Yet parameter tuning cannot resolve structural schema bottlenecks such as full table scans caused by missing indexes.</w:t>
        <w:br/>
        <w:br/>
        <w:t>QKraft takes a complementary approach: rather than modifying internal database engine binaries with opaque neural weights, it equips developers with an intelligent pre-deployment workbench that optimizes DDL schemas and query logic directly.</w:t>
      </w:r>
    </w:p>
    <w:p>
      <w:pPr>
        <w:keepNext/>
        <w:spacing w:before="240" w:after="80"/>
      </w:pPr>
      <w:r>
        <w:rPr>
          <w:b/>
          <w:color w:val="0E7490"/>
          <w:sz w:val="24"/>
        </w:rPr>
        <w:t>3.3 Large Language Models (LLMs) in Database Engineering</w:t>
      </w:r>
    </w:p>
    <w:p>
      <w:pPr>
        <w:spacing w:line="276" w:lineRule="auto"/>
      </w:pPr>
      <w:r>
        <w:t>The advent of modern LLMs has revolutionized natural language query interfaces. Benchmarks like Spider (Yu et al. [6]) spurred developments such as DIN-SQL (Pourreza &amp; Rafiei [7]), which proved that multi-step prompt decomposition yields high accuracy. Trummer [9] further established that LLMs can identify non-SARGable query clauses and suggest structural rewrites.</w:t>
        <w:br/>
        <w:br/>
        <w:t>However, pure LLM approaches exhibit a critical vulnerability: hallucination and semantic drift. An LLM may propose an 'optimized' query that executes faster but produces subtly incorrect result sets due to altered join semantics or missing null checks. QKraft neutralizes this risk through a dual-layer architecture: deterministic AST parsing validates structural constraints, and an automated sandbox database verifies that both queries produce identical row counts while measuring empirical speedup.</w:t>
      </w:r>
    </w:p>
    <w:p>
      <w:pPr>
        <w:keepNext/>
        <w:spacing w:before="240" w:after="80"/>
      </w:pPr>
      <w:r>
        <w:rPr>
          <w:b/>
          <w:color w:val="0E7490"/>
          <w:sz w:val="24"/>
        </w:rPr>
        <w:t>3.4 Automated Database Sandboxing &amp; Empirical Validation</w:t>
      </w:r>
    </w:p>
    <w:p>
      <w:pPr>
        <w:spacing w:line="276" w:lineRule="auto"/>
      </w:pPr>
      <w:r>
        <w:t>Testing schema alternatives in real-world environments is typically hindered by operational friction: developers must configure containerized instances, migrate schemas, and generate realistic test rows. Gray et al. [10] established foundational algorithms for synthetic data synthesis with realistic statistical distributions.</w:t>
        <w:br/>
        <w:br/>
        <w:t>QKraft operationalizes these principles into an automated developer sandbox: it translates complex PostgreSQL DDL (SERIAL, TIMESTAMPTZ, UUID) into embedded SQLite instances, seeds realistic mock records based on column name semantics (emails, timestamps, prices), and executes queries concurrently to provide empirical, reproducible millisecond benchmarking.</w:t>
      </w:r>
    </w:p>
    <w:p>
      <w:pPr>
        <w:keepNext/>
        <w:spacing w:before="320" w:after="120"/>
      </w:pPr>
      <w:r>
        <w:rPr>
          <w:b/>
          <w:color w:val="1E3A8A"/>
          <w:sz w:val="29"/>
        </w:rPr>
        <w:t>4. Research Gaps &amp; QKraft System Contributions</w:t>
      </w:r>
    </w:p>
    <w:p>
      <w:pPr>
        <w:spacing w:line="276" w:lineRule="auto"/>
      </w:pPr>
      <w:r>
        <w:t>The following matrix summarizes the fundamental research and tooling gaps identified in literature and highlights how QKraft resolves them:</w:t>
      </w:r>
    </w:p>
    <w:tbl>
      <w:tblPr>
        <w:tblW w:type="auto" w:w="0"/>
        <w:jc w:val="center"/>
        <w:tblLook w:firstColumn="1" w:firstRow="1" w:lastColumn="0" w:lastRow="0" w:noHBand="0" w:noVBand="1" w:val="04A0"/>
      </w:tblPr>
      <w:tblGrid>
        <w:gridCol w:w="3120"/>
        <w:gridCol w:w="3120"/>
        <w:gridCol w:w="3120"/>
      </w:tblGrid>
      <w:tr>
        <w:tc>
          <w:tcPr>
            <w:tcW w:type="dxa" w:w="3168"/>
            <w:vAlign w:val="center"/>
            <w:tcMar>
              <w:top w:w="100" w:type="dxa"/>
              <w:bottom w:w="100" w:type="dxa"/>
              <w:left w:w="140" w:type="dxa"/>
              <w:right w:w="140" w:type="dxa"/>
            </w:tcMar>
            <w:shd w:fill="1E3A8A"/>
          </w:tcPr>
          <w:p>
            <w:pPr>
              <w:spacing w:before="60" w:after="60"/>
            </w:pPr>
            <w:r>
              <w:rPr>
                <w:b/>
                <w:color w:val="FFFFFF"/>
                <w:sz w:val="19"/>
              </w:rPr>
              <w:t>Identified Research Gap in Literature</w:t>
            </w:r>
          </w:p>
        </w:tc>
        <w:tc>
          <w:tcPr>
            <w:tcW w:type="dxa" w:w="3312"/>
            <w:vAlign w:val="center"/>
            <w:tcMar>
              <w:top w:w="100" w:type="dxa"/>
              <w:bottom w:w="100" w:type="dxa"/>
              <w:left w:w="140" w:type="dxa"/>
              <w:right w:w="140" w:type="dxa"/>
            </w:tcMar>
            <w:shd w:fill="1E3A8A"/>
          </w:tcPr>
          <w:p>
            <w:pPr>
              <w:spacing w:before="60" w:after="60"/>
            </w:pPr>
            <w:r>
              <w:rPr>
                <w:b/>
                <w:color w:val="FFFFFF"/>
                <w:sz w:val="19"/>
              </w:rPr>
              <w:t>Industry &amp; Academic Consequence</w:t>
            </w:r>
          </w:p>
        </w:tc>
        <w:tc>
          <w:tcPr>
            <w:tcW w:type="dxa" w:w="3744"/>
            <w:vAlign w:val="center"/>
            <w:tcMar>
              <w:top w:w="100" w:type="dxa"/>
              <w:bottom w:w="100" w:type="dxa"/>
              <w:left w:w="140" w:type="dxa"/>
              <w:right w:w="140" w:type="dxa"/>
            </w:tcMar>
            <w:shd w:fill="1E3A8A"/>
          </w:tcPr>
          <w:p>
            <w:pPr>
              <w:spacing w:before="60" w:after="60"/>
            </w:pPr>
            <w:r>
              <w:rPr>
                <w:b/>
                <w:color w:val="FFFFFF"/>
                <w:sz w:val="19"/>
              </w:rPr>
              <w:t>QKraft Technical Contribution</w:t>
            </w:r>
          </w:p>
        </w:tc>
      </w:tr>
      <w:tr>
        <w:tc>
          <w:tcPr>
            <w:tcW w:type="dxa" w:w="3168"/>
            <w:vAlign w:val="center"/>
            <w:tcMar>
              <w:top w:w="100" w:type="dxa"/>
              <w:bottom w:w="100" w:type="dxa"/>
              <w:left w:w="140" w:type="dxa"/>
              <w:right w:w="140" w:type="dxa"/>
            </w:tcMar>
            <w:shd w:fill="F8FAFC"/>
          </w:tcPr>
          <w:p>
            <w:pPr>
              <w:spacing w:before="50" w:after="50"/>
            </w:pPr>
            <w:r>
              <w:rPr>
                <w:sz w:val="18"/>
              </w:rPr>
              <w:t>Gap 1: Reactive, Post-Production Tooling</w:t>
              <w:br/>
              <w:t>(Chaudhuri [1], Zhang [5])</w:t>
            </w:r>
          </w:p>
        </w:tc>
        <w:tc>
          <w:tcPr>
            <w:tcW w:type="dxa" w:w="3312"/>
            <w:vAlign w:val="center"/>
            <w:tcMar>
              <w:top w:w="100" w:type="dxa"/>
              <w:bottom w:w="100" w:type="dxa"/>
              <w:left w:w="140" w:type="dxa"/>
              <w:right w:w="140" w:type="dxa"/>
            </w:tcMar>
            <w:shd w:fill="F8FAFC"/>
          </w:tcPr>
          <w:p>
            <w:pPr>
              <w:spacing w:before="50" w:after="50"/>
            </w:pPr>
            <w:r>
              <w:rPr>
                <w:sz w:val="18"/>
              </w:rPr>
              <w:t>Performance defects remain hidden until applications reach production, causing latency spikes and high cloud database costs.</w:t>
            </w:r>
          </w:p>
        </w:tc>
        <w:tc>
          <w:tcPr>
            <w:tcW w:type="dxa" w:w="3744"/>
            <w:vAlign w:val="center"/>
            <w:tcMar>
              <w:top w:w="100" w:type="dxa"/>
              <w:bottom w:w="100" w:type="dxa"/>
              <w:left w:w="140" w:type="dxa"/>
              <w:right w:w="140" w:type="dxa"/>
            </w:tcMar>
            <w:shd w:fill="F8FAFC"/>
          </w:tcPr>
          <w:p>
            <w:pPr>
              <w:spacing w:before="50" w:after="50"/>
            </w:pPr>
            <w:r>
              <w:rPr>
                <w:sz w:val="18"/>
              </w:rPr>
              <w:t>Pre-Production DDL Analysis:</w:t>
              <w:br/>
              <w:t>Analyzes schema definitions during initial development and migration authoring before code deployment.</w:t>
            </w:r>
          </w:p>
        </w:tc>
      </w:tr>
      <w:tr>
        <w:tc>
          <w:tcPr>
            <w:tcW w:type="dxa" w:w="3168"/>
            <w:vAlign w:val="center"/>
            <w:tcMar>
              <w:top w:w="100" w:type="dxa"/>
              <w:bottom w:w="100" w:type="dxa"/>
              <w:left w:w="140" w:type="dxa"/>
              <w:right w:w="140" w:type="dxa"/>
            </w:tcMar>
            <w:shd w:fill="FFFFFF"/>
          </w:tcPr>
          <w:p>
            <w:pPr>
              <w:spacing w:before="50" w:after="50"/>
            </w:pPr>
            <w:r>
              <w:rPr>
                <w:sz w:val="18"/>
              </w:rPr>
              <w:t>Gap 2: Unverified LLM Hallucinations</w:t>
              <w:br/>
              <w:t>(Trummer [9], Zhou [11])</w:t>
            </w:r>
          </w:p>
        </w:tc>
        <w:tc>
          <w:tcPr>
            <w:tcW w:type="dxa" w:w="3312"/>
            <w:vAlign w:val="center"/>
            <w:tcMar>
              <w:top w:w="100" w:type="dxa"/>
              <w:bottom w:w="100" w:type="dxa"/>
              <w:left w:w="140" w:type="dxa"/>
              <w:right w:w="140" w:type="dxa"/>
            </w:tcMar>
            <w:shd w:fill="FFFFFF"/>
          </w:tcPr>
          <w:p>
            <w:pPr>
              <w:spacing w:before="50" w:after="50"/>
            </w:pPr>
            <w:r>
              <w:rPr>
                <w:sz w:val="18"/>
              </w:rPr>
              <w:t>Generative AI suggestions are accepted without empirical verification, risking incorrect query outputs or degraded runtime.</w:t>
            </w:r>
          </w:p>
        </w:tc>
        <w:tc>
          <w:tcPr>
            <w:tcW w:type="dxa" w:w="3744"/>
            <w:vAlign w:val="center"/>
            <w:tcMar>
              <w:top w:w="100" w:type="dxa"/>
              <w:bottom w:w="100" w:type="dxa"/>
              <w:left w:w="140" w:type="dxa"/>
              <w:right w:w="140" w:type="dxa"/>
            </w:tcMar>
            <w:shd w:fill="FFFFFF"/>
          </w:tcPr>
          <w:p>
            <w:pPr>
              <w:spacing w:before="50" w:after="50"/>
            </w:pPr>
            <w:r>
              <w:rPr>
                <w:sz w:val="18"/>
              </w:rPr>
              <w:t>Automated Sandbox Verification:</w:t>
              <w:br/>
              <w:t>Spins up isolated database sandboxes to execute candidate queries side-by-side, verifying row counts and latency.</w:t>
            </w:r>
          </w:p>
        </w:tc>
      </w:tr>
      <w:tr>
        <w:tc>
          <w:tcPr>
            <w:tcW w:type="dxa" w:w="3168"/>
            <w:vAlign w:val="center"/>
            <w:tcMar>
              <w:top w:w="100" w:type="dxa"/>
              <w:bottom w:w="100" w:type="dxa"/>
              <w:left w:w="140" w:type="dxa"/>
              <w:right w:w="140" w:type="dxa"/>
            </w:tcMar>
            <w:shd w:fill="F8FAFC"/>
          </w:tcPr>
          <w:p>
            <w:pPr>
              <w:spacing w:before="50" w:after="50"/>
            </w:pPr>
            <w:r>
              <w:rPr>
                <w:sz w:val="18"/>
              </w:rPr>
              <w:t>Gap 3: High Friction in Testing Sandboxes</w:t>
              <w:br/>
              <w:t>(Gray [10])</w:t>
            </w:r>
          </w:p>
        </w:tc>
        <w:tc>
          <w:tcPr>
            <w:tcW w:type="dxa" w:w="3312"/>
            <w:vAlign w:val="center"/>
            <w:tcMar>
              <w:top w:w="100" w:type="dxa"/>
              <w:bottom w:w="100" w:type="dxa"/>
              <w:left w:w="140" w:type="dxa"/>
              <w:right w:w="140" w:type="dxa"/>
            </w:tcMar>
            <w:shd w:fill="F8FAFC"/>
          </w:tcPr>
          <w:p>
            <w:pPr>
              <w:spacing w:before="50" w:after="50"/>
            </w:pPr>
            <w:r>
              <w:rPr>
                <w:sz w:val="18"/>
              </w:rPr>
              <w:t>Developers skip schema experimentation because setting up Docker environments and seeding relational mock data takes hours.</w:t>
            </w:r>
          </w:p>
        </w:tc>
        <w:tc>
          <w:tcPr>
            <w:tcW w:type="dxa" w:w="3744"/>
            <w:vAlign w:val="center"/>
            <w:tcMar>
              <w:top w:w="100" w:type="dxa"/>
              <w:bottom w:w="100" w:type="dxa"/>
              <w:left w:w="140" w:type="dxa"/>
              <w:right w:w="140" w:type="dxa"/>
            </w:tcMar>
            <w:shd w:fill="F8FAFC"/>
          </w:tcPr>
          <w:p>
            <w:pPr>
              <w:spacing w:before="50" w:after="50"/>
            </w:pPr>
            <w:r>
              <w:rPr>
                <w:sz w:val="18"/>
              </w:rPr>
              <w:t>One-Click Automated Sandboxing:</w:t>
              <w:br/>
              <w:t>Automated dialect translation and semantic mock data generation with zero manual configuration.</w:t>
            </w:r>
          </w:p>
        </w:tc>
      </w:tr>
      <w:tr>
        <w:tc>
          <w:tcPr>
            <w:tcW w:type="dxa" w:w="3168"/>
            <w:vAlign w:val="center"/>
            <w:tcMar>
              <w:top w:w="100" w:type="dxa"/>
              <w:bottom w:w="100" w:type="dxa"/>
              <w:left w:w="140" w:type="dxa"/>
              <w:right w:w="140" w:type="dxa"/>
            </w:tcMar>
            <w:shd w:fill="FFFFFF"/>
          </w:tcPr>
          <w:p>
            <w:pPr>
              <w:spacing w:before="50" w:after="50"/>
            </w:pPr>
            <w:r>
              <w:rPr>
                <w:sz w:val="18"/>
              </w:rPr>
              <w:t>Gap 4: Fragmented Developer Workflows</w:t>
            </w:r>
          </w:p>
        </w:tc>
        <w:tc>
          <w:tcPr>
            <w:tcW w:type="dxa" w:w="3312"/>
            <w:vAlign w:val="center"/>
            <w:tcMar>
              <w:top w:w="100" w:type="dxa"/>
              <w:bottom w:w="100" w:type="dxa"/>
              <w:left w:w="140" w:type="dxa"/>
              <w:right w:w="140" w:type="dxa"/>
            </w:tcMar>
            <w:shd w:fill="FFFFFF"/>
          </w:tcPr>
          <w:p>
            <w:pPr>
              <w:spacing w:before="50" w:after="50"/>
            </w:pPr>
            <w:r>
              <w:rPr>
                <w:sz w:val="18"/>
              </w:rPr>
              <w:t>Engineers must switch across disconnected tools: drawing ERDs in diagramming apps, profiling in APMs, and rewriting SQL manually.</w:t>
            </w:r>
          </w:p>
        </w:tc>
        <w:tc>
          <w:tcPr>
            <w:tcW w:type="dxa" w:w="3744"/>
            <w:vAlign w:val="center"/>
            <w:tcMar>
              <w:top w:w="100" w:type="dxa"/>
              <w:bottom w:w="100" w:type="dxa"/>
              <w:left w:w="140" w:type="dxa"/>
              <w:right w:w="140" w:type="dxa"/>
            </w:tcMar>
            <w:shd w:fill="FFFFFF"/>
          </w:tcPr>
          <w:p>
            <w:pPr>
              <w:spacing w:before="50" w:after="50"/>
            </w:pPr>
            <w:r>
              <w:rPr>
                <w:sz w:val="18"/>
              </w:rPr>
              <w:t>Unified Interactive Workbench:</w:t>
              <w:br/>
              <w:t>Integrates visual ER diagrams, AI query advice, and empirical benchmarking in a single intuitive interface.</w:t>
            </w:r>
          </w:p>
        </w:tc>
      </w:tr>
    </w:tbl>
    <w:p>
      <w:pPr>
        <w:spacing w:after="200"/>
      </w:pPr>
    </w:p>
    <w:p>
      <w:pPr>
        <w:keepNext/>
        <w:spacing w:before="320" w:after="120"/>
      </w:pPr>
      <w:r>
        <w:rPr>
          <w:b/>
          <w:color w:val="1E3A8A"/>
          <w:sz w:val="29"/>
        </w:rPr>
        <w:t>5. References (Standard IEEE Format)</w:t>
      </w:r>
    </w:p>
    <w:p>
      <w:pPr>
        <w:spacing w:after="120"/>
      </w:pPr>
      <w:r>
        <w:t>The following academic papers, conference proceedings, and journal articles are cited throughout this review:</w:t>
      </w:r>
    </w:p>
    <w:p>
      <w:pPr>
        <w:spacing w:after="80" w:line="276" w:lineRule="auto"/>
        <w:ind w:left="576" w:hanging="576"/>
      </w:pPr>
      <w:r>
        <w:rPr>
          <w:sz w:val="19"/>
        </w:rPr>
        <w:t>[1] S. Chaudhuri and V. R. Narasayya, "An efficient cost-driven index selection tool for Microsoft SQL Server," in Proceedings of the 23rd International Conference on Very Large Data Bases (VLDB), Athens, Greece, 1997, pp. 146–155.</w:t>
      </w:r>
    </w:p>
    <w:p>
      <w:pPr>
        <w:spacing w:after="80" w:line="276" w:lineRule="auto"/>
        <w:ind w:left="576" w:hanging="576"/>
      </w:pPr>
      <w:r>
        <w:rPr>
          <w:sz w:val="19"/>
        </w:rPr>
        <w:t>[2] V. Leis, A. Gubichev, A. Mirchev, P. Boncz, A. Kemper, and T. Neumann, "How good are query optimizers, really?," Proceedings of the VLDB Endowment (PVLDB), vol. 9, no. 3, pp. 204–215, 2015.</w:t>
      </w:r>
    </w:p>
    <w:p>
      <w:pPr>
        <w:spacing w:after="80" w:line="276" w:lineRule="auto"/>
        <w:ind w:left="576" w:hanging="576"/>
      </w:pPr>
      <w:r>
        <w:rPr>
          <w:sz w:val="19"/>
        </w:rPr>
        <w:t>[3] T. Kraska, A. Beutel, E. H. Chi, J. Dean, and N. Polyzotis, "The case for learned index structures," in Proceedings of the 2018 International Conference on Management of Data (ACM SIGMOD), Houston, TX, USA, 2018, pp. 489–504.</w:t>
      </w:r>
    </w:p>
    <w:p>
      <w:pPr>
        <w:spacing w:after="80" w:line="276" w:lineRule="auto"/>
        <w:ind w:left="576" w:hanging="576"/>
      </w:pPr>
      <w:r>
        <w:rPr>
          <w:sz w:val="19"/>
        </w:rPr>
        <w:t>[4] R. Marcus, P. Negi, H. Mao, N. Tatbul, M. Alizadeh, and T. Kraska, "Bao: Making learned query optimization practical," in Proceedings of the 2021 International Conference on Management of Data (ACM SIGMOD), Virtual Event, 2021, pp. 1275–1288.</w:t>
      </w:r>
    </w:p>
    <w:p>
      <w:pPr>
        <w:spacing w:after="80" w:line="276" w:lineRule="auto"/>
        <w:ind w:left="576" w:hanging="576"/>
      </w:pPr>
      <w:r>
        <w:rPr>
          <w:sz w:val="19"/>
        </w:rPr>
        <w:t>[5] J. Zhang, B. Liu, C. Guo, J. Sun, and H. Chen, "An end-to-end automatic cloud database tuning system using deep reinforcement learning," in Proceedings of the 2019 International Conference on Management of Data (ACM SIGMOD), Amsterdam, Netherlands, 2019, pp. 415–432.</w:t>
      </w:r>
    </w:p>
    <w:p>
      <w:pPr>
        <w:spacing w:after="80" w:line="276" w:lineRule="auto"/>
        <w:ind w:left="576" w:hanging="576"/>
      </w:pPr>
      <w:r>
        <w:rPr>
          <w:sz w:val="19"/>
        </w:rPr>
        <w:t>[6] T. Yu, R. S. Zhang, K. Yang, M. Yasunaga, D. Wang, Z. Li, J. Ma, I. Li, Q. Yao, S. Roman, Z. Zhang, and D. Radev, "Spider: A large-scale human-labeled dataset for complex and cross-domain semantic parsing and text-to-SQL task," in Proceedings of the 2018 Conference on Empirical Methods in Natural Language Processing (EMNLP), Brussels, Belgium, 2018, pp. 3911–3921.</w:t>
      </w:r>
    </w:p>
    <w:p>
      <w:pPr>
        <w:spacing w:after="80" w:line="276" w:lineRule="auto"/>
        <w:ind w:left="576" w:hanging="576"/>
      </w:pPr>
      <w:r>
        <w:rPr>
          <w:sz w:val="19"/>
        </w:rPr>
        <w:t>[7] M. Pourreza and D. Rafiei, "DIN-SQL: Decomposed in-context learning of text-to-SQL with self-correction," in Advances in Neural Information Processing Systems (NeurIPS 2023), New Orleans, LA, USA, vol. 36, 2023.</w:t>
      </w:r>
    </w:p>
    <w:p>
      <w:pPr>
        <w:spacing w:after="80" w:line="276" w:lineRule="auto"/>
        <w:ind w:left="576" w:hanging="576"/>
      </w:pPr>
      <w:r>
        <w:rPr>
          <w:sz w:val="19"/>
        </w:rPr>
        <w:t>[8] I. Trummer, "CodexDB: Synthesizing code for query processing with GPT-3," Proceedings of the VLDB Endowment (PVLDB), vol. 15, no. 11, pp. 2921–2928, 2022.</w:t>
      </w:r>
    </w:p>
    <w:p>
      <w:pPr>
        <w:spacing w:after="80" w:line="276" w:lineRule="auto"/>
        <w:ind w:left="576" w:hanging="576"/>
      </w:pPr>
      <w:r>
        <w:rPr>
          <w:sz w:val="19"/>
        </w:rPr>
        <w:t>[9] I. Trummer, "Can large language models optimize SQL queries? Evaluating GPT-4 on database tuning and query rewriting," IEEE Transactions on Knowledge and Data Engineering (TKDE), vol. 36, no. 5, pp. 2100–2112, 2024.</w:t>
      </w:r>
    </w:p>
    <w:p>
      <w:pPr>
        <w:spacing w:after="80" w:line="276" w:lineRule="auto"/>
        <w:ind w:left="576" w:hanging="576"/>
      </w:pPr>
      <w:r>
        <w:rPr>
          <w:sz w:val="19"/>
        </w:rPr>
        <w:t>[10] J. Gray, P. Sundaresan, S. Englert, K. Leslie, and P. R. Weinberger, "Quickly generating billion-record synthetic databases," ACM SIGMOD Record, vol. 23, no. 2, pp. 243–252, 1994.</w:t>
      </w:r>
    </w:p>
    <w:p>
      <w:pPr>
        <w:spacing w:after="80" w:line="276" w:lineRule="auto"/>
        <w:ind w:left="576" w:hanging="576"/>
      </w:pPr>
      <w:r>
        <w:rPr>
          <w:sz w:val="19"/>
        </w:rPr>
        <w:t>[11] X. Zhou, Y. Sun, and G. Li, "DB-GPT: Large language model meets database," Data Science and Engineering, vol. 8, no. 4, pp. 323–334, 2023.</w:t>
      </w:r>
    </w:p>
    <w:p>
      <w:pPr>
        <w:spacing w:after="80" w:line="276" w:lineRule="auto"/>
        <w:ind w:left="576" w:hanging="576"/>
      </w:pPr>
      <w:r>
        <w:rPr>
          <w:sz w:val="19"/>
        </w:rPr>
        <w:t>[12] N. Bruno and S. Chaudhuri, "Automatic physical database tuning: A relaxation-based approach," IEEE Transactions on Knowledge and Data Engineering (TKDE), vol. 17, no. 8, pp. 1079–1094, 2005.</w:t>
      </w:r>
    </w:p>
    <w:p>
      <w:pPr>
        <w:spacing w:after="80" w:line="276" w:lineRule="auto"/>
        <w:ind w:left="576" w:hanging="576"/>
      </w:pPr>
      <w:r>
        <w:rPr>
          <w:sz w:val="19"/>
        </w:rPr>
        <w:t>[13] G. Graefe, "Query evaluation techniques for large databases," ACM Computing Surveys (CSUR), vol. 25, no. 2, pp. 73–170, 1993.</w:t>
      </w:r>
    </w:p>
    <w:p>
      <w:pPr>
        <w:spacing w:after="80" w:line="276" w:lineRule="auto"/>
        <w:ind w:left="576" w:hanging="576"/>
      </w:pPr>
      <w:r>
        <w:rPr>
          <w:sz w:val="19"/>
        </w:rPr>
        <w:t>[14] P. Bailis, A. Fekete, J. M. Hellerstein, A. Ghodsi, and I. Stoica, "Scalable atomic visibility with RAMP transactions," ACM Transactions on Database Systems (TODS), vol. 41, no. 3, pp. 1–45, 2016.</w:t>
      </w:r>
    </w:p>
    <w:p>
      <w:pPr>
        <w:spacing w:after="80" w:line="276" w:lineRule="auto"/>
        <w:ind w:left="576" w:hanging="576"/>
      </w:pPr>
      <w:r>
        <w:rPr>
          <w:sz w:val="19"/>
        </w:rPr>
        <w:t>[15] R. Marcus, P. Negi, H. Mao, C. Zhang, M. Alizadeh, T. Kraska, O. Papaemmanouil, and N. Tatbul, "Neo: A learned query optimizer," Proceedings of the VLDB Endowment (PVLDB), vol. 12, no. 11, pp. 1705–1718,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