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C88A2E"/>
          <w:sz w:val="32"/>
        </w:rPr>
        <w:t>JOYERO DIGITAL</w:t>
      </w:r>
    </w:p>
    <w:p>
      <w:pPr>
        <w:jc w:val="center"/>
      </w:pPr>
      <w:r>
        <w:rPr>
          <w:b/>
          <w:color w:val="1B3A5C"/>
          <w:sz w:val="60"/>
        </w:rPr>
        <w:t>Manual de Entrega de la Plataforma</w:t>
      </w:r>
    </w:p>
    <w:p>
      <w:pPr>
        <w:jc w:val="center"/>
      </w:pPr>
      <w:r>
        <w:rPr>
          <w:i/>
          <w:color w:val="555555"/>
          <w:sz w:val="30"/>
        </w:rPr>
        <w:t>Documentación técnica y de usuario</w:t>
      </w:r>
    </w:p>
    <w:p/>
    <w:p/>
    <w:p/>
    <w:p/>
    <w:p/>
    <w:p/>
    <w:p/>
    <w:p/>
    <w:p>
      <w:pPr>
        <w:jc w:val="center"/>
      </w:pPr>
      <w:r>
        <w:rPr>
          <w:color w:val="555555"/>
          <w:sz w:val="23"/>
        </w:rPr>
        <w:t>Handover de: tienda online, catálogo de modelos 3D descargables,</w:t>
        <w:br/>
        <w:t>cursos y asesorías, y panel de administración</w:t>
      </w:r>
    </w:p>
    <w:p/>
    <w:p/>
    <w:p/>
    <w:p/>
    <w:p/>
    <w:p/>
    <w:p>
      <w:pPr>
        <w:jc w:val="center"/>
      </w:pPr>
      <w:r>
        <w:rPr>
          <w:color w:val="555555"/>
          <w:sz w:val="21"/>
        </w:rPr>
        <w:t>Fecha de elaboración del documento: 7 de septiembre de 2026</w:t>
      </w:r>
    </w:p>
    <w:p>
      <w:pPr>
        <w:jc w:val="center"/>
      </w:pPr>
      <w:r>
        <w:rPr>
          <w:color w:val="555555"/>
          <w:sz w:val="21"/>
        </w:rPr>
        <w:t xml:space="preserve">Fecha de cesión: </w:t>
      </w:r>
      <w:r>
        <w:rPr>
          <w:i/>
          <w:color w:val="B03A2E"/>
          <w:sz w:val="21"/>
        </w:rPr>
        <w:t>[COMPLETAR]</w:t>
      </w:r>
    </w:p>
    <w:p>
      <w:r>
        <w:br w:type="page"/>
      </w:r>
    </w:p>
    <w:p>
      <w:pPr>
        <w:pStyle w:val="Heading1"/>
      </w:pPr>
      <w:r>
        <w:t>Índice</w:t>
      </w:r>
    </w:p>
    <w:p>
      <w:pPr>
        <w:spacing w:after="120"/>
      </w:pPr>
      <w:r>
        <w:rPr>
          <w:b w:val="0"/>
          <w:i/>
          <w:color w:val="555555"/>
          <w:sz w:val="20"/>
        </w:rPr>
        <w:t>Este índice se genera automáticamente a partir de los títulos del documento. Al abrir el archivo en Word, haga clic derecho sobre el recuadro y seleccione «Actualizar campo» → «Actualizar todo el índice» (o presione F9) para completarlo.</w:t>
      </w:r>
    </w:p>
    <w:p>
      <w:r>
        <w:fldChar w:fldCharType="begin"/>
        <w:instrText xml:space="preserve">TOC \o "1-3" \h \z \u</w:instrText>
        <w:fldChar w:fldCharType="separate"/>
        <w:t>Presione F9 (o clic derecho &gt; Actualizar campo) para generar el índice.</w:t>
        <w:fldChar w:fldCharType="end"/>
      </w:r>
    </w:p>
    <w:p>
      <w:r>
        <w:br w:type="page"/>
      </w:r>
    </w:p>
    <w:p>
      <w:pPr>
        <w:pStyle w:val="Heading1"/>
      </w:pPr>
      <w:r>
        <w:t>Introducción</w:t>
      </w:r>
    </w:p>
    <w:p>
      <w:pPr>
        <w:spacing w:after="120"/>
      </w:pPr>
      <w:r>
        <w:rPr>
          <w:b w:val="0"/>
          <w:i w:val="0"/>
          <w:sz w:val="22"/>
        </w:rPr>
        <w:t>Este documento es la versión en formato Word del manual de entrega de la plataforma Joyero Digital, alternativa a la documentación publicada como sitio web. Reúne en un solo archivo imprimible y editable toda la información necesaria para que el dueño del negocio opere la plataforma en el día a día, y para que el equipo técnico (interno o una agencia externa) la mantenga y la despliegue.</w:t>
      </w:r>
    </w:p>
    <w:p>
      <w:pPr>
        <w:spacing w:after="120"/>
      </w:pPr>
      <w:r>
        <w:rPr>
          <w:b w:val="0"/>
          <w:i w:val="0"/>
          <w:sz w:val="22"/>
        </w:rPr>
        <w:t>Joyero Digital es una plataforma de comercio electrónico compuesta por una tienda online de productos físicos, un catálogo de modelos 3D descargables (archivos STL), un módulo de cursos y asesorías con inscripciones y pago por cuotas, y un panel de administración con roles y permisos configurables.</w:t>
      </w:r>
    </w:p>
    <w:p>
      <w:pPr>
        <w:spacing w:after="120"/>
      </w:pPr>
      <w:r>
        <w:rPr>
          <w:b w:val="0"/>
          <w:i w:val="0"/>
          <w:sz w:val="22"/>
        </w:rPr>
        <w:t>A diferencia del sitio de documentación (que se mantiene vivo y se actualiza con el código), este documento es una fotografía del estado de la plataforma al momento de la entrega. Se recomienda conservarlo como respaldo, pero usar el sitio web de documentación como referencia continua ante cualquier cambio posterior.</w:t>
      </w:r>
    </w:p>
    <w:p>
      <w:pPr>
        <w:spacing w:after="200"/>
        <w:ind w:left="170"/>
        <w:shd w:val="clear" w:color="auto" w:fill="FFF3CD"/>
      </w:pPr>
      <w:r>
        <w:rPr>
          <w:b/>
        </w:rPr>
        <w:t xml:space="preserve">Importante: </w:t>
      </w:r>
      <w:r>
        <w:t>Los campos marcados como [COMPLETAR] deben ser llenados por el equipo que entrega antes de firmar la cesión: URLs reales de paneles, contactos de soporte, fecha de cesión y política real de backups.</w:t>
      </w:r>
    </w:p>
    <w:p>
      <w:pPr>
        <w:pStyle w:val="Heading1"/>
      </w:pPr>
      <w:r>
        <w:t>Objetivos</w:t>
      </w:r>
    </w:p>
    <w:p>
      <w:pPr>
        <w:pStyle w:val="Heading2"/>
      </w:pPr>
      <w:r>
        <w:t>Objetivo general</w:t>
      </w:r>
    </w:p>
    <w:p>
      <w:pPr>
        <w:spacing w:after="120"/>
      </w:pPr>
      <w:r>
        <w:rPr>
          <w:b w:val="0"/>
          <w:i w:val="0"/>
          <w:sz w:val="22"/>
        </w:rPr>
        <w:t>Proveer al dueño del negocio y al equipo técnico que hereda la plataforma Joyero Digital toda la información de accesos, operación, mantenimiento y estado real del proyecto, de forma que puedan operarla y mantenerla de manera autónoma a partir de la fecha de cesión.</w:t>
      </w:r>
    </w:p>
    <w:p>
      <w:pPr>
        <w:pStyle w:val="Heading2"/>
      </w:pPr>
      <w:r>
        <w:t>Objetivos específicos</w:t>
      </w:r>
    </w:p>
    <w:p>
      <w:pPr>
        <w:pStyle w:val="ListBullet"/>
        <w:spacing w:after="60"/>
      </w:pPr>
      <w:r>
        <w:rPr>
          <w:b/>
        </w:rPr>
        <w:t xml:space="preserve">Control de accesos — </w:t>
      </w:r>
      <w:r>
        <w:t>Detallar el inventario completo de accesos, cuentas y servicios que utiliza la plataforma, confirmando que su titularidad queda en cabeza del cliente.</w:t>
      </w:r>
    </w:p>
    <w:p>
      <w:pPr>
        <w:pStyle w:val="ListBullet"/>
        <w:spacing w:after="60"/>
      </w:pPr>
      <w:r>
        <w:rPr>
          <w:b/>
        </w:rPr>
        <w:t xml:space="preserve">Operación — </w:t>
      </w:r>
      <w:r>
        <w:t>Describir, mediante recetas paso a paso, cómo operar el panel de administración: pedidos, tienda, modelos 3D, cursos, cuotas, cupones, usuarios y cotizaciones.</w:t>
      </w:r>
    </w:p>
    <w:p>
      <w:pPr>
        <w:pStyle w:val="ListBullet"/>
        <w:spacing w:after="60"/>
      </w:pPr>
      <w:r>
        <w:rPr>
          <w:b/>
        </w:rPr>
        <w:t xml:space="preserve">Mantenimiento — </w:t>
      </w:r>
      <w:r>
        <w:t>Documentar la arquitectura técnica, el proceso de despliegue en producción y la lista completa de variables de entorno para el equipo que mantiene el código.</w:t>
      </w:r>
    </w:p>
    <w:p>
      <w:pPr>
        <w:pStyle w:val="ListBullet"/>
        <w:spacing w:after="60"/>
      </w:pPr>
      <w:r>
        <w:rPr>
          <w:b/>
        </w:rPr>
        <w:t xml:space="preserve">Transparencia — </w:t>
      </w:r>
      <w:r>
        <w:t>Dejar constancia explícita de qué no está terminado: funcionalidades conversadas pero no construidas, deuda técnica y bugs abiertos.</w:t>
      </w:r>
    </w:p>
    <w:p>
      <w:pPr>
        <w:pStyle w:val="ListBullet"/>
        <w:spacing w:after="60"/>
      </w:pPr>
      <w:r>
        <w:rPr>
          <w:b/>
        </w:rPr>
        <w:t xml:space="preserve">Cierre — </w:t>
      </w:r>
      <w:r>
        <w:t>Formalizar el checklist de cierre de la entrega y los términos exactos del soporte posterior a la cesión.</w:t>
      </w:r>
    </w:p>
    <w:p>
      <w:r>
        <w:br w:type="page"/>
      </w:r>
    </w:p>
    <w:p>
      <w:pPr>
        <w:pStyle w:val="Heading1"/>
      </w:pPr>
      <w:r>
        <w:t>1. Control de accesos</w:t>
      </w:r>
    </w:p>
    <w:p>
      <w:pPr>
        <w:spacing w:after="120"/>
      </w:pPr>
      <w:r>
        <w:rPr>
          <w:b w:val="0"/>
          <w:i w:val="0"/>
          <w:sz w:val="22"/>
        </w:rPr>
        <w:t>Esta sección se ubica primero porque es la base legal y operativa de la entrega: sin la titularidad clara de cada cuenta, el resto del manual no sirve de nada. Todas las cuentas listadas a continuación pertenecen al cliente. El equipo que desarrolló la plataforma solo ayudó a crearlas y configurarlas; la cesión confirma al cliente como dueño de cada una.</w:t>
      </w:r>
    </w:p>
    <w:p>
      <w:pPr>
        <w:spacing w:after="200"/>
        <w:ind w:left="170"/>
        <w:shd w:val="clear" w:color="auto" w:fill="FFF3CD"/>
      </w:pPr>
      <w:r>
        <w:rPr>
          <w:b/>
        </w:rPr>
        <w:t xml:space="preserve">Las contraseñas no están en este documento: </w:t>
      </w:r>
      <w:r>
        <w:t>Los secretos (contraseñas, API keys, tokens) viven en el gestor de contraseñas acordado (Bitwarden / 1Password) o en el Drive cifrado de la entrega. Esta sección dice qué existe y dónde encontrar la clave — nunca la clave misma.</w:t>
      </w:r>
    </w:p>
    <w:p>
      <w:pPr>
        <w:pStyle w:val="Heading2"/>
      </w:pPr>
      <w:r>
        <w:t>1.1 Inventario de servicios y cuentas</w:t>
      </w:r>
    </w:p>
    <w:p>
      <w:pPr>
        <w:spacing w:after="120"/>
      </w:pPr>
      <w:r>
        <w:rPr>
          <w:b w:val="0"/>
          <w:i w:val="0"/>
          <w:sz w:val="22"/>
        </w:rPr>
        <w:t>Tabla completa de servicios de los que depende la plataforma, para qué sirve cada uno, dónde está su panel y dónde se encuentra la clave de acceso.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B3A5C"/>
          </w:tcPr>
          <w:p>
            <w:r/>
            <w:r>
              <w:rPr>
                <w:b/>
                <w:color w:val="FFFFFF"/>
                <w:sz w:val="20"/>
              </w:rPr>
              <w:t>Servicio</w:t>
            </w:r>
          </w:p>
        </w:tc>
        <w:tc>
          <w:tcPr>
            <w:tcW w:type="dxa" w:w="2351"/>
            <w:shd w:val="clear" w:color="auto" w:fill="1B3A5C"/>
          </w:tcPr>
          <w:p>
            <w:r/>
            <w:r>
              <w:rPr>
                <w:b/>
                <w:color w:val="FFFFFF"/>
                <w:sz w:val="20"/>
              </w:rPr>
              <w:t>Para qué</w:t>
            </w:r>
          </w:p>
        </w:tc>
        <w:tc>
          <w:tcPr>
            <w:tcW w:type="dxa" w:w="2351"/>
            <w:shd w:val="clear" w:color="auto" w:fill="1B3A5C"/>
          </w:tcPr>
          <w:p>
            <w:r/>
            <w:r>
              <w:rPr>
                <w:b/>
                <w:color w:val="FFFFFF"/>
                <w:sz w:val="20"/>
              </w:rPr>
              <w:t>URL del panel</w:t>
            </w:r>
          </w:p>
        </w:tc>
        <w:tc>
          <w:tcPr>
            <w:tcW w:type="dxa" w:w="2351"/>
            <w:shd w:val="clear" w:color="auto" w:fill="1B3A5C"/>
          </w:tcPr>
          <w:p>
            <w:r/>
            <w:r>
              <w:rPr>
                <w:b/>
                <w:color w:val="FFFFFF"/>
                <w:sz w:val="20"/>
              </w:rPr>
              <w:t>Dónde está la clave</w:t>
            </w:r>
          </w:p>
        </w:tc>
      </w:tr>
      <w:tr>
        <w:tc>
          <w:tcPr>
            <w:tcW w:type="dxa" w:w="2351"/>
          </w:tcPr>
          <w:p>
            <w:r/>
            <w:r>
              <w:rPr>
                <w:sz w:val="20"/>
              </w:rPr>
              <w:t>GitHub</w:t>
            </w:r>
          </w:p>
        </w:tc>
        <w:tc>
          <w:tcPr>
            <w:tcW w:type="dxa" w:w="2351"/>
          </w:tcPr>
          <w:p>
            <w:r/>
            <w:r>
              <w:rPr>
                <w:sz w:val="20"/>
              </w:rPr>
              <w:t>Código fuente, PRs, historial</w:t>
            </w:r>
          </w:p>
        </w:tc>
        <w:tc>
          <w:tcPr>
            <w:tcW w:type="dxa" w:w="2351"/>
          </w:tcPr>
          <w:p>
            <w:r/>
            <w:r>
              <w:rPr>
                <w:sz w:val="20"/>
              </w:rPr>
              <w:t>[COMPLETAR]</w:t>
            </w:r>
          </w:p>
        </w:tc>
        <w:tc>
          <w:tcPr>
            <w:tcW w:type="dxa" w:w="2351"/>
          </w:tcPr>
          <w:p>
            <w:r/>
            <w:r>
              <w:rPr>
                <w:sz w:val="20"/>
              </w:rPr>
              <w:t>Gestor de contraseñas</w:t>
            </w:r>
          </w:p>
        </w:tc>
      </w:tr>
      <w:tr>
        <w:tc>
          <w:tcPr>
            <w:tcW w:type="dxa" w:w="2351"/>
          </w:tcPr>
          <w:p>
            <w:r/>
            <w:r>
              <w:rPr>
                <w:sz w:val="20"/>
              </w:rPr>
              <w:t>VPS</w:t>
            </w:r>
          </w:p>
        </w:tc>
        <w:tc>
          <w:tcPr>
            <w:tcW w:type="dxa" w:w="2351"/>
          </w:tcPr>
          <w:p>
            <w:r/>
            <w:r>
              <w:rPr>
                <w:sz w:val="20"/>
              </w:rPr>
              <w:t>Servidor donde corre todo</w:t>
            </w:r>
          </w:p>
        </w:tc>
        <w:tc>
          <w:tcPr>
            <w:tcW w:type="dxa" w:w="2351"/>
          </w:tcPr>
          <w:p>
            <w:r/>
            <w:r>
              <w:rPr>
                <w:sz w:val="20"/>
              </w:rPr>
              <w:t>[COMPLETAR: IP / proveedor]</w:t>
            </w:r>
          </w:p>
        </w:tc>
        <w:tc>
          <w:tcPr>
            <w:tcW w:type="dxa" w:w="2351"/>
          </w:tcPr>
          <w:p>
            <w:r/>
            <w:r>
              <w:rPr>
                <w:sz w:val="20"/>
              </w:rPr>
              <w:t>Gestor (SSH + panel)</w:t>
            </w:r>
          </w:p>
        </w:tc>
      </w:tr>
      <w:tr>
        <w:tc>
          <w:tcPr>
            <w:tcW w:type="dxa" w:w="2351"/>
          </w:tcPr>
          <w:p>
            <w:r/>
            <w:r>
              <w:rPr>
                <w:sz w:val="20"/>
              </w:rPr>
              <w:t>Dokploy</w:t>
            </w:r>
          </w:p>
        </w:tc>
        <w:tc>
          <w:tcPr>
            <w:tcW w:type="dxa" w:w="2351"/>
          </w:tcPr>
          <w:p>
            <w:r/>
            <w:r>
              <w:rPr>
                <w:sz w:val="20"/>
              </w:rPr>
              <w:t>Deploys, contenedores, entorno de producción</w:t>
            </w:r>
          </w:p>
        </w:tc>
        <w:tc>
          <w:tcPr>
            <w:tcW w:type="dxa" w:w="2351"/>
          </w:tcPr>
          <w:p>
            <w:r/>
            <w:r>
              <w:rPr>
                <w:sz w:val="20"/>
              </w:rPr>
              <w:t>[COMPLETAR]</w:t>
            </w:r>
          </w:p>
        </w:tc>
        <w:tc>
          <w:tcPr>
            <w:tcW w:type="dxa" w:w="2351"/>
          </w:tcPr>
          <w:p>
            <w:r/>
            <w:r>
              <w:rPr>
                <w:sz w:val="20"/>
              </w:rPr>
              <w:t>Gestor de contraseñas</w:t>
            </w:r>
          </w:p>
        </w:tc>
      </w:tr>
      <w:tr>
        <w:tc>
          <w:tcPr>
            <w:tcW w:type="dxa" w:w="2351"/>
          </w:tcPr>
          <w:p>
            <w:r/>
            <w:r>
              <w:rPr>
                <w:sz w:val="20"/>
              </w:rPr>
              <w:t>Dominio / DNS</w:t>
            </w:r>
          </w:p>
        </w:tc>
        <w:tc>
          <w:tcPr>
            <w:tcW w:type="dxa" w:w="2351"/>
          </w:tcPr>
          <w:p>
            <w:r/>
            <w:r>
              <w:rPr>
                <w:sz w:val="20"/>
              </w:rPr>
              <w:t>joyerodigital.com y subdominios</w:t>
            </w:r>
          </w:p>
        </w:tc>
        <w:tc>
          <w:tcPr>
            <w:tcW w:type="dxa" w:w="2351"/>
          </w:tcPr>
          <w:p>
            <w:r/>
            <w:r>
              <w:rPr>
                <w:sz w:val="20"/>
              </w:rPr>
              <w:t>[COMPLETAR: registrador]</w:t>
            </w:r>
          </w:p>
        </w:tc>
        <w:tc>
          <w:tcPr>
            <w:tcW w:type="dxa" w:w="2351"/>
          </w:tcPr>
          <w:p>
            <w:r/>
            <w:r>
              <w:rPr>
                <w:sz w:val="20"/>
              </w:rPr>
              <w:t>Gestor de contraseñas</w:t>
            </w:r>
          </w:p>
        </w:tc>
      </w:tr>
      <w:tr>
        <w:tc>
          <w:tcPr>
            <w:tcW w:type="dxa" w:w="2351"/>
          </w:tcPr>
          <w:p>
            <w:r/>
            <w:r>
              <w:rPr>
                <w:sz w:val="20"/>
              </w:rPr>
              <w:t>PostgreSQL</w:t>
            </w:r>
          </w:p>
        </w:tc>
        <w:tc>
          <w:tcPr>
            <w:tcW w:type="dxa" w:w="2351"/>
          </w:tcPr>
          <w:p>
            <w:r/>
            <w:r>
              <w:rPr>
                <w:sz w:val="20"/>
              </w:rPr>
              <w:t>Datos de producción</w:t>
            </w:r>
          </w:p>
        </w:tc>
        <w:tc>
          <w:tcPr>
            <w:tcW w:type="dxa" w:w="2351"/>
          </w:tcPr>
          <w:p>
            <w:r/>
            <w:r>
              <w:rPr>
                <w:sz w:val="20"/>
              </w:rPr>
              <w:t>[COMPLETAR]</w:t>
            </w:r>
          </w:p>
        </w:tc>
        <w:tc>
          <w:tcPr>
            <w:tcW w:type="dxa" w:w="2351"/>
          </w:tcPr>
          <w:p>
            <w:r/>
            <w:r>
              <w:rPr>
                <w:sz w:val="20"/>
              </w:rPr>
              <w:t>Gestor (DATABASE_URL)</w:t>
            </w:r>
          </w:p>
        </w:tc>
      </w:tr>
      <w:tr>
        <w:tc>
          <w:tcPr>
            <w:tcW w:type="dxa" w:w="2351"/>
          </w:tcPr>
          <w:p>
            <w:r/>
            <w:r>
              <w:rPr>
                <w:sz w:val="20"/>
              </w:rPr>
              <w:t>Cloudflare R2</w:t>
            </w:r>
          </w:p>
        </w:tc>
        <w:tc>
          <w:tcPr>
            <w:tcW w:type="dxa" w:w="2351"/>
          </w:tcPr>
          <w:p>
            <w:r/>
            <w:r>
              <w:rPr>
                <w:sz w:val="20"/>
              </w:rPr>
              <w:t>Imágenes públicas</w:t>
            </w:r>
          </w:p>
        </w:tc>
        <w:tc>
          <w:tcPr>
            <w:tcW w:type="dxa" w:w="2351"/>
          </w:tcPr>
          <w:p>
            <w:r/>
            <w:r>
              <w:rPr>
                <w:sz w:val="20"/>
              </w:rPr>
              <w:t>https://dash.cloudflare.com</w:t>
            </w:r>
          </w:p>
        </w:tc>
        <w:tc>
          <w:tcPr>
            <w:tcW w:type="dxa" w:w="2351"/>
          </w:tcPr>
          <w:p>
            <w:r/>
            <w:r>
              <w:rPr>
                <w:sz w:val="20"/>
              </w:rPr>
              <w:t>Gestor (keys R2)</w:t>
            </w:r>
          </w:p>
        </w:tc>
      </w:tr>
      <w:tr>
        <w:tc>
          <w:tcPr>
            <w:tcW w:type="dxa" w:w="2351"/>
          </w:tcPr>
          <w:p>
            <w:r/>
            <w:r>
              <w:rPr>
                <w:sz w:val="20"/>
              </w:rPr>
              <w:t>Dropbox</w:t>
            </w:r>
          </w:p>
        </w:tc>
        <w:tc>
          <w:tcPr>
            <w:tcW w:type="dxa" w:w="2351"/>
          </w:tcPr>
          <w:p>
            <w:r/>
            <w:r>
              <w:rPr>
                <w:sz w:val="20"/>
              </w:rPr>
              <w:t>Archivos STL y descargas</w:t>
            </w:r>
          </w:p>
        </w:tc>
        <w:tc>
          <w:tcPr>
            <w:tcW w:type="dxa" w:w="2351"/>
          </w:tcPr>
          <w:p>
            <w:r/>
            <w:r>
              <w:rPr>
                <w:sz w:val="20"/>
              </w:rPr>
              <w:t>https://www.dropbox.com/developers/apps</w:t>
            </w:r>
          </w:p>
        </w:tc>
        <w:tc>
          <w:tcPr>
            <w:tcW w:type="dxa" w:w="2351"/>
          </w:tcPr>
          <w:p>
            <w:r/>
            <w:r>
              <w:rPr>
                <w:sz w:val="20"/>
              </w:rPr>
              <w:t>Gestor (app key/secret)</w:t>
            </w:r>
          </w:p>
        </w:tc>
      </w:tr>
      <w:tr>
        <w:tc>
          <w:tcPr>
            <w:tcW w:type="dxa" w:w="2351"/>
          </w:tcPr>
          <w:p>
            <w:r/>
            <w:r>
              <w:rPr>
                <w:sz w:val="20"/>
              </w:rPr>
              <w:t>Google Cloud</w:t>
            </w:r>
          </w:p>
        </w:tc>
        <w:tc>
          <w:tcPr>
            <w:tcW w:type="dxa" w:w="2351"/>
          </w:tcPr>
          <w:p>
            <w:r/>
            <w:r>
              <w:rPr>
                <w:sz w:val="20"/>
              </w:rPr>
              <w:t>OAuth + YouTube API</w:t>
            </w:r>
          </w:p>
        </w:tc>
        <w:tc>
          <w:tcPr>
            <w:tcW w:type="dxa" w:w="2351"/>
          </w:tcPr>
          <w:p>
            <w:r/>
            <w:r>
              <w:rPr>
                <w:sz w:val="20"/>
              </w:rPr>
              <w:t>https://console.cloud.google.com</w:t>
            </w:r>
          </w:p>
        </w:tc>
        <w:tc>
          <w:tcPr>
            <w:tcW w:type="dxa" w:w="2351"/>
          </w:tcPr>
          <w:p>
            <w:r/>
            <w:r>
              <w:rPr>
                <w:sz w:val="20"/>
              </w:rPr>
              <w:t>Gestor de contraseñas</w:t>
            </w:r>
          </w:p>
        </w:tc>
      </w:tr>
      <w:tr>
        <w:tc>
          <w:tcPr>
            <w:tcW w:type="dxa" w:w="2351"/>
          </w:tcPr>
          <w:p>
            <w:r/>
            <w:r>
              <w:rPr>
                <w:sz w:val="20"/>
              </w:rPr>
              <w:t>Bold</w:t>
            </w:r>
          </w:p>
        </w:tc>
        <w:tc>
          <w:tcPr>
            <w:tcW w:type="dxa" w:w="2351"/>
          </w:tcPr>
          <w:p>
            <w:r/>
            <w:r>
              <w:rPr>
                <w:sz w:val="20"/>
              </w:rPr>
              <w:t>Pagos en COP</w:t>
            </w:r>
          </w:p>
        </w:tc>
        <w:tc>
          <w:tcPr>
            <w:tcW w:type="dxa" w:w="2351"/>
          </w:tcPr>
          <w:p>
            <w:r/>
            <w:r>
              <w:rPr>
                <w:sz w:val="20"/>
              </w:rPr>
              <w:t>https://developers.bold.co / panel Bold</w:t>
            </w:r>
          </w:p>
        </w:tc>
        <w:tc>
          <w:tcPr>
            <w:tcW w:type="dxa" w:w="2351"/>
          </w:tcPr>
          <w:p>
            <w:r/>
            <w:r>
              <w:rPr>
                <w:sz w:val="20"/>
              </w:rPr>
              <w:t>Gestor (API key + secret)</w:t>
            </w:r>
          </w:p>
        </w:tc>
      </w:tr>
      <w:tr>
        <w:tc>
          <w:tcPr>
            <w:tcW w:type="dxa" w:w="2351"/>
          </w:tcPr>
          <w:p>
            <w:r/>
            <w:r>
              <w:rPr>
                <w:sz w:val="20"/>
              </w:rPr>
              <w:t>PayPal</w:t>
            </w:r>
          </w:p>
        </w:tc>
        <w:tc>
          <w:tcPr>
            <w:tcW w:type="dxa" w:w="2351"/>
          </w:tcPr>
          <w:p>
            <w:r/>
            <w:r>
              <w:rPr>
                <w:sz w:val="20"/>
              </w:rPr>
              <w:t>Pagos en USD</w:t>
            </w:r>
          </w:p>
        </w:tc>
        <w:tc>
          <w:tcPr>
            <w:tcW w:type="dxa" w:w="2351"/>
          </w:tcPr>
          <w:p>
            <w:r/>
            <w:r>
              <w:rPr>
                <w:sz w:val="20"/>
              </w:rPr>
              <w:t>https://developer.paypal.com</w:t>
            </w:r>
          </w:p>
        </w:tc>
        <w:tc>
          <w:tcPr>
            <w:tcW w:type="dxa" w:w="2351"/>
          </w:tcPr>
          <w:p>
            <w:r/>
            <w:r>
              <w:rPr>
                <w:sz w:val="20"/>
              </w:rPr>
              <w:t>Gestor (client id/secret)</w:t>
            </w:r>
          </w:p>
        </w:tc>
      </w:tr>
      <w:tr>
        <w:tc>
          <w:tcPr>
            <w:tcW w:type="dxa" w:w="2351"/>
          </w:tcPr>
          <w:p>
            <w:r/>
            <w:r>
              <w:rPr>
                <w:sz w:val="20"/>
              </w:rPr>
              <w:t>SMTP</w:t>
            </w:r>
          </w:p>
        </w:tc>
        <w:tc>
          <w:tcPr>
            <w:tcW w:type="dxa" w:w="2351"/>
          </w:tcPr>
          <w:p>
            <w:r/>
            <w:r>
              <w:rPr>
                <w:sz w:val="20"/>
              </w:rPr>
              <w:t>Correos transaccionales</w:t>
            </w:r>
          </w:p>
        </w:tc>
        <w:tc>
          <w:tcPr>
            <w:tcW w:type="dxa" w:w="2351"/>
          </w:tcPr>
          <w:p>
            <w:r/>
            <w:r>
              <w:rPr>
                <w:sz w:val="20"/>
              </w:rPr>
              <w:t>[COMPLETAR: proveedor]</w:t>
            </w:r>
          </w:p>
        </w:tc>
        <w:tc>
          <w:tcPr>
            <w:tcW w:type="dxa" w:w="2351"/>
          </w:tcPr>
          <w:p>
            <w:r/>
            <w:r>
              <w:rPr>
                <w:sz w:val="20"/>
              </w:rPr>
              <w:t>Gestor (usuario/clave)</w:t>
            </w:r>
          </w:p>
        </w:tc>
      </w:tr>
      <w:tr>
        <w:tc>
          <w:tcPr>
            <w:tcW w:type="dxa" w:w="2351"/>
          </w:tcPr>
          <w:p>
            <w:r/>
            <w:r>
              <w:rPr>
                <w:sz w:val="20"/>
              </w:rPr>
              <w:t>Looker Studio</w:t>
            </w:r>
          </w:p>
        </w:tc>
        <w:tc>
          <w:tcPr>
            <w:tcW w:type="dxa" w:w="2351"/>
          </w:tcPr>
          <w:p>
            <w:r/>
            <w:r>
              <w:rPr>
                <w:sz w:val="20"/>
              </w:rPr>
              <w:t>Dashboards de marketing</w:t>
            </w:r>
          </w:p>
        </w:tc>
        <w:tc>
          <w:tcPr>
            <w:tcW w:type="dxa" w:w="2351"/>
          </w:tcPr>
          <w:p>
            <w:r/>
            <w:r>
              <w:rPr>
                <w:sz w:val="20"/>
              </w:rPr>
              <w:t>https://lookerstudio.google.com</w:t>
            </w:r>
          </w:p>
        </w:tc>
        <w:tc>
          <w:tcPr>
            <w:tcW w:type="dxa" w:w="2351"/>
          </w:tcPr>
          <w:p>
            <w:r/>
            <w:r>
              <w:rPr>
                <w:sz w:val="20"/>
              </w:rPr>
              <w:t>Cuenta Google del cliente</w:t>
            </w:r>
          </w:p>
        </w:tc>
      </w:tr>
      <w:tr>
        <w:tc>
          <w:tcPr>
            <w:tcW w:type="dxa" w:w="2351"/>
          </w:tcPr>
          <w:p>
            <w:r/>
            <w:r>
              <w:rPr>
                <w:sz w:val="20"/>
              </w:rPr>
              <w:t>YouTube</w:t>
            </w:r>
          </w:p>
        </w:tc>
        <w:tc>
          <w:tcPr>
            <w:tcW w:type="dxa" w:w="2351"/>
          </w:tcPr>
          <w:p>
            <w:r/>
            <w:r>
              <w:rPr>
                <w:sz w:val="20"/>
              </w:rPr>
              <w:t>Videos del canal en el landing</w:t>
            </w:r>
          </w:p>
        </w:tc>
        <w:tc>
          <w:tcPr>
            <w:tcW w:type="dxa" w:w="2351"/>
          </w:tcPr>
          <w:p>
            <w:r/>
            <w:r>
              <w:rPr>
                <w:sz w:val="20"/>
              </w:rPr>
              <w:t>(misma cuenta Google Cloud)</w:t>
            </w:r>
          </w:p>
        </w:tc>
        <w:tc>
          <w:tcPr>
            <w:tcW w:type="dxa" w:w="2351"/>
          </w:tcPr>
          <w:p>
            <w:r/>
            <w:r>
              <w:rPr>
                <w:sz w:val="20"/>
              </w:rPr>
              <w:t>Gestor (API key)</w:t>
            </w:r>
          </w:p>
        </w:tc>
      </w:tr>
      <w:tr>
        <w:tc>
          <w:tcPr>
            <w:tcW w:type="dxa" w:w="2351"/>
          </w:tcPr>
          <w:p>
            <w:r/>
            <w:r>
              <w:rPr>
                <w:sz w:val="20"/>
              </w:rPr>
              <w:t>WhatsApp</w:t>
            </w:r>
          </w:p>
        </w:tc>
        <w:tc>
          <w:tcPr>
            <w:tcW w:type="dxa" w:w="2351"/>
          </w:tcPr>
          <w:p>
            <w:r/>
            <w:r>
              <w:rPr>
                <w:sz w:val="20"/>
              </w:rPr>
              <w:t>Botón del cotizador</w:t>
            </w:r>
          </w:p>
        </w:tc>
        <w:tc>
          <w:tcPr>
            <w:tcW w:type="dxa" w:w="2351"/>
          </w:tcPr>
          <w:p>
            <w:r/>
            <w:r>
              <w:rPr>
                <w:sz w:val="20"/>
              </w:rPr>
              <w:t>—</w:t>
            </w:r>
          </w:p>
        </w:tc>
        <w:tc>
          <w:tcPr>
            <w:tcW w:type="dxa" w:w="2351"/>
          </w:tcPr>
          <w:p>
            <w:r/>
            <w:r>
              <w:rPr>
                <w:sz w:val="20"/>
              </w:rPr>
              <w:t>Solo el número (NEXT_PUBLIC_WHATSAPP_NUMBER)</w:t>
            </w:r>
          </w:p>
        </w:tc>
      </w:tr>
      <w:tr>
        <w:tc>
          <w:tcPr>
            <w:tcW w:type="dxa" w:w="2351"/>
          </w:tcPr>
          <w:p>
            <w:r/>
            <w:r>
              <w:rPr>
                <w:sz w:val="20"/>
              </w:rPr>
              <w:t>Cuenta admin del panel</w:t>
            </w:r>
          </w:p>
        </w:tc>
        <w:tc>
          <w:tcPr>
            <w:tcW w:type="dxa" w:w="2351"/>
          </w:tcPr>
          <w:p>
            <w:r/>
            <w:r>
              <w:rPr>
                <w:sz w:val="20"/>
              </w:rPr>
              <w:t>Operación diaria de /admin</w:t>
            </w:r>
          </w:p>
        </w:tc>
        <w:tc>
          <w:tcPr>
            <w:tcW w:type="dxa" w:w="2351"/>
          </w:tcPr>
          <w:p>
            <w:r/>
            <w:r>
              <w:rPr>
                <w:sz w:val="20"/>
              </w:rPr>
              <w:t>https://joyerodigital.com/admin</w:t>
            </w:r>
          </w:p>
        </w:tc>
        <w:tc>
          <w:tcPr>
            <w:tcW w:type="dxa" w:w="2351"/>
          </w:tcPr>
          <w:p>
            <w:r/>
            <w:r>
              <w:rPr>
                <w:sz w:val="20"/>
              </w:rPr>
              <w:t>Gestor de contraseñas</w:t>
            </w:r>
          </w:p>
        </w:tc>
      </w:tr>
    </w:tbl>
    <w:p>
      <w:pPr>
        <w:spacing w:after="80"/>
      </w:pPr>
    </w:p>
    <w:p>
      <w:pPr>
        <w:pStyle w:val="Heading2"/>
      </w:pPr>
      <w:r>
        <w:t>1.2 Procedimiento al ceder cada cuenta</w:t>
      </w:r>
    </w:p>
    <w:p>
      <w:pPr>
        <w:spacing w:after="60"/>
        <w:ind w:left="357" w:hanging="357"/>
      </w:pPr>
      <w:r>
        <w:t>1.</w:t>
        <w:tab/>
      </w:r>
      <w:r>
        <w:t>Cambiar la contraseña o rotar las claves — el equipo que entrega ya no debe conservar acceso.</w:t>
      </w:r>
    </w:p>
    <w:p>
      <w:pPr>
        <w:spacing w:after="60"/>
        <w:ind w:left="357" w:hanging="357"/>
      </w:pPr>
      <w:r>
        <w:t>2.</w:t>
        <w:tab/>
      </w:r>
      <w:r>
        <w:t>Verificar que el email de la cuenta y el método de pago asociado sean del cliente.</w:t>
      </w:r>
    </w:p>
    <w:p>
      <w:pPr>
        <w:spacing w:after="60"/>
        <w:ind w:left="357" w:hanging="357"/>
      </w:pPr>
      <w:r>
        <w:t>3.</w:t>
        <w:tab/>
      </w:r>
      <w:r>
        <w:t>Marcar el ítem correspondiente en el checklist de cierre (capítulo 7).</w:t>
      </w:r>
    </w:p>
    <w:p>
      <w:pPr>
        <w:pStyle w:val="Heading2"/>
      </w:pPr>
      <w:r>
        <w:t>1.3 Sistema de roles y permisos</w:t>
      </w:r>
    </w:p>
    <w:p>
      <w:pPr>
        <w:spacing w:after="120"/>
      </w:pPr>
      <w:r>
        <w:rPr>
          <w:b w:val="0"/>
          <w:i w:val="0"/>
          <w:sz w:val="22"/>
        </w:rPr>
        <w:t>El acceso al panel de administración (/admin) no es binario: se controla con un sistema de roles dinámicos y permisos granulares por módulo y acción.</w:t>
      </w:r>
    </w:p>
    <w:p>
      <w:pPr>
        <w:pStyle w:val="ListBullet"/>
        <w:spacing w:after="60"/>
      </w:pPr>
      <w:r>
        <w:t>Los roles son dinámicos: el administrador los crea, edita y elimina desde el panel.</w:t>
      </w:r>
    </w:p>
    <w:p>
      <w:pPr>
        <w:pStyle w:val="ListBullet"/>
        <w:spacing w:after="60"/>
      </w:pPr>
      <w:r>
        <w:t>Existen 2 roles de sistema que no se pueden borrar ni editar: admin y user.</w:t>
      </w:r>
    </w:p>
    <w:p>
      <w:pPr>
        <w:pStyle w:val="ListBullet"/>
        <w:spacing w:after="60"/>
      </w:pPr>
      <w:r>
        <w:t>El rol admin tiene acceso total y no se puede restringir.</w:t>
      </w:r>
    </w:p>
    <w:p>
      <w:pPr>
        <w:pStyle w:val="ListBullet"/>
        <w:spacing w:after="60"/>
      </w:pPr>
      <w:r>
        <w:t>El rol user es el cliente normal de la tienda: no entra al panel de administración.</w:t>
      </w:r>
    </w:p>
    <w:p>
      <w:pPr>
        <w:pStyle w:val="ListBullet"/>
        <w:spacing w:after="60"/>
      </w:pPr>
      <w:r>
        <w:t>Cualquier otro rol es staff: entra al panel y ve solo los módulos que sus permisos permiten.</w:t>
      </w:r>
    </w:p>
    <w:p>
      <w:pPr>
        <w:spacing w:after="120"/>
      </w:pPr>
      <w:r>
        <w:rPr>
          <w:b w:val="0"/>
          <w:i w:val="0"/>
          <w:sz w:val="22"/>
        </w:rPr>
        <w:t>Cada permiso es una combinación de módulo + acción: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B3A5C"/>
          </w:tcPr>
          <w:p>
            <w:r/>
            <w:r>
              <w:rPr>
                <w:b/>
                <w:color w:val="FFFFFF"/>
                <w:sz w:val="20"/>
              </w:rPr>
              <w:t>Dimensión</w:t>
            </w:r>
          </w:p>
        </w:tc>
        <w:tc>
          <w:tcPr>
            <w:tcW w:type="dxa" w:w="4703"/>
            <w:shd w:val="clear" w:color="auto" w:fill="1B3A5C"/>
          </w:tcPr>
          <w:p>
            <w:r/>
            <w:r>
              <w:rPr>
                <w:b/>
                <w:color w:val="FFFFFF"/>
                <w:sz w:val="20"/>
              </w:rPr>
              <w:t>Valores posibles</w:t>
            </w:r>
          </w:p>
        </w:tc>
      </w:tr>
      <w:tr>
        <w:tc>
          <w:tcPr>
            <w:tcW w:type="dxa" w:w="4703"/>
          </w:tcPr>
          <w:p>
            <w:r/>
            <w:r>
              <w:rPr>
                <w:b/>
                <w:sz w:val="20"/>
              </w:rPr>
              <w:t>Módulos</w:t>
            </w:r>
          </w:p>
        </w:tc>
        <w:tc>
          <w:tcPr>
            <w:tcW w:type="dxa" w:w="4703"/>
          </w:tcPr>
          <w:p>
            <w:r/>
            <w:r>
              <w:rPr>
                <w:sz w:val="20"/>
              </w:rPr>
              <w:t>dashboard, usuarios, pedidos, productos, modelos3d, cursos, configuración</w:t>
            </w:r>
          </w:p>
        </w:tc>
      </w:tr>
      <w:tr>
        <w:tc>
          <w:tcPr>
            <w:tcW w:type="dxa" w:w="4703"/>
          </w:tcPr>
          <w:p>
            <w:r/>
            <w:r>
              <w:rPr>
                <w:b/>
                <w:sz w:val="20"/>
              </w:rPr>
              <w:t>Acciones</w:t>
            </w:r>
          </w:p>
        </w:tc>
        <w:tc>
          <w:tcPr>
            <w:tcW w:type="dxa" w:w="4703"/>
          </w:tcPr>
          <w:p>
            <w:r/>
            <w:r>
              <w:rPr>
                <w:sz w:val="20"/>
              </w:rPr>
              <w:t>ver, crear, editar, eliminar</w:t>
            </w:r>
          </w:p>
        </w:tc>
      </w:tr>
    </w:tbl>
    <w:p>
      <w:pPr>
        <w:spacing w:after="80"/>
      </w:pPr>
    </w:p>
    <w:p>
      <w:pPr>
        <w:spacing w:after="200"/>
        <w:ind w:left="170"/>
        <w:shd w:val="clear" w:color="auto" w:fill="FFF3CD"/>
      </w:pPr>
      <w:r>
        <w:rPr>
          <w:b/>
        </w:rPr>
        <w:t xml:space="preserve">Regla fija: </w:t>
      </w:r>
      <w:r>
        <w:t>El módulo dashboard con acción «ver» siempre está disponible para cualquier rol de staff.</w:t>
      </w:r>
    </w:p>
    <w:p>
      <w:pPr>
        <w:pStyle w:val="Heading3"/>
      </w:pPr>
      <w:r>
        <w:t>1.4 Dar acceso al panel a un nuevo empleado</w:t>
      </w:r>
    </w:p>
    <w:p>
      <w:pPr>
        <w:spacing w:after="60"/>
        <w:ind w:left="357" w:hanging="357"/>
      </w:pPr>
      <w:r>
        <w:t>1.</w:t>
        <w:tab/>
      </w:r>
      <w:r>
        <w:t>Crear primero el rol si no existe (ej. «ventas»: permisos de pedidos + productos, sin usuarios).</w:t>
      </w:r>
    </w:p>
    <w:p>
      <w:pPr>
        <w:spacing w:after="60"/>
        <w:ind w:left="357" w:hanging="357"/>
      </w:pPr>
      <w:r>
        <w:t>2.</w:t>
        <w:tab/>
      </w:r>
      <w:r>
        <w:t>En Usuarios, crear o editar la cuenta del empleado y asignarle ese rol.</w:t>
      </w:r>
    </w:p>
    <w:p>
      <w:pPr>
        <w:spacing w:after="60"/>
        <w:ind w:left="357" w:hanging="357"/>
      </w:pPr>
      <w:r>
        <w:t>3.</w:t>
        <w:tab/>
      </w:r>
      <w:r>
        <w:t>El empleado entra a /admin con su correo y contraseña (o con Google) y solo ve sus módulos.</w:t>
      </w:r>
    </w:p>
    <w:p>
      <w:pPr>
        <w:spacing w:after="120"/>
      </w:pPr>
      <w:r>
        <w:rPr>
          <w:b w:val="0"/>
          <w:i w:val="0"/>
          <w:sz w:val="22"/>
        </w:rPr>
        <w:t>Diagnóstico rápido si algo falla:</w:t>
      </w:r>
    </w:p>
    <w:p>
      <w:pPr>
        <w:pStyle w:val="ListBullet"/>
        <w:spacing w:after="60"/>
      </w:pPr>
      <w:r>
        <w:t>Un empleado no puede entrar a /admin: su rol no es staff, o está usando el rol user.</w:t>
      </w:r>
    </w:p>
    <w:p>
      <w:pPr>
        <w:pStyle w:val="ListBullet"/>
        <w:spacing w:after="60"/>
      </w:pPr>
      <w:r>
        <w:t>Entra pero el panel aparece vacío: su rol no tiene ningún permiso con acción «ver». Hay que editar el rol y agregar módulos.</w:t>
      </w:r>
    </w:p>
    <w:p>
      <w:pPr>
        <w:pStyle w:val="Heading2"/>
      </w:pPr>
      <w:r>
        <w:t>1.5 Checklist de accesos y cuentas</w:t>
      </w:r>
    </w:p>
    <w:p>
      <w:pPr>
        <w:spacing w:after="120"/>
      </w:pPr>
      <w:r>
        <w:rPr>
          <w:b w:val="0"/>
          <w:i w:val="0"/>
          <w:sz w:val="22"/>
        </w:rPr>
        <w:t>Verificación mínima de titularidad antes de dar la cesión por cerrada. Este subconjunto del checklist general (capítulo 7) se enfoca solo en cuentas y credenciales.</w:t>
      </w:r>
    </w:p>
    <w:p>
      <w:pPr>
        <w:spacing w:after="60"/>
        <w:ind w:left="340"/>
      </w:pPr>
      <w:r>
        <w:rPr>
          <w:sz w:val="24"/>
        </w:rPr>
        <w:t xml:space="preserve">☐  </w:t>
      </w:r>
      <w:r>
        <w:t>Repositorio GitHub: el cliente es owner.</w:t>
      </w:r>
    </w:p>
    <w:p>
      <w:pPr>
        <w:spacing w:after="60"/>
        <w:ind w:left="340"/>
      </w:pPr>
      <w:r>
        <w:rPr>
          <w:sz w:val="24"/>
        </w:rPr>
        <w:t xml:space="preserve">☐  </w:t>
      </w:r>
      <w:r>
        <w:t>Gestor de contraseñas / Drive cifrado entregado, con las claves del inventario de la sección 1.1.</w:t>
      </w:r>
    </w:p>
    <w:p>
      <w:pPr>
        <w:spacing w:after="60"/>
        <w:ind w:left="340"/>
      </w:pPr>
      <w:r>
        <w:rPr>
          <w:sz w:val="24"/>
        </w:rPr>
        <w:t xml:space="preserve">☐  </w:t>
      </w:r>
      <w:r>
        <w:t>Dokploy: el cliente es owner del proyecto.</w:t>
      </w:r>
    </w:p>
    <w:p>
      <w:pPr>
        <w:spacing w:after="60"/>
        <w:ind w:left="340"/>
      </w:pPr>
      <w:r>
        <w:rPr>
          <w:sz w:val="24"/>
        </w:rPr>
        <w:t xml:space="preserve">☐  </w:t>
      </w:r>
      <w:r>
        <w:t>Cloudflare R2, Dropbox, Bold, PayPal, Google Cloud, SMTP y dominio/DNS: propietario = cliente.</w:t>
      </w:r>
    </w:p>
    <w:p>
      <w:pPr>
        <w:spacing w:after="60"/>
        <w:ind w:left="340"/>
      </w:pPr>
      <w:r>
        <w:rPr>
          <w:sz w:val="24"/>
        </w:rPr>
        <w:t xml:space="preserve">☐  </w:t>
      </w:r>
      <w:r>
        <w:t>Contraseñas rotadas o cambiadas en cada cuenta cedida (el equipo que entrega ya no tiene acceso).</w:t>
      </w:r>
    </w:p>
    <w:p>
      <w:pPr>
        <w:spacing w:after="60"/>
        <w:ind w:left="340"/>
      </w:pPr>
      <w:r>
        <w:rPr>
          <w:sz w:val="24"/>
        </w:rPr>
        <w:t xml:space="preserve">☐  </w:t>
      </w:r>
      <w:r>
        <w:t>Email y método de pago de cada cuenta corresponden al cliente, no al equipo desarrollador.</w:t>
      </w:r>
    </w:p>
    <w:p>
      <w:r>
        <w:br w:type="page"/>
      </w:r>
    </w:p>
    <w:p>
      <w:pPr>
        <w:pStyle w:val="Heading1"/>
      </w:pPr>
      <w:r>
        <w:t>2. Mapa del sistema</w:t>
      </w:r>
    </w:p>
    <w:p>
      <w:pPr>
        <w:spacing w:after="120"/>
      </w:pPr>
      <w:r>
        <w:rPr>
          <w:b w:val="0"/>
          <w:i w:val="0"/>
          <w:sz w:val="22"/>
        </w:rPr>
        <w:t>Vista general de los componentes propios de la plataforma y los servicios externos de los que depende. Es la referencia rápida antes de entrar al detalle técnico del capítulo 4.</w:t>
      </w:r>
    </w:p>
    <w:p>
      <w:pPr>
        <w:pStyle w:val="Heading2"/>
      </w:pPr>
      <w:r>
        <w:t>2.1 Stack en una línea</w:t>
      </w:r>
    </w:p>
    <w:p>
      <w:pPr>
        <w:spacing w:after="120"/>
      </w:pPr>
      <w:r>
        <w:rPr>
          <w:b w:val="0"/>
          <w:i w:val="0"/>
          <w:sz w:val="22"/>
        </w:rPr>
        <w:t>Monorepo Bun + Turborepo · Next.js 15 (web, puerto 3000) · Elysia (api, puerto 3001) · PostgreSQL + Drizzle · Better Auth · Bold (COP) + PayPal (USD) · Cloudflare R2 · Dropbox.</w:t>
      </w:r>
    </w:p>
    <w:p>
      <w:pPr>
        <w:pStyle w:val="Heading2"/>
      </w:pPr>
      <w:r>
        <w:t>2.2 Componentes propios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B3A5C"/>
          </w:tcPr>
          <w:p>
            <w:r/>
            <w:r>
              <w:rPr>
                <w:b/>
                <w:color w:val="FFFFFF"/>
                <w:sz w:val="20"/>
              </w:rPr>
              <w:t>Componente</w:t>
            </w:r>
          </w:p>
        </w:tc>
        <w:tc>
          <w:tcPr>
            <w:tcW w:type="dxa" w:w="3135"/>
            <w:shd w:val="clear" w:color="auto" w:fill="1B3A5C"/>
          </w:tcPr>
          <w:p>
            <w:r/>
            <w:r>
              <w:rPr>
                <w:b/>
                <w:color w:val="FFFFFF"/>
                <w:sz w:val="20"/>
              </w:rPr>
              <w:t>Qué es</w:t>
            </w:r>
          </w:p>
        </w:tc>
        <w:tc>
          <w:tcPr>
            <w:tcW w:type="dxa" w:w="3135"/>
            <w:shd w:val="clear" w:color="auto" w:fill="1B3A5C"/>
          </w:tcPr>
          <w:p>
            <w:r/>
            <w:r>
              <w:rPr>
                <w:b/>
                <w:color w:val="FFFFFF"/>
                <w:sz w:val="20"/>
              </w:rPr>
              <w:t>Puerto</w:t>
            </w:r>
          </w:p>
        </w:tc>
      </w:tr>
      <w:tr>
        <w:tc>
          <w:tcPr>
            <w:tcW w:type="dxa" w:w="3135"/>
          </w:tcPr>
          <w:p>
            <w:r/>
            <w:r>
              <w:rPr>
                <w:sz w:val="20"/>
              </w:rPr>
              <w:t>apps/web</w:t>
            </w:r>
          </w:p>
        </w:tc>
        <w:tc>
          <w:tcPr>
            <w:tcW w:type="dxa" w:w="3135"/>
          </w:tcPr>
          <w:p>
            <w:r/>
            <w:r>
              <w:rPr>
                <w:sz w:val="20"/>
              </w:rPr>
              <w:t>Frontend Next.js 15 (React 19, Tailwind v4)</w:t>
            </w:r>
          </w:p>
        </w:tc>
        <w:tc>
          <w:tcPr>
            <w:tcW w:type="dxa" w:w="3135"/>
          </w:tcPr>
          <w:p>
            <w:r/>
            <w:r>
              <w:rPr>
                <w:sz w:val="20"/>
              </w:rPr>
              <w:t>3000</w:t>
            </w:r>
          </w:p>
        </w:tc>
      </w:tr>
      <w:tr>
        <w:tc>
          <w:tcPr>
            <w:tcW w:type="dxa" w:w="3135"/>
          </w:tcPr>
          <w:p>
            <w:r/>
            <w:r>
              <w:rPr>
                <w:sz w:val="20"/>
              </w:rPr>
              <w:t>apps/backend-worker</w:t>
            </w:r>
          </w:p>
        </w:tc>
        <w:tc>
          <w:tcPr>
            <w:tcW w:type="dxa" w:w="3135"/>
          </w:tcPr>
          <w:p>
            <w:r/>
            <w:r>
              <w:rPr>
                <w:sz w:val="20"/>
              </w:rPr>
              <w:t>Servidor API Elysia (Bun)</w:t>
            </w:r>
          </w:p>
        </w:tc>
        <w:tc>
          <w:tcPr>
            <w:tcW w:type="dxa" w:w="3135"/>
          </w:tcPr>
          <w:p>
            <w:r/>
            <w:r>
              <w:rPr>
                <w:sz w:val="20"/>
              </w:rPr>
              <w:t>3001</w:t>
            </w:r>
          </w:p>
        </w:tc>
      </w:tr>
      <w:tr>
        <w:tc>
          <w:tcPr>
            <w:tcW w:type="dxa" w:w="3135"/>
          </w:tcPr>
          <w:p>
            <w:r/>
            <w:r>
              <w:rPr>
                <w:sz w:val="20"/>
              </w:rPr>
              <w:t>packages/api</w:t>
            </w:r>
          </w:p>
        </w:tc>
        <w:tc>
          <w:tcPr>
            <w:tcW w:type="dxa" w:w="3135"/>
          </w:tcPr>
          <w:p>
            <w:r/>
            <w:r>
              <w:rPr>
                <w:sz w:val="20"/>
              </w:rPr>
              <w:t>Routers, servicios y lógica de negocio (14 módulos)</w:t>
            </w:r>
          </w:p>
        </w:tc>
        <w:tc>
          <w:tcPr>
            <w:tcW w:type="dxa" w:w="3135"/>
          </w:tcPr>
          <w:p>
            <w:r/>
            <w:r>
              <w:rPr>
                <w:sz w:val="20"/>
              </w:rPr>
              <w:t>—</w:t>
            </w:r>
          </w:p>
        </w:tc>
      </w:tr>
      <w:tr>
        <w:tc>
          <w:tcPr>
            <w:tcW w:type="dxa" w:w="3135"/>
          </w:tcPr>
          <w:p>
            <w:r/>
            <w:r>
              <w:rPr>
                <w:sz w:val="20"/>
              </w:rPr>
              <w:t>packages/auth</w:t>
            </w:r>
          </w:p>
        </w:tc>
        <w:tc>
          <w:tcPr>
            <w:tcW w:type="dxa" w:w="3135"/>
          </w:tcPr>
          <w:p>
            <w:r/>
            <w:r>
              <w:rPr>
                <w:sz w:val="20"/>
              </w:rPr>
              <w:t>Better Auth: sesiones, Google OAuth, roles</w:t>
            </w:r>
          </w:p>
        </w:tc>
        <w:tc>
          <w:tcPr>
            <w:tcW w:type="dxa" w:w="3135"/>
          </w:tcPr>
          <w:p>
            <w:r/>
            <w:r>
              <w:rPr>
                <w:sz w:val="20"/>
              </w:rPr>
              <w:t>—</w:t>
            </w:r>
          </w:p>
        </w:tc>
      </w:tr>
      <w:tr>
        <w:tc>
          <w:tcPr>
            <w:tcW w:type="dxa" w:w="3135"/>
          </w:tcPr>
          <w:p>
            <w:r/>
            <w:r>
              <w:rPr>
                <w:sz w:val="20"/>
              </w:rPr>
              <w:t>packages/database</w:t>
            </w:r>
          </w:p>
        </w:tc>
        <w:tc>
          <w:tcPr>
            <w:tcW w:type="dxa" w:w="3135"/>
          </w:tcPr>
          <w:p>
            <w:r/>
            <w:r>
              <w:rPr>
                <w:sz w:val="20"/>
              </w:rPr>
              <w:t>Schema Drizzle + migraciones</w:t>
            </w:r>
          </w:p>
        </w:tc>
        <w:tc>
          <w:tcPr>
            <w:tcW w:type="dxa" w:w="3135"/>
          </w:tcPr>
          <w:p>
            <w:r/>
            <w:r>
              <w:rPr>
                <w:sz w:val="20"/>
              </w:rPr>
              <w:t>—</w:t>
            </w:r>
          </w:p>
        </w:tc>
      </w:tr>
      <w:tr>
        <w:tc>
          <w:tcPr>
            <w:tcW w:type="dxa" w:w="3135"/>
          </w:tcPr>
          <w:p>
            <w:r/>
            <w:r>
              <w:rPr>
                <w:sz w:val="20"/>
              </w:rPr>
              <w:t>PostgreSQL</w:t>
            </w:r>
          </w:p>
        </w:tc>
        <w:tc>
          <w:tcPr>
            <w:tcW w:type="dxa" w:w="3135"/>
          </w:tcPr>
          <w:p>
            <w:r/>
            <w:r>
              <w:rPr>
                <w:sz w:val="20"/>
              </w:rPr>
              <w:t>Base de datos</w:t>
            </w:r>
          </w:p>
        </w:tc>
        <w:tc>
          <w:tcPr>
            <w:tcW w:type="dxa" w:w="3135"/>
          </w:tcPr>
          <w:p>
            <w:r/>
            <w:r>
              <w:rPr>
                <w:sz w:val="20"/>
              </w:rPr>
              <w:t>5432</w:t>
            </w:r>
          </w:p>
        </w:tc>
      </w:tr>
    </w:tbl>
    <w:p>
      <w:pPr>
        <w:spacing w:after="80"/>
      </w:pPr>
    </w:p>
    <w:p>
      <w:pPr>
        <w:spacing w:after="120"/>
      </w:pPr>
      <w:r>
        <w:rPr>
          <w:b w:val="0"/>
          <w:i w:val="0"/>
          <w:sz w:val="22"/>
        </w:rPr>
        <w:t>El frontend habla con el backend exclusivamente vía Eden Treaty (cliente type-safe generado de los routers Elysia). El Swagger de la API está disponible en /api/swagger del backend.</w:t>
      </w:r>
    </w:p>
    <w:p>
      <w:pPr>
        <w:pStyle w:val="Heading2"/>
      </w:pPr>
      <w:r>
        <w:t>2.3 Servicios externos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B3A5C"/>
          </w:tcPr>
          <w:p>
            <w:r/>
            <w:r>
              <w:rPr>
                <w:b/>
                <w:color w:val="FFFFFF"/>
                <w:sz w:val="20"/>
              </w:rPr>
              <w:t>Servicio</w:t>
            </w:r>
          </w:p>
        </w:tc>
        <w:tc>
          <w:tcPr>
            <w:tcW w:type="dxa" w:w="4703"/>
            <w:shd w:val="clear" w:color="auto" w:fill="1B3A5C"/>
          </w:tcPr>
          <w:p>
            <w:r/>
            <w:r>
              <w:rPr>
                <w:b/>
                <w:color w:val="FFFFFF"/>
                <w:sz w:val="20"/>
              </w:rPr>
              <w:t>Para qué</w:t>
            </w:r>
          </w:p>
        </w:tc>
      </w:tr>
      <w:tr>
        <w:tc>
          <w:tcPr>
            <w:tcW w:type="dxa" w:w="4703"/>
          </w:tcPr>
          <w:p>
            <w:r/>
            <w:r>
              <w:rPr>
                <w:sz w:val="20"/>
              </w:rPr>
              <w:t>Cloudflare R2</w:t>
            </w:r>
          </w:p>
        </w:tc>
        <w:tc>
          <w:tcPr>
            <w:tcW w:type="dxa" w:w="4703"/>
          </w:tcPr>
          <w:p>
            <w:r/>
            <w:r>
              <w:rPr>
                <w:sz w:val="20"/>
              </w:rPr>
              <w:t>Imágenes públicas (productos, modelos 3D, landing)</w:t>
            </w:r>
          </w:p>
        </w:tc>
      </w:tr>
      <w:tr>
        <w:tc>
          <w:tcPr>
            <w:tcW w:type="dxa" w:w="4703"/>
          </w:tcPr>
          <w:p>
            <w:r/>
            <w:r>
              <w:rPr>
                <w:sz w:val="20"/>
              </w:rPr>
              <w:t>Dropbox</w:t>
            </w:r>
          </w:p>
        </w:tc>
        <w:tc>
          <w:tcPr>
            <w:tcW w:type="dxa" w:w="4703"/>
          </w:tcPr>
          <w:p>
            <w:r/>
            <w:r>
              <w:rPr>
                <w:sz w:val="20"/>
              </w:rPr>
              <w:t>Archivos STL de modelos 3D + enlaces temporales de descarga</w:t>
            </w:r>
          </w:p>
        </w:tc>
      </w:tr>
      <w:tr>
        <w:tc>
          <w:tcPr>
            <w:tcW w:type="dxa" w:w="4703"/>
          </w:tcPr>
          <w:p>
            <w:r/>
            <w:r>
              <w:rPr>
                <w:sz w:val="20"/>
              </w:rPr>
              <w:t>Bold</w:t>
            </w:r>
          </w:p>
        </w:tc>
        <w:tc>
          <w:tcPr>
            <w:tcW w:type="dxa" w:w="4703"/>
          </w:tcPr>
          <w:p>
            <w:r/>
            <w:r>
              <w:rPr>
                <w:sz w:val="20"/>
              </w:rPr>
              <w:t>Pagos en COP (Colombia) — botón de pagos + webhooks</w:t>
            </w:r>
          </w:p>
        </w:tc>
      </w:tr>
      <w:tr>
        <w:tc>
          <w:tcPr>
            <w:tcW w:type="dxa" w:w="4703"/>
          </w:tcPr>
          <w:p>
            <w:r/>
            <w:r>
              <w:rPr>
                <w:sz w:val="20"/>
              </w:rPr>
              <w:t>PayPal</w:t>
            </w:r>
          </w:p>
        </w:tc>
        <w:tc>
          <w:tcPr>
            <w:tcW w:type="dxa" w:w="4703"/>
          </w:tcPr>
          <w:p>
            <w:r/>
            <w:r>
              <w:rPr>
                <w:sz w:val="20"/>
              </w:rPr>
              <w:t>Pagos en USD — Orders API + webhooks</w:t>
            </w:r>
          </w:p>
        </w:tc>
      </w:tr>
      <w:tr>
        <w:tc>
          <w:tcPr>
            <w:tcW w:type="dxa" w:w="4703"/>
          </w:tcPr>
          <w:p>
            <w:r/>
            <w:r>
              <w:rPr>
                <w:sz w:val="20"/>
              </w:rPr>
              <w:t>Google Cloud</w:t>
            </w:r>
          </w:p>
        </w:tc>
        <w:tc>
          <w:tcPr>
            <w:tcW w:type="dxa" w:w="4703"/>
          </w:tcPr>
          <w:p>
            <w:r/>
            <w:r>
              <w:rPr>
                <w:sz w:val="20"/>
              </w:rPr>
              <w:t>OAuth (login con Google) + YouTube Data API</w:t>
            </w:r>
          </w:p>
        </w:tc>
      </w:tr>
      <w:tr>
        <w:tc>
          <w:tcPr>
            <w:tcW w:type="dxa" w:w="4703"/>
          </w:tcPr>
          <w:p>
            <w:r/>
            <w:r>
              <w:rPr>
                <w:sz w:val="20"/>
              </w:rPr>
              <w:t>SMTP</w:t>
            </w:r>
          </w:p>
        </w:tc>
        <w:tc>
          <w:tcPr>
            <w:tcW w:type="dxa" w:w="4703"/>
          </w:tcPr>
          <w:p>
            <w:r/>
            <w:r>
              <w:rPr>
                <w:sz w:val="20"/>
              </w:rPr>
              <w:t>Correos transaccionales: accesos a cursos, reset de contraseña, cotizaciones, notificaciones admin</w:t>
            </w:r>
          </w:p>
        </w:tc>
      </w:tr>
      <w:tr>
        <w:tc>
          <w:tcPr>
            <w:tcW w:type="dxa" w:w="4703"/>
          </w:tcPr>
          <w:p>
            <w:r/>
            <w:r>
              <w:rPr>
                <w:sz w:val="20"/>
              </w:rPr>
              <w:t>Looker Studio</w:t>
            </w:r>
          </w:p>
        </w:tc>
        <w:tc>
          <w:tcPr>
            <w:tcW w:type="dxa" w:w="4703"/>
          </w:tcPr>
          <w:p>
            <w:r/>
            <w:r>
              <w:rPr>
                <w:sz w:val="20"/>
              </w:rPr>
              <w:t>Dashboards embebidos en /admin/marketing</w:t>
            </w:r>
          </w:p>
        </w:tc>
      </w:tr>
      <w:tr>
        <w:tc>
          <w:tcPr>
            <w:tcW w:type="dxa" w:w="4703"/>
          </w:tcPr>
          <w:p>
            <w:r/>
            <w:r>
              <w:rPr>
                <w:sz w:val="20"/>
              </w:rPr>
              <w:t>WhatsApp</w:t>
            </w:r>
          </w:p>
        </w:tc>
        <w:tc>
          <w:tcPr>
            <w:tcW w:type="dxa" w:w="4703"/>
          </w:tcPr>
          <w:p>
            <w:r/>
            <w:r>
              <w:rPr>
                <w:sz w:val="20"/>
              </w:rPr>
              <w:t>Botón del cotizador (wa.me)</w:t>
            </w:r>
          </w:p>
        </w:tc>
      </w:tr>
    </w:tbl>
    <w:p>
      <w:pPr>
        <w:spacing w:after="80"/>
      </w:pPr>
    </w:p>
    <w:p>
      <w:pPr>
        <w:pStyle w:val="Heading2"/>
      </w:pPr>
      <w:r>
        <w:t>2.4 Flujos críticos</w:t>
      </w:r>
    </w:p>
    <w:p>
      <w:pPr>
        <w:pStyle w:val="ListBullet"/>
        <w:spacing w:after="60"/>
      </w:pPr>
      <w:r>
        <w:rPr>
          <w:b/>
        </w:rPr>
        <w:t xml:space="preserve">Compra de modelo 3D — </w:t>
      </w:r>
      <w:r>
        <w:t>carrito → pago (Bold/PayPal) → webhook confirma → tokens de descarga → redirect a URL temporal de Dropbox.</w:t>
      </w:r>
    </w:p>
    <w:p>
      <w:pPr>
        <w:pStyle w:val="ListBullet"/>
        <w:spacing w:after="60"/>
      </w:pPr>
      <w:r>
        <w:rPr>
          <w:b/>
        </w:rPr>
        <w:t xml:space="preserve">Inscripción a curso — </w:t>
      </w:r>
      <w:r>
        <w:t>formulario → carrito (cuota inicial si es en cuotas) → pago → webhook → correo con accesos (SMTP).</w:t>
      </w:r>
    </w:p>
    <w:p>
      <w:pPr>
        <w:pStyle w:val="ListBullet"/>
        <w:spacing w:after="60"/>
      </w:pPr>
      <w:r>
        <w:rPr>
          <w:b/>
        </w:rPr>
        <w:t xml:space="preserve">Login — </w:t>
      </w:r>
      <w:r>
        <w:t>email/password o Google → Better Auth → cookie de sesión → middleware del frontend valida contra /api/auth/get-session en cada ruta privada.</w:t>
      </w:r>
    </w:p>
    <w:p>
      <w:pPr>
        <w:pStyle w:val="Heading2"/>
      </w:pPr>
      <w:r>
        <w:t>2.5 Diagrama entidad-relación de la base de datos</w:t>
      </w:r>
    </w:p>
    <w:p>
      <w:pPr>
        <w:spacing w:after="120"/>
      </w:pPr>
      <w:r>
        <w:rPr>
          <w:b w:val="0"/>
          <w:i w:val="0"/>
          <w:sz w:val="22"/>
        </w:rPr>
        <w:t>Vista simplificada de las entidades principales y sus relaciones. El detalle completo de columnas está en el capítulo 4.4 (Base de datos y backups).</w:t>
      </w:r>
    </w:p>
    <w:p>
      <w:pPr>
        <w:jc w:val="center"/>
      </w:pPr>
      <w:r>
        <w:drawing>
          <wp:inline xmlns:a="http://schemas.openxmlformats.org/drawingml/2006/main" xmlns:pic="http://schemas.openxmlformats.org/drawingml/2006/picture">
            <wp:extent cx="5760720" cy="3622271"/>
            <wp:docPr id="1" name="Picture 1"/>
            <wp:cNvGraphicFramePr>
              <a:graphicFrameLocks noChangeAspect="1"/>
            </wp:cNvGraphicFramePr>
            <a:graphic>
              <a:graphicData uri="http://schemas.openxmlformats.org/drawingml/2006/picture">
                <pic:pic>
                  <pic:nvPicPr>
                    <pic:cNvPr id="0" name="er.png"/>
                    <pic:cNvPicPr/>
                  </pic:nvPicPr>
                  <pic:blipFill>
                    <a:blip r:embed="rId9"/>
                    <a:stretch>
                      <a:fillRect/>
                    </a:stretch>
                  </pic:blipFill>
                  <pic:spPr>
                    <a:xfrm>
                      <a:off x="0" y="0"/>
                      <a:ext cx="5760720" cy="3622271"/>
                    </a:xfrm>
                    <a:prstGeom prst="rect"/>
                  </pic:spPr>
                </pic:pic>
              </a:graphicData>
            </a:graphic>
          </wp:inline>
        </w:drawing>
      </w:r>
    </w:p>
    <w:p>
      <w:r>
        <w:br w:type="page"/>
      </w:r>
    </w:p>
    <w:p>
      <w:pPr>
        <w:pStyle w:val="Heading1"/>
      </w:pPr>
      <w:r>
        <w:t>3. Operación de la plataforma</w:t>
      </w:r>
    </w:p>
    <w:p>
      <w:pPr>
        <w:spacing w:after="120"/>
      </w:pPr>
      <w:r>
        <w:rPr>
          <w:b w:val="0"/>
          <w:i w:val="0"/>
          <w:sz w:val="22"/>
        </w:rPr>
        <w:t>Dirigido al dueño del negocio y a los operadores del panel de administración. Son recetas de «quiero hacer X», no un catálogo de pantallas. Todo empieza en https://joyerodigital.com/admin (requiere una cuenta con rol de staff — ver capítulo 1.3).</w:t>
      </w:r>
    </w:p>
    <w:p>
      <w:pPr>
        <w:pStyle w:val="Heading2"/>
      </w:pPr>
      <w:r>
        <w:t>3.1 Métricas y marketing</w:t>
      </w:r>
    </w:p>
    <w:p>
      <w:pPr>
        <w:spacing w:after="120"/>
      </w:pPr>
      <w:r>
        <w:rPr>
          <w:b w:val="0"/>
          <w:i w:val="0"/>
          <w:sz w:val="22"/>
        </w:rPr>
        <w:t>Dónde: /admin (pantalla inicial del panel).</w:t>
      </w:r>
    </w:p>
    <w:p>
      <w:pPr>
        <w:spacing w:after="60"/>
        <w:ind w:left="357" w:hanging="357"/>
      </w:pPr>
      <w:r>
        <w:t>1.</w:t>
        <w:tab/>
      </w:r>
      <w:r>
        <w:t>Entrar a https://joyerodigital.com/admin con la cuenta de staff.</w:t>
      </w:r>
    </w:p>
    <w:p>
      <w:pPr>
        <w:spacing w:after="60"/>
        <w:ind w:left="357" w:hanging="357"/>
      </w:pPr>
      <w:r>
        <w:t>2.</w:t>
        <w:tab/>
      </w:r>
      <w:r>
        <w:t>El dashboard muestra las métricas principales del negocio (ventas, actividad).</w:t>
      </w:r>
    </w:p>
    <w:p>
      <w:pPr>
        <w:spacing w:after="60"/>
        <w:ind w:left="357" w:hanging="357"/>
      </w:pPr>
      <w:r>
        <w:t>3.</w:t>
        <w:tab/>
      </w:r>
      <w:r>
        <w:t>Cualquier rol de staff ve al menos el dashboard; el resto de módulos depende de sus permisos.</w:t>
      </w:r>
    </w:p>
    <w:p>
      <w:pPr>
        <w:spacing w:after="120"/>
      </w:pPr>
      <w:r>
        <w:rPr>
          <w:b/>
          <w:i w:val="0"/>
          <w:sz w:val="22"/>
        </w:rPr>
        <w:t>Reportes de marketing (Looker Studio) — dónde: /admin/marketing.</w:t>
      </w:r>
    </w:p>
    <w:p>
      <w:pPr>
        <w:spacing w:after="60"/>
        <w:ind w:left="357" w:hanging="357"/>
      </w:pPr>
      <w:r>
        <w:t>1.</w:t>
        <w:tab/>
      </w:r>
      <w:r>
        <w:t>En el menú lateral, entrar a Marketing.</w:t>
      </w:r>
    </w:p>
    <w:p>
      <w:pPr>
        <w:spacing w:after="60"/>
        <w:ind w:left="357" w:hanging="357"/>
      </w:pPr>
      <w:r>
        <w:t>2.</w:t>
        <w:tab/>
      </w:r>
      <w:r>
        <w:t>La pantalla embebe hasta dos reportes de Looker Studio configurados por el equipo técnico.</w:t>
      </w:r>
    </w:p>
    <w:p>
      <w:pPr>
        <w:spacing w:after="60"/>
        <w:ind w:left="357" w:hanging="357"/>
      </w:pPr>
      <w:r>
        <w:t>3.</w:t>
        <w:tab/>
      </w:r>
      <w:r>
        <w:t>Los reportes se editan en la propia Looker Studio (cuenta de Google del cliente), no en el panel.</w:t>
      </w:r>
    </w:p>
    <w:p>
      <w:pPr>
        <w:spacing w:after="120"/>
      </w:pPr>
      <w:r>
        <w:rPr>
          <w:b w:val="0"/>
          <w:i w:val="0"/>
          <w:sz w:val="22"/>
        </w:rPr>
        <w:t>Si falla:</w:t>
      </w:r>
    </w:p>
    <w:p>
      <w:pPr>
        <w:pStyle w:val="ListBullet"/>
        <w:spacing w:after="60"/>
      </w:pPr>
      <w:r>
        <w:t>El reporte de marketing aparece vacío: las URLs de Looker Studio no están configuradas o caducaron (variables NEXT_PUBLIC_LOOKER_STUDIO_URL_1 y _2).</w:t>
      </w:r>
    </w:p>
    <w:p>
      <w:pPr>
        <w:pStyle w:val="ListBullet"/>
        <w:spacing w:after="60"/>
      </w:pPr>
      <w:r>
        <w:t>No se ve el menú lateral completo: el rol no tiene permisos de esos módulos.</w:t>
      </w:r>
    </w:p>
    <w:p>
      <w:pPr>
        <w:pStyle w:val="Heading2"/>
      </w:pPr>
      <w:r>
        <w:t>3.2 Pedidos</w:t>
      </w:r>
    </w:p>
    <w:p>
      <w:pPr>
        <w:spacing w:after="120"/>
      </w:pPr>
      <w:r>
        <w:rPr>
          <w:b w:val="0"/>
          <w:i w:val="0"/>
          <w:sz w:val="22"/>
        </w:rPr>
        <w:t>Dónde: /admin/pedidos — panel centralizado de pedidos. Llegan dos tipos de compra: productos físicos de la tienda y modelos 3D digitales (el cliente recibe tokens de descarga tras pagar).</w:t>
      </w:r>
    </w:p>
    <w:p>
      <w:pPr>
        <w:spacing w:after="60"/>
        <w:ind w:left="357" w:hanging="357"/>
      </w:pPr>
      <w:r>
        <w:t>1.</w:t>
        <w:tab/>
      </w:r>
      <w:r>
        <w:t>En el menú lateral, entrar a Pedidos.</w:t>
      </w:r>
    </w:p>
    <w:p>
      <w:pPr>
        <w:spacing w:after="60"/>
        <w:ind w:left="357" w:hanging="357"/>
      </w:pPr>
      <w:r>
        <w:t>2.</w:t>
        <w:tab/>
      </w:r>
      <w:r>
        <w:t>La lista muestra cada pedido con su estado, el comprador y el total.</w:t>
      </w:r>
    </w:p>
    <w:p>
      <w:pPr>
        <w:spacing w:after="60"/>
        <w:ind w:left="357" w:hanging="357"/>
      </w:pPr>
      <w:r>
        <w:t>3.</w:t>
        <w:tab/>
      </w:r>
      <w:r>
        <w:t>Abrir un pedido para ver el detalle: ítems, montos y datos del comprador.</w:t>
      </w:r>
    </w:p>
    <w:p>
      <w:pPr>
        <w:spacing w:after="120"/>
      </w:pPr>
      <w:r>
        <w:rPr>
          <w:b w:val="0"/>
          <w:i w:val="0"/>
          <w:sz w:val="22"/>
        </w:rPr>
        <w:t>Flujo de un pedido de modelos 3D: el cliente paga (Bold en COP, PayPal en USD) → la pasarela confirma el pago por webhook y el pedido queda registrado → el sistema genera tokens de descarga (con límite de descargas por token) y el cliente descarga sus archivos desde su cuenta o desde el correo de confirmación.</w:t>
      </w:r>
    </w:p>
    <w:p>
      <w:pPr>
        <w:spacing w:after="120"/>
      </w:pPr>
      <w:r>
        <w:rPr>
          <w:b w:val="0"/>
          <w:i w:val="0"/>
          <w:sz w:val="22"/>
        </w:rPr>
        <w:t>Si falla:</w:t>
      </w:r>
    </w:p>
    <w:p>
      <w:pPr>
        <w:pStyle w:val="ListBullet"/>
        <w:spacing w:after="60"/>
      </w:pPr>
      <w:r>
        <w:t>El cliente pagó pero el pedido no aparece o quedó pendiente: es el incidente más delicado — procedimiento de reconciliación en los capítulos 4.5 y 4.7.</w:t>
      </w:r>
    </w:p>
    <w:p>
      <w:pPr>
        <w:pStyle w:val="ListBullet"/>
        <w:spacing w:after="60"/>
      </w:pPr>
      <w:r>
        <w:t>El cliente no puede descargar su modelo: verificar cuántas descargas consumió su token.</w:t>
      </w:r>
    </w:p>
    <w:p>
      <w:pPr>
        <w:pStyle w:val="Heading2"/>
      </w:pPr>
      <w:r>
        <w:t>3.3 Tienda</w:t>
      </w:r>
    </w:p>
    <w:p>
      <w:pPr>
        <w:spacing w:after="120"/>
      </w:pPr>
      <w:r>
        <w:rPr>
          <w:b w:val="0"/>
          <w:i w:val="0"/>
          <w:sz w:val="22"/>
        </w:rPr>
        <w:t>Dónde: /admin/tienda.</w:t>
      </w:r>
    </w:p>
    <w:p>
      <w:pPr>
        <w:spacing w:after="60"/>
        <w:ind w:left="357" w:hanging="357"/>
      </w:pPr>
      <w:r>
        <w:t>1.</w:t>
        <w:tab/>
      </w:r>
      <w:r>
        <w:t>En el menú lateral, entrar a Tienda.</w:t>
      </w:r>
    </w:p>
    <w:p>
      <w:pPr>
        <w:spacing w:after="60"/>
        <w:ind w:left="357" w:hanging="357"/>
      </w:pPr>
      <w:r>
        <w:t>2.</w:t>
        <w:tab/>
      </w:r>
      <w:r>
        <w:t>Crear un producto nuevo y completar el formulario: nombre, descripción, precio, stock e imágenes.</w:t>
      </w:r>
    </w:p>
    <w:p>
      <w:pPr>
        <w:spacing w:after="60"/>
        <w:ind w:left="357" w:hanging="357"/>
      </w:pPr>
      <w:r>
        <w:t>3.</w:t>
        <w:tab/>
      </w:r>
      <w:r>
        <w:t>Las imágenes se suben desde el formulario — el sistema las almacena en Cloudflare R2.</w:t>
      </w:r>
    </w:p>
    <w:p>
      <w:pPr>
        <w:spacing w:after="60"/>
        <w:ind w:left="357" w:hanging="357"/>
      </w:pPr>
      <w:r>
        <w:t>4.</w:t>
        <w:tab/>
      </w:r>
      <w:r>
        <w:t>Guardar. El producto queda visible en https://joyerodigital.com/tienda según su estado.</w:t>
      </w:r>
    </w:p>
    <w:p>
      <w:pPr>
        <w:spacing w:after="120"/>
      </w:pPr>
      <w:r>
        <w:rPr>
          <w:b w:val="0"/>
          <w:i w:val="0"/>
          <w:sz w:val="22"/>
        </w:rPr>
        <w:t>Para editar o desactivar: abrir el producto en la lista, ajustar precio/stock/imágenes y guardar. Para retirarlo sin borrarlo, desactivarlo.</w:t>
      </w:r>
    </w:p>
    <w:p>
      <w:pPr>
        <w:spacing w:after="120"/>
      </w:pPr>
      <w:r>
        <w:rPr>
          <w:b w:val="0"/>
          <w:i w:val="0"/>
          <w:sz w:val="22"/>
        </w:rPr>
        <w:t>Si falla:</w:t>
      </w:r>
    </w:p>
    <w:p>
      <w:pPr>
        <w:pStyle w:val="ListBullet"/>
        <w:spacing w:after="60"/>
      </w:pPr>
      <w:r>
        <w:t>La imagen no sube o se ve rota: problema de conexión con R2 (capítulo 4.6).</w:t>
      </w:r>
    </w:p>
    <w:p>
      <w:pPr>
        <w:pStyle w:val="ListBullet"/>
        <w:spacing w:after="60"/>
      </w:pPr>
      <w:r>
        <w:t>El producto no aparece en la tienda pública: verificar que esté activo y con stock.</w:t>
      </w:r>
    </w:p>
    <w:p>
      <w:pPr>
        <w:pStyle w:val="Heading2"/>
      </w:pPr>
      <w:r>
        <w:t>3.4 Modelos 3D</w:t>
      </w:r>
    </w:p>
    <w:p>
      <w:pPr>
        <w:spacing w:after="120"/>
      </w:pPr>
      <w:r>
        <w:rPr>
          <w:b w:val="0"/>
          <w:i w:val="0"/>
          <w:sz w:val="22"/>
        </w:rPr>
        <w:t>Dónde: /admin/modelos-3d (y /admin/categorias-3d para las categorías). El catálogo público vive en https://joyerodigital.com/modelos-3d. Cada modelo tiene archivo STL (Dropbox), fotos (Cloudflare R2), clasificación (categoría/subcategoría, precio, material, formato, peso/tamaño) y banderas (activo, nuevo, bestseller, destacado).</w:t>
      </w:r>
    </w:p>
    <w:p>
      <w:pPr>
        <w:spacing w:after="120"/>
      </w:pPr>
      <w:r>
        <w:rPr>
          <w:b w:val="0"/>
          <w:i w:val="0"/>
          <w:sz w:val="22"/>
        </w:rPr>
        <w:t>Las subcategorías pertenecen a una categoría: crear primero la categoría en Categorías 3D y luego las subcategorías dentro de ella.</w:t>
      </w:r>
    </w:p>
    <w:p>
      <w:pPr>
        <w:spacing w:after="60"/>
        <w:ind w:left="357" w:hanging="357"/>
      </w:pPr>
      <w:r>
        <w:t>1.</w:t>
        <w:tab/>
      </w:r>
      <w:r>
        <w:t>Si es una categoría nueva, crearla primero en Categorías 3D.</w:t>
      </w:r>
    </w:p>
    <w:p>
      <w:pPr>
        <w:spacing w:after="60"/>
        <w:ind w:left="357" w:hanging="357"/>
      </w:pPr>
      <w:r>
        <w:t>2.</w:t>
        <w:tab/>
      </w:r>
      <w:r>
        <w:t>En Modelos 3D, crear un modelo nuevo.</w:t>
      </w:r>
    </w:p>
    <w:p>
      <w:pPr>
        <w:spacing w:after="60"/>
        <w:ind w:left="357" w:hanging="357"/>
      </w:pPr>
      <w:r>
        <w:t>3.</w:t>
        <w:tab/>
      </w:r>
      <w:r>
        <w:t>Completar título, precio, material, formato y demás datos del formulario.</w:t>
      </w:r>
    </w:p>
    <w:p>
      <w:pPr>
        <w:spacing w:after="60"/>
        <w:ind w:left="357" w:hanging="357"/>
      </w:pPr>
      <w:r>
        <w:t>4.</w:t>
        <w:tab/>
      </w:r>
      <w:r>
        <w:t>Archivo STL: usar el selector de Dropbox integrado en el formulario.</w:t>
      </w:r>
    </w:p>
    <w:p>
      <w:pPr>
        <w:spacing w:after="60"/>
        <w:ind w:left="357" w:hanging="357"/>
      </w:pPr>
      <w:r>
        <w:t>5.</w:t>
        <w:tab/>
      </w:r>
      <w:r>
        <w:t>Fotos: subirlas desde el formulario (van a R2).</w:t>
      </w:r>
    </w:p>
    <w:p>
      <w:pPr>
        <w:spacing w:after="60"/>
        <w:ind w:left="357" w:hanging="357"/>
      </w:pPr>
      <w:r>
        <w:t>6.</w:t>
        <w:tab/>
      </w:r>
      <w:r>
        <w:t>Asignar categoría y subcategoría, marcar las banderas que apliquen y guardar.</w:t>
      </w:r>
    </w:p>
    <w:p>
      <w:pPr>
        <w:spacing w:after="120"/>
      </w:pPr>
      <w:r>
        <w:rPr>
          <w:b w:val="0"/>
          <w:i w:val="0"/>
          <w:sz w:val="22"/>
        </w:rPr>
        <w:t>Si falla:</w:t>
      </w:r>
    </w:p>
    <w:p>
      <w:pPr>
        <w:pStyle w:val="ListBullet"/>
        <w:spacing w:after="60"/>
      </w:pPr>
      <w:r>
        <w:t>El selector de Dropbox no abre o no lista archivos: problema de credenciales de Dropbox (capítulo 4.6).</w:t>
      </w:r>
    </w:p>
    <w:p>
      <w:pPr>
        <w:pStyle w:val="ListBullet"/>
        <w:spacing w:after="60"/>
      </w:pPr>
      <w:r>
        <w:t>El modelo existe pero no se puede comprar/descargar: verificar que esté activo y que el archivo siga existiendo en Dropbox.</w:t>
      </w:r>
    </w:p>
    <w:p>
      <w:pPr>
        <w:pStyle w:val="ListBullet"/>
        <w:spacing w:after="60"/>
      </w:pPr>
      <w:r>
        <w:t>Las fotos no se ven: problema con R2 (capítulo 4.6).</w:t>
      </w:r>
    </w:p>
    <w:p>
      <w:pPr>
        <w:pStyle w:val="Heading2"/>
      </w:pPr>
      <w:r>
        <w:t>3.5 Cursos e inscripciones</w:t>
      </w:r>
    </w:p>
    <w:p>
      <w:pPr>
        <w:spacing w:after="120"/>
      </w:pPr>
      <w:r>
        <w:rPr>
          <w:b w:val="0"/>
          <w:i w:val="0"/>
          <w:sz w:val="22"/>
        </w:rPr>
        <w:t>Dónde: /admin/cursos. La plataforma maneja cursos grupales, cursos personalizados y asesorías (estas últimas se pagan de contado, sin cuotas).</w:t>
      </w:r>
    </w:p>
    <w:p>
      <w:pPr>
        <w:spacing w:after="60"/>
        <w:ind w:left="357" w:hanging="357"/>
      </w:pPr>
      <w:r>
        <w:t>1.</w:t>
        <w:tab/>
      </w:r>
      <w:r>
        <w:t>En el menú lateral, entrar a Cursos.</w:t>
      </w:r>
    </w:p>
    <w:p>
      <w:pPr>
        <w:spacing w:after="60"/>
        <w:ind w:left="357" w:hanging="357"/>
      </w:pPr>
      <w:r>
        <w:t>2.</w:t>
        <w:tab/>
      </w:r>
      <w:r>
        <w:t>Crear el curso y completar el formulario: nombre, descripción, precio, fecha de inicio y datos de acceso (link de reunión, carpeta de Drive).</w:t>
      </w:r>
    </w:p>
    <w:p>
      <w:pPr>
        <w:spacing w:after="60"/>
        <w:ind w:left="357" w:hanging="357"/>
      </w:pPr>
      <w:r>
        <w:t>3.</w:t>
        <w:tab/>
      </w:r>
      <w:r>
        <w:t>Si el curso admite pago por cuotas, configurarlo en el mismo formulario: cuántas cuotas y cada cuánto vencen (ver 3.6).</w:t>
      </w:r>
    </w:p>
    <w:p>
      <w:pPr>
        <w:spacing w:after="60"/>
        <w:ind w:left="357" w:hanging="357"/>
      </w:pPr>
      <w:r>
        <w:t>4.</w:t>
        <w:tab/>
      </w:r>
      <w:r>
        <w:t>Guardar. El curso aparece en https://joyerodigital.com/capacitacion.</w:t>
      </w:r>
    </w:p>
    <w:p>
      <w:pPr>
        <w:spacing w:after="200"/>
        <w:ind w:left="170"/>
        <w:shd w:val="clear" w:color="auto" w:fill="FFF3CD"/>
      </w:pPr>
      <w:r>
        <w:rPr>
          <w:b/>
        </w:rPr>
        <w:t xml:space="preserve">No está en el menú: </w:t>
      </w:r>
      <w:r>
        <w:t>La pantalla de inscripciones no tiene enlace en el menú lateral hoy — se accede escribiendo la dirección directamente. Es un pendiente conocido (capítulo 6).</w:t>
      </w:r>
    </w:p>
    <w:p>
      <w:pPr>
        <w:spacing w:after="120"/>
      </w:pPr>
      <w:r>
        <w:rPr>
          <w:b w:val="0"/>
          <w:i w:val="0"/>
          <w:sz w:val="22"/>
        </w:rPr>
        <w:t>Desde inscripciones se puede: ver el estado de pago de cada alumno; revocar o reactivar el acceso manualmente (con motivo obligatorio); reenviar el correo de acceso; y usar «Consultar Bold» para reconciliar un pago que quedó en limbo.</w:t>
      </w:r>
    </w:p>
    <w:p>
      <w:pPr>
        <w:spacing w:after="120"/>
      </w:pPr>
      <w:r>
        <w:rPr>
          <w:b w:val="0"/>
          <w:i w:val="0"/>
          <w:sz w:val="22"/>
        </w:rPr>
        <w:t>Si falla:</w:t>
      </w:r>
    </w:p>
    <w:p>
      <w:pPr>
        <w:pStyle w:val="ListBullet"/>
        <w:spacing w:after="60"/>
      </w:pPr>
      <w:r>
        <w:t>Un alumno dice que pagó pero sigue sin acceso: usar primero «Consultar Bold». Si fue por PayPal o el problema persiste, escalar al equipo técnico (capítulo 4.7).</w:t>
      </w:r>
    </w:p>
    <w:p>
      <w:pPr>
        <w:pStyle w:val="ListBullet"/>
        <w:spacing w:after="60"/>
      </w:pPr>
      <w:r>
        <w:t>El correo de acceso no llegó: usar «Reenviar correo de acceso»; si sigue sin llegar, es problema del servicio de correo (capítulo 4.7).</w:t>
      </w:r>
    </w:p>
    <w:p>
      <w:pPr>
        <w:pStyle w:val="Heading2"/>
      </w:pPr>
      <w:r>
        <w:t>3.6 Pago por cuotas</w:t>
      </w:r>
    </w:p>
    <w:p>
      <w:pPr>
        <w:spacing w:after="120"/>
      </w:pPr>
      <w:r>
        <w:rPr>
          <w:b w:val="0"/>
          <w:i w:val="0"/>
          <w:sz w:val="22"/>
        </w:rPr>
        <w:t>Aplica solo a cursos (grupales y personalizados). Las asesorías se pagan de contado.</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B3A5C"/>
          </w:tcPr>
          <w:p>
            <w:r/>
            <w:r>
              <w:rPr>
                <w:b/>
                <w:color w:val="FFFFFF"/>
                <w:sz w:val="20"/>
              </w:rPr>
              <w:t>Regla</w:t>
            </w:r>
          </w:p>
        </w:tc>
        <w:tc>
          <w:tcPr>
            <w:tcW w:type="dxa" w:w="4703"/>
            <w:shd w:val="clear" w:color="auto" w:fill="1B3A5C"/>
          </w:tcPr>
          <w:p>
            <w:r/>
            <w:r>
              <w:rPr>
                <w:b/>
                <w:color w:val="FFFFFF"/>
                <w:sz w:val="20"/>
              </w:rPr>
              <w:t>Detalle</w:t>
            </w:r>
          </w:p>
        </w:tc>
      </w:tr>
      <w:tr>
        <w:tc>
          <w:tcPr>
            <w:tcW w:type="dxa" w:w="4703"/>
          </w:tcPr>
          <w:p>
            <w:r/>
            <w:r>
              <w:rPr>
                <w:b/>
                <w:sz w:val="20"/>
              </w:rPr>
              <w:t>Sin intereses</w:t>
            </w:r>
          </w:p>
        </w:tc>
        <w:tc>
          <w:tcPr>
            <w:tcW w:type="dxa" w:w="4703"/>
          </w:tcPr>
          <w:p>
            <w:r/>
            <w:r>
              <w:rPr>
                <w:sz w:val="20"/>
              </w:rPr>
              <w:t>Es un plan propio de la plataforma, no un crédito</w:t>
            </w:r>
          </w:p>
        </w:tc>
      </w:tr>
      <w:tr>
        <w:tc>
          <w:tcPr>
            <w:tcW w:type="dxa" w:w="4703"/>
          </w:tcPr>
          <w:p>
            <w:r/>
            <w:r>
              <w:rPr>
                <w:b/>
                <w:sz w:val="20"/>
              </w:rPr>
              <w:t>50% inicial</w:t>
            </w:r>
          </w:p>
        </w:tc>
        <w:tc>
          <w:tcPr>
            <w:tcW w:type="dxa" w:w="4703"/>
          </w:tcPr>
          <w:p>
            <w:r/>
            <w:r>
              <w:rPr>
                <w:sz w:val="20"/>
              </w:rPr>
              <w:t>El alumno paga la mitad al inscribirse; el resto en partes iguales</w:t>
            </w:r>
          </w:p>
        </w:tc>
      </w:tr>
      <w:tr>
        <w:tc>
          <w:tcPr>
            <w:tcW w:type="dxa" w:w="4703"/>
          </w:tcPr>
          <w:p>
            <w:r/>
            <w:r>
              <w:rPr>
                <w:b/>
                <w:sz w:val="20"/>
              </w:rPr>
              <w:t>Acceso inmediato</w:t>
            </w:r>
          </w:p>
        </w:tc>
        <w:tc>
          <w:tcPr>
            <w:tcW w:type="dxa" w:w="4703"/>
          </w:tcPr>
          <w:p>
            <w:r/>
            <w:r>
              <w:rPr>
                <w:sz w:val="20"/>
              </w:rPr>
              <w:t>Con el primer pago aprobado, el alumno ya entra al curso</w:t>
            </w:r>
          </w:p>
        </w:tc>
      </w:tr>
      <w:tr>
        <w:tc>
          <w:tcPr>
            <w:tcW w:type="dxa" w:w="4703"/>
          </w:tcPr>
          <w:p>
            <w:r/>
            <w:r>
              <w:rPr>
                <w:b/>
                <w:sz w:val="20"/>
              </w:rPr>
              <w:t>Sin cobros automáticos</w:t>
            </w:r>
          </w:p>
        </w:tc>
        <w:tc>
          <w:tcPr>
            <w:tcW w:type="dxa" w:w="4703"/>
          </w:tcPr>
          <w:p>
            <w:r/>
            <w:r>
              <w:rPr>
                <w:sz w:val="20"/>
              </w:rPr>
              <w:t>No se guarda ninguna tarjeta; cada cuota es un pago nuevo</w:t>
            </w:r>
          </w:p>
        </w:tc>
      </w:tr>
      <w:tr>
        <w:tc>
          <w:tcPr>
            <w:tcW w:type="dxa" w:w="4703"/>
          </w:tcPr>
          <w:p>
            <w:r/>
            <w:r>
              <w:rPr>
                <w:b/>
                <w:sz w:val="20"/>
              </w:rPr>
              <w:t>Sin suspensión automática</w:t>
            </w:r>
          </w:p>
        </w:tc>
        <w:tc>
          <w:tcPr>
            <w:tcW w:type="dxa" w:w="4703"/>
          </w:tcPr>
          <w:p>
            <w:r/>
            <w:r>
              <w:rPr>
                <w:sz w:val="20"/>
              </w:rPr>
              <w:t>Si no paga, el sistema no hace nada solo — decide un administrador</w:t>
            </w:r>
          </w:p>
        </w:tc>
      </w:tr>
      <w:tr>
        <w:tc>
          <w:tcPr>
            <w:tcW w:type="dxa" w:w="4703"/>
          </w:tcPr>
          <w:p>
            <w:r/>
            <w:r>
              <w:rPr>
                <w:b/>
                <w:sz w:val="20"/>
              </w:rPr>
              <w:t>Moneda congelada</w:t>
            </w:r>
          </w:p>
        </w:tc>
        <w:tc>
          <w:tcPr>
            <w:tcW w:type="dxa" w:w="4703"/>
          </w:tcPr>
          <w:p>
            <w:r/>
            <w:r>
              <w:rPr>
                <w:sz w:val="20"/>
              </w:rPr>
              <w:t>La moneda y los montos del plan no cambian aunque cambie el precio del curso</w:t>
            </w:r>
          </w:p>
        </w:tc>
      </w:tr>
      <w:tr>
        <w:tc>
          <w:tcPr>
            <w:tcW w:type="dxa" w:w="4703"/>
          </w:tcPr>
          <w:p>
            <w:r/>
            <w:r>
              <w:rPr>
                <w:b/>
                <w:sz w:val="20"/>
              </w:rPr>
              <w:t>Cupones primero</w:t>
            </w:r>
          </w:p>
        </w:tc>
        <w:tc>
          <w:tcPr>
            <w:tcW w:type="dxa" w:w="4703"/>
          </w:tcPr>
          <w:p>
            <w:r/>
            <w:r>
              <w:rPr>
                <w:sz w:val="20"/>
              </w:rPr>
              <w:t>El descuento se aplica antes de dividir en cuotas</w:t>
            </w:r>
          </w:p>
        </w:tc>
      </w:tr>
      <w:tr>
        <w:tc>
          <w:tcPr>
            <w:tcW w:type="dxa" w:w="4703"/>
          </w:tcPr>
          <w:p>
            <w:r/>
            <w:r>
              <w:rPr>
                <w:b/>
                <w:sz w:val="20"/>
              </w:rPr>
              <w:t>Mínimo por cuota</w:t>
            </w:r>
          </w:p>
        </w:tc>
        <w:tc>
          <w:tcPr>
            <w:tcW w:type="dxa" w:w="4703"/>
          </w:tcPr>
          <w:p>
            <w:r/>
            <w:r>
              <w:rPr>
                <w:sz w:val="20"/>
              </w:rPr>
              <w:t>Si una cuota quedaría por debajo de $1.000 COP, no se puede activar el plan</w:t>
            </w:r>
          </w:p>
        </w:tc>
      </w:tr>
    </w:tbl>
    <w:p>
      <w:pPr>
        <w:spacing w:after="80"/>
      </w:pPr>
    </w:p>
    <w:p>
      <w:pPr>
        <w:spacing w:after="120"/>
      </w:pPr>
      <w:r>
        <w:rPr>
          <w:b w:val="0"/>
          <w:i w:val="0"/>
          <w:sz w:val="22"/>
        </w:rPr>
        <w:t>Cómo paga el alumno: se inscribe y elige «en cuotas» (o pago completo) → en el carrito se cobra solo la cuota inicial (50%) → paga con Bold (COP o USD) o PayPal (solo USD) → recibe el correo con los accesos → las cuotas siguientes las paga desde «Mis Cursos», en orden, cuando decida, o liquida el saldo completo de una vez.</w:t>
      </w:r>
    </w:p>
    <w:p>
      <w:pPr>
        <w:spacing w:after="200"/>
        <w:ind w:left="170"/>
        <w:shd w:val="clear" w:color="auto" w:fill="FFF3CD"/>
      </w:pPr>
      <w:r>
        <w:rPr>
          <w:b/>
        </w:rPr>
        <w:t xml:space="preserve">No activo en producción: </w:t>
      </w:r>
      <w:r>
        <w:t>El sistema tiene la lógica para enviar recordatorios automáticos (3 días antes y el día del vencimiento), pero falta configurar el disparador periódico (cron) en el servidor. Hoy los recordatorios no se están enviando (capítulo 6).</w:t>
      </w:r>
    </w:p>
    <w:p>
      <w:pPr>
        <w:spacing w:after="120"/>
      </w:pPr>
      <w:r>
        <w:rPr>
          <w:b w:val="0"/>
          <w:i w:val="0"/>
          <w:sz w:val="22"/>
        </w:rPr>
        <w:t>Si un alumno no paga: la cuota vence y el sistema no suspende nada automáticamente → un administrador revisa la inscripción y decide revocar el acceso (motivo obligatorio) → el alumno deja de ver los materiales pero puede seguir pagando sus cuotas → si paga, el acceso no se reactiva solo, el administrador lo reactiva manualmente.</w:t>
      </w:r>
    </w:p>
    <w:p>
      <w:pPr>
        <w:spacing w:after="120"/>
      </w:pPr>
      <w:r>
        <w:rPr>
          <w:b w:val="0"/>
          <w:i w:val="0"/>
          <w:sz w:val="22"/>
        </w:rPr>
        <w:t>Qué NO existe hoy (para no asumirlo): panel de cartera consolidado, registrar un pago manual (transferencia/efectivo), condonar una cuota desde el panel, historial visible de revocaciones. Ver capítulo 6.</w:t>
      </w:r>
    </w:p>
    <w:p>
      <w:pPr>
        <w:pStyle w:val="Heading2"/>
      </w:pPr>
      <w:r>
        <w:t>3.7 Cupones</w:t>
      </w:r>
    </w:p>
    <w:p>
      <w:pPr>
        <w:spacing w:after="120"/>
      </w:pPr>
      <w:r>
        <w:rPr>
          <w:b w:val="0"/>
          <w:i w:val="0"/>
          <w:sz w:val="22"/>
        </w:rPr>
        <w:t>Dónde: /admin/cupones.</w:t>
      </w:r>
    </w:p>
    <w:p>
      <w:pPr>
        <w:spacing w:after="60"/>
        <w:ind w:left="357" w:hanging="357"/>
      </w:pPr>
      <w:r>
        <w:t>1.</w:t>
        <w:tab/>
      </w:r>
      <w:r>
        <w:t>En el menú lateral, entrar a Cupones.</w:t>
      </w:r>
    </w:p>
    <w:p>
      <w:pPr>
        <w:spacing w:after="60"/>
        <w:ind w:left="357" w:hanging="357"/>
      </w:pPr>
      <w:r>
        <w:t>2.</w:t>
        <w:tab/>
      </w:r>
      <w:r>
        <w:t>Crear el cupón con código, tipo y valor de descuento, y vigencia.</w:t>
      </w:r>
    </w:p>
    <w:p>
      <w:pPr>
        <w:spacing w:after="60"/>
        <w:ind w:left="357" w:hanging="357"/>
      </w:pPr>
      <w:r>
        <w:t>3.</w:t>
        <w:tab/>
      </w:r>
      <w:r>
        <w:t>Guardar y compartir el código con los clientes.</w:t>
      </w:r>
    </w:p>
    <w:p>
      <w:pPr>
        <w:spacing w:after="120"/>
      </w:pPr>
      <w:r>
        <w:rPr>
          <w:b w:val="0"/>
          <w:i w:val="0"/>
          <w:sz w:val="22"/>
        </w:rPr>
        <w:t>El cliente ingresa el código en el carrito antes de pagar. En cursos con cuotas, el descuento se aplica antes de dividir el precio en cuotas.</w:t>
      </w:r>
    </w:p>
    <w:p>
      <w:pPr>
        <w:spacing w:after="120"/>
      </w:pPr>
      <w:r>
        <w:rPr>
          <w:b w:val="0"/>
          <w:i w:val="0"/>
          <w:sz w:val="22"/>
        </w:rPr>
        <w:t>Si falla: el cliente dice que el cupón no funciona — verificar vigencia, que esté activo y que el código esté escrito exactamente igual.</w:t>
      </w:r>
    </w:p>
    <w:p>
      <w:pPr>
        <w:pStyle w:val="Heading2"/>
      </w:pPr>
      <w:r>
        <w:t>3.8 Usuarios y permisos</w:t>
      </w:r>
    </w:p>
    <w:p>
      <w:pPr>
        <w:spacing w:after="120"/>
      </w:pPr>
      <w:r>
        <w:rPr>
          <w:b w:val="0"/>
          <w:i w:val="0"/>
          <w:sz w:val="22"/>
        </w:rPr>
        <w:t>El detalle completo del sistema de roles y permisos está en el capítulo 1.3 (Control de accesos), por tratarse de información de acceso a la plataforma. Esta sección solo referencia la ruta operativa: /admin/usuarios.</w:t>
      </w:r>
    </w:p>
    <w:p>
      <w:pPr>
        <w:pStyle w:val="Heading2"/>
      </w:pPr>
      <w:r>
        <w:t>3.9 Cotizaciones 3D</w:t>
      </w:r>
    </w:p>
    <w:p>
      <w:pPr>
        <w:spacing w:after="120"/>
      </w:pPr>
      <w:r>
        <w:rPr>
          <w:b w:val="0"/>
          <w:i w:val="0"/>
          <w:sz w:val="22"/>
        </w:rPr>
        <w:t>El landing tiene un cotizador de joyas (drawer interactivo): el visitante configura material, peso, piedras y acabado, y obtiene un precio estimado.</w:t>
      </w:r>
    </w:p>
    <w:p>
      <w:pPr>
        <w:spacing w:after="60"/>
        <w:ind w:left="357" w:hanging="357"/>
      </w:pPr>
      <w:r>
        <w:t>1.</w:t>
        <w:tab/>
      </w:r>
      <w:r>
        <w:t>El visitante completa el cotizador en https://joyerodigital.com.</w:t>
      </w:r>
    </w:p>
    <w:p>
      <w:pPr>
        <w:spacing w:after="60"/>
        <w:ind w:left="357" w:hanging="357"/>
      </w:pPr>
      <w:r>
        <w:t>2.</w:t>
        <w:tab/>
      </w:r>
      <w:r>
        <w:t>El sistema envía el detalle por correo a la dirección de notificaciones del negocio (ADMIN_NOTIFICATION_EMAIL).</w:t>
      </w:r>
    </w:p>
    <w:p>
      <w:pPr>
        <w:spacing w:after="60"/>
        <w:ind w:left="357" w:hanging="357"/>
      </w:pPr>
      <w:r>
        <w:t>3.</w:t>
        <w:tab/>
      </w:r>
      <w:r>
        <w:t>El visitante también puede enviar el resumen por WhatsApp (NEXT_PUBLIC_WHATSAPP_NUMBER).</w:t>
      </w:r>
    </w:p>
    <w:p>
      <w:pPr>
        <w:spacing w:after="120"/>
      </w:pPr>
      <w:r>
        <w:rPr>
          <w:b w:val="0"/>
          <w:i w:val="0"/>
          <w:sz w:val="22"/>
        </w:rPr>
        <w:t>Para atenderla: revisar el correo con el desglose (material, peso, piedras, tier, total estimado), contactar al cliente por el canal que dejó, y recordar que el precio es estimado — el valor final se define en la conversación.</w:t>
      </w:r>
    </w:p>
    <w:p>
      <w:pPr>
        <w:spacing w:after="120"/>
      </w:pPr>
      <w:r>
        <w:rPr>
          <w:b w:val="0"/>
          <w:i w:val="0"/>
          <w:sz w:val="22"/>
        </w:rPr>
        <w:t>Si falla:</w:t>
      </w:r>
    </w:p>
    <w:p>
      <w:pPr>
        <w:pStyle w:val="ListBullet"/>
        <w:spacing w:after="60"/>
      </w:pPr>
      <w:r>
        <w:t>No llegan los correos de cotización: problema del servicio SMTP o de ADMIN_NOTIFICATION_EMAIL (capítulo 4.7).</w:t>
      </w:r>
    </w:p>
    <w:p>
      <w:pPr>
        <w:pStyle w:val="ListBullet"/>
        <w:spacing w:after="60"/>
      </w:pPr>
      <w:r>
        <w:t>El botón de WhatsApp no aparece: falta configurar NEXT_PUBLIC_WHATSAPP_NUMBER (capítulo 4.3).</w:t>
      </w:r>
    </w:p>
    <w:p>
      <w:pPr>
        <w:pStyle w:val="Heading2"/>
      </w:pPr>
      <w:r>
        <w:t>3.10 Qué hacer si algo falla</w:t>
      </w:r>
    </w:p>
    <w:p>
      <w:pPr>
        <w:spacing w:after="60"/>
        <w:ind w:left="357" w:hanging="357"/>
      </w:pPr>
      <w:r>
        <w:t>1.</w:t>
        <w:tab/>
      </w:r>
      <w:r>
        <w:t>Anotar qué se estaba haciendo y qué mensaje apareció.</w:t>
      </w:r>
    </w:p>
    <w:p>
      <w:pPr>
        <w:spacing w:after="60"/>
        <w:ind w:left="357" w:hanging="357"/>
      </w:pPr>
      <w:r>
        <w:t>2.</w:t>
        <w:tab/>
      </w:r>
      <w:r>
        <w:t>Revisar la guía del tema — cada una tiene una sección «si falla».</w:t>
      </w:r>
    </w:p>
    <w:p>
      <w:pPr>
        <w:spacing w:after="60"/>
        <w:ind w:left="357" w:hanging="357"/>
      </w:pPr>
      <w:r>
        <w:t>3.</w:t>
        <w:tab/>
      </w:r>
      <w:r>
        <w:t>Si es un incidente técnico (sitio caído, pago aprobado sin pedido, correo que no llega), el equipo técnico tiene el runbook en el capítulo 4.7 (Incidentes).</w:t>
      </w:r>
    </w:p>
    <w:p>
      <w:pPr>
        <w:spacing w:after="60"/>
        <w:ind w:left="357" w:hanging="357"/>
      </w:pPr>
      <w:r>
        <w:t>4.</w:t>
        <w:tab/>
      </w:r>
      <w:r>
        <w:t>Dentro de la ventana de soporte, escribir al canal indicado en el capítulo 7.4.</w:t>
      </w:r>
    </w:p>
    <w:p>
      <w:r>
        <w:br w:type="page"/>
      </w:r>
    </w:p>
    <w:p>
      <w:pPr>
        <w:pStyle w:val="Heading1"/>
      </w:pPr>
      <w:r>
        <w:t>4. Mantenimiento y despliegue</w:t>
      </w:r>
    </w:p>
    <w:p>
      <w:pPr>
        <w:spacing w:after="120"/>
      </w:pPr>
      <w:r>
        <w:rPr>
          <w:b w:val="0"/>
          <w:i w:val="0"/>
          <w:sz w:val="22"/>
        </w:rPr>
        <w:t>Runbook operativo para el desarrollador o agencia que mantiene la plataforma. No es documentación de arquitectura exhaustiva — el detalle de endpoints y módulos está en el repositorio (README.md, AGENTS.md y la carpeta docs/).</w:t>
      </w:r>
    </w:p>
    <w:p>
      <w:pPr>
        <w:spacing w:after="200"/>
        <w:ind w:left="170"/>
        <w:shd w:val="clear" w:color="auto" w:fill="FFF3CD"/>
      </w:pPr>
      <w:r>
        <w:rPr>
          <w:b/>
        </w:rPr>
        <w:t xml:space="preserve">Antes de cualquier cambio: </w:t>
      </w:r>
      <w:r>
        <w:t>Ejecutar bun run lint &amp;&amp; bun run type-check. Los tests viven solo en packages/api (bun test ahí dentro); no hay task de test en Turborepo — si se toca pagos, auth o lógica de dinero, correr los tests manualmente.</w:t>
      </w:r>
    </w:p>
    <w:p>
      <w:pPr>
        <w:pStyle w:val="Heading2"/>
      </w:pPr>
      <w:r>
        <w:t>4.1 Arranque local</w:t>
      </w:r>
    </w:p>
    <w:p>
      <w:pPr>
        <w:spacing w:after="120"/>
      </w:pPr>
      <w:r>
        <w:rPr>
          <w:b w:val="0"/>
          <w:i w:val="0"/>
          <w:sz w:val="22"/>
        </w:rPr>
        <w:t>Requisitos: Bun &gt;= 1.3.8 y PostgreSQL &gt;= 14 corriendo.</w:t>
      </w:r>
    </w:p>
    <w:p>
      <w:pPr>
        <w:spacing w:after="200"/>
        <w:ind w:left="227"/>
        <w:shd w:val="clear" w:color="auto" w:fill="F2F2F2"/>
      </w:pPr>
      <w:r>
        <w:rPr>
          <w:rFonts w:ascii="Consolas" w:hAnsi="Consolas"/>
          <w:sz w:val="18"/>
        </w:rPr>
        <w:t>git clone &lt;url-del-repo&gt;</w:t>
      </w:r>
      <w:r>
        <w:rPr>
          <w:rFonts w:ascii="Consolas" w:hAnsi="Consolas"/>
          <w:sz w:val="18"/>
        </w:rPr>
        <w:br/>
        <w:t>cd joyerodigital-dev</w:t>
      </w:r>
      <w:r>
        <w:rPr>
          <w:rFonts w:ascii="Consolas" w:hAnsi="Consolas"/>
          <w:sz w:val="18"/>
        </w:rPr>
        <w:br/>
      </w:r>
      <w:r>
        <w:rPr>
          <w:rFonts w:ascii="Consolas" w:hAnsi="Consolas"/>
          <w:sz w:val="18"/>
        </w:rPr>
        <w:br/>
        <w:t>bun install</w:t>
      </w:r>
      <w:r>
        <w:rPr>
          <w:rFonts w:ascii="Consolas" w:hAnsi="Consolas"/>
          <w:sz w:val="18"/>
        </w:rPr>
        <w:br/>
      </w:r>
      <w:r>
        <w:rPr>
          <w:rFonts w:ascii="Consolas" w:hAnsi="Consolas"/>
          <w:sz w:val="18"/>
        </w:rPr>
        <w:br/>
        <w:t>cp .env.example .env.local</w:t>
      </w:r>
      <w:r>
        <w:rPr>
          <w:rFonts w:ascii="Consolas" w:hAnsi="Consolas"/>
          <w:sz w:val="18"/>
        </w:rPr>
        <w:br/>
        <w:t># Editar .env.local -- ver la lista completa en 4.3 Variables de entorno</w:t>
      </w:r>
      <w:r>
        <w:rPr>
          <w:rFonts w:ascii="Consolas" w:hAnsi="Consolas"/>
          <w:sz w:val="18"/>
        </w:rPr>
        <w:br/>
      </w:r>
      <w:r>
        <w:rPr>
          <w:rFonts w:ascii="Consolas" w:hAnsi="Consolas"/>
          <w:sz w:val="18"/>
        </w:rPr>
        <w:br/>
        <w:t>bun run db:push    # aplica el schema a la BD</w:t>
      </w:r>
      <w:r>
        <w:rPr>
          <w:rFonts w:ascii="Consolas" w:hAnsi="Consolas"/>
          <w:sz w:val="18"/>
        </w:rPr>
        <w:br/>
        <w:t>bun run db:seed    # datos iniciales (opcional)</w:t>
      </w:r>
      <w:r>
        <w:rPr>
          <w:rFonts w:ascii="Consolas" w:hAnsi="Consolas"/>
          <w:sz w:val="18"/>
        </w:rPr>
        <w:br/>
      </w:r>
      <w:r>
        <w:rPr>
          <w:rFonts w:ascii="Consolas" w:hAnsi="Consolas"/>
          <w:sz w:val="18"/>
        </w:rPr>
        <w:br/>
        <w:t>bun run dev        # web :3000 + api :3001 + Drizzle Studio</w:t>
      </w:r>
    </w:p>
    <w:p>
      <w:pPr>
        <w:spacing w:after="120"/>
      </w:pPr>
      <w:r>
        <w:rPr>
          <w:b w:val="0"/>
          <w:i w:val="0"/>
          <w:sz w:val="22"/>
        </w:rPr>
        <w:t>Servicios por separado: bun run dev:web / bun run dev:api.</w:t>
      </w:r>
    </w:p>
    <w:p>
      <w:pPr>
        <w:spacing w:after="120"/>
      </w:pPr>
      <w:r>
        <w:rPr>
          <w:b w:val="0"/>
          <w:i w:val="0"/>
          <w:sz w:val="22"/>
        </w:rPr>
        <w:t>Verificación: http://localhost:3000 abre el landing; http://localhost:3001/api/swagger muestra la API; login con un usuario del seed.</w:t>
      </w:r>
    </w:p>
    <w:p>
      <w:pPr>
        <w:pStyle w:val="ListBullet"/>
        <w:spacing w:after="60"/>
      </w:pPr>
      <w:r>
        <w:t>.env.example del repo está incompleto — la lista real de variables está en 4.3. Si una integración falla en local, primero revisar que la variable exista.</w:t>
      </w:r>
    </w:p>
    <w:p>
      <w:pPr>
        <w:pStyle w:val="ListBullet"/>
        <w:spacing w:after="60"/>
      </w:pPr>
      <w:r>
        <w:t>Tras modificar rutas Elysia, reiniciar el dev server para que Eden Treaty regenere los tipos del frontend.</w:t>
      </w:r>
    </w:p>
    <w:p>
      <w:pPr>
        <w:pStyle w:val="ListBullet"/>
        <w:spacing w:after="60"/>
      </w:pPr>
      <w:r>
        <w:t>PayPal sin PAYPAL_ENV arranca en sandbox a propósito (ver 4.5).</w:t>
      </w:r>
    </w:p>
    <w:p>
      <w:pPr>
        <w:pStyle w:val="Heading2"/>
      </w:pPr>
      <w:r>
        <w:t>4.2 Producción (Dokploy)</w:t>
      </w:r>
    </w:p>
    <w:p>
      <w:pPr>
        <w:spacing w:after="120"/>
      </w:pPr>
      <w:r>
        <w:rPr>
          <w:b w:val="0"/>
          <w:i w:val="0"/>
          <w:sz w:val="22"/>
        </w:rPr>
        <w:t>La plataforma corre en un VPS del cliente orquestado con Dokploy.</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B3A5C"/>
          </w:tcPr>
          <w:p>
            <w:r/>
            <w:r>
              <w:rPr>
                <w:b/>
                <w:color w:val="FFFFFF"/>
                <w:sz w:val="20"/>
              </w:rPr>
              <w:t>Dato</w:t>
            </w:r>
          </w:p>
        </w:tc>
        <w:tc>
          <w:tcPr>
            <w:tcW w:type="dxa" w:w="4703"/>
            <w:shd w:val="clear" w:color="auto" w:fill="1B3A5C"/>
          </w:tcPr>
          <w:p>
            <w:r/>
            <w:r>
              <w:rPr>
                <w:b/>
                <w:color w:val="FFFFFF"/>
                <w:sz w:val="20"/>
              </w:rPr>
              <w:t>Valor</w:t>
            </w:r>
          </w:p>
        </w:tc>
      </w:tr>
      <w:tr>
        <w:tc>
          <w:tcPr>
            <w:tcW w:type="dxa" w:w="4703"/>
          </w:tcPr>
          <w:p>
            <w:r/>
            <w:r>
              <w:rPr>
                <w:b/>
                <w:sz w:val="20"/>
              </w:rPr>
              <w:t>Panel Dokploy</w:t>
            </w:r>
          </w:p>
        </w:tc>
        <w:tc>
          <w:tcPr>
            <w:tcW w:type="dxa" w:w="4703"/>
          </w:tcPr>
          <w:p>
            <w:r/>
            <w:r>
              <w:rPr>
                <w:sz w:val="20"/>
              </w:rPr>
              <w:t>[COMPLETAR: URL del panel]</w:t>
            </w:r>
          </w:p>
        </w:tc>
      </w:tr>
      <w:tr>
        <w:tc>
          <w:tcPr>
            <w:tcW w:type="dxa" w:w="4703"/>
          </w:tcPr>
          <w:p>
            <w:r/>
            <w:r>
              <w:rPr>
                <w:b/>
                <w:sz w:val="20"/>
              </w:rPr>
              <w:t>VPS</w:t>
            </w:r>
          </w:p>
        </w:tc>
        <w:tc>
          <w:tcPr>
            <w:tcW w:type="dxa" w:w="4703"/>
          </w:tcPr>
          <w:p>
            <w:r/>
            <w:r>
              <w:rPr>
                <w:sz w:val="20"/>
              </w:rPr>
              <w:t>[COMPLETAR: proveedor, IP, acceso SSH]</w:t>
            </w:r>
          </w:p>
        </w:tc>
      </w:tr>
      <w:tr>
        <w:tc>
          <w:tcPr>
            <w:tcW w:type="dxa" w:w="4703"/>
          </w:tcPr>
          <w:p>
            <w:r/>
            <w:r>
              <w:rPr>
                <w:b/>
                <w:sz w:val="20"/>
              </w:rPr>
              <w:t>Dominio</w:t>
            </w:r>
          </w:p>
        </w:tc>
        <w:tc>
          <w:tcPr>
            <w:tcW w:type="dxa" w:w="4703"/>
          </w:tcPr>
          <w:p>
            <w:r/>
            <w:r>
              <w:rPr>
                <w:sz w:val="20"/>
              </w:rPr>
              <w:t>joyerodigital.com [COMPLETAR: confirmar subdominios]</w:t>
            </w:r>
          </w:p>
        </w:tc>
      </w:tr>
    </w:tbl>
    <w:p>
      <w:pPr>
        <w:spacing w:after="80"/>
      </w:pPr>
    </w:p>
    <w:p>
      <w:pPr>
        <w:spacing w:after="120"/>
      </w:pPr>
      <w:r>
        <w:rPr>
          <w:b w:val="0"/>
          <w:i w:val="0"/>
          <w:sz w:val="22"/>
        </w:rPr>
        <w:t>Arquitectura de despliegue: dos aplicaciones Docker, construidas con los Dockerfiles de la raíz del repo.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B3A5C"/>
          </w:tcPr>
          <w:p>
            <w:r/>
            <w:r>
              <w:rPr>
                <w:b/>
                <w:color w:val="FFFFFF"/>
                <w:sz w:val="20"/>
              </w:rPr>
              <w:t>App</w:t>
            </w:r>
          </w:p>
        </w:tc>
        <w:tc>
          <w:tcPr>
            <w:tcW w:type="dxa" w:w="3135"/>
            <w:shd w:val="clear" w:color="auto" w:fill="1B3A5C"/>
          </w:tcPr>
          <w:p>
            <w:r/>
            <w:r>
              <w:rPr>
                <w:b/>
                <w:color w:val="FFFFFF"/>
                <w:sz w:val="20"/>
              </w:rPr>
              <w:t>Dockerfile</w:t>
            </w:r>
          </w:p>
        </w:tc>
        <w:tc>
          <w:tcPr>
            <w:tcW w:type="dxa" w:w="3135"/>
            <w:shd w:val="clear" w:color="auto" w:fill="1B3A5C"/>
          </w:tcPr>
          <w:p>
            <w:r/>
            <w:r>
              <w:rPr>
                <w:b/>
                <w:color w:val="FFFFFF"/>
                <w:sz w:val="20"/>
              </w:rPr>
              <w:t>Puerto</w:t>
            </w:r>
          </w:p>
        </w:tc>
      </w:tr>
      <w:tr>
        <w:tc>
          <w:tcPr>
            <w:tcW w:type="dxa" w:w="3135"/>
          </w:tcPr>
          <w:p>
            <w:r/>
            <w:r>
              <w:rPr>
                <w:sz w:val="20"/>
              </w:rPr>
              <w:t>Frontend</w:t>
            </w:r>
          </w:p>
        </w:tc>
        <w:tc>
          <w:tcPr>
            <w:tcW w:type="dxa" w:w="3135"/>
          </w:tcPr>
          <w:p>
            <w:r/>
            <w:r>
              <w:rPr>
                <w:sz w:val="20"/>
              </w:rPr>
              <w:t>dockerfile.web</w:t>
            </w:r>
          </w:p>
        </w:tc>
        <w:tc>
          <w:tcPr>
            <w:tcW w:type="dxa" w:w="3135"/>
          </w:tcPr>
          <w:p>
            <w:r/>
            <w:r>
              <w:rPr>
                <w:sz w:val="20"/>
              </w:rPr>
              <w:t>3000</w:t>
            </w:r>
          </w:p>
        </w:tc>
      </w:tr>
      <w:tr>
        <w:tc>
          <w:tcPr>
            <w:tcW w:type="dxa" w:w="3135"/>
          </w:tcPr>
          <w:p>
            <w:r/>
            <w:r>
              <w:rPr>
                <w:sz w:val="20"/>
              </w:rPr>
              <w:t>Backend</w:t>
            </w:r>
          </w:p>
        </w:tc>
        <w:tc>
          <w:tcPr>
            <w:tcW w:type="dxa" w:w="3135"/>
          </w:tcPr>
          <w:p>
            <w:r/>
            <w:r>
              <w:rPr>
                <w:sz w:val="20"/>
              </w:rPr>
              <w:t>dockerfile.api</w:t>
            </w:r>
          </w:p>
        </w:tc>
        <w:tc>
          <w:tcPr>
            <w:tcW w:type="dxa" w:w="3135"/>
          </w:tcPr>
          <w:p>
            <w:r/>
            <w:r>
              <w:rPr>
                <w:sz w:val="20"/>
              </w:rPr>
              <w:t>3001</w:t>
            </w:r>
          </w:p>
        </w:tc>
      </w:tr>
    </w:tbl>
    <w:p>
      <w:pPr>
        <w:spacing w:after="80"/>
      </w:pPr>
    </w:p>
    <w:p>
      <w:pPr>
        <w:spacing w:after="120"/>
      </w:pPr>
      <w:r>
        <w:rPr>
          <w:b w:val="0"/>
          <w:i w:val="0"/>
          <w:sz w:val="22"/>
        </w:rPr>
        <w:t>Ambos son multi-stage sobre bun:1-alpine. El frontend usa output: 'standalone' de Next.js.</w:t>
      </w:r>
    </w:p>
    <w:p>
      <w:pPr>
        <w:spacing w:after="200"/>
        <w:ind w:left="170"/>
        <w:shd w:val="clear" w:color="auto" w:fill="FFF3CD"/>
      </w:pPr>
      <w:r>
        <w:rPr>
          <w:b/>
        </w:rPr>
        <w:t xml:space="preserve">Variables NEXT_PUBLIC_*: </w:t>
      </w:r>
      <w:r>
        <w:t>Next.js embebe las variables NEXT_PUBLIC_* en el bundle del cliente en tiempo de build. En Dokploy deben pasarse como build arguments, no solo como variables de entorno del contenedor. Cambiar una NEXT_PUBLIC_* exige rebuild del frontend.</w:t>
      </w:r>
    </w:p>
    <w:p>
      <w:pPr>
        <w:spacing w:after="120"/>
      </w:pPr>
      <w:r>
        <w:rPr>
          <w:b w:val="0"/>
          <w:i w:val="0"/>
          <w:sz w:val="22"/>
        </w:rPr>
        <w:t>Desplegar un cambio: hacer merge a la rama que Dokploy tenga conectada (verificar en el panel cuál es — normalmente main) → Dokploy detecta el push y rebuildea, o se dispara manualmente desde el panel → verificar que https://joyerodigital.com abre, login funciona, y un pago de prueba si el cambio toca pagos.</w:t>
      </w:r>
    </w:p>
    <w:p>
      <w:pPr>
        <w:spacing w:after="120"/>
      </w:pPr>
      <w:r>
        <w:rPr>
          <w:b w:val="0"/>
          <w:i w:val="0"/>
          <w:sz w:val="22"/>
        </w:rPr>
        <w:t>Los logs de cada app se ven desde el panel de Dokploy (sección de logs del servicio).</w:t>
      </w:r>
    </w:p>
    <w:p>
      <w:pPr>
        <w:pStyle w:val="Heading2"/>
      </w:pPr>
      <w:r>
        <w:t>4.3 Variables de entorno</w:t>
      </w:r>
    </w:p>
    <w:p>
      <w:pPr>
        <w:spacing w:after="120"/>
      </w:pPr>
      <w:r>
        <w:rPr>
          <w:b w:val="0"/>
          <w:i w:val="0"/>
          <w:sz w:val="22"/>
        </w:rPr>
        <w:t>Los valores no están en este manual — viven en el gestor de contraseñas (capítulo 1.1). Aquí está la lista completa de nombres y para qué sirve cada una.</w:t>
      </w:r>
    </w:p>
    <w:p>
      <w:pPr>
        <w:spacing w:after="200"/>
        <w:ind w:left="170"/>
        <w:shd w:val="clear" w:color="auto" w:fill="FFF3CD"/>
      </w:pPr>
      <w:r>
        <w:rPr>
          <w:b/>
        </w:rPr>
        <w:t xml:space="preserve">.env.example desactualizado: </w:t>
      </w:r>
      <w:r>
        <w:t>El .env.example del repo no incluye todas estas variables. Esta tabla es la fuente de verdad.</w:t>
      </w:r>
    </w:p>
    <w:p>
      <w:pPr>
        <w:spacing w:after="120"/>
      </w:pPr>
      <w:r>
        <w:rPr>
          <w:b/>
          <w:i w:val="0"/>
          <w:sz w:val="22"/>
        </w:rPr>
        <w:t>Núcleo</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B3A5C"/>
          </w:tcPr>
          <w:p>
            <w:r/>
            <w:r>
              <w:rPr>
                <w:b/>
                <w:color w:val="FFFFFF"/>
                <w:sz w:val="20"/>
              </w:rPr>
              <w:t>Variable</w:t>
            </w:r>
          </w:p>
        </w:tc>
        <w:tc>
          <w:tcPr>
            <w:tcW w:type="dxa" w:w="4703"/>
            <w:shd w:val="clear" w:color="auto" w:fill="1B3A5C"/>
          </w:tcPr>
          <w:p>
            <w:r/>
            <w:r>
              <w:rPr>
                <w:b/>
                <w:color w:val="FFFFFF"/>
                <w:sz w:val="20"/>
              </w:rPr>
              <w:t>Uso</w:t>
            </w:r>
          </w:p>
        </w:tc>
      </w:tr>
      <w:tr>
        <w:tc>
          <w:tcPr>
            <w:tcW w:type="dxa" w:w="4703"/>
          </w:tcPr>
          <w:p>
            <w:r/>
            <w:r>
              <w:rPr>
                <w:sz w:val="20"/>
              </w:rPr>
              <w:t>DATABASE_URL</w:t>
            </w:r>
          </w:p>
        </w:tc>
        <w:tc>
          <w:tcPr>
            <w:tcW w:type="dxa" w:w="4703"/>
          </w:tcPr>
          <w:p>
            <w:r/>
            <w:r>
              <w:rPr>
                <w:sz w:val="20"/>
              </w:rPr>
              <w:t>Conexión PostgreSQL</w:t>
            </w:r>
          </w:p>
        </w:tc>
      </w:tr>
      <w:tr>
        <w:tc>
          <w:tcPr>
            <w:tcW w:type="dxa" w:w="4703"/>
          </w:tcPr>
          <w:p>
            <w:r/>
            <w:r>
              <w:rPr>
                <w:sz w:val="20"/>
              </w:rPr>
              <w:t>DB_POOL_MAX</w:t>
            </w:r>
          </w:p>
        </w:tc>
        <w:tc>
          <w:tcPr>
            <w:tcW w:type="dxa" w:w="4703"/>
          </w:tcPr>
          <w:p>
            <w:r/>
            <w:r>
              <w:rPr>
                <w:sz w:val="20"/>
              </w:rPr>
              <w:t>Tamaño del pool (opcional, default 20)</w:t>
            </w:r>
          </w:p>
        </w:tc>
      </w:tr>
      <w:tr>
        <w:tc>
          <w:tcPr>
            <w:tcW w:type="dxa" w:w="4703"/>
          </w:tcPr>
          <w:p>
            <w:r/>
            <w:r>
              <w:rPr>
                <w:sz w:val="20"/>
              </w:rPr>
              <w:t>PORT</w:t>
            </w:r>
          </w:p>
        </w:tc>
        <w:tc>
          <w:tcPr>
            <w:tcW w:type="dxa" w:w="4703"/>
          </w:tcPr>
          <w:p>
            <w:r/>
            <w:r>
              <w:rPr>
                <w:sz w:val="20"/>
              </w:rPr>
              <w:t>Puerto del API (default 3001)</w:t>
            </w:r>
          </w:p>
        </w:tc>
      </w:tr>
      <w:tr>
        <w:tc>
          <w:tcPr>
            <w:tcW w:type="dxa" w:w="4703"/>
          </w:tcPr>
          <w:p>
            <w:r/>
            <w:r>
              <w:rPr>
                <w:sz w:val="20"/>
              </w:rPr>
              <w:t>NODE_ENV</w:t>
            </w:r>
          </w:p>
        </w:tc>
        <w:tc>
          <w:tcPr>
            <w:tcW w:type="dxa" w:w="4703"/>
          </w:tcPr>
          <w:p>
            <w:r/>
            <w:r>
              <w:rPr>
                <w:sz w:val="20"/>
              </w:rPr>
              <w:t>development / production</w:t>
            </w:r>
          </w:p>
        </w:tc>
      </w:tr>
      <w:tr>
        <w:tc>
          <w:tcPr>
            <w:tcW w:type="dxa" w:w="4703"/>
          </w:tcPr>
          <w:p>
            <w:r/>
            <w:r>
              <w:rPr>
                <w:sz w:val="20"/>
              </w:rPr>
              <w:t>AUTH_SECRET</w:t>
            </w:r>
          </w:p>
        </w:tc>
        <w:tc>
          <w:tcPr>
            <w:tcW w:type="dxa" w:w="4703"/>
          </w:tcPr>
          <w:p>
            <w:r/>
            <w:r>
              <w:rPr>
                <w:sz w:val="20"/>
              </w:rPr>
              <w:t>Secreto Better Auth (prioridad sobre BETTER_AUTH_SECRET)</w:t>
            </w:r>
          </w:p>
        </w:tc>
      </w:tr>
      <w:tr>
        <w:tc>
          <w:tcPr>
            <w:tcW w:type="dxa" w:w="4703"/>
          </w:tcPr>
          <w:p>
            <w:r/>
            <w:r>
              <w:rPr>
                <w:sz w:val="20"/>
              </w:rPr>
              <w:t>BETTER_AUTH_SECRET</w:t>
            </w:r>
          </w:p>
        </w:tc>
        <w:tc>
          <w:tcPr>
            <w:tcW w:type="dxa" w:w="4703"/>
          </w:tcPr>
          <w:p>
            <w:r/>
            <w:r>
              <w:rPr>
                <w:sz w:val="20"/>
              </w:rPr>
              <w:t>Secreto alternativo (mín. 32 caracteres)</w:t>
            </w:r>
          </w:p>
        </w:tc>
      </w:tr>
      <w:tr>
        <w:tc>
          <w:tcPr>
            <w:tcW w:type="dxa" w:w="4703"/>
          </w:tcPr>
          <w:p>
            <w:r/>
            <w:r>
              <w:rPr>
                <w:sz w:val="20"/>
              </w:rPr>
              <w:t>BETTER_AUTH_URL</w:t>
            </w:r>
          </w:p>
        </w:tc>
        <w:tc>
          <w:tcPr>
            <w:tcW w:type="dxa" w:w="4703"/>
          </w:tcPr>
          <w:p>
            <w:r/>
            <w:r>
              <w:rPr>
                <w:sz w:val="20"/>
              </w:rPr>
              <w:t>URL base del servidor de auth</w:t>
            </w:r>
          </w:p>
        </w:tc>
      </w:tr>
      <w:tr>
        <w:tc>
          <w:tcPr>
            <w:tcW w:type="dxa" w:w="4703"/>
          </w:tcPr>
          <w:p>
            <w:r/>
            <w:r>
              <w:rPr>
                <w:sz w:val="20"/>
              </w:rPr>
              <w:t>NEXT_PUBLIC_BACKEND_URL</w:t>
            </w:r>
          </w:p>
        </w:tc>
        <w:tc>
          <w:tcPr>
            <w:tcW w:type="dxa" w:w="4703"/>
          </w:tcPr>
          <w:p>
            <w:r/>
            <w:r>
              <w:rPr>
                <w:sz w:val="20"/>
              </w:rPr>
              <w:t>URL del API — la usan frontend, auth y el propio API</w:t>
            </w:r>
          </w:p>
        </w:tc>
      </w:tr>
      <w:tr>
        <w:tc>
          <w:tcPr>
            <w:tcW w:type="dxa" w:w="4703"/>
          </w:tcPr>
          <w:p>
            <w:r/>
            <w:r>
              <w:rPr>
                <w:sz w:val="20"/>
              </w:rPr>
              <w:t>NEXT_PUBLIC_FRONTEND_URL</w:t>
            </w:r>
          </w:p>
        </w:tc>
        <w:tc>
          <w:tcPr>
            <w:tcW w:type="dxa" w:w="4703"/>
          </w:tcPr>
          <w:p>
            <w:r/>
            <w:r>
              <w:rPr>
                <w:sz w:val="20"/>
              </w:rPr>
              <w:t>URL del frontend — CORS, redirects, correos</w:t>
            </w:r>
          </w:p>
        </w:tc>
      </w:tr>
      <w:tr>
        <w:tc>
          <w:tcPr>
            <w:tcW w:type="dxa" w:w="4703"/>
          </w:tcPr>
          <w:p>
            <w:r/>
            <w:r>
              <w:rPr>
                <w:sz w:val="20"/>
              </w:rPr>
              <w:t>NEXT_PUBLIC_API_URL</w:t>
            </w:r>
          </w:p>
        </w:tc>
        <w:tc>
          <w:tcPr>
            <w:tcW w:type="dxa" w:w="4703"/>
          </w:tcPr>
          <w:p>
            <w:r/>
            <w:r>
              <w:rPr>
                <w:sz w:val="20"/>
              </w:rPr>
              <w:t>Solo en .env.example; el código usa NEXT_PUBLIC_BACKEND_URL</w:t>
            </w:r>
          </w:p>
        </w:tc>
      </w:tr>
      <w:tr>
        <w:tc>
          <w:tcPr>
            <w:tcW w:type="dxa" w:w="4703"/>
          </w:tcPr>
          <w:p>
            <w:r/>
            <w:r>
              <w:rPr>
                <w:sz w:val="20"/>
              </w:rPr>
              <w:t>NEXT_PUBLIC_APP_URL</w:t>
            </w:r>
          </w:p>
        </w:tc>
        <w:tc>
          <w:tcPr>
            <w:tcW w:type="dxa" w:w="4703"/>
          </w:tcPr>
          <w:p>
            <w:r/>
            <w:r>
              <w:rPr>
                <w:sz w:val="20"/>
              </w:rPr>
              <w:t>Solo en .env.example</w:t>
            </w:r>
          </w:p>
        </w:tc>
      </w:tr>
    </w:tbl>
    <w:p>
      <w:pPr>
        <w:spacing w:after="80"/>
      </w:pPr>
    </w:p>
    <w:p>
      <w:pPr>
        <w:spacing w:after="120"/>
      </w:pPr>
      <w:r>
        <w:rPr>
          <w:b/>
          <w:i w:val="0"/>
          <w:sz w:val="22"/>
        </w:rPr>
        <w:t>Integraciones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B3A5C"/>
          </w:tcPr>
          <w:p>
            <w:r/>
            <w:r>
              <w:rPr>
                <w:b/>
                <w:color w:val="FFFFFF"/>
                <w:sz w:val="20"/>
              </w:rPr>
              <w:t>Variable</w:t>
            </w:r>
          </w:p>
        </w:tc>
        <w:tc>
          <w:tcPr>
            <w:tcW w:type="dxa" w:w="4703"/>
            <w:shd w:val="clear" w:color="auto" w:fill="1B3A5C"/>
          </w:tcPr>
          <w:p>
            <w:r/>
            <w:r>
              <w:rPr>
                <w:b/>
                <w:color w:val="FFFFFF"/>
                <w:sz w:val="20"/>
              </w:rPr>
              <w:t>Uso</w:t>
            </w:r>
          </w:p>
        </w:tc>
      </w:tr>
      <w:tr>
        <w:tc>
          <w:tcPr>
            <w:tcW w:type="dxa" w:w="4703"/>
          </w:tcPr>
          <w:p>
            <w:r/>
            <w:r>
              <w:rPr>
                <w:sz w:val="20"/>
              </w:rPr>
              <w:t>GOOGLE_CLIENT_ID / GOOGLE_CLIENT_SECRET</w:t>
            </w:r>
          </w:p>
        </w:tc>
        <w:tc>
          <w:tcPr>
            <w:tcW w:type="dxa" w:w="4703"/>
          </w:tcPr>
          <w:p>
            <w:r/>
            <w:r>
              <w:rPr>
                <w:sz w:val="20"/>
              </w:rPr>
              <w:t>Login con Google</w:t>
            </w:r>
          </w:p>
        </w:tc>
      </w:tr>
      <w:tr>
        <w:tc>
          <w:tcPr>
            <w:tcW w:type="dxa" w:w="4703"/>
          </w:tcPr>
          <w:p>
            <w:r/>
            <w:r>
              <w:rPr>
                <w:sz w:val="20"/>
              </w:rPr>
              <w:t>DROPBOX_APP_KEY / DROPBOX_APP_SECRET</w:t>
            </w:r>
          </w:p>
        </w:tc>
        <w:tc>
          <w:tcPr>
            <w:tcW w:type="dxa" w:w="4703"/>
          </w:tcPr>
          <w:p>
            <w:r/>
            <w:r>
              <w:rPr>
                <w:sz w:val="20"/>
              </w:rPr>
              <w:t>API de Dropbox (descargas STL)</w:t>
            </w:r>
          </w:p>
        </w:tc>
      </w:tr>
      <w:tr>
        <w:tc>
          <w:tcPr>
            <w:tcW w:type="dxa" w:w="4703"/>
          </w:tcPr>
          <w:p>
            <w:r/>
            <w:r>
              <w:rPr>
                <w:sz w:val="20"/>
              </w:rPr>
              <w:t>DROPBOX_REFRESH_TOKEN</w:t>
            </w:r>
          </w:p>
        </w:tc>
        <w:tc>
          <w:tcPr>
            <w:tcW w:type="dxa" w:w="4703"/>
          </w:tcPr>
          <w:p>
            <w:r/>
            <w:r>
              <w:rPr>
                <w:sz w:val="20"/>
              </w:rPr>
              <w:t>Renovación de token de Dropbox (opcional)</w:t>
            </w:r>
          </w:p>
        </w:tc>
      </w:tr>
      <w:tr>
        <w:tc>
          <w:tcPr>
            <w:tcW w:type="dxa" w:w="4703"/>
          </w:tcPr>
          <w:p>
            <w:r/>
            <w:r>
              <w:rPr>
                <w:sz w:val="20"/>
              </w:rPr>
              <w:t>NEXT_PUBLIC_DROPBOX_APP_KEY</w:t>
            </w:r>
          </w:p>
        </w:tc>
        <w:tc>
          <w:tcPr>
            <w:tcW w:type="dxa" w:w="4703"/>
          </w:tcPr>
          <w:p>
            <w:r/>
            <w:r>
              <w:rPr>
                <w:sz w:val="20"/>
              </w:rPr>
              <w:t>Chooser de Dropbox en el admin</w:t>
            </w:r>
          </w:p>
        </w:tc>
      </w:tr>
      <w:tr>
        <w:tc>
          <w:tcPr>
            <w:tcW w:type="dxa" w:w="4703"/>
          </w:tcPr>
          <w:p>
            <w:r/>
            <w:r>
              <w:rPr>
                <w:sz w:val="20"/>
              </w:rPr>
              <w:t>R2_ACCOUNT_ID</w:t>
            </w:r>
          </w:p>
        </w:tc>
        <w:tc>
          <w:tcPr>
            <w:tcW w:type="dxa" w:w="4703"/>
          </w:tcPr>
          <w:p>
            <w:r/>
            <w:r>
              <w:rPr>
                <w:sz w:val="20"/>
              </w:rPr>
              <w:t>Endpoint de Cloudflare R2</w:t>
            </w:r>
          </w:p>
        </w:tc>
      </w:tr>
      <w:tr>
        <w:tc>
          <w:tcPr>
            <w:tcW w:type="dxa" w:w="4703"/>
          </w:tcPr>
          <w:p>
            <w:r/>
            <w:r>
              <w:rPr>
                <w:sz w:val="20"/>
              </w:rPr>
              <w:t>R2_ACCESS_KEY_ID / R2_SECRET_ACCESS_KEY</w:t>
            </w:r>
          </w:p>
        </w:tc>
        <w:tc>
          <w:tcPr>
            <w:tcW w:type="dxa" w:w="4703"/>
          </w:tcPr>
          <w:p>
            <w:r/>
            <w:r>
              <w:rPr>
                <w:sz w:val="20"/>
              </w:rPr>
              <w:t>Credenciales S3 de R2</w:t>
            </w:r>
          </w:p>
        </w:tc>
      </w:tr>
      <w:tr>
        <w:tc>
          <w:tcPr>
            <w:tcW w:type="dxa" w:w="4703"/>
          </w:tcPr>
          <w:p>
            <w:r/>
            <w:r>
              <w:rPr>
                <w:sz w:val="20"/>
              </w:rPr>
              <w:t>R2_BUCKET</w:t>
            </w:r>
          </w:p>
        </w:tc>
        <w:tc>
          <w:tcPr>
            <w:tcW w:type="dxa" w:w="4703"/>
          </w:tcPr>
          <w:p>
            <w:r/>
            <w:r>
              <w:rPr>
                <w:sz w:val="20"/>
              </w:rPr>
              <w:t>Bucket de imágenes</w:t>
            </w:r>
          </w:p>
        </w:tc>
      </w:tr>
      <w:tr>
        <w:tc>
          <w:tcPr>
            <w:tcW w:type="dxa" w:w="4703"/>
          </w:tcPr>
          <w:p>
            <w:r/>
            <w:r>
              <w:rPr>
                <w:sz w:val="20"/>
              </w:rPr>
              <w:t>R2_PUBLIC_URL</w:t>
            </w:r>
          </w:p>
        </w:tc>
        <w:tc>
          <w:tcPr>
            <w:tcW w:type="dxa" w:w="4703"/>
          </w:tcPr>
          <w:p>
            <w:r/>
            <w:r>
              <w:rPr>
                <w:sz w:val="20"/>
              </w:rPr>
              <w:t>Dominio público del bucket</w:t>
            </w:r>
          </w:p>
        </w:tc>
      </w:tr>
      <w:tr>
        <w:tc>
          <w:tcPr>
            <w:tcW w:type="dxa" w:w="4703"/>
          </w:tcPr>
          <w:p>
            <w:r/>
            <w:r>
              <w:rPr>
                <w:sz w:val="20"/>
              </w:rPr>
              <w:t>BOLD_API_KEY</w:t>
            </w:r>
          </w:p>
        </w:tc>
        <w:tc>
          <w:tcPr>
            <w:tcW w:type="dxa" w:w="4703"/>
          </w:tcPr>
          <w:p>
            <w:r/>
            <w:r>
              <w:rPr>
                <w:sz w:val="20"/>
              </w:rPr>
              <w:t>API de Bold</w:t>
            </w:r>
          </w:p>
        </w:tc>
      </w:tr>
      <w:tr>
        <w:tc>
          <w:tcPr>
            <w:tcW w:type="dxa" w:w="4703"/>
          </w:tcPr>
          <w:p>
            <w:r/>
            <w:r>
              <w:rPr>
                <w:sz w:val="20"/>
              </w:rPr>
              <w:t>BOLD_SECRET_KEY</w:t>
            </w:r>
          </w:p>
        </w:tc>
        <w:tc>
          <w:tcPr>
            <w:tcW w:type="dxa" w:w="4703"/>
          </w:tcPr>
          <w:p>
            <w:r/>
            <w:r>
              <w:rPr>
                <w:sz w:val="20"/>
              </w:rPr>
              <w:t>Verificación de firma de webhooks Bold</w:t>
            </w:r>
          </w:p>
        </w:tc>
      </w:tr>
      <w:tr>
        <w:tc>
          <w:tcPr>
            <w:tcW w:type="dxa" w:w="4703"/>
          </w:tcPr>
          <w:p>
            <w:r/>
            <w:r>
              <w:rPr>
                <w:sz w:val="20"/>
              </w:rPr>
              <w:t>BOLD_API_URL</w:t>
            </w:r>
          </w:p>
        </w:tc>
        <w:tc>
          <w:tcPr>
            <w:tcW w:type="dxa" w:w="4703"/>
          </w:tcPr>
          <w:p>
            <w:r/>
            <w:r>
              <w:rPr>
                <w:sz w:val="20"/>
              </w:rPr>
              <w:t>Default https://integrations.api.bold.co</w:t>
            </w:r>
          </w:p>
        </w:tc>
      </w:tr>
      <w:tr>
        <w:tc>
          <w:tcPr>
            <w:tcW w:type="dxa" w:w="4703"/>
          </w:tcPr>
          <w:p>
            <w:r/>
            <w:r>
              <w:rPr>
                <w:sz w:val="20"/>
              </w:rPr>
              <w:t>PAYPAL_CLIENT_ID / PAYPAL_CLIENT_SECRET</w:t>
            </w:r>
          </w:p>
        </w:tc>
        <w:tc>
          <w:tcPr>
            <w:tcW w:type="dxa" w:w="4703"/>
          </w:tcPr>
          <w:p>
            <w:r/>
            <w:r>
              <w:rPr>
                <w:sz w:val="20"/>
              </w:rPr>
              <w:t>API de PayPal</w:t>
            </w:r>
          </w:p>
        </w:tc>
      </w:tr>
      <w:tr>
        <w:tc>
          <w:tcPr>
            <w:tcW w:type="dxa" w:w="4703"/>
          </w:tcPr>
          <w:p>
            <w:r/>
            <w:r>
              <w:rPr>
                <w:sz w:val="20"/>
              </w:rPr>
              <w:t>PAYPAL_ENV</w:t>
            </w:r>
          </w:p>
        </w:tc>
        <w:tc>
          <w:tcPr>
            <w:tcW w:type="dxa" w:w="4703"/>
          </w:tcPr>
          <w:p>
            <w:r/>
            <w:r>
              <w:rPr>
                <w:sz w:val="20"/>
              </w:rPr>
              <w:t>production o sandbox (sin ella: sandbox, a propósito)</w:t>
            </w:r>
          </w:p>
        </w:tc>
      </w:tr>
      <w:tr>
        <w:tc>
          <w:tcPr>
            <w:tcW w:type="dxa" w:w="4703"/>
          </w:tcPr>
          <w:p>
            <w:r/>
            <w:r>
              <w:rPr>
                <w:sz w:val="20"/>
              </w:rPr>
              <w:t>PAYPAL_WEBHOOK_ID</w:t>
            </w:r>
          </w:p>
        </w:tc>
        <w:tc>
          <w:tcPr>
            <w:tcW w:type="dxa" w:w="4703"/>
          </w:tcPr>
          <w:p>
            <w:r/>
            <w:r>
              <w:rPr>
                <w:sz w:val="20"/>
              </w:rPr>
              <w:t>Verificación de webhooks PayPal (obligatoria en producción)</w:t>
            </w:r>
          </w:p>
        </w:tc>
      </w:tr>
      <w:tr>
        <w:tc>
          <w:tcPr>
            <w:tcW w:type="dxa" w:w="4703"/>
          </w:tcPr>
          <w:p>
            <w:r/>
            <w:r>
              <w:rPr>
                <w:sz w:val="20"/>
              </w:rPr>
              <w:t>SMTP_HOST / SMTP_PORT / SMTP_SECURE</w:t>
            </w:r>
          </w:p>
        </w:tc>
        <w:tc>
          <w:tcPr>
            <w:tcW w:type="dxa" w:w="4703"/>
          </w:tcPr>
          <w:p>
            <w:r/>
            <w:r>
              <w:rPr>
                <w:sz w:val="20"/>
              </w:rPr>
              <w:t>Servidor de correo</w:t>
            </w:r>
          </w:p>
        </w:tc>
      </w:tr>
      <w:tr>
        <w:tc>
          <w:tcPr>
            <w:tcW w:type="dxa" w:w="4703"/>
          </w:tcPr>
          <w:p>
            <w:r/>
            <w:r>
              <w:rPr>
                <w:sz w:val="20"/>
              </w:rPr>
              <w:t>SMTP_USER / SMTP_PASS / SMTP_FROM</w:t>
            </w:r>
          </w:p>
        </w:tc>
        <w:tc>
          <w:tcPr>
            <w:tcW w:type="dxa" w:w="4703"/>
          </w:tcPr>
          <w:p>
            <w:r/>
            <w:r>
              <w:rPr>
                <w:sz w:val="20"/>
              </w:rPr>
              <w:t>Cuenta y remitente</w:t>
            </w:r>
          </w:p>
        </w:tc>
      </w:tr>
      <w:tr>
        <w:tc>
          <w:tcPr>
            <w:tcW w:type="dxa" w:w="4703"/>
          </w:tcPr>
          <w:p>
            <w:r/>
            <w:r>
              <w:rPr>
                <w:sz w:val="20"/>
              </w:rPr>
              <w:t>ADMIN_NOTIFICATION_EMAIL</w:t>
            </w:r>
          </w:p>
        </w:tc>
        <w:tc>
          <w:tcPr>
            <w:tcW w:type="dxa" w:w="4703"/>
          </w:tcPr>
          <w:p>
            <w:r/>
            <w:r>
              <w:rPr>
                <w:sz w:val="20"/>
              </w:rPr>
              <w:t>Recibe cotizaciones y avisos de venta</w:t>
            </w:r>
          </w:p>
        </w:tc>
      </w:tr>
      <w:tr>
        <w:tc>
          <w:tcPr>
            <w:tcW w:type="dxa" w:w="4703"/>
          </w:tcPr>
          <w:p>
            <w:r/>
            <w:r>
              <w:rPr>
                <w:sz w:val="20"/>
              </w:rPr>
              <w:t>YOUTUBE_API_KEY / YOUTUBE_CHANNEL_ID</w:t>
            </w:r>
          </w:p>
        </w:tc>
        <w:tc>
          <w:tcPr>
            <w:tcW w:type="dxa" w:w="4703"/>
          </w:tcPr>
          <w:p>
            <w:r/>
            <w:r>
              <w:rPr>
                <w:sz w:val="20"/>
              </w:rPr>
              <w:t>Videos del canal en el landing</w:t>
            </w:r>
          </w:p>
        </w:tc>
      </w:tr>
      <w:tr>
        <w:tc>
          <w:tcPr>
            <w:tcW w:type="dxa" w:w="4703"/>
          </w:tcPr>
          <w:p>
            <w:r/>
            <w:r>
              <w:rPr>
                <w:sz w:val="20"/>
              </w:rPr>
              <w:t>NEXT_PUBLIC_LOOKER_STUDIO_URL_1 / _2</w:t>
            </w:r>
          </w:p>
        </w:tc>
        <w:tc>
          <w:tcPr>
            <w:tcW w:type="dxa" w:w="4703"/>
          </w:tcPr>
          <w:p>
            <w:r/>
            <w:r>
              <w:rPr>
                <w:sz w:val="20"/>
              </w:rPr>
              <w:t>Reportes embebidos en /admin/marketing</w:t>
            </w:r>
          </w:p>
        </w:tc>
      </w:tr>
      <w:tr>
        <w:tc>
          <w:tcPr>
            <w:tcW w:type="dxa" w:w="4703"/>
          </w:tcPr>
          <w:p>
            <w:r/>
            <w:r>
              <w:rPr>
                <w:sz w:val="20"/>
              </w:rPr>
              <w:t>NEXT_PUBLIC_WHATSAPP_NUMBER</w:t>
            </w:r>
          </w:p>
        </w:tc>
        <w:tc>
          <w:tcPr>
            <w:tcW w:type="dxa" w:w="4703"/>
          </w:tcPr>
          <w:p>
            <w:r/>
            <w:r>
              <w:rPr>
                <w:sz w:val="20"/>
              </w:rPr>
              <w:t>Botón de WhatsApp del cotizador</w:t>
            </w:r>
          </w:p>
        </w:tc>
      </w:tr>
    </w:tbl>
    <w:p>
      <w:pPr>
        <w:spacing w:after="80"/>
      </w:pPr>
    </w:p>
    <w:p>
      <w:pPr>
        <w:pStyle w:val="ListBullet"/>
        <w:spacing w:after="60"/>
      </w:pPr>
      <w:r>
        <w:t>Las NEXT_PUBLIC_* se embeben en el build del frontend — cambiarlas exige rebuild (ver 4.2).</w:t>
      </w:r>
    </w:p>
    <w:p>
      <w:pPr>
        <w:pStyle w:val="ListBullet"/>
        <w:spacing w:after="60"/>
      </w:pPr>
      <w:r>
        <w:t>AUTH_SECRET y BETTER_AUTH_SECRET deben tener el mismo valor en todos los procesos (web y api firman/verifican la misma sesión).</w:t>
      </w:r>
    </w:p>
    <w:p>
      <w:pPr>
        <w:pStyle w:val="Heading2"/>
      </w:pPr>
      <w:r>
        <w:t>4.4 Base de datos y backups</w:t>
      </w:r>
    </w:p>
    <w:p>
      <w:pPr>
        <w:spacing w:after="120"/>
      </w:pPr>
      <w:r>
        <w:rPr>
          <w:b w:val="0"/>
          <w:i w:val="0"/>
          <w:sz w:val="22"/>
        </w:rPr>
        <w:t>El diagrama entidad-relación completo está en el capítulo 2.5. Motor: PostgreSQL &gt;= 14.</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B3A5C"/>
          </w:tcPr>
          <w:p>
            <w:r/>
            <w:r>
              <w:rPr>
                <w:b/>
                <w:color w:val="FFFFFF"/>
                <w:sz w:val="20"/>
              </w:rPr>
              <w:t>Dato</w:t>
            </w:r>
          </w:p>
        </w:tc>
        <w:tc>
          <w:tcPr>
            <w:tcW w:type="dxa" w:w="4703"/>
            <w:shd w:val="clear" w:color="auto" w:fill="1B3A5C"/>
          </w:tcPr>
          <w:p>
            <w:r/>
            <w:r>
              <w:rPr>
                <w:b/>
                <w:color w:val="FFFFFF"/>
                <w:sz w:val="20"/>
              </w:rPr>
              <w:t>Valor</w:t>
            </w:r>
          </w:p>
        </w:tc>
      </w:tr>
      <w:tr>
        <w:tc>
          <w:tcPr>
            <w:tcW w:type="dxa" w:w="4703"/>
          </w:tcPr>
          <w:p>
            <w:r/>
            <w:r>
              <w:rPr>
                <w:b/>
                <w:sz w:val="20"/>
              </w:rPr>
              <w:t>Ubicación en producción</w:t>
            </w:r>
          </w:p>
        </w:tc>
        <w:tc>
          <w:tcPr>
            <w:tcW w:type="dxa" w:w="4703"/>
          </w:tcPr>
          <w:p>
            <w:r/>
            <w:r>
              <w:rPr>
                <w:sz w:val="20"/>
              </w:rPr>
              <w:t>[COMPLETAR: contenedor Dokploy / servicio externo, volumen]</w:t>
            </w:r>
          </w:p>
        </w:tc>
      </w:tr>
      <w:tr>
        <w:tc>
          <w:tcPr>
            <w:tcW w:type="dxa" w:w="4703"/>
          </w:tcPr>
          <w:p>
            <w:r/>
            <w:r>
              <w:rPr>
                <w:b/>
                <w:sz w:val="20"/>
              </w:rPr>
              <w:t>Conexión</w:t>
            </w:r>
          </w:p>
        </w:tc>
        <w:tc>
          <w:tcPr>
            <w:tcW w:type="dxa" w:w="4703"/>
          </w:tcPr>
          <w:p>
            <w:r/>
            <w:r>
              <w:rPr>
                <w:sz w:val="20"/>
              </w:rPr>
              <w:t>Variable DATABASE_URL (ver 4.3)</w:t>
            </w:r>
          </w:p>
        </w:tc>
      </w:tr>
    </w:tbl>
    <w:p>
      <w:pPr>
        <w:spacing w:after="80"/>
      </w:pPr>
    </w:p>
    <w:p>
      <w:pPr>
        <w:spacing w:after="120"/>
      </w:pPr>
      <w:r>
        <w:rPr>
          <w:b w:val="0"/>
          <w:i w:val="0"/>
          <w:sz w:val="22"/>
        </w:rPr>
        <w:t>Migraciones (Drizzle): el schema es la fuente de verdad. Nunca editar los .sql generados a mano.</w:t>
      </w:r>
    </w:p>
    <w:p>
      <w:pPr>
        <w:spacing w:after="200"/>
        <w:ind w:left="227"/>
        <w:shd w:val="clear" w:color="auto" w:fill="F2F2F2"/>
      </w:pPr>
      <w:r>
        <w:rPr>
          <w:rFonts w:ascii="Consolas" w:hAnsi="Consolas"/>
          <w:sz w:val="18"/>
        </w:rPr>
        <w:t># 1. Editar el schema del dominio en packages/database/src/&lt;dominio&gt;/schema.ts</w:t>
      </w:r>
      <w:r>
        <w:rPr>
          <w:rFonts w:ascii="Consolas" w:hAnsi="Consolas"/>
          <w:sz w:val="18"/>
        </w:rPr>
        <w:br/>
        <w:t># 2. Generar la migracion</w:t>
      </w:r>
      <w:r>
        <w:rPr>
          <w:rFonts w:ascii="Consolas" w:hAnsi="Consolas"/>
          <w:sz w:val="18"/>
        </w:rPr>
        <w:br/>
        <w:t>bun run db:generate</w:t>
      </w:r>
      <w:r>
        <w:rPr>
          <w:rFonts w:ascii="Consolas" w:hAnsi="Consolas"/>
          <w:sz w:val="18"/>
        </w:rPr>
        <w:br/>
        <w:t># 3. Aplicar</w:t>
      </w:r>
      <w:r>
        <w:rPr>
          <w:rFonts w:ascii="Consolas" w:hAnsi="Consolas"/>
          <w:sz w:val="18"/>
        </w:rPr>
        <w:br/>
        <w:t>bun run db:push        # desarrollo</w:t>
      </w:r>
      <w:r>
        <w:rPr>
          <w:rFonts w:ascii="Consolas" w:hAnsi="Consolas"/>
          <w:sz w:val="18"/>
        </w:rPr>
        <w:br/>
        <w:t>bun run db:migrate     # migraciones formales</w:t>
      </w:r>
    </w:p>
    <w:p>
      <w:pPr>
        <w:spacing w:after="120"/>
      </w:pPr>
      <w:r>
        <w:rPr>
          <w:b w:val="0"/>
          <w:i w:val="0"/>
          <w:sz w:val="22"/>
        </w:rPr>
        <w:t>bun run db:studio abre Drizzle Studio para inspeccionar datos.</w:t>
      </w:r>
    </w:p>
    <w:p>
      <w:pPr>
        <w:spacing w:after="120"/>
      </w:pPr>
      <w:r>
        <w:rPr>
          <w:b w:val="0"/>
          <w:i w:val="0"/>
          <w:sz w:val="22"/>
        </w:rPr>
        <w:t>Backups — política real: [COMPLETAR: frecuencia, retención, dónde se guardan].</w:t>
      </w:r>
    </w:p>
    <w:p>
      <w:pPr>
        <w:spacing w:after="200"/>
        <w:ind w:left="227"/>
        <w:shd w:val="clear" w:color="auto" w:fill="F2F2F2"/>
      </w:pPr>
      <w:r>
        <w:rPr>
          <w:rFonts w:ascii="Consolas" w:hAnsi="Consolas"/>
          <w:sz w:val="18"/>
        </w:rPr>
        <w:t># Backup manual</w:t>
      </w:r>
      <w:r>
        <w:rPr>
          <w:rFonts w:ascii="Consolas" w:hAnsi="Consolas"/>
          <w:sz w:val="18"/>
        </w:rPr>
        <w:br/>
        <w:t>pg_dump "$DATABASE_URL" &gt; backup-$(date +%Y%m%d-%H%M).sql</w:t>
      </w:r>
      <w:r>
        <w:rPr>
          <w:rFonts w:ascii="Consolas" w:hAnsi="Consolas"/>
          <w:sz w:val="18"/>
        </w:rPr>
        <w:br/>
      </w:r>
      <w:r>
        <w:rPr>
          <w:rFonts w:ascii="Consolas" w:hAnsi="Consolas"/>
          <w:sz w:val="18"/>
        </w:rPr>
        <w:br/>
        <w:t># Restaurar</w:t>
      </w:r>
      <w:r>
        <w:rPr>
          <w:rFonts w:ascii="Consolas" w:hAnsi="Consolas"/>
          <w:sz w:val="18"/>
        </w:rPr>
        <w:br/>
        <w:t>psql "$DATABASE_URL" &lt; backup-YYYYMMDD-HHMM.sql</w:t>
      </w:r>
    </w:p>
    <w:p>
      <w:pPr>
        <w:spacing w:after="200"/>
        <w:ind w:left="170"/>
        <w:shd w:val="clear" w:color="auto" w:fill="FFF3CD"/>
      </w:pPr>
      <w:r>
        <w:rPr>
          <w:b/>
        </w:rPr>
        <w:t xml:space="preserve">Obligatorio antes de la entrega: </w:t>
      </w:r>
      <w:r>
        <w:t>Documentar la política real de backups y probar una restauración al menos una vez. Un backup que nunca se restauró no es un backup.</w:t>
      </w:r>
    </w:p>
    <w:p>
      <w:pPr>
        <w:pStyle w:val="Heading2"/>
      </w:pPr>
      <w:r>
        <w:t>4.5 Pagos (Bold y PayPal)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B3A5C"/>
          </w:tcPr>
          <w:p>
            <w:r/>
            <w:r>
              <w:rPr>
                <w:b/>
                <w:color w:val="FFFFFF"/>
                <w:sz w:val="20"/>
              </w:rPr>
              <w:t>Pasarela</w:t>
            </w:r>
          </w:p>
        </w:tc>
        <w:tc>
          <w:tcPr>
            <w:tcW w:type="dxa" w:w="3135"/>
            <w:shd w:val="clear" w:color="auto" w:fill="1B3A5C"/>
          </w:tcPr>
          <w:p>
            <w:r/>
            <w:r>
              <w:rPr>
                <w:b/>
                <w:color w:val="FFFFFF"/>
                <w:sz w:val="20"/>
              </w:rPr>
              <w:t>Monedas</w:t>
            </w:r>
          </w:p>
        </w:tc>
        <w:tc>
          <w:tcPr>
            <w:tcW w:type="dxa" w:w="3135"/>
            <w:shd w:val="clear" w:color="auto" w:fill="1B3A5C"/>
          </w:tcPr>
          <w:p>
            <w:r/>
            <w:r>
              <w:rPr>
                <w:b/>
                <w:color w:val="FFFFFF"/>
                <w:sz w:val="20"/>
              </w:rPr>
              <w:t>Nota</w:t>
            </w:r>
          </w:p>
        </w:tc>
      </w:tr>
      <w:tr>
        <w:tc>
          <w:tcPr>
            <w:tcW w:type="dxa" w:w="3135"/>
          </w:tcPr>
          <w:p>
            <w:r/>
            <w:r>
              <w:rPr>
                <w:sz w:val="20"/>
              </w:rPr>
              <w:t>Bold</w:t>
            </w:r>
          </w:p>
        </w:tc>
        <w:tc>
          <w:tcPr>
            <w:tcW w:type="dxa" w:w="3135"/>
          </w:tcPr>
          <w:p>
            <w:r/>
            <w:r>
              <w:rPr>
                <w:sz w:val="20"/>
              </w:rPr>
              <w:t>COP y USD</w:t>
            </w:r>
          </w:p>
        </w:tc>
        <w:tc>
          <w:tcPr>
            <w:tcW w:type="dxa" w:w="3135"/>
          </w:tcPr>
          <w:p>
            <w:r/>
            <w:r>
              <w:rPr>
                <w:sz w:val="20"/>
              </w:rPr>
              <w:t>Siempre disponible</w:t>
            </w:r>
          </w:p>
        </w:tc>
      </w:tr>
      <w:tr>
        <w:tc>
          <w:tcPr>
            <w:tcW w:type="dxa" w:w="3135"/>
          </w:tcPr>
          <w:p>
            <w:r/>
            <w:r>
              <w:rPr>
                <w:sz w:val="20"/>
              </w:rPr>
              <w:t>PayPal</w:t>
            </w:r>
          </w:p>
        </w:tc>
        <w:tc>
          <w:tcPr>
            <w:tcW w:type="dxa" w:w="3135"/>
          </w:tcPr>
          <w:p>
            <w:r/>
            <w:r>
              <w:rPr>
                <w:sz w:val="20"/>
              </w:rPr>
              <w:t>Solo USD</w:t>
            </w:r>
          </w:p>
        </w:tc>
        <w:tc>
          <w:tcPr>
            <w:tcW w:type="dxa" w:w="3135"/>
          </w:tcPr>
          <w:p>
            <w:r/>
            <w:r>
              <w:rPr>
                <w:sz w:val="20"/>
              </w:rPr>
              <w:t>COP no soportado en la Orders API v2; el botón de PayPal se oculta para planes en COP</w:t>
            </w:r>
          </w:p>
        </w:tc>
      </w:tr>
    </w:tbl>
    <w:p>
      <w:pPr>
        <w:spacing w:after="80"/>
      </w:pPr>
    </w:p>
    <w:p>
      <w:pPr>
        <w:spacing w:after="120"/>
      </w:pPr>
      <w:r>
        <w:rPr>
          <w:b w:val="0"/>
          <w:i w:val="0"/>
          <w:sz w:val="22"/>
        </w:rPr>
        <w:t>Esta regla está protegida en el backend (assertProviderCurrencySupport): un checkout de PayPal sobre un plan en COP responde 422.</w:t>
      </w:r>
    </w:p>
    <w:p>
      <w:pPr>
        <w:spacing w:after="120"/>
      </w:pPr>
      <w:r>
        <w:rPr>
          <w:b w:val="0"/>
          <w:i w:val="0"/>
          <w:sz w:val="22"/>
        </w:rPr>
        <w:t>Entornos de PayPal: PAYPAL_ENV=production mueve dinero real. Sin PAYPAL_ENV arranca en sandbox a propósito — un entorno mal configurado no debe cobrar de verdad. En producción, PAYPAL_WEBHOOK_ID es obligatoria para verificar firmas de webhook.</w:t>
      </w:r>
    </w:p>
    <w:p>
      <w:pPr>
        <w:spacing w:after="120"/>
      </w:pPr>
      <w:r>
        <w:rPr>
          <w:b w:val="0"/>
          <w:i w:val="0"/>
          <w:sz w:val="22"/>
        </w:rPr>
        <w:t>Webhooks: Bold verifica firma con BOLD_SECRET_KEY; PayPal verifica contra su API con PAYPAL_WEBHOOK_ID.</w:t>
      </w:r>
    </w:p>
    <w:p>
      <w:pPr>
        <w:spacing w:after="120"/>
      </w:pPr>
      <w:r>
        <w:rPr>
          <w:i/>
          <w:color w:val="B03A2E"/>
          <w:highlight w:val="yellow"/>
        </w:rPr>
        <w:t>[COMPLETAR: URLs exactas de webhook registradas en los paneles de Bold y PayPal]</w:t>
      </w:r>
    </w:p>
    <w:p>
      <w:pPr>
        <w:spacing w:after="120"/>
      </w:pPr>
      <w:r>
        <w:rPr>
          <w:b w:val="0"/>
          <w:i w:val="0"/>
          <w:sz w:val="22"/>
        </w:rPr>
        <w:t>Reconciliación de pagos de cursos: si un pago quedó en limbo (webhook falló, red del cliente, etc.), usar el botón «Consultar Bold» en la inscripción (GET /admin/payments/:id/query-bold), que pregunta a Bold y, si responde APPROVED, actualiza automáticamente. Para PayPal no existe botón equivalente — reconciliar contra el dashboard de PayPal y la base de datos. La corrección manual de estados es un pendiente conocido (capítulo 6).</w:t>
      </w:r>
    </w:p>
    <w:p>
      <w:pPr>
        <w:spacing w:after="120"/>
      </w:pPr>
      <w:r>
        <w:rPr>
          <w:b w:val="0"/>
          <w:i w:val="0"/>
          <w:sz w:val="22"/>
        </w:rPr>
        <w:t>Tests: viven en packages/api/tests/payments/. Antes de tocar cualquier lógica de dinero, correr:</w:t>
      </w:r>
    </w:p>
    <w:p>
      <w:pPr>
        <w:spacing w:after="200"/>
        <w:ind w:left="227"/>
        <w:shd w:val="clear" w:color="auto" w:fill="F2F2F2"/>
      </w:pPr>
      <w:r>
        <w:rPr>
          <w:rFonts w:ascii="Consolas" w:hAnsi="Consolas"/>
          <w:sz w:val="18"/>
        </w:rPr>
        <w:t>cd packages/api &amp;&amp; bun test</w:t>
      </w:r>
    </w:p>
    <w:p>
      <w:pPr>
        <w:pStyle w:val="Heading2"/>
      </w:pPr>
      <w:r>
        <w:t>4.6 Archivos (R2 y Dropbox)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B3A5C"/>
          </w:tcPr>
          <w:p>
            <w:r/>
            <w:r>
              <w:rPr>
                <w:b/>
                <w:color w:val="FFFFFF"/>
                <w:sz w:val="20"/>
              </w:rPr>
              <w:t>Tipo de archivo</w:t>
            </w:r>
          </w:p>
        </w:tc>
        <w:tc>
          <w:tcPr>
            <w:tcW w:type="dxa" w:w="3135"/>
            <w:shd w:val="clear" w:color="auto" w:fill="1B3A5C"/>
          </w:tcPr>
          <w:p>
            <w:r/>
            <w:r>
              <w:rPr>
                <w:b/>
                <w:color w:val="FFFFFF"/>
                <w:sz w:val="20"/>
              </w:rPr>
              <w:t>Dónde</w:t>
            </w:r>
          </w:p>
        </w:tc>
        <w:tc>
          <w:tcPr>
            <w:tcW w:type="dxa" w:w="3135"/>
            <w:shd w:val="clear" w:color="auto" w:fill="1B3A5C"/>
          </w:tcPr>
          <w:p>
            <w:r/>
            <w:r>
              <w:rPr>
                <w:b/>
                <w:color w:val="FFFFFF"/>
                <w:sz w:val="20"/>
              </w:rPr>
              <w:t>Cómo se sirve</w:t>
            </w:r>
          </w:p>
        </w:tc>
      </w:tr>
      <w:tr>
        <w:tc>
          <w:tcPr>
            <w:tcW w:type="dxa" w:w="3135"/>
          </w:tcPr>
          <w:p>
            <w:r/>
            <w:r>
              <w:rPr>
                <w:sz w:val="20"/>
              </w:rPr>
              <w:t>Imágenes (productos, modelos 3D, landing)</w:t>
            </w:r>
          </w:p>
        </w:tc>
        <w:tc>
          <w:tcPr>
            <w:tcW w:type="dxa" w:w="3135"/>
          </w:tcPr>
          <w:p>
            <w:r/>
            <w:r>
              <w:rPr>
                <w:sz w:val="20"/>
              </w:rPr>
              <w:t>Cloudflare R2</w:t>
            </w:r>
          </w:p>
        </w:tc>
        <w:tc>
          <w:tcPr>
            <w:tcW w:type="dxa" w:w="3135"/>
          </w:tcPr>
          <w:p>
            <w:r/>
            <w:r>
              <w:rPr>
                <w:sz w:val="20"/>
              </w:rPr>
              <w:t>URL pública del bucket (R2_PUBLIC_URL)</w:t>
            </w:r>
          </w:p>
        </w:tc>
      </w:tr>
      <w:tr>
        <w:tc>
          <w:tcPr>
            <w:tcW w:type="dxa" w:w="3135"/>
          </w:tcPr>
          <w:p>
            <w:r/>
            <w:r>
              <w:rPr>
                <w:sz w:val="20"/>
              </w:rPr>
              <w:t>Archivos STL de modelos 3D</w:t>
            </w:r>
          </w:p>
        </w:tc>
        <w:tc>
          <w:tcPr>
            <w:tcW w:type="dxa" w:w="3135"/>
          </w:tcPr>
          <w:p>
            <w:r/>
            <w:r>
              <w:rPr>
                <w:sz w:val="20"/>
              </w:rPr>
              <w:t>Dropbox</w:t>
            </w:r>
          </w:p>
        </w:tc>
        <w:tc>
          <w:tcPr>
            <w:tcW w:type="dxa" w:w="3135"/>
          </w:tcPr>
          <w:p>
            <w:r/>
            <w:r>
              <w:rPr>
                <w:sz w:val="20"/>
              </w:rPr>
              <w:t>Enlace temporal generado por la API al descargar</w:t>
            </w:r>
          </w:p>
        </w:tc>
      </w:tr>
    </w:tbl>
    <w:p>
      <w:pPr>
        <w:spacing w:after="80"/>
      </w:pPr>
    </w:p>
    <w:p>
      <w:pPr>
        <w:spacing w:after="120"/>
      </w:pPr>
      <w:r>
        <w:rPr>
          <w:b w:val="0"/>
          <w:i w:val="0"/>
          <w:sz w:val="22"/>
        </w:rPr>
        <w:t>R2 (imágenes): el frontend sube imágenes a través del API (POST /api/upload/image), que las escribe en el bucket con el SDK S3. El dominio público del bucket está permitido en next.config.ts (images.remotePatterns) — si el bucket cambia de dominio, hay que actualizar esa lista y rebuildear el frontend. Credenciales: R2_ACCOUNT_ID, R2_ACCESS_KEY_ID, R2_SECRET_ACCESS_KEY, R2_BUCKET, R2_PUBLIC_URL.</w:t>
      </w:r>
    </w:p>
    <w:p>
      <w:pPr>
        <w:spacing w:after="120"/>
      </w:pPr>
      <w:r>
        <w:rPr>
          <w:b w:val="0"/>
          <w:i w:val="0"/>
          <w:sz w:val="22"/>
        </w:rPr>
        <w:t>Dropbox (STL): el admin elige el STL con el chooser de Dropbox (NEXT_PUBLIC_DROPBOX_APP_KEY) al crear el modelo; en la base de datos queda el dropboxPath. Credenciales del API: DROPBOX_APP_KEY, DROPBOX_APP_SECRET, DROPBOX_REFRESH_TOKEN.</w:t>
      </w:r>
    </w:p>
    <w:p>
      <w:pPr>
        <w:spacing w:after="120"/>
      </w:pPr>
      <w:r>
        <w:rPr>
          <w:b w:val="0"/>
          <w:i w:val="0"/>
          <w:sz w:val="22"/>
        </w:rPr>
        <w:t>Descargas seguras: al comprar un modelo, el sistema crea tokens de descarga (límite de descargas, default 3) → el cliente descarga desde su cuenta o el correo de confirmación (GET /api/download/:token) → el backend valida el token (no expirado, no revocado, descargas disponibles), pide a Dropbox un enlace temporal, incrementa el contador y redirige.</w:t>
      </w:r>
    </w:p>
    <w:p>
      <w:pPr>
        <w:spacing w:after="120"/>
      </w:pPr>
      <w:r>
        <w:rPr>
          <w:b w:val="0"/>
          <w:i w:val="0"/>
          <w:sz w:val="22"/>
        </w:rPr>
        <w:t>Si un cliente no puede descargar: revisar el contador del token, que el archivo siga en el dropboxPath original, y que las credenciales de Dropbox sigan válidas.</w:t>
      </w:r>
    </w:p>
    <w:p>
      <w:pPr>
        <w:pStyle w:val="Heading2"/>
      </w:pPr>
      <w:r>
        <w:t>4.7 Incidentes</w:t>
      </w:r>
    </w:p>
    <w:p>
      <w:pPr>
        <w:spacing w:after="120"/>
      </w:pPr>
      <w:r>
        <w:rPr>
          <w:b w:val="0"/>
          <w:i w:val="0"/>
          <w:sz w:val="22"/>
        </w:rPr>
        <w:t>Orden general de diagnóstico: logs en Dokploy → servicio externo involucrado → base de datos.</w:t>
      </w:r>
    </w:p>
    <w:p>
      <w:pPr>
        <w:pStyle w:val="Heading3"/>
      </w:pPr>
      <w:r>
        <w:t>El sitio no abre</w:t>
      </w:r>
    </w:p>
    <w:p>
      <w:pPr>
        <w:spacing w:after="60"/>
        <w:ind w:left="357" w:hanging="357"/>
      </w:pPr>
      <w:r>
        <w:t>1.</w:t>
        <w:tab/>
      </w:r>
      <w:r>
        <w:t>Panel de Dokploy: ¿los dos servicios (web y api) están corriendo?</w:t>
      </w:r>
    </w:p>
    <w:p>
      <w:pPr>
        <w:spacing w:after="60"/>
        <w:ind w:left="357" w:hanging="357"/>
      </w:pPr>
      <w:r>
        <w:t>2.</w:t>
        <w:tab/>
      </w:r>
      <w:r>
        <w:t>Logs del servicio caído. Causa típica: variable de entorno faltante o inválida (el API valida env al arrancar y falla ruidosamente).</w:t>
      </w:r>
    </w:p>
    <w:p>
      <w:pPr>
        <w:spacing w:after="60"/>
        <w:ind w:left="357" w:hanging="357"/>
      </w:pPr>
      <w:r>
        <w:t>3.</w:t>
        <w:tab/>
      </w:r>
      <w:r>
        <w:t>Si el API arranca pero el frontend da error de conexión: revisar NEXT_PUBLIC_BACKEND_URL (cambiarla exige rebuild del frontend).</w:t>
      </w:r>
    </w:p>
    <w:p>
      <w:pPr>
        <w:spacing w:after="60"/>
        <w:ind w:left="357" w:hanging="357"/>
      </w:pPr>
      <w:r>
        <w:t>4.</w:t>
        <w:tab/>
      </w:r>
      <w:r>
        <w:t>DNS/dominio: verificar en el registrador que el dominio apunta al VPS.</w:t>
      </w:r>
    </w:p>
    <w:p>
      <w:pPr>
        <w:pStyle w:val="Heading3"/>
      </w:pPr>
      <w:r>
        <w:t>Pago aprobado pero el pedido no se creó</w:t>
      </w:r>
    </w:p>
    <w:p>
      <w:pPr>
        <w:spacing w:after="60"/>
        <w:ind w:left="357" w:hanging="357"/>
      </w:pPr>
      <w:r>
        <w:t>1.</w:t>
        <w:tab/>
      </w:r>
      <w:r>
        <w:t>Cursos: botón «Consultar Bold» en la inscripción (reconciliación automática si Bold confirma APPROVED).</w:t>
      </w:r>
    </w:p>
    <w:p>
      <w:pPr>
        <w:spacing w:after="60"/>
        <w:ind w:left="357" w:hanging="357"/>
      </w:pPr>
      <w:r>
        <w:t>2.</w:t>
        <w:tab/>
      </w:r>
      <w:r>
        <w:t>Revisar logs del API buscando el webhook de la pasarela: ¿llegó? ¿falló la verificación de firma?</w:t>
      </w:r>
    </w:p>
    <w:p>
      <w:pPr>
        <w:spacing w:after="60"/>
        <w:ind w:left="357" w:hanging="357"/>
      </w:pPr>
      <w:r>
        <w:t>3.</w:t>
        <w:tab/>
      </w:r>
      <w:r>
        <w:t>Verificar BOLD_SECRET_KEY / PAYPAL_WEBHOOK_ID contra los paneles de las pasarelas.</w:t>
      </w:r>
    </w:p>
    <w:p>
      <w:pPr>
        <w:spacing w:after="60"/>
        <w:ind w:left="357" w:hanging="357"/>
      </w:pPr>
      <w:r>
        <w:t>4.</w:t>
        <w:tab/>
      </w:r>
      <w:r>
        <w:t>Confirmar el pago en el dashboard de la pasarela (Bold / PayPal) con el ID de transacción.</w:t>
      </w:r>
    </w:p>
    <w:p>
      <w:pPr>
        <w:spacing w:after="60"/>
        <w:ind w:left="357" w:hanging="357"/>
      </w:pPr>
      <w:r>
        <w:t>5.</w:t>
        <w:tab/>
      </w:r>
      <w:r>
        <w:t>Si hay que corregir estados a mano: hoy no existe endpoint para eso — es un pendiente conocido (capítulo 6). Mientras tanto, corrección directa en BD con cuidado y registro de lo hecho.</w:t>
      </w:r>
    </w:p>
    <w:p>
      <w:pPr>
        <w:pStyle w:val="Heading3"/>
      </w:pPr>
      <w:r>
        <w:t>Los correos no salen</w:t>
      </w:r>
    </w:p>
    <w:p>
      <w:pPr>
        <w:spacing w:after="60"/>
        <w:ind w:left="357" w:hanging="357"/>
      </w:pPr>
      <w:r>
        <w:t>1.</w:t>
        <w:tab/>
      </w:r>
      <w:r>
        <w:t>Verificar variables SMTP_* y ADMIN_NOTIFICATION_EMAIL.</w:t>
      </w:r>
    </w:p>
    <w:p>
      <w:pPr>
        <w:spacing w:after="60"/>
        <w:ind w:left="357" w:hanging="357"/>
      </w:pPr>
      <w:r>
        <w:t>2.</w:t>
        <w:tab/>
      </w:r>
      <w:r>
        <w:t>Probar credenciales SMTP directamente (el proveedor de correo suele tener logs de entrega).</w:t>
      </w:r>
    </w:p>
    <w:p>
      <w:pPr>
        <w:spacing w:after="60"/>
        <w:ind w:left="357" w:hanging="357"/>
      </w:pPr>
      <w:r>
        <w:t>3.</w:t>
        <w:tab/>
      </w:r>
      <w:r>
        <w:t>Logs del API: el servicio de correo registra errores de envío.</w:t>
      </w:r>
    </w:p>
    <w:p>
      <w:pPr>
        <w:spacing w:after="60"/>
        <w:ind w:left="357" w:hanging="357"/>
      </w:pPr>
      <w:r>
        <w:t>4.</w:t>
        <w:tab/>
      </w:r>
      <w:r>
        <w:t>Recordar: los recordatorios de cuotas no se envían aunque SMTP esté bien — falta el cron que los dispara (capítulo 6).</w:t>
      </w:r>
    </w:p>
    <w:p>
      <w:pPr>
        <w:pStyle w:val="Heading3"/>
      </w:pPr>
      <w:r>
        <w:t>Imágenes rotas</w:t>
      </w:r>
    </w:p>
    <w:p>
      <w:pPr>
        <w:spacing w:after="60"/>
        <w:ind w:left="357" w:hanging="357"/>
      </w:pPr>
      <w:r>
        <w:t>1.</w:t>
        <w:tab/>
      </w:r>
      <w:r>
        <w:t>¿Todas o solo algunas? Todas → credenciales/config de R2 (R2_PUBLIC_URL, keys). Algunas → el objeto fue borrado del bucket.</w:t>
      </w:r>
    </w:p>
    <w:p>
      <w:pPr>
        <w:spacing w:after="60"/>
        <w:ind w:left="357" w:hanging="357"/>
      </w:pPr>
      <w:r>
        <w:t>2.</w:t>
        <w:tab/>
      </w:r>
      <w:r>
        <w:t>Verificar que el dominio del bucket siga en images.remotePatterns de next.config.ts.</w:t>
      </w:r>
    </w:p>
    <w:p>
      <w:pPr>
        <w:pStyle w:val="Heading3"/>
      </w:pPr>
      <w:r>
        <w:t>Descarga de modelo 3D falla</w:t>
      </w:r>
    </w:p>
    <w:p>
      <w:pPr>
        <w:spacing w:after="60"/>
        <w:ind w:left="357" w:hanging="357"/>
      </w:pPr>
      <w:r>
        <w:t>1.</w:t>
        <w:tab/>
      </w:r>
      <w:r>
        <w:t>Token: ¿expirado, revocado o sin descargas disponibles?</w:t>
      </w:r>
    </w:p>
    <w:p>
      <w:pPr>
        <w:spacing w:after="60"/>
        <w:ind w:left="357" w:hanging="357"/>
      </w:pPr>
      <w:r>
        <w:t>2.</w:t>
        <w:tab/>
      </w:r>
      <w:r>
        <w:t>¿El archivo sigue en Dropbox en el dropboxPath guardado?</w:t>
      </w:r>
    </w:p>
    <w:p>
      <w:pPr>
        <w:spacing w:after="60"/>
        <w:ind w:left="357" w:hanging="357"/>
      </w:pPr>
      <w:r>
        <w:t>3.</w:t>
        <w:tab/>
      </w:r>
      <w:r>
        <w:t>Credenciales Dropbox (DROPBOX_APP_KEY/SECRET, refresh token).</w:t>
      </w:r>
    </w:p>
    <w:p>
      <w:pPr>
        <w:pStyle w:val="Heading3"/>
      </w:pPr>
      <w:r>
        <w:t>Login con Google falla</w:t>
      </w:r>
    </w:p>
    <w:p>
      <w:pPr>
        <w:spacing w:after="60"/>
        <w:ind w:left="357" w:hanging="357"/>
      </w:pPr>
      <w:r>
        <w:t>1.</w:t>
        <w:tab/>
      </w:r>
      <w:r>
        <w:t>GOOGLE_CLIENT_ID/SECRET correctos y del proyecto correcto en Google Cloud.</w:t>
      </w:r>
    </w:p>
    <w:p>
      <w:pPr>
        <w:spacing w:after="60"/>
        <w:ind w:left="357" w:hanging="357"/>
      </w:pPr>
      <w:r>
        <w:t>2.</w:t>
        <w:tab/>
      </w:r>
      <w:r>
        <w:t>En Google Cloud Console: el redirect URI de producción debe estar autorizado.</w:t>
      </w:r>
    </w:p>
    <w:p>
      <w:pPr>
        <w:spacing w:after="60"/>
        <w:ind w:left="357" w:hanging="357"/>
      </w:pPr>
      <w:r>
        <w:t>3.</w:t>
        <w:tab/>
      </w:r>
      <w:r>
        <w:t>AUTH_SECRET/BETTER_AUTH_SECRET iguales en web y api.</w:t>
      </w:r>
    </w:p>
    <w:p>
      <w:r>
        <w:br w:type="page"/>
      </w:r>
    </w:p>
    <w:p>
      <w:pPr>
        <w:pStyle w:val="Heading1"/>
      </w:pPr>
      <w:r>
        <w:t>5. Videos de guía</w:t>
      </w:r>
    </w:p>
    <w:p>
      <w:pPr>
        <w:spacing w:after="120"/>
      </w:pPr>
      <w:r>
        <w:rPr>
          <w:b w:val="0"/>
          <w:i w:val="0"/>
          <w:sz w:val="22"/>
        </w:rPr>
        <w:t>Los videos se graban con este guion y se suben a Google Drive (carpeta de la entrega). Cuando cada uno esté listo, se pega su enlace en la tabla correspondiente.</w:t>
      </w:r>
    </w:p>
    <w:p>
      <w:pPr>
        <w:spacing w:after="120"/>
      </w:pPr>
      <w:r>
        <w:rPr>
          <w:i/>
          <w:color w:val="B03A2E"/>
          <w:highlight w:val="yellow"/>
        </w:rPr>
        <w:t>[COMPLETAR: URL de la carpeta de Drive con los videos]</w:t>
      </w:r>
    </w:p>
    <w:p>
      <w:pPr>
        <w:pStyle w:val="Heading2"/>
      </w:pPr>
      <w:r>
        <w:t>5.1 Para el dueño / operador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B3A5C"/>
          </w:tcPr>
          <w:p>
            <w:r/>
            <w:r>
              <w:rPr>
                <w:b/>
                <w:color w:val="FFFFFF"/>
                <w:sz w:val="20"/>
              </w:rPr>
              <w:t>#</w:t>
            </w:r>
          </w:p>
        </w:tc>
        <w:tc>
          <w:tcPr>
            <w:tcW w:type="dxa" w:w="1881"/>
            <w:shd w:val="clear" w:color="auto" w:fill="1B3A5C"/>
          </w:tcPr>
          <w:p>
            <w:r/>
            <w:r>
              <w:rPr>
                <w:b/>
                <w:color w:val="FFFFFF"/>
                <w:sz w:val="20"/>
              </w:rPr>
              <w:t>Video</w:t>
            </w:r>
          </w:p>
        </w:tc>
        <w:tc>
          <w:tcPr>
            <w:tcW w:type="dxa" w:w="1881"/>
            <w:shd w:val="clear" w:color="auto" w:fill="1B3A5C"/>
          </w:tcPr>
          <w:p>
            <w:r/>
            <w:r>
              <w:rPr>
                <w:b/>
                <w:color w:val="FFFFFF"/>
                <w:sz w:val="20"/>
              </w:rPr>
              <w:t>Duración</w:t>
            </w:r>
          </w:p>
        </w:tc>
        <w:tc>
          <w:tcPr>
            <w:tcW w:type="dxa" w:w="1881"/>
            <w:shd w:val="clear" w:color="auto" w:fill="1B3A5C"/>
          </w:tcPr>
          <w:p>
            <w:r/>
            <w:r>
              <w:rPr>
                <w:b/>
                <w:color w:val="FFFFFF"/>
                <w:sz w:val="20"/>
              </w:rPr>
              <w:t>Contenido</w:t>
            </w:r>
          </w:p>
        </w:tc>
        <w:tc>
          <w:tcPr>
            <w:tcW w:type="dxa" w:w="1881"/>
            <w:shd w:val="clear" w:color="auto" w:fill="1B3A5C"/>
          </w:tcPr>
          <w:p>
            <w:r/>
            <w:r>
              <w:rPr>
                <w:b/>
                <w:color w:val="FFFFFF"/>
                <w:sz w:val="20"/>
              </w:rPr>
              <w:t>Estado / URL</w:t>
            </w:r>
          </w:p>
        </w:tc>
      </w:tr>
      <w:tr>
        <w:tc>
          <w:tcPr>
            <w:tcW w:type="dxa" w:w="1881"/>
          </w:tcPr>
          <w:p>
            <w:r/>
            <w:r>
              <w:rPr>
                <w:sz w:val="20"/>
              </w:rPr>
              <w:t>1</w:t>
            </w:r>
          </w:p>
        </w:tc>
        <w:tc>
          <w:tcPr>
            <w:tcW w:type="dxa" w:w="1881"/>
          </w:tcPr>
          <w:p>
            <w:r/>
            <w:r>
              <w:rPr>
                <w:sz w:val="20"/>
              </w:rPr>
              <w:t>Tour del panel admin</w:t>
            </w:r>
          </w:p>
        </w:tc>
        <w:tc>
          <w:tcPr>
            <w:tcW w:type="dxa" w:w="1881"/>
          </w:tcPr>
          <w:p>
            <w:r/>
            <w:r>
              <w:rPr>
                <w:sz w:val="20"/>
              </w:rPr>
              <w:t>~8 min</w:t>
            </w:r>
          </w:p>
        </w:tc>
        <w:tc>
          <w:tcPr>
            <w:tcW w:type="dxa" w:w="1881"/>
          </w:tcPr>
          <w:p>
            <w:r/>
            <w:r>
              <w:rPr>
                <w:sz w:val="20"/>
              </w:rPr>
              <w:t>Recorrido por /admin: dashboard, módulos del menú, cómo cambian según el rol.</w:t>
            </w:r>
          </w:p>
        </w:tc>
        <w:tc>
          <w:tcPr>
            <w:tcW w:type="dxa" w:w="1881"/>
          </w:tcPr>
          <w:p>
            <w:r/>
            <w:r>
              <w:rPr>
                <w:sz w:val="20"/>
              </w:rPr>
              <w:t>Pendiente — [COMPLETAR]</w:t>
            </w:r>
          </w:p>
        </w:tc>
      </w:tr>
      <w:tr>
        <w:tc>
          <w:tcPr>
            <w:tcW w:type="dxa" w:w="1881"/>
          </w:tcPr>
          <w:p>
            <w:r/>
            <w:r>
              <w:rPr>
                <w:sz w:val="20"/>
              </w:rPr>
              <w:t>2</w:t>
            </w:r>
          </w:p>
        </w:tc>
        <w:tc>
          <w:tcPr>
            <w:tcW w:type="dxa" w:w="1881"/>
          </w:tcPr>
          <w:p>
            <w:r/>
            <w:r>
              <w:rPr>
                <w:sz w:val="20"/>
              </w:rPr>
              <w:t>Publicar un modelo 3D</w:t>
            </w:r>
          </w:p>
        </w:tc>
        <w:tc>
          <w:tcPr>
            <w:tcW w:type="dxa" w:w="1881"/>
          </w:tcPr>
          <w:p>
            <w:r/>
            <w:r>
              <w:rPr>
                <w:sz w:val="20"/>
              </w:rPr>
              <w:t>~6 min</w:t>
            </w:r>
          </w:p>
        </w:tc>
        <w:tc>
          <w:tcPr>
            <w:tcW w:type="dxa" w:w="1881"/>
          </w:tcPr>
          <w:p>
            <w:r/>
            <w:r>
              <w:rPr>
                <w:sz w:val="20"/>
              </w:rPr>
              <w:t>Crear categoría, subir el STL con el chooser de Dropbox, subir fotos, precio y banderas. Ver capítulo 3.4.</w:t>
            </w:r>
          </w:p>
        </w:tc>
        <w:tc>
          <w:tcPr>
            <w:tcW w:type="dxa" w:w="1881"/>
          </w:tcPr>
          <w:p>
            <w:r/>
            <w:r>
              <w:rPr>
                <w:sz w:val="20"/>
              </w:rPr>
              <w:t>Pendiente — [COMPLETAR]</w:t>
            </w:r>
          </w:p>
        </w:tc>
      </w:tr>
      <w:tr>
        <w:tc>
          <w:tcPr>
            <w:tcW w:type="dxa" w:w="1881"/>
          </w:tcPr>
          <w:p>
            <w:r/>
            <w:r>
              <w:rPr>
                <w:sz w:val="20"/>
              </w:rPr>
              <w:t>3</w:t>
            </w:r>
          </w:p>
        </w:tc>
        <w:tc>
          <w:tcPr>
            <w:tcW w:type="dxa" w:w="1881"/>
          </w:tcPr>
          <w:p>
            <w:r/>
            <w:r>
              <w:rPr>
                <w:sz w:val="20"/>
              </w:rPr>
              <w:t>Crear curso, cuotas e inscripciones</w:t>
            </w:r>
          </w:p>
        </w:tc>
        <w:tc>
          <w:tcPr>
            <w:tcW w:type="dxa" w:w="1881"/>
          </w:tcPr>
          <w:p>
            <w:r/>
            <w:r>
              <w:rPr>
                <w:sz w:val="20"/>
              </w:rPr>
              <w:t>~8 min</w:t>
            </w:r>
          </w:p>
        </w:tc>
        <w:tc>
          <w:tcPr>
            <w:tcW w:type="dxa" w:w="1881"/>
          </w:tcPr>
          <w:p>
            <w:r/>
            <w:r>
              <w:rPr>
                <w:sz w:val="20"/>
              </w:rPr>
              <w:t>Alta de un curso con cuotas, qué ve el alumno, revocar/reactivar acceso, reenviar correo, consultar Bold. Ver capítulos 3.5 y 3.6.</w:t>
            </w:r>
          </w:p>
        </w:tc>
        <w:tc>
          <w:tcPr>
            <w:tcW w:type="dxa" w:w="1881"/>
          </w:tcPr>
          <w:p>
            <w:r/>
            <w:r>
              <w:rPr>
                <w:sz w:val="20"/>
              </w:rPr>
              <w:t>Pendiente — [COMPLETAR]</w:t>
            </w:r>
          </w:p>
        </w:tc>
      </w:tr>
      <w:tr>
        <w:tc>
          <w:tcPr>
            <w:tcW w:type="dxa" w:w="1881"/>
          </w:tcPr>
          <w:p>
            <w:r/>
            <w:r>
              <w:rPr>
                <w:sz w:val="20"/>
              </w:rPr>
              <w:t>4</w:t>
            </w:r>
          </w:p>
        </w:tc>
        <w:tc>
          <w:tcPr>
            <w:tcW w:type="dxa" w:w="1881"/>
          </w:tcPr>
          <w:p>
            <w:r/>
            <w:r>
              <w:rPr>
                <w:sz w:val="20"/>
              </w:rPr>
              <w:t>Ver y gestionar un pedido</w:t>
            </w:r>
          </w:p>
        </w:tc>
        <w:tc>
          <w:tcPr>
            <w:tcW w:type="dxa" w:w="1881"/>
          </w:tcPr>
          <w:p>
            <w:r/>
            <w:r>
              <w:rPr>
                <w:sz w:val="20"/>
              </w:rPr>
              <w:t>~4 min</w:t>
            </w:r>
          </w:p>
        </w:tc>
        <w:tc>
          <w:tcPr>
            <w:tcW w:type="dxa" w:w="1881"/>
          </w:tcPr>
          <w:p>
            <w:r/>
            <w:r>
              <w:rPr>
                <w:sz w:val="20"/>
              </w:rPr>
              <w:t>Panel de pedidos: tienda vs modelos 3D, estados, qué revisar si un cliente reclama. Ver capítulo 3.2.</w:t>
            </w:r>
          </w:p>
        </w:tc>
        <w:tc>
          <w:tcPr>
            <w:tcW w:type="dxa" w:w="1881"/>
          </w:tcPr>
          <w:p>
            <w:r/>
            <w:r>
              <w:rPr>
                <w:sz w:val="20"/>
              </w:rPr>
              <w:t>Pendiente — [COMPLETAR]</w:t>
            </w:r>
          </w:p>
        </w:tc>
      </w:tr>
    </w:tbl>
    <w:p>
      <w:pPr>
        <w:spacing w:after="80"/>
      </w:pPr>
    </w:p>
    <w:p>
      <w:pPr>
        <w:pStyle w:val="Heading2"/>
      </w:pPr>
      <w:r>
        <w:t>5.2 Para el equipo técnico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B3A5C"/>
          </w:tcPr>
          <w:p>
            <w:r/>
            <w:r>
              <w:rPr>
                <w:b/>
                <w:color w:val="FFFFFF"/>
                <w:sz w:val="20"/>
              </w:rPr>
              <w:t>#</w:t>
            </w:r>
          </w:p>
        </w:tc>
        <w:tc>
          <w:tcPr>
            <w:tcW w:type="dxa" w:w="1881"/>
            <w:shd w:val="clear" w:color="auto" w:fill="1B3A5C"/>
          </w:tcPr>
          <w:p>
            <w:r/>
            <w:r>
              <w:rPr>
                <w:b/>
                <w:color w:val="FFFFFF"/>
                <w:sz w:val="20"/>
              </w:rPr>
              <w:t>Video</w:t>
            </w:r>
          </w:p>
        </w:tc>
        <w:tc>
          <w:tcPr>
            <w:tcW w:type="dxa" w:w="1881"/>
            <w:shd w:val="clear" w:color="auto" w:fill="1B3A5C"/>
          </w:tcPr>
          <w:p>
            <w:r/>
            <w:r>
              <w:rPr>
                <w:b/>
                <w:color w:val="FFFFFF"/>
                <w:sz w:val="20"/>
              </w:rPr>
              <w:t>Duración</w:t>
            </w:r>
          </w:p>
        </w:tc>
        <w:tc>
          <w:tcPr>
            <w:tcW w:type="dxa" w:w="1881"/>
            <w:shd w:val="clear" w:color="auto" w:fill="1B3A5C"/>
          </w:tcPr>
          <w:p>
            <w:r/>
            <w:r>
              <w:rPr>
                <w:b/>
                <w:color w:val="FFFFFF"/>
                <w:sz w:val="20"/>
              </w:rPr>
              <w:t>Contenido</w:t>
            </w:r>
          </w:p>
        </w:tc>
        <w:tc>
          <w:tcPr>
            <w:tcW w:type="dxa" w:w="1881"/>
            <w:shd w:val="clear" w:color="auto" w:fill="1B3A5C"/>
          </w:tcPr>
          <w:p>
            <w:r/>
            <w:r>
              <w:rPr>
                <w:b/>
                <w:color w:val="FFFFFF"/>
                <w:sz w:val="20"/>
              </w:rPr>
              <w:t>Estado / URL</w:t>
            </w:r>
          </w:p>
        </w:tc>
      </w:tr>
      <w:tr>
        <w:tc>
          <w:tcPr>
            <w:tcW w:type="dxa" w:w="1881"/>
          </w:tcPr>
          <w:p>
            <w:r/>
            <w:r>
              <w:rPr>
                <w:sz w:val="20"/>
              </w:rPr>
              <w:t>5</w:t>
            </w:r>
          </w:p>
        </w:tc>
        <w:tc>
          <w:tcPr>
            <w:tcW w:type="dxa" w:w="1881"/>
          </w:tcPr>
          <w:p>
            <w:r/>
            <w:r>
              <w:rPr>
                <w:sz w:val="20"/>
              </w:rPr>
              <w:t>Deploy en Dokploy</w:t>
            </w:r>
          </w:p>
        </w:tc>
        <w:tc>
          <w:tcPr>
            <w:tcW w:type="dxa" w:w="1881"/>
          </w:tcPr>
          <w:p>
            <w:r/>
            <w:r>
              <w:rPr>
                <w:sz w:val="20"/>
              </w:rPr>
              <w:t>~6 min</w:t>
            </w:r>
          </w:p>
        </w:tc>
        <w:tc>
          <w:tcPr>
            <w:tcW w:type="dxa" w:w="1881"/>
          </w:tcPr>
          <w:p>
            <w:r/>
            <w:r>
              <w:rPr>
                <w:sz w:val="20"/>
              </w:rPr>
              <w:t>Cómo están armadas las dos apps (web/api), dónde se disparan deploys, build args de NEXT_PUBLIC_*. Ver capítulo 4.2.</w:t>
            </w:r>
          </w:p>
        </w:tc>
        <w:tc>
          <w:tcPr>
            <w:tcW w:type="dxa" w:w="1881"/>
          </w:tcPr>
          <w:p>
            <w:r/>
            <w:r>
              <w:rPr>
                <w:sz w:val="20"/>
              </w:rPr>
              <w:t>Pendiente — [COMPLETAR]</w:t>
            </w:r>
          </w:p>
        </w:tc>
      </w:tr>
      <w:tr>
        <w:tc>
          <w:tcPr>
            <w:tcW w:type="dxa" w:w="1881"/>
          </w:tcPr>
          <w:p>
            <w:r/>
            <w:r>
              <w:rPr>
                <w:sz w:val="20"/>
              </w:rPr>
              <w:t>6</w:t>
            </w:r>
          </w:p>
        </w:tc>
        <w:tc>
          <w:tcPr>
            <w:tcW w:type="dxa" w:w="1881"/>
          </w:tcPr>
          <w:p>
            <w:r/>
            <w:r>
              <w:rPr>
                <w:sz w:val="20"/>
              </w:rPr>
              <w:t>Env, backups y logs</w:t>
            </w:r>
          </w:p>
        </w:tc>
        <w:tc>
          <w:tcPr>
            <w:tcW w:type="dxa" w:w="1881"/>
          </w:tcPr>
          <w:p>
            <w:r/>
            <w:r>
              <w:rPr>
                <w:sz w:val="20"/>
              </w:rPr>
              <w:t>~5 min</w:t>
            </w:r>
          </w:p>
        </w:tc>
        <w:tc>
          <w:tcPr>
            <w:tcW w:type="dxa" w:w="1881"/>
          </w:tcPr>
          <w:p>
            <w:r/>
            <w:r>
              <w:rPr>
                <w:sz w:val="20"/>
              </w:rPr>
              <w:t>Dónde viven las variables en Dokploy, cómo correr un backup de Postgres y dónde mirar los logs. Ver capítulos 4.3 y 4.4.</w:t>
            </w:r>
          </w:p>
        </w:tc>
        <w:tc>
          <w:tcPr>
            <w:tcW w:type="dxa" w:w="1881"/>
          </w:tcPr>
          <w:p>
            <w:r/>
            <w:r>
              <w:rPr>
                <w:sz w:val="20"/>
              </w:rPr>
              <w:t>Pendiente — [COMPLETAR]</w:t>
            </w:r>
          </w:p>
        </w:tc>
      </w:tr>
    </w:tbl>
    <w:p>
      <w:pPr>
        <w:spacing w:after="80"/>
      </w:pPr>
    </w:p>
    <w:p>
      <w:r>
        <w:br w:type="page"/>
      </w:r>
    </w:p>
    <w:p>
      <w:pPr>
        <w:pStyle w:val="Heading1"/>
      </w:pPr>
      <w:r>
        <w:t>6. Pendientes y deuda conocida</w:t>
      </w:r>
    </w:p>
    <w:p>
      <w:pPr>
        <w:spacing w:after="120"/>
      </w:pPr>
      <w:r>
        <w:rPr>
          <w:b w:val="0"/>
          <w:i w:val="0"/>
          <w:sz w:val="22"/>
        </w:rPr>
        <w:t>Esta sección es parte del contrato de entrega: aquí queda explícito qué no está terminado. Tres listas separadas — no mezclar «se rompió» con «nunca se hizo». Formato de cada ítem: Qué · Dónde · Impacto (Alto/Medio/Bajo) · Estado · Nota.</w:t>
      </w:r>
    </w:p>
    <w:p>
      <w:pPr>
        <w:pStyle w:val="Heading2"/>
      </w:pPr>
      <w:r>
        <w:t>6.1 No implementado (conversado, no construido)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B3A5C"/>
          </w:tcPr>
          <w:p>
            <w:r/>
            <w:r>
              <w:rPr>
                <w:b/>
                <w:color w:val="FFFFFF"/>
                <w:sz w:val="20"/>
              </w:rPr>
              <w:t>Qué</w:t>
            </w:r>
          </w:p>
        </w:tc>
        <w:tc>
          <w:tcPr>
            <w:tcW w:type="dxa" w:w="1881"/>
            <w:shd w:val="clear" w:color="auto" w:fill="1B3A5C"/>
          </w:tcPr>
          <w:p>
            <w:r/>
            <w:r>
              <w:rPr>
                <w:b/>
                <w:color w:val="FFFFFF"/>
                <w:sz w:val="20"/>
              </w:rPr>
              <w:t>Dónde</w:t>
            </w:r>
          </w:p>
        </w:tc>
        <w:tc>
          <w:tcPr>
            <w:tcW w:type="dxa" w:w="1881"/>
            <w:shd w:val="clear" w:color="auto" w:fill="1B3A5C"/>
          </w:tcPr>
          <w:p>
            <w:r/>
            <w:r>
              <w:rPr>
                <w:b/>
                <w:color w:val="FFFFFF"/>
                <w:sz w:val="20"/>
              </w:rPr>
              <w:t>Impacto</w:t>
            </w:r>
          </w:p>
        </w:tc>
        <w:tc>
          <w:tcPr>
            <w:tcW w:type="dxa" w:w="1881"/>
            <w:shd w:val="clear" w:color="auto" w:fill="1B3A5C"/>
          </w:tcPr>
          <w:p>
            <w:r/>
            <w:r>
              <w:rPr>
                <w:b/>
                <w:color w:val="FFFFFF"/>
                <w:sz w:val="20"/>
              </w:rPr>
              <w:t>Estado</w:t>
            </w:r>
          </w:p>
        </w:tc>
        <w:tc>
          <w:tcPr>
            <w:tcW w:type="dxa" w:w="1881"/>
            <w:shd w:val="clear" w:color="auto" w:fill="1B3A5C"/>
          </w:tcPr>
          <w:p>
            <w:r/>
            <w:r>
              <w:rPr>
                <w:b/>
                <w:color w:val="FFFFFF"/>
                <w:sz w:val="20"/>
              </w:rPr>
              <w:t>Nota</w:t>
            </w:r>
          </w:p>
        </w:tc>
      </w:tr>
      <w:tr>
        <w:tc>
          <w:tcPr>
            <w:tcW w:type="dxa" w:w="1881"/>
          </w:tcPr>
          <w:p>
            <w:r/>
            <w:r>
              <w:rPr>
                <w:sz w:val="20"/>
              </w:rPr>
              <w:t>Panel de cartera: cuotas vencidas/próximas de todos los cursos en una vista</w:t>
            </w:r>
          </w:p>
        </w:tc>
        <w:tc>
          <w:tcPr>
            <w:tcW w:type="dxa" w:w="1881"/>
          </w:tcPr>
          <w:p>
            <w:r/>
            <w:r>
              <w:rPr>
                <w:sz w:val="20"/>
              </w:rPr>
              <w:t>Cursos → inscripciones</w:t>
            </w:r>
          </w:p>
        </w:tc>
        <w:tc>
          <w:tcPr>
            <w:tcW w:type="dxa" w:w="1881"/>
          </w:tcPr>
          <w:p>
            <w:r/>
            <w:r>
              <w:rPr>
                <w:sz w:val="20"/>
              </w:rPr>
              <w:t>Alto</w:t>
            </w:r>
          </w:p>
        </w:tc>
        <w:tc>
          <w:tcPr>
            <w:tcW w:type="dxa" w:w="1881"/>
          </w:tcPr>
          <w:p>
            <w:r/>
            <w:r>
              <w:rPr>
                <w:sz w:val="20"/>
              </w:rPr>
              <w:t>Abierto</w:t>
            </w:r>
          </w:p>
        </w:tc>
        <w:tc>
          <w:tcPr>
            <w:tcW w:type="dxa" w:w="1881"/>
          </w:tcPr>
          <w:p>
            <w:r/>
            <w:r>
              <w:rPr>
                <w:sz w:val="20"/>
              </w:rPr>
              <w:t>Pedido en descubrimiento; no entró en esta etapa. Hoy solo existe la tabla general de inscripciones</w:t>
            </w:r>
          </w:p>
        </w:tc>
      </w:tr>
      <w:tr>
        <w:tc>
          <w:tcPr>
            <w:tcW w:type="dxa" w:w="1881"/>
          </w:tcPr>
          <w:p>
            <w:r/>
            <w:r>
              <w:rPr>
                <w:sz w:val="20"/>
              </w:rPr>
              <w:t>Registrar pago manual (transferencia/efectivo)</w:t>
            </w:r>
          </w:p>
        </w:tc>
        <w:tc>
          <w:tcPr>
            <w:tcW w:type="dxa" w:w="1881"/>
          </w:tcPr>
          <w:p>
            <w:r/>
            <w:r>
              <w:rPr>
                <w:sz w:val="20"/>
              </w:rPr>
              <w:t>Cursos → inscripciones</w:t>
            </w:r>
          </w:p>
        </w:tc>
        <w:tc>
          <w:tcPr>
            <w:tcW w:type="dxa" w:w="1881"/>
          </w:tcPr>
          <w:p>
            <w:r/>
            <w:r>
              <w:rPr>
                <w:sz w:val="20"/>
              </w:rPr>
              <w:t>Alto</w:t>
            </w:r>
          </w:p>
        </w:tc>
        <w:tc>
          <w:tcPr>
            <w:tcW w:type="dxa" w:w="1881"/>
          </w:tcPr>
          <w:p>
            <w:r/>
            <w:r>
              <w:rPr>
                <w:sz w:val="20"/>
              </w:rPr>
              <w:t>Abierto</w:t>
            </w:r>
          </w:p>
        </w:tc>
        <w:tc>
          <w:tcPr>
            <w:tcW w:type="dxa" w:w="1881"/>
          </w:tcPr>
          <w:p>
            <w:r/>
            <w:r>
              <w:rPr>
                <w:sz w:val="20"/>
              </w:rPr>
              <w:t>Parte del panel de cartera pedido</w:t>
            </w:r>
          </w:p>
        </w:tc>
      </w:tr>
      <w:tr>
        <w:tc>
          <w:tcPr>
            <w:tcW w:type="dxa" w:w="1881"/>
          </w:tcPr>
          <w:p>
            <w:r/>
            <w:r>
              <w:rPr>
                <w:sz w:val="20"/>
              </w:rPr>
              <w:t>Condonar una cuota desde el panel</w:t>
            </w:r>
          </w:p>
        </w:tc>
        <w:tc>
          <w:tcPr>
            <w:tcW w:type="dxa" w:w="1881"/>
          </w:tcPr>
          <w:p>
            <w:r/>
            <w:r>
              <w:rPr>
                <w:sz w:val="20"/>
              </w:rPr>
              <w:t>Cursos → cuotas</w:t>
            </w:r>
          </w:p>
        </w:tc>
        <w:tc>
          <w:tcPr>
            <w:tcW w:type="dxa" w:w="1881"/>
          </w:tcPr>
          <w:p>
            <w:r/>
            <w:r>
              <w:rPr>
                <w:sz w:val="20"/>
              </w:rPr>
              <w:t>Medio</w:t>
            </w:r>
          </w:p>
        </w:tc>
        <w:tc>
          <w:tcPr>
            <w:tcW w:type="dxa" w:w="1881"/>
          </w:tcPr>
          <w:p>
            <w:r/>
            <w:r>
              <w:rPr>
                <w:sz w:val="20"/>
              </w:rPr>
              <w:t>Abierto</w:t>
            </w:r>
          </w:p>
        </w:tc>
        <w:tc>
          <w:tcPr>
            <w:tcW w:type="dxa" w:w="1881"/>
          </w:tcPr>
          <w:p>
            <w:r/>
            <w:r>
              <w:rPr>
                <w:sz w:val="20"/>
              </w:rPr>
              <w:t>La lógica y el estado «condonada» existen en el sistema; falta el botón/pantalla</w:t>
            </w:r>
          </w:p>
        </w:tc>
      </w:tr>
      <w:tr>
        <w:tc>
          <w:tcPr>
            <w:tcW w:type="dxa" w:w="1881"/>
          </w:tcPr>
          <w:p>
            <w:r/>
            <w:r>
              <w:rPr>
                <w:sz w:val="20"/>
              </w:rPr>
              <w:t>Corrección manual de estados de inscripción</w:t>
            </w:r>
          </w:p>
        </w:tc>
        <w:tc>
          <w:tcPr>
            <w:tcW w:type="dxa" w:w="1881"/>
          </w:tcPr>
          <w:p>
            <w:r/>
            <w:r>
              <w:rPr>
                <w:sz w:val="20"/>
              </w:rPr>
              <w:t>Cursos → inscripciones</w:t>
            </w:r>
          </w:p>
        </w:tc>
        <w:tc>
          <w:tcPr>
            <w:tcW w:type="dxa" w:w="1881"/>
          </w:tcPr>
          <w:p>
            <w:r/>
            <w:r>
              <w:rPr>
                <w:sz w:val="20"/>
              </w:rPr>
              <w:t>Medio</w:t>
            </w:r>
          </w:p>
        </w:tc>
        <w:tc>
          <w:tcPr>
            <w:tcW w:type="dxa" w:w="1881"/>
          </w:tcPr>
          <w:p>
            <w:r/>
            <w:r>
              <w:rPr>
                <w:sz w:val="20"/>
              </w:rPr>
              <w:t>Bloqueado</w:t>
            </w:r>
          </w:p>
        </w:tc>
        <w:tc>
          <w:tcPr>
            <w:tcW w:type="dxa" w:w="1881"/>
          </w:tcPr>
          <w:p>
            <w:r/>
            <w:r>
              <w:rPr>
                <w:sz w:val="20"/>
              </w:rPr>
              <w:t>Diseño listo (docs/refinamiento-correccion-estados-inscripciones.md), pendiente de respuestas del cliente para definir alcance</w:t>
            </w:r>
          </w:p>
        </w:tc>
      </w:tr>
      <w:tr>
        <w:tc>
          <w:tcPr>
            <w:tcW w:type="dxa" w:w="1881"/>
          </w:tcPr>
          <w:p>
            <w:r/>
            <w:r>
              <w:rPr>
                <w:sz w:val="20"/>
              </w:rPr>
              <w:t>Historial visible de revocaciones de acceso</w:t>
            </w:r>
          </w:p>
        </w:tc>
        <w:tc>
          <w:tcPr>
            <w:tcW w:type="dxa" w:w="1881"/>
          </w:tcPr>
          <w:p>
            <w:r/>
            <w:r>
              <w:rPr>
                <w:sz w:val="20"/>
              </w:rPr>
              <w:t>Cursos → inscripciones</w:t>
            </w:r>
          </w:p>
        </w:tc>
        <w:tc>
          <w:tcPr>
            <w:tcW w:type="dxa" w:w="1881"/>
          </w:tcPr>
          <w:p>
            <w:r/>
            <w:r>
              <w:rPr>
                <w:sz w:val="20"/>
              </w:rPr>
              <w:t>Bajo</w:t>
            </w:r>
          </w:p>
        </w:tc>
        <w:tc>
          <w:tcPr>
            <w:tcW w:type="dxa" w:w="1881"/>
          </w:tcPr>
          <w:p>
            <w:r/>
            <w:r>
              <w:rPr>
                <w:sz w:val="20"/>
              </w:rPr>
              <w:t>Abierto</w:t>
            </w:r>
          </w:p>
        </w:tc>
        <w:tc>
          <w:tcPr>
            <w:tcW w:type="dxa" w:w="1881"/>
          </w:tcPr>
          <w:p>
            <w:r/>
            <w:r>
              <w:rPr>
                <w:sz w:val="20"/>
              </w:rPr>
              <w:t>El motivo de revocación queda solo en logs del servidor</w:t>
            </w:r>
          </w:p>
        </w:tc>
      </w:tr>
      <w:tr>
        <w:tc>
          <w:tcPr>
            <w:tcW w:type="dxa" w:w="1881"/>
          </w:tcPr>
          <w:p>
            <w:r/>
            <w:r>
              <w:rPr>
                <w:sz w:val="20"/>
              </w:rPr>
              <w:t>Enlace a inscripciones en el menú del panel</w:t>
            </w:r>
          </w:p>
        </w:tc>
        <w:tc>
          <w:tcPr>
            <w:tcW w:type="dxa" w:w="1881"/>
          </w:tcPr>
          <w:p>
            <w:r/>
            <w:r>
              <w:rPr>
                <w:sz w:val="20"/>
              </w:rPr>
              <w:t>/admin menú lateral</w:t>
            </w:r>
          </w:p>
        </w:tc>
        <w:tc>
          <w:tcPr>
            <w:tcW w:type="dxa" w:w="1881"/>
          </w:tcPr>
          <w:p>
            <w:r/>
            <w:r>
              <w:rPr>
                <w:sz w:val="20"/>
              </w:rPr>
              <w:t>Bajo</w:t>
            </w:r>
          </w:p>
        </w:tc>
        <w:tc>
          <w:tcPr>
            <w:tcW w:type="dxa" w:w="1881"/>
          </w:tcPr>
          <w:p>
            <w:r/>
            <w:r>
              <w:rPr>
                <w:sz w:val="20"/>
              </w:rPr>
              <w:t>Abierto</w:t>
            </w:r>
          </w:p>
        </w:tc>
        <w:tc>
          <w:tcPr>
            <w:tcW w:type="dxa" w:w="1881"/>
          </w:tcPr>
          <w:p>
            <w:r/>
            <w:r>
              <w:rPr>
                <w:sz w:val="20"/>
              </w:rPr>
              <w:t>Hoy se accede escribiendo la URL directamente</w:t>
            </w:r>
          </w:p>
        </w:tc>
      </w:tr>
    </w:tbl>
    <w:p>
      <w:pPr>
        <w:spacing w:after="80"/>
      </w:pPr>
    </w:p>
    <w:p>
      <w:pPr>
        <w:pStyle w:val="Heading2"/>
      </w:pPr>
      <w:r>
        <w:t>6.2 Tareas técnicas pendientes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B3A5C"/>
          </w:tcPr>
          <w:p>
            <w:r/>
            <w:r>
              <w:rPr>
                <w:b/>
                <w:color w:val="FFFFFF"/>
                <w:sz w:val="20"/>
              </w:rPr>
              <w:t>Qué</w:t>
            </w:r>
          </w:p>
        </w:tc>
        <w:tc>
          <w:tcPr>
            <w:tcW w:type="dxa" w:w="1881"/>
            <w:shd w:val="clear" w:color="auto" w:fill="1B3A5C"/>
          </w:tcPr>
          <w:p>
            <w:r/>
            <w:r>
              <w:rPr>
                <w:b/>
                <w:color w:val="FFFFFF"/>
                <w:sz w:val="20"/>
              </w:rPr>
              <w:t>Dónde</w:t>
            </w:r>
          </w:p>
        </w:tc>
        <w:tc>
          <w:tcPr>
            <w:tcW w:type="dxa" w:w="1881"/>
            <w:shd w:val="clear" w:color="auto" w:fill="1B3A5C"/>
          </w:tcPr>
          <w:p>
            <w:r/>
            <w:r>
              <w:rPr>
                <w:b/>
                <w:color w:val="FFFFFF"/>
                <w:sz w:val="20"/>
              </w:rPr>
              <w:t>Impacto</w:t>
            </w:r>
          </w:p>
        </w:tc>
        <w:tc>
          <w:tcPr>
            <w:tcW w:type="dxa" w:w="1881"/>
            <w:shd w:val="clear" w:color="auto" w:fill="1B3A5C"/>
          </w:tcPr>
          <w:p>
            <w:r/>
            <w:r>
              <w:rPr>
                <w:b/>
                <w:color w:val="FFFFFF"/>
                <w:sz w:val="20"/>
              </w:rPr>
              <w:t>Estado</w:t>
            </w:r>
          </w:p>
        </w:tc>
        <w:tc>
          <w:tcPr>
            <w:tcW w:type="dxa" w:w="1881"/>
            <w:shd w:val="clear" w:color="auto" w:fill="1B3A5C"/>
          </w:tcPr>
          <w:p>
            <w:r/>
            <w:r>
              <w:rPr>
                <w:b/>
                <w:color w:val="FFFFFF"/>
                <w:sz w:val="20"/>
              </w:rPr>
              <w:t>Nota</w:t>
            </w:r>
          </w:p>
        </w:tc>
      </w:tr>
      <w:tr>
        <w:tc>
          <w:tcPr>
            <w:tcW w:type="dxa" w:w="1881"/>
          </w:tcPr>
          <w:p>
            <w:r/>
            <w:r>
              <w:rPr>
                <w:sz w:val="20"/>
              </w:rPr>
              <w:t>Configurar cron/disparador de recordatorios de cuotas</w:t>
            </w:r>
          </w:p>
        </w:tc>
        <w:tc>
          <w:tcPr>
            <w:tcW w:type="dxa" w:w="1881"/>
          </w:tcPr>
          <w:p>
            <w:r/>
            <w:r>
              <w:rPr>
                <w:sz w:val="20"/>
              </w:rPr>
              <w:t>Infraestructura (Dokploy/VPS)</w:t>
            </w:r>
          </w:p>
        </w:tc>
        <w:tc>
          <w:tcPr>
            <w:tcW w:type="dxa" w:w="1881"/>
          </w:tcPr>
          <w:p>
            <w:r/>
            <w:r>
              <w:rPr>
                <w:sz w:val="20"/>
              </w:rPr>
              <w:t>Alto</w:t>
            </w:r>
          </w:p>
        </w:tc>
        <w:tc>
          <w:tcPr>
            <w:tcW w:type="dxa" w:w="1881"/>
          </w:tcPr>
          <w:p>
            <w:r/>
            <w:r>
              <w:rPr>
                <w:sz w:val="20"/>
              </w:rPr>
              <w:t>Abierto</w:t>
            </w:r>
          </w:p>
        </w:tc>
        <w:tc>
          <w:tcPr>
            <w:tcW w:type="dxa" w:w="1881"/>
          </w:tcPr>
          <w:p>
            <w:r/>
            <w:r>
              <w:rPr>
                <w:sz w:val="20"/>
              </w:rPr>
              <w:t>La lógica de correos está lista; sin el disparador los recordatorios no se envían</w:t>
            </w:r>
          </w:p>
        </w:tc>
      </w:tr>
      <w:tr>
        <w:tc>
          <w:tcPr>
            <w:tcW w:type="dxa" w:w="1881"/>
          </w:tcPr>
          <w:p>
            <w:r/>
            <w:r>
              <w:rPr>
                <w:sz w:val="20"/>
              </w:rPr>
              <w:t>Auditoría de cambios manuales de estado</w:t>
            </w:r>
          </w:p>
        </w:tc>
        <w:tc>
          <w:tcPr>
            <w:tcW w:type="dxa" w:w="1881"/>
          </w:tcPr>
          <w:p>
            <w:r/>
            <w:r>
              <w:rPr>
                <w:sz w:val="20"/>
              </w:rPr>
              <w:t>courseEnrollment</w:t>
            </w:r>
          </w:p>
        </w:tc>
        <w:tc>
          <w:tcPr>
            <w:tcW w:type="dxa" w:w="1881"/>
          </w:tcPr>
          <w:p>
            <w:r/>
            <w:r>
              <w:rPr>
                <w:sz w:val="20"/>
              </w:rPr>
              <w:t>Medio</w:t>
            </w:r>
          </w:p>
        </w:tc>
        <w:tc>
          <w:tcPr>
            <w:tcW w:type="dxa" w:w="1881"/>
          </w:tcPr>
          <w:p>
            <w:r/>
            <w:r>
              <w:rPr>
                <w:sz w:val="20"/>
              </w:rPr>
              <w:t>Bloqueado</w:t>
            </w:r>
          </w:p>
        </w:tc>
        <w:tc>
          <w:tcPr>
            <w:tcW w:type="dxa" w:w="1881"/>
          </w:tcPr>
          <w:p>
            <w:r/>
            <w:r>
              <w:rPr>
                <w:sz w:val="20"/>
              </w:rPr>
              <w:t>Depende de la decisión de alcance del ítem anterior</w:t>
            </w:r>
          </w:p>
        </w:tc>
      </w:tr>
      <w:tr>
        <w:tc>
          <w:tcPr>
            <w:tcW w:type="dxa" w:w="1881"/>
          </w:tcPr>
          <w:p>
            <w:r/>
            <w:r>
              <w:rPr>
                <w:sz w:val="20"/>
              </w:rPr>
              <w:t>.env.example incompleto</w:t>
            </w:r>
          </w:p>
        </w:tc>
        <w:tc>
          <w:tcPr>
            <w:tcW w:type="dxa" w:w="1881"/>
          </w:tcPr>
          <w:p>
            <w:r/>
            <w:r>
              <w:rPr>
                <w:sz w:val="20"/>
              </w:rPr>
              <w:t>Raíz del repo</w:t>
            </w:r>
          </w:p>
        </w:tc>
        <w:tc>
          <w:tcPr>
            <w:tcW w:type="dxa" w:w="1881"/>
          </w:tcPr>
          <w:p>
            <w:r/>
            <w:r>
              <w:rPr>
                <w:sz w:val="20"/>
              </w:rPr>
              <w:t>Bajo</w:t>
            </w:r>
          </w:p>
        </w:tc>
        <w:tc>
          <w:tcPr>
            <w:tcW w:type="dxa" w:w="1881"/>
          </w:tcPr>
          <w:p>
            <w:r/>
            <w:r>
              <w:rPr>
                <w:sz w:val="20"/>
              </w:rPr>
              <w:t>Abierto</w:t>
            </w:r>
          </w:p>
        </w:tc>
        <w:tc>
          <w:tcPr>
            <w:tcW w:type="dxa" w:w="1881"/>
          </w:tcPr>
          <w:p>
            <w:r/>
            <w:r>
              <w:rPr>
                <w:sz w:val="20"/>
              </w:rPr>
              <w:t>La lista real está en el capítulo 4.3</w:t>
            </w:r>
          </w:p>
        </w:tc>
      </w:tr>
      <w:tr>
        <w:tc>
          <w:tcPr>
            <w:tcW w:type="dxa" w:w="1881"/>
          </w:tcPr>
          <w:p>
            <w:r/>
            <w:r>
              <w:rPr>
                <w:sz w:val="20"/>
              </w:rPr>
              <w:t>Task test en Turborepo / cobertura amplia</w:t>
            </w:r>
          </w:p>
        </w:tc>
        <w:tc>
          <w:tcPr>
            <w:tcW w:type="dxa" w:w="1881"/>
          </w:tcPr>
          <w:p>
            <w:r/>
            <w:r>
              <w:rPr>
                <w:sz w:val="20"/>
              </w:rPr>
              <w:t>turbo.json</w:t>
            </w:r>
          </w:p>
        </w:tc>
        <w:tc>
          <w:tcPr>
            <w:tcW w:type="dxa" w:w="1881"/>
          </w:tcPr>
          <w:p>
            <w:r/>
            <w:r>
              <w:rPr>
                <w:sz w:val="20"/>
              </w:rPr>
              <w:t>Medio</w:t>
            </w:r>
          </w:p>
        </w:tc>
        <w:tc>
          <w:tcPr>
            <w:tcW w:type="dxa" w:w="1881"/>
          </w:tcPr>
          <w:p>
            <w:r/>
            <w:r>
              <w:rPr>
                <w:sz w:val="20"/>
              </w:rPr>
              <w:t>Abierto</w:t>
            </w:r>
          </w:p>
        </w:tc>
        <w:tc>
          <w:tcPr>
            <w:tcW w:type="dxa" w:w="1881"/>
          </w:tcPr>
          <w:p>
            <w:r/>
            <w:r>
              <w:rPr>
                <w:sz w:val="20"/>
              </w:rPr>
              <w:t>Solo 2 archivos de test, en packages/api. Pagos, auth y lógica de dinero deben tener test antes de tocarse</w:t>
            </w:r>
          </w:p>
        </w:tc>
      </w:tr>
      <w:tr>
        <w:tc>
          <w:tcPr>
            <w:tcW w:type="dxa" w:w="1881"/>
          </w:tcPr>
          <w:p>
            <w:r/>
            <w:r>
              <w:rPr>
                <w:sz w:val="20"/>
              </w:rPr>
              <w:t>Endpoints admin sin chequeo de rol (solo sesión)</w:t>
            </w:r>
          </w:p>
        </w:tc>
        <w:tc>
          <w:tcPr>
            <w:tcW w:type="dxa" w:w="1881"/>
          </w:tcPr>
          <w:p>
            <w:r/>
            <w:r>
              <w:rPr>
                <w:sz w:val="20"/>
              </w:rPr>
              <w:t>packages/api (varios)</w:t>
            </w:r>
          </w:p>
        </w:tc>
        <w:tc>
          <w:tcPr>
            <w:tcW w:type="dxa" w:w="1881"/>
          </w:tcPr>
          <w:p>
            <w:r/>
            <w:r>
              <w:rPr>
                <w:sz w:val="20"/>
              </w:rPr>
              <w:t>Alto</w:t>
            </w:r>
          </w:p>
        </w:tc>
        <w:tc>
          <w:tcPr>
            <w:tcW w:type="dxa" w:w="1881"/>
          </w:tcPr>
          <w:p>
            <w:r/>
            <w:r>
              <w:rPr>
                <w:sz w:val="20"/>
              </w:rPr>
              <w:t>Abierto</w:t>
            </w:r>
          </w:p>
        </w:tc>
        <w:tc>
          <w:tcPr>
            <w:tcW w:type="dxa" w:w="1881"/>
          </w:tcPr>
          <w:p>
            <w:r/>
            <w:r>
              <w:rPr>
                <w:sz w:val="20"/>
              </w:rPr>
              <w:t>auth: true valida sesión pero no permisos por módulo en varios endpoints admin</w:t>
            </w:r>
          </w:p>
        </w:tc>
      </w:tr>
    </w:tbl>
    <w:p>
      <w:pPr>
        <w:spacing w:after="80"/>
      </w:pPr>
    </w:p>
    <w:p>
      <w:pPr>
        <w:pStyle w:val="Heading2"/>
      </w:pPr>
      <w:r>
        <w:t>6.3 Bugs abiertos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1B3A5C"/>
          </w:tcPr>
          <w:p>
            <w:r/>
            <w:r>
              <w:rPr>
                <w:b/>
                <w:color w:val="FFFFFF"/>
                <w:sz w:val="20"/>
              </w:rPr>
              <w:t>Qué</w:t>
            </w:r>
          </w:p>
        </w:tc>
        <w:tc>
          <w:tcPr>
            <w:tcW w:type="dxa" w:w="1881"/>
            <w:shd w:val="clear" w:color="auto" w:fill="1B3A5C"/>
          </w:tcPr>
          <w:p>
            <w:r/>
            <w:r>
              <w:rPr>
                <w:b/>
                <w:color w:val="FFFFFF"/>
                <w:sz w:val="20"/>
              </w:rPr>
              <w:t>Dónde</w:t>
            </w:r>
          </w:p>
        </w:tc>
        <w:tc>
          <w:tcPr>
            <w:tcW w:type="dxa" w:w="1881"/>
            <w:shd w:val="clear" w:color="auto" w:fill="1B3A5C"/>
          </w:tcPr>
          <w:p>
            <w:r/>
            <w:r>
              <w:rPr>
                <w:b/>
                <w:color w:val="FFFFFF"/>
                <w:sz w:val="20"/>
              </w:rPr>
              <w:t>Impacto</w:t>
            </w:r>
          </w:p>
        </w:tc>
        <w:tc>
          <w:tcPr>
            <w:tcW w:type="dxa" w:w="1881"/>
            <w:shd w:val="clear" w:color="auto" w:fill="1B3A5C"/>
          </w:tcPr>
          <w:p>
            <w:r/>
            <w:r>
              <w:rPr>
                <w:b/>
                <w:color w:val="FFFFFF"/>
                <w:sz w:val="20"/>
              </w:rPr>
              <w:t>Estado</w:t>
            </w:r>
          </w:p>
        </w:tc>
        <w:tc>
          <w:tcPr>
            <w:tcW w:type="dxa" w:w="1881"/>
            <w:shd w:val="clear" w:color="auto" w:fill="1B3A5C"/>
          </w:tcPr>
          <w:p>
            <w:r/>
            <w:r>
              <w:rPr>
                <w:b/>
                <w:color w:val="FFFFFF"/>
                <w:sz w:val="20"/>
              </w:rPr>
              <w:t>Nota</w:t>
            </w:r>
          </w:p>
        </w:tc>
      </w:tr>
      <w:tr>
        <w:tc>
          <w:tcPr>
            <w:tcW w:type="dxa" w:w="1881"/>
          </w:tcPr>
          <w:p>
            <w:r/>
            <w:r>
              <w:rPr>
                <w:sz w:val="20"/>
              </w:rPr>
              <w:t>[COMPLETAR: bug real]</w:t>
            </w:r>
          </w:p>
        </w:tc>
        <w:tc>
          <w:tcPr>
            <w:tcW w:type="dxa" w:w="1881"/>
          </w:tcPr>
          <w:p>
            <w:r/>
            <w:r>
              <w:rPr>
                <w:sz w:val="20"/>
              </w:rPr>
              <w:t>—</w:t>
            </w:r>
          </w:p>
        </w:tc>
        <w:tc>
          <w:tcPr>
            <w:tcW w:type="dxa" w:w="1881"/>
          </w:tcPr>
          <w:p>
            <w:r/>
            <w:r>
              <w:rPr>
                <w:sz w:val="20"/>
              </w:rPr>
              <w:t>—</w:t>
            </w:r>
          </w:p>
        </w:tc>
        <w:tc>
          <w:tcPr>
            <w:tcW w:type="dxa" w:w="1881"/>
          </w:tcPr>
          <w:p>
            <w:r/>
            <w:r>
              <w:rPr>
                <w:sz w:val="20"/>
              </w:rPr>
              <w:t>Abierto</w:t>
            </w:r>
          </w:p>
        </w:tc>
        <w:tc>
          <w:tcPr>
            <w:tcW w:type="dxa" w:w="1881"/>
          </w:tcPr>
          <w:p>
            <w:r/>
            <w:r>
              <w:rPr>
                <w:sz w:val="20"/>
              </w:rPr>
              <w:t>Borrar esta plantilla y cargar los bugs reales conocidos al día de la entrega</w:t>
            </w:r>
          </w:p>
        </w:tc>
      </w:tr>
    </w:tbl>
    <w:p>
      <w:pPr>
        <w:spacing w:after="80"/>
      </w:pPr>
    </w:p>
    <w:p>
      <w:pPr>
        <w:spacing w:after="200"/>
        <w:ind w:left="170"/>
        <w:shd w:val="clear" w:color="auto" w:fill="FFF3CD"/>
      </w:pPr>
      <w:r>
        <w:rPr>
          <w:b/>
        </w:rPr>
        <w:t xml:space="preserve">Responsabilidad: </w:t>
      </w:r>
      <w:r>
        <w:t>Antes de la cesión, esta sección se revisa juntos (equipo que entrega + cliente) y se actualiza con el estado real. Nada de lo listado aquí está cubierto por la ventana de soporte de 30 días salvo acuerdo explícito.</w:t>
      </w:r>
    </w:p>
    <w:p>
      <w:r>
        <w:br w:type="page"/>
      </w:r>
    </w:p>
    <w:p>
      <w:pPr>
        <w:pStyle w:val="Heading1"/>
      </w:pPr>
      <w:r>
        <w:t>7. Cierre y checklist de entrega</w:t>
      </w:r>
    </w:p>
    <w:p>
      <w:pPr>
        <w:spacing w:after="120"/>
      </w:pPr>
      <w:r>
        <w:rPr>
          <w:b w:val="0"/>
          <w:i w:val="0"/>
          <w:sz w:val="22"/>
        </w:rPr>
        <w:t>Si un ítem no está marcado, no está entregado.</w:t>
      </w:r>
    </w:p>
    <w:p>
      <w:pPr>
        <w:spacing w:after="120"/>
      </w:pPr>
      <w:r>
        <w:rPr>
          <w:b w:val="0"/>
          <w:i w:val="0"/>
          <w:sz w:val="22"/>
        </w:rPr>
        <w:t xml:space="preserve">Fecha de cesión: </w:t>
      </w:r>
      <w:r>
        <w:rPr>
          <w:i/>
          <w:color w:val="B03A2E"/>
        </w:rPr>
        <w:t>[COMPLETAR]</w:t>
      </w:r>
    </w:p>
    <w:p>
      <w:pPr>
        <w:pStyle w:val="Heading2"/>
      </w:pPr>
      <w:r>
        <w:t>7.1 Paquete entregado</w:t>
      </w:r>
    </w:p>
    <w:p>
      <w:pPr>
        <w:spacing w:after="60"/>
        <w:ind w:left="340"/>
      </w:pPr>
      <w:r>
        <w:rPr>
          <w:sz w:val="24"/>
        </w:rPr>
        <w:t xml:space="preserve">☐  </w:t>
      </w:r>
      <w:r>
        <w:t>Repositorio GitHub: el cliente es owner.</w:t>
      </w:r>
    </w:p>
    <w:p>
      <w:pPr>
        <w:spacing w:after="60"/>
        <w:ind w:left="340"/>
      </w:pPr>
      <w:r>
        <w:rPr>
          <w:sz w:val="24"/>
        </w:rPr>
        <w:t xml:space="preserve">☐  </w:t>
      </w:r>
      <w:r>
        <w:t>Este manual (documento Word y/o sitio generado, URL donde quedó hospedado).</w:t>
      </w:r>
    </w:p>
    <w:p>
      <w:pPr>
        <w:spacing w:after="60"/>
        <w:ind w:left="340"/>
      </w:pPr>
      <w:r>
        <w:rPr>
          <w:sz w:val="24"/>
        </w:rPr>
        <w:t xml:space="preserve">☐  </w:t>
      </w:r>
      <w:r>
        <w:t>Gestor de contraseñas / Drive cifrado con las claves del inventario (capítulo 1).</w:t>
      </w:r>
    </w:p>
    <w:p>
      <w:pPr>
        <w:spacing w:after="60"/>
        <w:ind w:left="340"/>
      </w:pPr>
      <w:r>
        <w:rPr>
          <w:sz w:val="24"/>
        </w:rPr>
        <w:t xml:space="preserve">☐  </w:t>
      </w:r>
      <w:r>
        <w:t>Videos en Drive, o listados como pendientes (capítulo 5).</w:t>
      </w:r>
    </w:p>
    <w:p>
      <w:pPr>
        <w:spacing w:after="60"/>
        <w:ind w:left="340"/>
      </w:pPr>
      <w:r>
        <w:rPr>
          <w:sz w:val="24"/>
        </w:rPr>
        <w:t xml:space="preserve">☐  </w:t>
      </w:r>
      <w:r>
        <w:t>Dokploy: el cliente es owner del proyecto.</w:t>
      </w:r>
    </w:p>
    <w:p>
      <w:pPr>
        <w:spacing w:after="60"/>
        <w:ind w:left="340"/>
      </w:pPr>
      <w:r>
        <w:rPr>
          <w:sz w:val="24"/>
        </w:rPr>
        <w:t xml:space="preserve">☐  </w:t>
      </w:r>
      <w:r>
        <w:t>R2, Dropbox, Bold, PayPal, Google Cloud, SMTP, dominio/DNS: propietario = cliente (capítulo 1).</w:t>
      </w:r>
    </w:p>
    <w:p>
      <w:pPr>
        <w:pStyle w:val="Heading2"/>
      </w:pPr>
      <w:r>
        <w:t>7.2 Verificación técnica</w:t>
      </w:r>
    </w:p>
    <w:p>
      <w:pPr>
        <w:spacing w:after="60"/>
        <w:ind w:left="340"/>
      </w:pPr>
      <w:r>
        <w:rPr>
          <w:sz w:val="24"/>
        </w:rPr>
        <w:t xml:space="preserve">☐  </w:t>
      </w:r>
      <w:r>
        <w:t>joyerodigital.com abre (web + api).</w:t>
      </w:r>
    </w:p>
    <w:p>
      <w:pPr>
        <w:spacing w:after="60"/>
        <w:ind w:left="340"/>
      </w:pPr>
      <w:r>
        <w:rPr>
          <w:sz w:val="24"/>
        </w:rPr>
        <w:t xml:space="preserve">☐  </w:t>
      </w:r>
      <w:r>
        <w:t>Login con email y con Google.</w:t>
      </w:r>
    </w:p>
    <w:p>
      <w:pPr>
        <w:spacing w:after="60"/>
        <w:ind w:left="340"/>
      </w:pPr>
      <w:r>
        <w:rPr>
          <w:sz w:val="24"/>
        </w:rPr>
        <w:t xml:space="preserve">☐  </w:t>
      </w:r>
      <w:r>
        <w:t>Pago de prueba con Bold y con PayPal.</w:t>
      </w:r>
    </w:p>
    <w:p>
      <w:pPr>
        <w:spacing w:after="60"/>
        <w:ind w:left="340"/>
      </w:pPr>
      <w:r>
        <w:rPr>
          <w:sz w:val="24"/>
        </w:rPr>
        <w:t xml:space="preserve">☐  </w:t>
      </w:r>
      <w:r>
        <w:t>Subida de imagen (R2) y de modelo STL (Dropbox).</w:t>
      </w:r>
    </w:p>
    <w:p>
      <w:pPr>
        <w:spacing w:after="60"/>
        <w:ind w:left="340"/>
      </w:pPr>
      <w:r>
        <w:rPr>
          <w:sz w:val="24"/>
        </w:rPr>
        <w:t xml:space="preserve">☐  </w:t>
      </w:r>
      <w:r>
        <w:t>Llega el correo de acceso a curso / reset de contraseña.</w:t>
      </w:r>
    </w:p>
    <w:p>
      <w:pPr>
        <w:spacing w:after="60"/>
        <w:ind w:left="340"/>
      </w:pPr>
      <w:r>
        <w:rPr>
          <w:sz w:val="24"/>
        </w:rPr>
        <w:t xml:space="preserve">☐  </w:t>
      </w:r>
      <w:r>
        <w:t>Backup de Postgres documentado y probado con una restauración (capítulo 4.4).</w:t>
      </w:r>
    </w:p>
    <w:p>
      <w:pPr>
        <w:pStyle w:val="Heading2"/>
      </w:pPr>
      <w:r>
        <w:t>7.3 Verificación de negocio</w:t>
      </w:r>
    </w:p>
    <w:p>
      <w:pPr>
        <w:spacing w:after="60"/>
        <w:ind w:left="340"/>
      </w:pPr>
      <w:r>
        <w:rPr>
          <w:sz w:val="24"/>
        </w:rPr>
        <w:t xml:space="preserve">☐  </w:t>
      </w:r>
      <w:r>
        <w:t>El dueño completa al menos una receta del capítulo 3 (Operación) con acompañamiento.</w:t>
      </w:r>
    </w:p>
    <w:p>
      <w:pPr>
        <w:spacing w:after="60"/>
        <w:ind w:left="340"/>
      </w:pPr>
      <w:r>
        <w:rPr>
          <w:sz w:val="24"/>
        </w:rPr>
        <w:t xml:space="preserve">☐  </w:t>
      </w:r>
      <w:r>
        <w:t>Pendientes y deuda conocida (capítulo 6) revisado juntos, con estado real al día de hoy.</w:t>
      </w:r>
    </w:p>
    <w:p>
      <w:pPr>
        <w:spacing w:after="60"/>
        <w:ind w:left="340"/>
      </w:pPr>
      <w:r>
        <w:rPr>
          <w:sz w:val="24"/>
        </w:rPr>
        <w:t xml:space="preserve">☐  </w:t>
      </w:r>
      <w:r>
        <w:t>Alcance no incluido leído y entendido (funcionalidades abiertas + qué pasa después de los 30 días).</w:t>
      </w:r>
    </w:p>
    <w:p>
      <w:pPr>
        <w:pStyle w:val="Heading2"/>
      </w:pPr>
      <w:r>
        <w:t>7.4 Soporte post-entrega</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B3A5C"/>
          </w:tcPr>
          <w:p>
            <w:r/>
            <w:r>
              <w:rPr>
                <w:b/>
                <w:color w:val="FFFFFF"/>
                <w:sz w:val="20"/>
              </w:rPr>
              <w:t>Campo</w:t>
            </w:r>
          </w:p>
        </w:tc>
        <w:tc>
          <w:tcPr>
            <w:tcW w:type="dxa" w:w="4703"/>
            <w:shd w:val="clear" w:color="auto" w:fill="1B3A5C"/>
          </w:tcPr>
          <w:p>
            <w:r/>
            <w:r>
              <w:rPr>
                <w:b/>
                <w:color w:val="FFFFFF"/>
                <w:sz w:val="20"/>
              </w:rPr>
              <w:t>Detalle</w:t>
            </w:r>
          </w:p>
        </w:tc>
      </w:tr>
      <w:tr>
        <w:tc>
          <w:tcPr>
            <w:tcW w:type="dxa" w:w="4703"/>
          </w:tcPr>
          <w:p>
            <w:r/>
            <w:r>
              <w:rPr>
                <w:b/>
                <w:sz w:val="20"/>
              </w:rPr>
              <w:t>Inicio</w:t>
            </w:r>
          </w:p>
        </w:tc>
        <w:tc>
          <w:tcPr>
            <w:tcW w:type="dxa" w:w="4703"/>
          </w:tcPr>
          <w:p>
            <w:r/>
            <w:r>
              <w:rPr>
                <w:sz w:val="20"/>
              </w:rPr>
              <w:t>Día de la cesión</w:t>
            </w:r>
          </w:p>
        </w:tc>
      </w:tr>
      <w:tr>
        <w:tc>
          <w:tcPr>
            <w:tcW w:type="dxa" w:w="4703"/>
          </w:tcPr>
          <w:p>
            <w:r/>
            <w:r>
              <w:rPr>
                <w:b/>
                <w:sz w:val="20"/>
              </w:rPr>
              <w:t>Fin</w:t>
            </w:r>
          </w:p>
        </w:tc>
        <w:tc>
          <w:tcPr>
            <w:tcW w:type="dxa" w:w="4703"/>
          </w:tcPr>
          <w:p>
            <w:r/>
            <w:r>
              <w:rPr>
                <w:sz w:val="20"/>
              </w:rPr>
              <w:t>+30 días calendario</w:t>
            </w:r>
          </w:p>
        </w:tc>
      </w:tr>
      <w:tr>
        <w:tc>
          <w:tcPr>
            <w:tcW w:type="dxa" w:w="4703"/>
          </w:tcPr>
          <w:p>
            <w:r/>
            <w:r>
              <w:rPr>
                <w:b/>
                <w:sz w:val="20"/>
              </w:rPr>
              <w:t>Incluye</w:t>
            </w:r>
          </w:p>
        </w:tc>
        <w:tc>
          <w:tcPr>
            <w:tcW w:type="dxa" w:w="4703"/>
          </w:tcPr>
          <w:p>
            <w:r/>
            <w:r>
              <w:rPr>
                <w:sz w:val="20"/>
              </w:rPr>
              <w:t>Sitio caído, pagos rotos, problemas de deploy, dudas de «cómo se hace X en el panel»</w:t>
            </w:r>
          </w:p>
        </w:tc>
      </w:tr>
      <w:tr>
        <w:tc>
          <w:tcPr>
            <w:tcW w:type="dxa" w:w="4703"/>
          </w:tcPr>
          <w:p>
            <w:r/>
            <w:r>
              <w:rPr>
                <w:b/>
                <w:sz w:val="20"/>
              </w:rPr>
              <w:t>No incluye</w:t>
            </w:r>
          </w:p>
        </w:tc>
        <w:tc>
          <w:tcPr>
            <w:tcW w:type="dxa" w:w="4703"/>
          </w:tcPr>
          <w:p>
            <w:r/>
            <w:r>
              <w:rPr>
                <w:sz w:val="20"/>
              </w:rPr>
              <w:t>Funcionalidades nuevas, ítems de Pendientes (capítulo 6, salvo acuerdo aparte), cambios de alcance</w:t>
            </w:r>
          </w:p>
        </w:tc>
      </w:tr>
      <w:tr>
        <w:tc>
          <w:tcPr>
            <w:tcW w:type="dxa" w:w="4703"/>
          </w:tcPr>
          <w:p>
            <w:r/>
            <w:r>
              <w:rPr>
                <w:b/>
                <w:sz w:val="20"/>
              </w:rPr>
              <w:t>Canal</w:t>
            </w:r>
          </w:p>
        </w:tc>
        <w:tc>
          <w:tcPr>
            <w:tcW w:type="dxa" w:w="4703"/>
          </w:tcPr>
          <w:p>
            <w:r/>
            <w:r>
              <w:rPr>
                <w:sz w:val="20"/>
              </w:rPr>
              <w:t>[COMPLETAR: email / WhatsApp]</w:t>
            </w:r>
          </w:p>
        </w:tc>
      </w:tr>
      <w:tr>
        <w:tc>
          <w:tcPr>
            <w:tcW w:type="dxa" w:w="4703"/>
          </w:tcPr>
          <w:p>
            <w:r/>
            <w:r>
              <w:rPr>
                <w:b/>
                <w:sz w:val="20"/>
              </w:rPr>
              <w:t>Horario y tiempos de respuesta</w:t>
            </w:r>
          </w:p>
        </w:tc>
        <w:tc>
          <w:tcPr>
            <w:tcW w:type="dxa" w:w="4703"/>
          </w:tcPr>
          <w:p>
            <w:r/>
            <w:r>
              <w:rPr>
                <w:sz w:val="20"/>
              </w:rPr>
              <w:t>[COMPLETAR]</w:t>
            </w:r>
          </w:p>
        </w:tc>
      </w:tr>
    </w:tbl>
    <w:p>
      <w:pPr>
        <w:spacing w:after="80"/>
      </w:pPr>
    </w:p>
    <w:p>
      <w:pPr>
        <w:spacing w:after="120"/>
      </w:pPr>
      <w:r>
        <w:rPr>
          <w:b w:val="0"/>
          <w:i w:val="0"/>
          <w:sz w:val="22"/>
        </w:rPr>
        <w:t>Después de la ventana, cualquier intervención se cotiza como trabajo nuevo.</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3A5C"/>
      <w:sz w:val="4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3A5C"/>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B3A5C"/>
      <w:sz w:val="25"/>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1B3A5C"/>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