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b w:val="1"/>
          <w:bCs w:val="1"/>
          <w:sz w:val="32"/>
          <w:szCs w:val="32"/>
        </w:rPr>
      </w:pPr>
      <w:r w:rsidDel="00000000" w:rsidR="00000000" w:rsidRPr="00000000">
        <w:rPr>
          <w:b w:val="1"/>
          <w:bCs w:val="1"/>
          <w:sz w:val="32"/>
          <w:szCs w:val="32"/>
          <w:rtl w:val="0"/>
        </w:rPr>
        <w:t xml:space="preserve">Transaction Monitoring Dashboard—Grafana-Inspired Analysis</w:t>
      </w:r>
    </w:p>
    <w:p w:rsidR="00000000" w:rsidDel="00000000" w:rsidP="00000000" w:rsidRDefault="00000000" w:rsidRPr="00000000" w14:paraId="00000002">
      <w:pPr>
        <w:spacing w:after="200" w:lineRule="auto"/>
        <w:rPr/>
      </w:pPr>
      <w:r w:rsidDel="00000000" w:rsidR="00000000" w:rsidRPr="00000000">
        <w:rPr>
          <w:rtl w:val="0"/>
        </w:rPr>
        <w:t xml:space="preserve"> </w:t>
      </w:r>
    </w:p>
    <w:p w:rsidR="00000000" w:rsidDel="00000000" w:rsidP="00000000" w:rsidRDefault="00000000" w:rsidRPr="00000000" w14:paraId="00000003">
      <w:pPr>
        <w:spacing w:after="200" w:lineRule="auto"/>
        <w:rPr>
          <w:b w:val="1"/>
          <w:bCs w:val="1"/>
          <w:sz w:val="32"/>
          <w:szCs w:val="32"/>
        </w:rPr>
      </w:pPr>
      <w:r w:rsidDel="00000000" w:rsidR="00000000" w:rsidRPr="00000000">
        <w:rPr>
          <w:b w:val="1"/>
          <w:bCs w:val="1"/>
          <w:sz w:val="32"/>
          <w:szCs w:val="32"/>
          <w:rtl w:val="0"/>
        </w:rPr>
        <w:t xml:space="preserve">Introduction</w:t>
      </w:r>
    </w:p>
    <w:p w:rsidR="00000000" w:rsidDel="00000000" w:rsidP="00000000" w:rsidRDefault="00000000" w:rsidRPr="00000000" w14:paraId="00000004">
      <w:pPr>
        <w:spacing w:after="200" w:lineRule="auto"/>
        <w:rPr>
          <w:sz w:val="24"/>
          <w:szCs w:val="24"/>
        </w:rPr>
      </w:pPr>
      <w:r w:rsidDel="00000000" w:rsidR="00000000" w:rsidRPr="00000000">
        <w:rPr>
          <w:sz w:val="24"/>
          <w:szCs w:val="24"/>
          <w:rtl w:val="0"/>
        </w:rPr>
        <w:t xml:space="preserve">This project demonstrates how transaction monitoring operates within fintech companies.</w:t>
        <w:br w:type="textWrapping"/>
        <w:t xml:space="preserve"> Using Excel and a financial dataset, I developed a dashboard that tracks transaction activity, monitors key performance metrics, and generates alerts when predefined thresholds are exceeded.</w:t>
      </w:r>
    </w:p>
    <w:p w:rsidR="00000000" w:rsidDel="00000000" w:rsidP="00000000" w:rsidRDefault="00000000" w:rsidRPr="00000000" w14:paraId="00000005">
      <w:pPr>
        <w:spacing w:after="200" w:lineRule="auto"/>
        <w:rPr>
          <w:b w:val="1"/>
          <w:bCs w:val="1"/>
          <w:sz w:val="32"/>
          <w:szCs w:val="32"/>
        </w:rPr>
      </w:pPr>
      <w:r w:rsidDel="00000000" w:rsidR="00000000" w:rsidRPr="00000000">
        <w:rPr>
          <w:b w:val="1"/>
          <w:bCs w:val="1"/>
          <w:sz w:val="32"/>
          <w:szCs w:val="32"/>
          <w:rtl w:val="0"/>
        </w:rPr>
        <w:t xml:space="preserve">Dataset Overview</w:t>
      </w:r>
    </w:p>
    <w:p w:rsidR="00000000" w:rsidDel="00000000" w:rsidP="00000000" w:rsidRDefault="00000000" w:rsidRPr="00000000" w14:paraId="00000006">
      <w:pPr>
        <w:spacing w:after="200" w:lineRule="auto"/>
        <w:rPr>
          <w:sz w:val="24"/>
          <w:szCs w:val="24"/>
        </w:rPr>
      </w:pPr>
      <w:r w:rsidDel="00000000" w:rsidR="00000000" w:rsidRPr="00000000">
        <w:rPr>
          <w:sz w:val="24"/>
          <w:szCs w:val="24"/>
          <w:rtl w:val="0"/>
        </w:rPr>
        <w:t xml:space="preserve">This project utilises a publicly available financial transaction dataset designed to simulate real-world fintech transaction activities. The dataset contains structured records of transactions, including attributes such as transaction amount, transaction type date, and other relevant indicators used for monitoring financial behavior.</w:t>
        <w:br w:type="textWrapping"/>
        <w:t xml:space="preserve"> The dataset represents typical banking or fintech operations and is suitable for analysing transaction patterns, identifying anomalies, and tracking key performance metrics. It serves as the foundation for building a transaction monitoring dashboard that mimics real-world financial monitoring systems.</w:t>
      </w:r>
    </w:p>
    <w:p w:rsidR="00000000" w:rsidDel="00000000" w:rsidP="00000000" w:rsidRDefault="00000000" w:rsidRPr="00000000" w14:paraId="00000007">
      <w:pPr>
        <w:spacing w:after="200" w:lineRule="auto"/>
        <w:rPr>
          <w:b w:val="1"/>
          <w:bCs w:val="1"/>
          <w:sz w:val="32"/>
          <w:szCs w:val="32"/>
        </w:rPr>
      </w:pPr>
      <w:r w:rsidDel="00000000" w:rsidR="00000000" w:rsidRPr="00000000">
        <w:rPr>
          <w:b w:val="1"/>
          <w:bCs w:val="1"/>
          <w:sz w:val="32"/>
          <w:szCs w:val="32"/>
          <w:rtl w:val="0"/>
        </w:rPr>
        <w:t xml:space="preserve">Tools used</w:t>
      </w:r>
    </w:p>
    <w:p w:rsidR="00000000" w:rsidDel="00000000" w:rsidP="00000000" w:rsidRDefault="00000000" w:rsidRPr="00000000" w14:paraId="00000008">
      <w:pPr>
        <w:spacing w:after="200" w:lineRule="auto"/>
        <w:rPr>
          <w:sz w:val="24"/>
          <w:szCs w:val="24"/>
        </w:rPr>
      </w:pPr>
      <w:r w:rsidDel="00000000" w:rsidR="00000000" w:rsidRPr="00000000">
        <w:rPr>
          <w:sz w:val="24"/>
          <w:szCs w:val="24"/>
          <w:rtl w:val="0"/>
        </w:rPr>
        <w:t xml:space="preserve">Microsoft Excel—Pivot Tables, Formulas, Conditional Formatting, Charts</w:t>
      </w:r>
    </w:p>
    <w:p w:rsidR="00000000" w:rsidDel="00000000" w:rsidP="00000000" w:rsidRDefault="00000000" w:rsidRPr="00000000" w14:paraId="00000009">
      <w:pPr>
        <w:spacing w:after="200" w:lineRule="auto"/>
        <w:rPr>
          <w:b w:val="1"/>
          <w:bCs w:val="1"/>
          <w:sz w:val="32"/>
          <w:szCs w:val="32"/>
        </w:rPr>
      </w:pPr>
      <w:r w:rsidDel="00000000" w:rsidR="00000000" w:rsidRPr="00000000">
        <w:rPr>
          <w:b w:val="1"/>
          <w:bCs w:val="1"/>
          <w:sz w:val="32"/>
          <w:szCs w:val="32"/>
          <w:rtl w:val="0"/>
        </w:rPr>
        <w:t xml:space="preserve">Methodology</w:t>
      </w:r>
    </w:p>
    <w:p w:rsidR="00000000" w:rsidDel="00000000" w:rsidP="00000000" w:rsidRDefault="00000000" w:rsidRPr="00000000" w14:paraId="0000000A">
      <w:pPr>
        <w:spacing w:after="200" w:lineRule="auto"/>
        <w:rPr>
          <w:sz w:val="24"/>
          <w:szCs w:val="24"/>
        </w:rPr>
      </w:pPr>
      <w:r w:rsidDel="00000000" w:rsidR="00000000" w:rsidRPr="00000000">
        <w:rPr>
          <w:sz w:val="24"/>
          <w:szCs w:val="24"/>
          <w:rtl w:val="0"/>
        </w:rPr>
        <w:t xml:space="preserve">This project was carried out in a structured way to build a transaction monitoring dashboard using Excel.</w:t>
      </w:r>
    </w:p>
    <w:p w:rsidR="00000000" w:rsidDel="00000000" w:rsidP="00000000" w:rsidRDefault="00000000" w:rsidRPr="00000000" w14:paraId="0000000B">
      <w:pPr>
        <w:spacing w:after="200" w:lineRule="auto"/>
        <w:rPr>
          <w:sz w:val="24"/>
          <w:szCs w:val="24"/>
        </w:rPr>
      </w:pPr>
      <w:r w:rsidDel="00000000" w:rsidR="00000000" w:rsidRPr="00000000">
        <w:rPr>
          <w:sz w:val="24"/>
          <w:szCs w:val="24"/>
          <w:rtl w:val="0"/>
        </w:rPr>
        <w:t xml:space="preserve">The dataset was reviewed to understand its structure, including transaction amounts, dates and categories. This helped identify the key fields required for analysis.</w:t>
      </w:r>
    </w:p>
    <w:p w:rsidR="00000000" w:rsidDel="00000000" w:rsidP="00000000" w:rsidRDefault="00000000" w:rsidRPr="00000000" w14:paraId="0000000C">
      <w:pPr>
        <w:spacing w:after="200" w:lineRule="auto"/>
        <w:rPr>
          <w:sz w:val="24"/>
          <w:szCs w:val="24"/>
        </w:rPr>
      </w:pPr>
      <w:r w:rsidDel="00000000" w:rsidR="00000000" w:rsidRPr="00000000">
        <w:rPr>
          <w:sz w:val="24"/>
          <w:szCs w:val="24"/>
          <w:rtl w:val="0"/>
        </w:rPr>
        <w:t xml:space="preserve">The Excel workbook was structured into separate sheets for raw data, calculations, metrics, and the dashboard to ensure proper organisation and ease of analysis.</w:t>
      </w:r>
    </w:p>
    <w:p w:rsidR="00000000" w:rsidDel="00000000" w:rsidP="00000000" w:rsidRDefault="00000000" w:rsidRPr="00000000" w14:paraId="0000000D">
      <w:pPr>
        <w:spacing w:after="200" w:lineRule="auto"/>
        <w:rPr>
          <w:sz w:val="24"/>
          <w:szCs w:val="24"/>
        </w:rPr>
      </w:pPr>
      <w:r w:rsidDel="00000000" w:rsidR="00000000" w:rsidRPr="00000000">
        <w:rPr>
          <w:sz w:val="24"/>
          <w:szCs w:val="24"/>
          <w:rtl w:val="0"/>
        </w:rPr>
        <w:t xml:space="preserve">Key metrics were defined to support transaction monitoring, including total transaction value, average transaction amount and identification of high-value or unusual transactions. Excel formulas were used to compute these metrics and flag transactions that exceeded a defined threshold.</w:t>
      </w:r>
    </w:p>
    <w:p w:rsidR="00000000" w:rsidDel="00000000" w:rsidP="00000000" w:rsidRDefault="00000000" w:rsidRPr="00000000" w14:paraId="0000000E">
      <w:pPr>
        <w:spacing w:after="200" w:lineRule="auto"/>
        <w:rPr>
          <w:sz w:val="24"/>
          <w:szCs w:val="24"/>
        </w:rPr>
      </w:pPr>
      <w:r w:rsidDel="00000000" w:rsidR="00000000" w:rsidRPr="00000000">
        <w:rPr>
          <w:sz w:val="24"/>
          <w:szCs w:val="24"/>
          <w:rtl w:val="0"/>
        </w:rPr>
        <w:t xml:space="preserve">Finally, visualisations such as charts and summary tables were created in the dashboard sheet to present the results clearly and make it easier to observe patterns and monitor transaction activity. The analysis was performed on a static dataset and does not reflect real-time transaction updates.</w:t>
      </w:r>
    </w:p>
    <w:p w:rsidR="00000000" w:rsidDel="00000000" w:rsidP="00000000" w:rsidRDefault="00000000" w:rsidRPr="00000000" w14:paraId="0000000F">
      <w:pPr>
        <w:spacing w:after="200" w:lineRule="auto"/>
        <w:rPr/>
      </w:pPr>
      <w:r w:rsidDel="00000000" w:rsidR="00000000" w:rsidRPr="00000000">
        <w:rPr>
          <w:rtl w:val="0"/>
        </w:rPr>
        <w:t xml:space="preserve"> </w:t>
      </w:r>
    </w:p>
    <w:p w:rsidR="00000000" w:rsidDel="00000000" w:rsidP="00000000" w:rsidRDefault="00000000" w:rsidRPr="00000000" w14:paraId="00000010">
      <w:pPr>
        <w:spacing w:after="200" w:lineRule="auto"/>
        <w:rPr>
          <w:b w:val="1"/>
          <w:bCs w:val="1"/>
          <w:sz w:val="32"/>
          <w:szCs w:val="32"/>
        </w:rPr>
      </w:pPr>
      <w:r w:rsidDel="00000000" w:rsidR="00000000" w:rsidRPr="00000000">
        <w:rPr>
          <w:b w:val="1"/>
          <w:bCs w:val="1"/>
          <w:sz w:val="32"/>
          <w:szCs w:val="32"/>
          <w:rtl w:val="0"/>
        </w:rPr>
        <w:t xml:space="preserve">Metrics Monitored</w:t>
      </w:r>
    </w:p>
    <w:p w:rsidR="00000000" w:rsidDel="00000000" w:rsidP="00000000" w:rsidRDefault="00000000" w:rsidRPr="00000000" w14:paraId="00000011">
      <w:pPr>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Total Transactions</w:t>
      </w:r>
    </w:p>
    <w:p w:rsidR="00000000" w:rsidDel="00000000" w:rsidP="00000000" w:rsidRDefault="00000000" w:rsidRPr="00000000" w14:paraId="00000012">
      <w:pPr>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Success Rate</w:t>
      </w:r>
    </w:p>
    <w:p w:rsidR="00000000" w:rsidDel="00000000" w:rsidP="00000000" w:rsidRDefault="00000000" w:rsidRPr="00000000" w14:paraId="00000013">
      <w:pPr>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Failure Rate</w:t>
      </w:r>
    </w:p>
    <w:p w:rsidR="00000000" w:rsidDel="00000000" w:rsidP="00000000" w:rsidRDefault="00000000" w:rsidRPr="00000000" w14:paraId="00000014">
      <w:pPr>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Fraud Rate</w:t>
      </w:r>
    </w:p>
    <w:p w:rsidR="00000000" w:rsidDel="00000000" w:rsidP="00000000" w:rsidRDefault="00000000" w:rsidRPr="00000000" w14:paraId="00000015">
      <w:pPr>
        <w:ind w:left="720" w:firstLine="0"/>
        <w:rPr>
          <w:sz w:val="24"/>
          <w:szCs w:val="24"/>
        </w:rPr>
      </w:pPr>
      <w:r w:rsidDel="00000000" w:rsidR="00000000" w:rsidRPr="00000000">
        <w:rPr>
          <w:sz w:val="24"/>
          <w:szCs w:val="24"/>
          <w:rtl w:val="0"/>
        </w:rPr>
        <w:t xml:space="preserve">Threshold Applied</w:t>
      </w:r>
    </w:p>
    <w:p w:rsidR="00000000" w:rsidDel="00000000" w:rsidP="00000000" w:rsidRDefault="00000000" w:rsidRPr="00000000" w14:paraId="00000016">
      <w:pPr>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Maximum Failure Rate:5%</w:t>
      </w:r>
    </w:p>
    <w:p w:rsidR="00000000" w:rsidDel="00000000" w:rsidP="00000000" w:rsidRDefault="00000000" w:rsidRPr="00000000" w14:paraId="00000017">
      <w:pPr>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Maximum Fraud Rate:2%</w:t>
      </w:r>
    </w:p>
    <w:p w:rsidR="00000000" w:rsidDel="00000000" w:rsidP="00000000" w:rsidRDefault="00000000" w:rsidRPr="00000000" w14:paraId="00000018">
      <w:pPr>
        <w:spacing w:after="200" w:lineRule="auto"/>
        <w:ind w:left="720" w:firstLine="0"/>
        <w:rPr/>
      </w:pPr>
      <w:r w:rsidDel="00000000" w:rsidR="00000000" w:rsidRPr="00000000">
        <w:rPr>
          <w:rtl w:val="0"/>
        </w:rPr>
        <w:t xml:space="preserve"> </w:t>
      </w:r>
    </w:p>
    <w:p w:rsidR="00000000" w:rsidDel="00000000" w:rsidP="00000000" w:rsidRDefault="00000000" w:rsidRPr="00000000" w14:paraId="00000019">
      <w:pPr>
        <w:spacing w:after="200" w:lineRule="auto"/>
        <w:rPr>
          <w:b w:val="1"/>
          <w:bCs w:val="1"/>
          <w:sz w:val="32"/>
          <w:szCs w:val="32"/>
        </w:rPr>
      </w:pPr>
      <w:r w:rsidDel="00000000" w:rsidR="00000000" w:rsidRPr="00000000">
        <w:rPr>
          <w:b w:val="1"/>
          <w:bCs w:val="1"/>
          <w:sz w:val="32"/>
          <w:szCs w:val="32"/>
          <w:rtl w:val="0"/>
        </w:rPr>
        <w:t xml:space="preserve">Key Findings</w:t>
      </w:r>
    </w:p>
    <w:p w:rsidR="00000000" w:rsidDel="00000000" w:rsidP="00000000" w:rsidRDefault="00000000" w:rsidRPr="00000000" w14:paraId="0000001A">
      <w:pPr>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CASH OUT transactions recorded the highest transaction volume</w:t>
      </w:r>
    </w:p>
    <w:p w:rsidR="00000000" w:rsidDel="00000000" w:rsidP="00000000" w:rsidRDefault="00000000" w:rsidRPr="00000000" w14:paraId="0000001B">
      <w:pPr>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Failure rate crossed the 5% threshold—ALERT triggered.</w:t>
      </w:r>
    </w:p>
    <w:p w:rsidR="00000000" w:rsidDel="00000000" w:rsidP="00000000" w:rsidRDefault="00000000" w:rsidRPr="00000000" w14:paraId="0000001C">
      <w:pPr>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Fraud rate monitoring is applied similarly to the Grafana alerting system</w:t>
      </w:r>
    </w:p>
    <w:p w:rsidR="00000000" w:rsidDel="00000000" w:rsidP="00000000" w:rsidRDefault="00000000" w:rsidRPr="00000000" w14:paraId="0000001D">
      <w:pPr>
        <w:ind w:left="720" w:firstLine="0"/>
        <w:rPr/>
      </w:pPr>
      <w:r w:rsidDel="00000000" w:rsidR="00000000" w:rsidRPr="00000000">
        <w:rPr>
          <w:rtl w:val="0"/>
        </w:rPr>
        <w:t xml:space="preserve"> </w:t>
      </w:r>
    </w:p>
    <w:p w:rsidR="00000000" w:rsidDel="00000000" w:rsidP="00000000" w:rsidRDefault="00000000" w:rsidRPr="00000000" w14:paraId="0000001E">
      <w:pPr>
        <w:spacing w:after="200" w:lineRule="auto"/>
        <w:ind w:left="720" w:firstLine="0"/>
        <w:rPr/>
      </w:pPr>
      <w:r w:rsidDel="00000000" w:rsidR="00000000" w:rsidRPr="00000000">
        <w:rPr>
          <w:rtl w:val="0"/>
        </w:rPr>
        <w:t xml:space="preserve"> </w:t>
      </w:r>
    </w:p>
    <w:p w:rsidR="00000000" w:rsidDel="00000000" w:rsidP="00000000" w:rsidRDefault="00000000" w:rsidRPr="00000000" w14:paraId="0000001F">
      <w:pPr>
        <w:spacing w:after="200" w:lineRule="auto"/>
        <w:rPr>
          <w:b w:val="1"/>
          <w:bCs w:val="1"/>
          <w:sz w:val="32"/>
          <w:szCs w:val="32"/>
        </w:rPr>
      </w:pPr>
      <w:r w:rsidDel="00000000" w:rsidR="00000000" w:rsidRPr="00000000">
        <w:rPr>
          <w:b w:val="1"/>
          <w:bCs w:val="1"/>
          <w:sz w:val="32"/>
          <w:szCs w:val="32"/>
          <w:rtl w:val="0"/>
        </w:rPr>
        <w:t xml:space="preserve">Conclusion</w:t>
      </w:r>
    </w:p>
    <w:p w:rsidR="00000000" w:rsidDel="00000000" w:rsidP="00000000" w:rsidRDefault="00000000" w:rsidRPr="00000000" w14:paraId="00000020">
      <w:pPr>
        <w:spacing w:after="200" w:lineRule="auto"/>
        <w:rPr>
          <w:sz w:val="24"/>
          <w:szCs w:val="24"/>
        </w:rPr>
      </w:pPr>
      <w:r w:rsidDel="00000000" w:rsidR="00000000" w:rsidRPr="00000000">
        <w:rPr>
          <w:sz w:val="24"/>
          <w:szCs w:val="24"/>
          <w:rtl w:val="0"/>
        </w:rPr>
        <w:t xml:space="preserve">This dashboard demonstrates how data analytics can be used to support transaction monitoring in a fintech context, helping to identify patterns and unusual activities in financial data.</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