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8D56F" w14:textId="77777777" w:rsidR="00826921" w:rsidRDefault="00000000">
      <w:pPr>
        <w:spacing w:after="0"/>
        <w:jc w:val="center"/>
      </w:pPr>
      <w:r>
        <w:rPr>
          <w:noProof/>
        </w:rPr>
        <w:drawing>
          <wp:inline distT="0" distB="0" distL="0" distR="0" wp14:anchorId="380B5B4E" wp14:editId="26BA8219">
            <wp:extent cx="9189720" cy="66769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PRISM_AR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89720" cy="667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0DD8B" w14:textId="77777777" w:rsidR="00826921" w:rsidRDefault="00000000">
      <w:r>
        <w:br w:type="page"/>
      </w:r>
    </w:p>
    <w:p w14:paraId="591FC548" w14:textId="77777777" w:rsidR="00826921" w:rsidRPr="003A4C18" w:rsidRDefault="00000000">
      <w:pPr>
        <w:spacing w:after="80"/>
        <w:jc w:val="center"/>
        <w:rPr>
          <w:rFonts w:ascii="Arial" w:hAnsi="Arial" w:cs="Arial"/>
        </w:rPr>
      </w:pPr>
      <w:r w:rsidRPr="003A4C18">
        <w:rPr>
          <w:rFonts w:ascii="Arial" w:hAnsi="Arial" w:cs="Arial"/>
          <w:b/>
          <w:color w:val="152D50"/>
          <w:sz w:val="34"/>
        </w:rPr>
        <w:lastRenderedPageBreak/>
        <w:t>PRISM-AR Phase 3 Architecture Summary</w:t>
      </w:r>
    </w:p>
    <w:p w14:paraId="32E0464F" w14:textId="77777777" w:rsidR="00826921" w:rsidRPr="003A4C18" w:rsidRDefault="00000000">
      <w:pPr>
        <w:spacing w:after="100"/>
        <w:rPr>
          <w:rFonts w:ascii="Arial" w:hAnsi="Arial" w:cs="Arial"/>
          <w:sz w:val="22"/>
        </w:rPr>
      </w:pPr>
      <w:r w:rsidRPr="003A4C18">
        <w:rPr>
          <w:rFonts w:ascii="Arial" w:hAnsi="Arial" w:cs="Arial"/>
          <w:sz w:val="22"/>
        </w:rPr>
        <w:t>PRISM-AR is Phase 3 of a safety-intelligence research line. Phase 1, SafeDriver-IQ, established the 0-100 inverse crash-probability safety score. Phase 2, PRISM, extended this into multi-model AV risk reasoning. Phase 3 adds the external communication layer that turns internal risk states into adaptive eHMI and AR cues for pedestrians and cyclists.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11304"/>
      </w:tblGrid>
      <w:tr w:rsidR="00826921" w:rsidRPr="003A4C18" w14:paraId="586FD7DA" w14:textId="77777777">
        <w:trPr>
          <w:jc w:val="center"/>
        </w:trPr>
        <w:tc>
          <w:tcPr>
            <w:tcW w:w="3024" w:type="dxa"/>
            <w:shd w:val="clear" w:color="auto" w:fill="D9EAF7"/>
            <w:vAlign w:val="center"/>
          </w:tcPr>
          <w:p w14:paraId="60F60570" w14:textId="77777777" w:rsidR="00826921" w:rsidRPr="003A4C18" w:rsidRDefault="00000000">
            <w:pPr>
              <w:rPr>
                <w:rFonts w:ascii="Arial" w:hAnsi="Arial" w:cs="Arial"/>
                <w:sz w:val="22"/>
              </w:rPr>
            </w:pPr>
            <w:r w:rsidRPr="003A4C18">
              <w:rPr>
                <w:rFonts w:ascii="Arial" w:hAnsi="Arial" w:cs="Arial"/>
                <w:b/>
                <w:sz w:val="22"/>
              </w:rPr>
              <w:t>Architecture Layer</w:t>
            </w:r>
          </w:p>
        </w:tc>
        <w:tc>
          <w:tcPr>
            <w:tcW w:w="11304" w:type="dxa"/>
            <w:shd w:val="clear" w:color="auto" w:fill="D9EAF7"/>
            <w:vAlign w:val="center"/>
          </w:tcPr>
          <w:p w14:paraId="593B7121" w14:textId="77777777" w:rsidR="00826921" w:rsidRPr="003A4C18" w:rsidRDefault="00000000">
            <w:pPr>
              <w:rPr>
                <w:rFonts w:ascii="Arial" w:hAnsi="Arial" w:cs="Arial"/>
                <w:sz w:val="22"/>
              </w:rPr>
            </w:pPr>
            <w:r w:rsidRPr="003A4C18">
              <w:rPr>
                <w:rFonts w:ascii="Arial" w:hAnsi="Arial" w:cs="Arial"/>
                <w:b/>
                <w:sz w:val="22"/>
              </w:rPr>
              <w:t>Purpose</w:t>
            </w:r>
          </w:p>
        </w:tc>
      </w:tr>
      <w:tr w:rsidR="00826921" w:rsidRPr="003A4C18" w14:paraId="6D9E051A" w14:textId="77777777" w:rsidTr="003A4C18">
        <w:trPr>
          <w:trHeight w:val="917"/>
          <w:jc w:val="center"/>
        </w:trPr>
        <w:tc>
          <w:tcPr>
            <w:tcW w:w="3024" w:type="dxa"/>
            <w:shd w:val="clear" w:color="auto" w:fill="F3F8FC"/>
            <w:vAlign w:val="center"/>
          </w:tcPr>
          <w:p w14:paraId="55B8B05E" w14:textId="77777777" w:rsidR="00826921" w:rsidRPr="003A4C18" w:rsidRDefault="00000000">
            <w:pPr>
              <w:rPr>
                <w:rFonts w:ascii="Arial" w:hAnsi="Arial" w:cs="Arial"/>
                <w:sz w:val="22"/>
              </w:rPr>
            </w:pPr>
            <w:r w:rsidRPr="003A4C18">
              <w:rPr>
                <w:rFonts w:ascii="Arial" w:hAnsi="Arial" w:cs="Arial"/>
                <w:b/>
                <w:sz w:val="22"/>
              </w:rPr>
              <w:t>Layer 1: Data ingestion</w:t>
            </w:r>
          </w:p>
        </w:tc>
        <w:tc>
          <w:tcPr>
            <w:tcW w:w="11304" w:type="dxa"/>
            <w:vAlign w:val="center"/>
          </w:tcPr>
          <w:p w14:paraId="2952EEC0" w14:textId="77777777" w:rsidR="00826921" w:rsidRPr="003A4C18" w:rsidRDefault="00000000">
            <w:pPr>
              <w:rPr>
                <w:rFonts w:ascii="Arial" w:hAnsi="Arial" w:cs="Arial"/>
                <w:sz w:val="22"/>
              </w:rPr>
            </w:pPr>
            <w:r w:rsidRPr="003A4C18">
              <w:rPr>
                <w:rFonts w:ascii="Arial" w:hAnsi="Arial" w:cs="Arial"/>
                <w:sz w:val="22"/>
              </w:rPr>
              <w:t>NHTSA CRSS supplies crash-statistical context. Waymo WOMD, Argoverse 2, and nuScenes provide AV scenario clips. All inputs are normalized into a unified DrivingScene abstraction with ego state, VRU trajectories, weather, lighting, road condition, and time-of-day.</w:t>
            </w:r>
          </w:p>
        </w:tc>
      </w:tr>
      <w:tr w:rsidR="00826921" w:rsidRPr="003A4C18" w14:paraId="050772B0" w14:textId="77777777" w:rsidTr="003A4C18">
        <w:trPr>
          <w:trHeight w:val="629"/>
          <w:jc w:val="center"/>
        </w:trPr>
        <w:tc>
          <w:tcPr>
            <w:tcW w:w="3024" w:type="dxa"/>
            <w:shd w:val="clear" w:color="auto" w:fill="F3F8FC"/>
            <w:vAlign w:val="center"/>
          </w:tcPr>
          <w:p w14:paraId="6236AFFA" w14:textId="77777777" w:rsidR="00826921" w:rsidRPr="003A4C18" w:rsidRDefault="00000000">
            <w:pPr>
              <w:rPr>
                <w:rFonts w:ascii="Arial" w:hAnsi="Arial" w:cs="Arial"/>
                <w:sz w:val="22"/>
              </w:rPr>
            </w:pPr>
            <w:r w:rsidRPr="003A4C18">
              <w:rPr>
                <w:rFonts w:ascii="Arial" w:hAnsi="Arial" w:cs="Arial"/>
                <w:b/>
                <w:sz w:val="22"/>
              </w:rPr>
              <w:t>Layer 2: Parallel risk models</w:t>
            </w:r>
          </w:p>
        </w:tc>
        <w:tc>
          <w:tcPr>
            <w:tcW w:w="11304" w:type="dxa"/>
            <w:vAlign w:val="center"/>
          </w:tcPr>
          <w:p w14:paraId="6709FBA2" w14:textId="77777777" w:rsidR="00826921" w:rsidRPr="003A4C18" w:rsidRDefault="00000000">
            <w:pPr>
              <w:rPr>
                <w:rFonts w:ascii="Arial" w:hAnsi="Arial" w:cs="Arial"/>
                <w:sz w:val="22"/>
              </w:rPr>
            </w:pPr>
            <w:r w:rsidRPr="003A4C18">
              <w:rPr>
                <w:rFonts w:ascii="Arial" w:hAnsi="Arial" w:cs="Arial"/>
                <w:sz w:val="22"/>
              </w:rPr>
              <w:t>Three risk streams run in parallel: environmental risk scoring, trajectory kinematic analysis, and VRU interaction prediction. Their outputs describe context risk, motion conflict, and pedestrian/cyclist proximity dynamics.</w:t>
            </w:r>
          </w:p>
        </w:tc>
      </w:tr>
      <w:tr w:rsidR="00826921" w:rsidRPr="003A4C18" w14:paraId="24AD60C0" w14:textId="77777777" w:rsidTr="003A4C18">
        <w:trPr>
          <w:trHeight w:val="971"/>
          <w:jc w:val="center"/>
        </w:trPr>
        <w:tc>
          <w:tcPr>
            <w:tcW w:w="3024" w:type="dxa"/>
            <w:shd w:val="clear" w:color="auto" w:fill="F3F8FC"/>
            <w:vAlign w:val="center"/>
          </w:tcPr>
          <w:p w14:paraId="09C76E95" w14:textId="77777777" w:rsidR="00826921" w:rsidRPr="003A4C18" w:rsidRDefault="00000000">
            <w:pPr>
              <w:rPr>
                <w:rFonts w:ascii="Arial" w:hAnsi="Arial" w:cs="Arial"/>
                <w:sz w:val="22"/>
              </w:rPr>
            </w:pPr>
            <w:r w:rsidRPr="003A4C18">
              <w:rPr>
                <w:rFonts w:ascii="Arial" w:hAnsi="Arial" w:cs="Arial"/>
                <w:b/>
                <w:sz w:val="22"/>
              </w:rPr>
              <w:t>Layer 3: Fusion and policy</w:t>
            </w:r>
          </w:p>
        </w:tc>
        <w:tc>
          <w:tcPr>
            <w:tcW w:w="11304" w:type="dxa"/>
            <w:vAlign w:val="center"/>
          </w:tcPr>
          <w:p w14:paraId="42E9F6C9" w14:textId="77777777" w:rsidR="00826921" w:rsidRPr="003A4C18" w:rsidRDefault="00000000">
            <w:pPr>
              <w:rPr>
                <w:rFonts w:ascii="Arial" w:hAnsi="Arial" w:cs="Arial"/>
                <w:sz w:val="22"/>
              </w:rPr>
            </w:pPr>
            <w:r w:rsidRPr="003A4C18">
              <w:rPr>
                <w:rFonts w:ascii="Arial" w:hAnsi="Arial" w:cs="Arial"/>
                <w:sz w:val="22"/>
              </w:rPr>
              <w:t>The reference implementation uses fixed-weight fusion and threshold-based tier selection to produce a 0-100 safety score. The broader PRISM lineage supports agentic policy learning, SHAP explainability, and memory-enabled reasoning.</w:t>
            </w:r>
          </w:p>
        </w:tc>
      </w:tr>
      <w:tr w:rsidR="00826921" w:rsidRPr="003A4C18" w14:paraId="141928AA" w14:textId="77777777" w:rsidTr="003A4C18">
        <w:trPr>
          <w:trHeight w:val="629"/>
          <w:jc w:val="center"/>
        </w:trPr>
        <w:tc>
          <w:tcPr>
            <w:tcW w:w="3024" w:type="dxa"/>
            <w:shd w:val="clear" w:color="auto" w:fill="F3F8FC"/>
            <w:vAlign w:val="center"/>
          </w:tcPr>
          <w:p w14:paraId="2A657686" w14:textId="77777777" w:rsidR="00826921" w:rsidRPr="003A4C18" w:rsidRDefault="00000000">
            <w:pPr>
              <w:rPr>
                <w:rFonts w:ascii="Arial" w:hAnsi="Arial" w:cs="Arial"/>
                <w:sz w:val="22"/>
              </w:rPr>
            </w:pPr>
            <w:r w:rsidRPr="003A4C18">
              <w:rPr>
                <w:rFonts w:ascii="Arial" w:hAnsi="Arial" w:cs="Arial"/>
                <w:b/>
                <w:sz w:val="22"/>
              </w:rPr>
              <w:t>Layer 4: External communication</w:t>
            </w:r>
          </w:p>
        </w:tc>
        <w:tc>
          <w:tcPr>
            <w:tcW w:w="11304" w:type="dxa"/>
            <w:vAlign w:val="center"/>
          </w:tcPr>
          <w:p w14:paraId="1180C52E" w14:textId="77777777" w:rsidR="00826921" w:rsidRPr="003A4C18" w:rsidRDefault="00000000">
            <w:pPr>
              <w:rPr>
                <w:rFonts w:ascii="Arial" w:hAnsi="Arial" w:cs="Arial"/>
                <w:sz w:val="22"/>
              </w:rPr>
            </w:pPr>
            <w:r w:rsidRPr="003A4C18">
              <w:rPr>
                <w:rFonts w:ascii="Arial" w:hAnsi="Arial" w:cs="Arial"/>
                <w:sz w:val="22"/>
              </w:rPr>
              <w:t>The selected tier is mapped to cue specifications for HMD overlays, projected cues, or pedestrian-facing vehicle displays. Cue intensity escalates across silent, advisory, intervention, and emergency tiers.</w:t>
            </w:r>
          </w:p>
        </w:tc>
      </w:tr>
    </w:tbl>
    <w:p w14:paraId="4F33B8FB" w14:textId="77777777" w:rsidR="003A4C18" w:rsidRDefault="003A4C18">
      <w:pPr>
        <w:spacing w:before="80" w:after="0"/>
        <w:rPr>
          <w:rFonts w:ascii="Arial" w:hAnsi="Arial" w:cs="Arial"/>
          <w:b/>
          <w:color w:val="152D50"/>
          <w:sz w:val="22"/>
        </w:rPr>
      </w:pPr>
    </w:p>
    <w:p w14:paraId="2439C904" w14:textId="468AA048" w:rsidR="00826921" w:rsidRPr="003A4C18" w:rsidRDefault="00000000">
      <w:pPr>
        <w:spacing w:before="80" w:after="0"/>
        <w:rPr>
          <w:rFonts w:ascii="Arial" w:hAnsi="Arial" w:cs="Arial"/>
          <w:sz w:val="22"/>
        </w:rPr>
      </w:pPr>
      <w:r w:rsidRPr="003A4C18">
        <w:rPr>
          <w:rFonts w:ascii="Arial" w:hAnsi="Arial" w:cs="Arial"/>
          <w:b/>
          <w:color w:val="152D50"/>
          <w:sz w:val="22"/>
        </w:rPr>
        <w:t xml:space="preserve">What is new in Phase 3: </w:t>
      </w:r>
      <w:r w:rsidRPr="003A4C18">
        <w:rPr>
          <w:rFonts w:ascii="Arial" w:hAnsi="Arial" w:cs="Arial"/>
          <w:sz w:val="22"/>
        </w:rPr>
        <w:t>PRISM-AR does not replace the internal risk engine. It extends the risk intelligence outward so the AV can communicate risk-adaptive guidance to vulnerable road users.</w:t>
      </w:r>
    </w:p>
    <w:p w14:paraId="57E16E53" w14:textId="77777777" w:rsidR="00826921" w:rsidRPr="003A4C18" w:rsidRDefault="00000000">
      <w:pPr>
        <w:spacing w:before="80" w:after="0"/>
        <w:rPr>
          <w:rFonts w:ascii="Arial" w:hAnsi="Arial" w:cs="Arial"/>
          <w:sz w:val="22"/>
        </w:rPr>
      </w:pPr>
      <w:r w:rsidRPr="003A4C18">
        <w:rPr>
          <w:rFonts w:ascii="Arial" w:hAnsi="Arial" w:cs="Arial"/>
          <w:b/>
          <w:color w:val="152D50"/>
          <w:sz w:val="22"/>
        </w:rPr>
        <w:t xml:space="preserve">Why this matters: </w:t>
      </w:r>
      <w:r w:rsidRPr="003A4C18">
        <w:rPr>
          <w:rFonts w:ascii="Arial" w:hAnsi="Arial" w:cs="Arial"/>
          <w:sz w:val="22"/>
        </w:rPr>
        <w:t>Most eHMI concepts communicate fixed intent states, such as yielding or stopping. PRISM-AR links cues to the vehicle actual risk reasoning, including proximity, closing motion, visibility, weather, and road condition.</w:t>
      </w:r>
    </w:p>
    <w:p w14:paraId="7E52581D" w14:textId="77777777" w:rsidR="00826921" w:rsidRPr="003A4C18" w:rsidRDefault="00000000">
      <w:pPr>
        <w:spacing w:before="80" w:after="0"/>
        <w:rPr>
          <w:rFonts w:ascii="Arial" w:hAnsi="Arial" w:cs="Arial"/>
          <w:sz w:val="22"/>
        </w:rPr>
      </w:pPr>
      <w:r w:rsidRPr="003A4C18">
        <w:rPr>
          <w:rFonts w:ascii="Arial" w:hAnsi="Arial" w:cs="Arial"/>
          <w:b/>
          <w:color w:val="152D50"/>
          <w:sz w:val="22"/>
        </w:rPr>
        <w:t xml:space="preserve">Collaboration angle: </w:t>
      </w:r>
      <w:r w:rsidRPr="003A4C18">
        <w:rPr>
          <w:rFonts w:ascii="Arial" w:hAnsi="Arial" w:cs="Arial"/>
          <w:sz w:val="22"/>
        </w:rPr>
        <w:t>This phase connects autonomous driving risk intelligence, connected transportation, external human-machine interfaces, and VRU safety communication, which aligns naturally with vehicular communications and connected mobility research.</w:t>
      </w:r>
    </w:p>
    <w:sectPr w:rsidR="00826921" w:rsidRPr="003A4C18" w:rsidSect="00034616">
      <w:footerReference w:type="default" r:id="rId9"/>
      <w:pgSz w:w="15840" w:h="12240" w:orient="landscape"/>
      <w:pgMar w:top="504" w:right="648" w:bottom="504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EA5EB" w14:textId="77777777" w:rsidR="00DC3AC0" w:rsidRDefault="00DC3AC0">
      <w:pPr>
        <w:spacing w:after="0" w:line="240" w:lineRule="auto"/>
      </w:pPr>
      <w:r>
        <w:separator/>
      </w:r>
    </w:p>
  </w:endnote>
  <w:endnote w:type="continuationSeparator" w:id="0">
    <w:p w14:paraId="3C2427E4" w14:textId="77777777" w:rsidR="00DC3AC0" w:rsidRDefault="00DC3A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2BF67" w14:textId="77777777" w:rsidR="00826921" w:rsidRDefault="00000000">
    <w:pPr>
      <w:pStyle w:val="Footer"/>
      <w:jc w:val="center"/>
    </w:pPr>
    <w:r>
      <w:rPr>
        <w:color w:val="787878"/>
        <w:sz w:val="15"/>
      </w:rPr>
      <w:t>PRISM-AR Phase 3 Architecture Overview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BA64C" w14:textId="77777777" w:rsidR="00DC3AC0" w:rsidRDefault="00DC3AC0">
      <w:pPr>
        <w:spacing w:after="0" w:line="240" w:lineRule="auto"/>
      </w:pPr>
      <w:r>
        <w:separator/>
      </w:r>
    </w:p>
  </w:footnote>
  <w:footnote w:type="continuationSeparator" w:id="0">
    <w:p w14:paraId="6FA94E25" w14:textId="77777777" w:rsidR="00DC3AC0" w:rsidRDefault="00DC3A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10840">
    <w:abstractNumId w:val="8"/>
  </w:num>
  <w:num w:numId="2" w16cid:durableId="1650281208">
    <w:abstractNumId w:val="6"/>
  </w:num>
  <w:num w:numId="3" w16cid:durableId="1710185770">
    <w:abstractNumId w:val="5"/>
  </w:num>
  <w:num w:numId="4" w16cid:durableId="66537166">
    <w:abstractNumId w:val="4"/>
  </w:num>
  <w:num w:numId="5" w16cid:durableId="1202984895">
    <w:abstractNumId w:val="7"/>
  </w:num>
  <w:num w:numId="6" w16cid:durableId="96409604">
    <w:abstractNumId w:val="3"/>
  </w:num>
  <w:num w:numId="7" w16cid:durableId="1723290521">
    <w:abstractNumId w:val="2"/>
  </w:num>
  <w:num w:numId="8" w16cid:durableId="170488799">
    <w:abstractNumId w:val="1"/>
  </w:num>
  <w:num w:numId="9" w16cid:durableId="196623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C18"/>
    <w:rsid w:val="00826921"/>
    <w:rsid w:val="00AA1D8D"/>
    <w:rsid w:val="00B47730"/>
    <w:rsid w:val="00C73F5F"/>
    <w:rsid w:val="00CB0664"/>
    <w:rsid w:val="00DC3A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90CDB0"/>
  <w14:defaultImageDpi w14:val="300"/>
  <w15:docId w15:val="{33306365-F370-4232-8579-45067B875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color w:val="2D2D2D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2D5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JOYJIT ROY</cp:lastModifiedBy>
  <cp:revision>2</cp:revision>
  <dcterms:created xsi:type="dcterms:W3CDTF">2013-12-23T23:15:00Z</dcterms:created>
  <dcterms:modified xsi:type="dcterms:W3CDTF">2026-07-08T06:52:00Z</dcterms:modified>
  <cp:category/>
</cp:coreProperties>
</file>