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widowControl/>
      </w:pPr>
      <w:r>
        <w:rPr>
          <w:rFonts w:ascii="Noto Sans CJK SC" w:hAnsi="Noto Sans CJK SC" w:eastAsia="Noto Sans CJK SC"/>
          <w:b/>
          <w:color w:val="1F4E79"/>
          <w:sz w:val="54"/>
        </w:rPr>
        <w:t>数值模拟全流程工况设计方案</w:t>
      </w:r>
    </w:p>
    <w:p>
      <w:pPr>
        <w:jc w:val="center"/>
        <w:widowControl/>
      </w:pPr>
      <w:r>
        <w:rPr>
          <w:rFonts w:ascii="Noto Sans CJK SC" w:hAnsi="Noto Sans CJK SC" w:eastAsia="Noto Sans CJK SC"/>
          <w:b/>
          <w:color w:val="1F4E79"/>
          <w:sz w:val="60"/>
        </w:rPr>
        <w:t>通俗解读报告</w:t>
      </w:r>
    </w:p>
    <w:p>
      <w:pPr>
        <w:spacing w:before="520"/>
        <w:jc w:val="center"/>
        <w:widowControl/>
      </w:pPr>
      <w:r>
        <w:rPr>
          <w:rFonts w:ascii="Noto Sans CJK SC" w:hAnsi="Noto Sans CJK SC" w:eastAsia="Noto Sans CJK SC"/>
          <w:color w:val="595959"/>
          <w:sz w:val="28"/>
        </w:rPr>
        <w:t>面向第4章机理分析与第6章可信代理建模</w:t>
      </w:r>
    </w:p>
    <w:p>
      <w:pPr>
        <w:spacing w:before="1600"/>
        <w:jc w:val="center"/>
        <w:widowControl/>
      </w:pPr>
      <w:r>
        <w:rPr>
          <w:rFonts w:ascii="Noto Sans CJK SC" w:hAnsi="Noto Sans CJK SC" w:eastAsia="Noto Sans CJK SC"/>
          <w:sz w:val="22"/>
        </w:rPr>
        <w:t>编制日期：2026年7月17日</w:t>
      </w:r>
    </w:p>
    <w:p>
      <w:pPr>
        <w:jc w:val="center"/>
        <w:widowControl/>
      </w:pPr>
      <w:r>
        <w:rPr>
          <w:rFonts w:ascii="Noto Sans CJK SC" w:hAnsi="Noto Sans CJK SC" w:eastAsia="Noto Sans CJK SC"/>
          <w:color w:val="595959"/>
          <w:sz w:val="20"/>
        </w:rPr>
        <w:t>原始文件：数值模拟全流程工况设计方案（2026-07-17版）</w:t>
      </w:r>
    </w:p>
    <w:p>
      <w:pPr>
        <w:spacing w:before="680"/>
        <w:jc w:val="center"/>
        <w:widowControl/>
      </w:pPr>
      <w:r>
        <w:rPr>
          <w:rFonts w:ascii="Noto Sans CJK SC" w:hAnsi="Noto Sans CJK SC" w:eastAsia="Noto Sans CJK SC"/>
          <w:color w:val="595959"/>
          <w:sz w:val="21"/>
        </w:rPr>
        <w:t>用途：将技术方案转换为便于理解、执行和汇报的说明文本</w:t>
      </w:r>
    </w:p>
    <w:p>
      <w:pPr>
        <w:widowControl/>
      </w:pPr>
      <w:r>
        <w:br w:type="page"/>
      </w:r>
    </w:p>
    <w:p>
      <w:pPr>
        <w:pStyle w:val="Heading1"/>
        <w:widowControl/>
      </w:pPr>
      <w:r>
        <w:t>报告说明</w:t>
      </w:r>
    </w:p>
    <w:p>
      <w:pPr>
        <w:pStyle w:val="正文"/>
        <w:widowControl/>
      </w:pPr>
      <w:r>
        <w:rPr>
          <w:rFonts w:ascii="Noto Sans CJK SC" w:hAnsi="Noto Sans CJK SC" w:eastAsia="Noto Sans CJK SC"/>
          <w:sz w:val="21"/>
        </w:rPr>
        <w:t>本报告根据《数值模拟全流程工况设计方案》整理，目的是把其中较为复杂的技术术语、工况编号、质量控制要求和机器学习数据协议转换为通俗、可执行的说明。</w:t>
      </w: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核心定位： </w:t>
            </w:r>
            <w:r>
              <w:rPr>
                <w:rFonts w:ascii="Noto Sans CJK SC" w:hAnsi="Noto Sans CJK SC" w:eastAsia="Noto Sans CJK SC"/>
                <w:sz w:val="21"/>
              </w:rPr>
              <w:t>原方案不是在汇报已经得到的计算结果，而是在规定后续第4章和第6章需要计算哪些工况、按照什么顺序计算、如何证明计算可信，以及机器学习数据应如何划分。</w:t>
            </w:r>
          </w:p>
        </w:tc>
      </w:tr>
    </w:tbl>
    <w:p>
      <w:pPr>
        <w:spacing w:after="0"/>
        <w:widowControl/>
      </w:pPr>
    </w:p>
    <w:tbl>
      <w:tblPr>
        <w:tblStyle w:val="TableGrid"/>
        <w:tblW w:type="auto" w:w="0"/>
        <w:jc w:val="center"/>
        <w:tblLook w:firstColumn="1" w:firstRow="1" w:lastColumn="0" w:lastRow="0" w:noHBand="0" w:noVBand="1" w:val="04A0"/>
      </w:tblPr>
      <w:tblGrid>
        <w:gridCol w:w="4788"/>
        <w:gridCol w:w="4788"/>
      </w:tblGrid>
      <w:tr>
        <w:trPr>
          <w:trHeight w:hRule="atLeast" w:val="454"/>
          <w:tblHeader w:val="true"/>
          <w:cantSplit/>
        </w:trPr>
        <w:tc>
          <w:tcPr>
            <w:tcW w:type="dxa" w:w="1871"/>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项目</w:t>
            </w:r>
          </w:p>
        </w:tc>
        <w:tc>
          <w:tcPr>
            <w:tcW w:type="dxa" w:w="7087"/>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说明</w:t>
            </w:r>
          </w:p>
        </w:tc>
      </w:tr>
      <w:tr>
        <w:trPr>
          <w:cantSplit/>
        </w:trPr>
        <w:tc>
          <w:tcPr>
            <w:tcW w:type="dxa" w:w="187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服务章节</w:t>
            </w:r>
          </w:p>
        </w:tc>
        <w:tc>
          <w:tcPr>
            <w:tcW w:type="dxa" w:w="708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第4章“坡地地震动放大效应参数化分析”和第6章“机器学习代理模型”</w:t>
            </w:r>
          </w:p>
        </w:tc>
      </w:tr>
      <w:tr>
        <w:trPr>
          <w:cantSplit/>
        </w:trPr>
        <w:tc>
          <w:tcPr>
            <w:tcW w:type="dxa" w:w="187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暂不包含</w:t>
            </w:r>
          </w:p>
        </w:tc>
        <w:tc>
          <w:tcPr>
            <w:tcW w:type="dxa" w:w="708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第5章TSSI（土—结构相互作用）工况，待模型和验证链单独确定</w:t>
            </w:r>
          </w:p>
        </w:tc>
      </w:tr>
      <w:tr>
        <w:trPr>
          <w:cantSplit/>
        </w:trPr>
        <w:tc>
          <w:tcPr>
            <w:tcW w:type="dxa" w:w="187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当前状态</w:t>
            </w:r>
          </w:p>
        </w:tc>
        <w:tc>
          <w:tcPr>
            <w:tcW w:type="dxa" w:w="708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方案已经完成设计，但尚未授权大规模求解</w:t>
            </w:r>
          </w:p>
        </w:tc>
      </w:tr>
      <w:tr>
        <w:trPr>
          <w:cantSplit/>
        </w:trPr>
        <w:tc>
          <w:tcPr>
            <w:tcW w:type="dxa" w:w="187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正式启动条件</w:t>
            </w:r>
          </w:p>
        </w:tc>
        <w:tc>
          <w:tcPr>
            <w:tcW w:type="dxa" w:w="708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必须先通过G0生产准备和G1复频响验收</w:t>
            </w:r>
          </w:p>
        </w:tc>
      </w:tr>
      <w:tr>
        <w:trPr>
          <w:cantSplit/>
        </w:trPr>
        <w:tc>
          <w:tcPr>
            <w:tcW w:type="dxa" w:w="187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总体原则</w:t>
            </w:r>
          </w:p>
        </w:tc>
        <w:tc>
          <w:tcPr>
            <w:tcW w:type="dxa" w:w="708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先证明计算链可信，再扩大参数空间</w:t>
            </w:r>
          </w:p>
        </w:tc>
      </w:tr>
    </w:tbl>
    <w:p>
      <w:pPr>
        <w:spacing w:after="0"/>
        <w:widowControl/>
      </w:pPr>
    </w:p>
    <w:p>
      <w:pPr>
        <w:pStyle w:val="Heading1"/>
        <w:widowControl/>
      </w:pPr>
      <w:r>
        <w:t>目录</w:t>
      </w:r>
    </w:p>
    <w:p>
      <w:pPr>
        <w:pStyle w:val="列表"/>
        <w:ind w:left="283"/>
        <w:widowControl/>
      </w:pPr>
      <w:r>
        <w:rPr>
          <w:rFonts w:ascii="Noto Sans CJK SC" w:hAnsi="Noto Sans CJK SC" w:eastAsia="Noto Sans CJK SC"/>
          <w:sz w:val="21"/>
        </w:rPr>
        <w:t>1. 一句话概括</w:t>
      </w:r>
    </w:p>
    <w:p>
      <w:pPr>
        <w:pStyle w:val="列表"/>
        <w:ind w:left="283"/>
        <w:widowControl/>
      </w:pPr>
      <w:r>
        <w:rPr>
          <w:rFonts w:ascii="Noto Sans CJK SC" w:hAnsi="Noto Sans CJK SC" w:eastAsia="Noto Sans CJK SC"/>
          <w:sz w:val="21"/>
        </w:rPr>
        <w:t>2. 论文到底想研究什么</w:t>
      </w:r>
    </w:p>
    <w:p>
      <w:pPr>
        <w:pStyle w:val="列表"/>
        <w:ind w:left="283"/>
        <w:widowControl/>
      </w:pPr>
      <w:r>
        <w:rPr>
          <w:rFonts w:ascii="Noto Sans CJK SC" w:hAnsi="Noto Sans CJK SC" w:eastAsia="Noto Sans CJK SC"/>
          <w:sz w:val="21"/>
        </w:rPr>
        <w:t>3. 为什么不能直接大规模计算</w:t>
      </w:r>
    </w:p>
    <w:p>
      <w:pPr>
        <w:pStyle w:val="列表"/>
        <w:ind w:left="283"/>
        <w:widowControl/>
      </w:pPr>
      <w:r>
        <w:rPr>
          <w:rFonts w:ascii="Noto Sans CJK SC" w:hAnsi="Noto Sans CJK SC" w:eastAsia="Noto Sans CJK SC"/>
          <w:sz w:val="21"/>
        </w:rPr>
        <w:t>4. 整个研究按照什么顺序进行</w:t>
      </w:r>
    </w:p>
    <w:p>
      <w:pPr>
        <w:pStyle w:val="列表"/>
        <w:ind w:left="283"/>
        <w:widowControl/>
      </w:pPr>
      <w:r>
        <w:rPr>
          <w:rFonts w:ascii="Noto Sans CJK SC" w:hAnsi="Noto Sans CJK SC" w:eastAsia="Noto Sans CJK SC"/>
          <w:sz w:val="21"/>
        </w:rPr>
        <w:t>5. 各类工况编号的通俗解释</w:t>
      </w:r>
    </w:p>
    <w:p>
      <w:pPr>
        <w:pStyle w:val="列表"/>
        <w:ind w:left="283"/>
        <w:widowControl/>
      </w:pPr>
      <w:r>
        <w:rPr>
          <w:rFonts w:ascii="Noto Sans CJK SC" w:hAnsi="Noto Sans CJK SC" w:eastAsia="Noto Sans CJK SC"/>
          <w:sz w:val="21"/>
        </w:rPr>
        <w:t>6. 为什么必须保存复频响</w:t>
      </w:r>
    </w:p>
    <w:p>
      <w:pPr>
        <w:pStyle w:val="列表"/>
        <w:ind w:left="283"/>
        <w:widowControl/>
      </w:pPr>
      <w:r>
        <w:rPr>
          <w:rFonts w:ascii="Noto Sans CJK SC" w:hAnsi="Noto Sans CJK SC" w:eastAsia="Noto Sans CJK SC"/>
          <w:sz w:val="21"/>
        </w:rPr>
        <w:t>7. FSAF、RSAF和TAF的区别</w:t>
      </w:r>
    </w:p>
    <w:p>
      <w:pPr>
        <w:pStyle w:val="列表"/>
        <w:ind w:left="283"/>
        <w:widowControl/>
      </w:pPr>
      <w:r>
        <w:rPr>
          <w:rFonts w:ascii="Noto Sans CJK SC" w:hAnsi="Noto Sans CJK SC" w:eastAsia="Noto Sans CJK SC"/>
          <w:sz w:val="21"/>
        </w:rPr>
        <w:t>8. 如何判断地形和地层能不能分开</w:t>
      </w:r>
    </w:p>
    <w:p>
      <w:pPr>
        <w:pStyle w:val="列表"/>
        <w:ind w:left="283"/>
        <w:widowControl/>
      </w:pPr>
      <w:r>
        <w:rPr>
          <w:rFonts w:ascii="Noto Sans CJK SC" w:hAnsi="Noto Sans CJK SC" w:eastAsia="Noto Sans CJK SC"/>
          <w:sz w:val="21"/>
        </w:rPr>
        <w:t>9. 机器学习模型具体学习什么</w:t>
      </w:r>
    </w:p>
    <w:p>
      <w:pPr>
        <w:pStyle w:val="列表"/>
        <w:ind w:left="283"/>
        <w:widowControl/>
      </w:pPr>
      <w:r>
        <w:rPr>
          <w:rFonts w:ascii="Noto Sans CJK SC" w:hAnsi="Noto Sans CJK SC" w:eastAsia="Noto Sans CJK SC"/>
          <w:sz w:val="21"/>
        </w:rPr>
        <w:t>10. 为什么频率点不能当作独立样本</w:t>
      </w:r>
    </w:p>
    <w:p>
      <w:pPr>
        <w:pStyle w:val="列表"/>
        <w:ind w:left="283"/>
        <w:widowControl/>
      </w:pPr>
      <w:r>
        <w:rPr>
          <w:rFonts w:ascii="Noto Sans CJK SC" w:hAnsi="Noto Sans CJK SC" w:eastAsia="Noto Sans CJK SC"/>
          <w:sz w:val="21"/>
        </w:rPr>
        <w:t>11. 计算规模与资源预算</w:t>
      </w:r>
    </w:p>
    <w:p>
      <w:pPr>
        <w:pStyle w:val="列表"/>
        <w:ind w:left="283"/>
        <w:widowControl/>
      </w:pPr>
      <w:r>
        <w:rPr>
          <w:rFonts w:ascii="Noto Sans CJK SC" w:hAnsi="Noto Sans CJK SC" w:eastAsia="Noto Sans CJK SC"/>
          <w:sz w:val="21"/>
        </w:rPr>
        <w:t>12. 数据和多机运行为什么管理严格</w:t>
      </w:r>
    </w:p>
    <w:p>
      <w:pPr>
        <w:pStyle w:val="列表"/>
        <w:ind w:left="283"/>
        <w:widowControl/>
      </w:pPr>
      <w:r>
        <w:rPr>
          <w:rFonts w:ascii="Noto Sans CJK SC" w:hAnsi="Noto Sans CJK SC" w:eastAsia="Noto Sans CJK SC"/>
          <w:sz w:val="21"/>
        </w:rPr>
        <w:t>13. 哪些情况必须立即停止</w:t>
      </w:r>
    </w:p>
    <w:p>
      <w:pPr>
        <w:pStyle w:val="列表"/>
        <w:ind w:left="283"/>
        <w:widowControl/>
      </w:pPr>
      <w:r>
        <w:rPr>
          <w:rFonts w:ascii="Noto Sans CJK SC" w:hAnsi="Noto Sans CJK SC" w:eastAsia="Noto Sans CJK SC"/>
          <w:sz w:val="21"/>
        </w:rPr>
        <w:t>14. 当前已经完成什么</w:t>
      </w:r>
    </w:p>
    <w:p>
      <w:pPr>
        <w:pStyle w:val="列表"/>
        <w:ind w:left="283"/>
        <w:widowControl/>
      </w:pPr>
      <w:r>
        <w:rPr>
          <w:rFonts w:ascii="Noto Sans CJK SC" w:hAnsi="Noto Sans CJK SC" w:eastAsia="Noto Sans CJK SC"/>
          <w:sz w:val="21"/>
        </w:rPr>
        <w:t>15. 建议的实际执行顺序</w:t>
      </w:r>
    </w:p>
    <w:p>
      <w:pPr>
        <w:pStyle w:val="列表"/>
        <w:ind w:left="283"/>
        <w:widowControl/>
      </w:pPr>
      <w:r>
        <w:rPr>
          <w:rFonts w:ascii="Noto Sans CJK SC" w:hAnsi="Noto Sans CJK SC" w:eastAsia="Noto Sans CJK SC"/>
          <w:sz w:val="21"/>
        </w:rPr>
        <w:t>16. 总结</w:t>
      </w:r>
    </w:p>
    <w:p>
      <w:pPr>
        <w:widowControl/>
      </w:pPr>
      <w:r>
        <w:br w:type="page"/>
      </w:r>
    </w:p>
    <w:p>
      <w:pPr>
        <w:pStyle w:val="Heading1"/>
        <w:widowControl/>
      </w:pPr>
      <w:r>
        <w:t>1. 一句话概括</w:t>
      </w:r>
    </w:p>
    <w:tbl>
      <w:tblPr>
        <w:tblW w:type="auto" w:w="0"/>
        <w:jc w:val="center"/>
        <w:tblLayout w:type="autofit"/>
        <w:tblLook w:firstColumn="1" w:firstRow="1" w:lastColumn="0" w:lastRow="0" w:noHBand="0" w:noVBand="1" w:val="04A0"/>
      </w:tblPr>
      <w:tblGrid>
        <w:gridCol w:w="9576"/>
      </w:tblGrid>
      <w:tr>
        <w:tc>
          <w:tcPr>
            <w:tcW w:type="dxa" w:w="9576"/>
            <w:shd w:fill="E2F0D9"/>
            <w:tcMar>
              <w:top w:w="140" w:type="dxa"/>
              <w:start w:w="180" w:type="dxa"/>
              <w:bottom w:w="140" w:type="dxa"/>
              <w:end w:w="180" w:type="dxa"/>
            </w:tcMar>
            <w:tcBorders>
              <w:left w:val="single" w:sz="18" w:color="70AD47"/>
            </w:tcBorders>
          </w:tcPr>
          <w:p>
            <w:pPr>
              <w:spacing w:after="40"/>
            </w:pPr>
            <w:r>
              <w:rPr>
                <w:rFonts w:ascii="Noto Sans CJK SC" w:hAnsi="Noto Sans CJK SC" w:eastAsia="Noto Sans CJK SC"/>
                <w:b/>
                <w:color w:val="1F4E79"/>
                <w:sz w:val="21"/>
              </w:rPr>
              <w:t xml:space="preserve">最简单的理解： </w:t>
            </w:r>
            <w:r>
              <w:rPr>
                <w:rFonts w:ascii="Noto Sans CJK SC" w:hAnsi="Noto Sans CJK SC" w:eastAsia="Noto Sans CJK SC"/>
                <w:sz w:val="21"/>
              </w:rPr>
              <w:t>先用少量算例证明有限元模型、自动运行脚本和后处理方法没有问题，再大规模计算不同边坡工况，研究地形和土层如何共同放大地震动，最后用这些可靠数据训练机器学习模型。</w:t>
            </w:r>
          </w:p>
        </w:tc>
      </w:tr>
    </w:tbl>
    <w:p>
      <w:pPr>
        <w:spacing w:after="0"/>
        <w:widowControl/>
      </w:pPr>
    </w:p>
    <w:p>
      <w:pPr>
        <w:pStyle w:val="正文"/>
        <w:widowControl/>
      </w:pPr>
      <w:r>
        <w:rPr>
          <w:rFonts w:ascii="Noto Sans CJK SC" w:hAnsi="Noto Sans CJK SC" w:eastAsia="Noto Sans CJK SC"/>
          <w:sz w:val="21"/>
        </w:rPr>
        <w:t>整个方案不是“把工况尽可能跑多”，而是建立一套从模型验证、规律分析、机器学习训练到独立盲测的完整证据链。每一批工况都有明确用途，不能随意混用。</w:t>
      </w:r>
    </w:p>
    <w:p>
      <w:pPr>
        <w:pStyle w:val="Heading1"/>
        <w:widowControl/>
      </w:pPr>
      <w:r>
        <w:t>2. 论文到底想研究什么</w:t>
      </w:r>
    </w:p>
    <w:p>
      <w:pPr>
        <w:pStyle w:val="正文"/>
        <w:widowControl/>
      </w:pPr>
      <w:r>
        <w:rPr>
          <w:rFonts w:ascii="Noto Sans CJK SC" w:hAnsi="Noto Sans CJK SC" w:eastAsia="Noto Sans CJK SC"/>
          <w:sz w:val="21"/>
        </w:rPr>
        <w:t>坡地地震动放大可以粗略拆成两个来源：</w:t>
      </w:r>
    </w:p>
    <w:p>
      <w:pPr>
        <w:pStyle w:val="列表"/>
        <w:ind w:left="397" w:hanging="255"/>
        <w:widowControl/>
      </w:pPr>
      <w:r>
        <w:rPr>
          <w:rFonts w:ascii="Noto Sans CJK SC" w:hAnsi="Noto Sans CJK SC" w:eastAsia="Noto Sans CJK SC"/>
          <w:sz w:val="21"/>
        </w:rPr>
        <w:t>• 地形效应：边坡的坡角、坡高、坡肩和坡面形状造成的放大。</w:t>
      </w:r>
    </w:p>
    <w:p>
      <w:pPr>
        <w:pStyle w:val="列表"/>
        <w:ind w:left="397" w:hanging="255"/>
        <w:widowControl/>
      </w:pPr>
      <w:r>
        <w:rPr>
          <w:rFonts w:ascii="Noto Sans CJK SC" w:hAnsi="Noto Sans CJK SC" w:eastAsia="Noto Sans CJK SC"/>
          <w:sz w:val="21"/>
        </w:rPr>
        <w:t>• 地层效应：覆盖层与基岩的厚度、波速、密度和阻尼差异造成的放大。</w:t>
      </w:r>
    </w:p>
    <w:p>
      <w:pPr>
        <w:pStyle w:val="正文"/>
        <w:widowControl/>
      </w:pPr>
      <w:r>
        <w:rPr>
          <w:rFonts w:ascii="Noto Sans CJK SC" w:hAnsi="Noto Sans CJK SC" w:eastAsia="Noto Sans CJK SC"/>
          <w:sz w:val="21"/>
        </w:rPr>
        <w:t>论文的中心问题是：一个成层边坡的总放大，能否近似理解为“地层放大 × 地形放大”？</w:t>
      </w:r>
    </w:p>
    <w:p>
      <w:pPr>
        <w:pStyle w:val="正文"/>
        <w:widowControl/>
      </w:pPr>
      <w:r>
        <w:rPr>
          <w:rFonts w:ascii="Noto Sans CJK SC" w:hAnsi="Noto Sans CJK SC" w:eastAsia="Noto Sans CJK SC"/>
          <w:sz w:val="21"/>
        </w:rPr>
        <w:t>在某些工况下，两个效应可能近似独立，简单相乘即可得到接近真实的结果；但在另一些工况下，地形和地层会相互影响，出现额外放大、峰值迁移或相位变化，这种现象称为“地形—地层耦合”。</w:t>
      </w:r>
    </w:p>
    <w:tbl>
      <w:tblPr>
        <w:tblStyle w:val="TableGrid"/>
        <w:tblW w:type="auto" w:w="0"/>
        <w:jc w:val="center"/>
        <w:tblLook w:firstColumn="1" w:firstRow="1" w:lastColumn="0" w:lastRow="0" w:noHBand="0" w:noVBand="1" w:val="04A0"/>
      </w:tblPr>
      <w:tblGrid>
        <w:gridCol w:w="4788"/>
        <w:gridCol w:w="4788"/>
      </w:tblGrid>
      <w:tr>
        <w:trPr>
          <w:trHeight w:hRule="atLeast" w:val="454"/>
          <w:tblHeader w:val="true"/>
          <w:cantSplit/>
        </w:trPr>
        <w:tc>
          <w:tcPr>
            <w:tcW w:type="dxa" w:w="2835"/>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需要回答的问题</w:t>
            </w:r>
          </w:p>
        </w:tc>
        <w:tc>
          <w:tcPr>
            <w:tcW w:type="dxa" w:w="6123"/>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通俗解释</w:t>
            </w:r>
          </w:p>
        </w:tc>
      </w:tr>
      <w:tr>
        <w:trPr>
          <w:cantSplit/>
        </w:trPr>
        <w:tc>
          <w:tcPr>
            <w:tcW w:type="dxa" w:w="2835"/>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何时可以近似相乘</w:t>
            </w:r>
          </w:p>
        </w:tc>
        <w:tc>
          <w:tcPr>
            <w:tcW w:type="dxa" w:w="612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找出地形和地层相互影响较弱的参数区域</w:t>
            </w:r>
          </w:p>
        </w:tc>
      </w:tr>
      <w:tr>
        <w:trPr>
          <w:cantSplit/>
        </w:trPr>
        <w:tc>
          <w:tcPr>
            <w:tcW w:type="dxa" w:w="2835"/>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何时产生强耦合</w:t>
            </w:r>
          </w:p>
        </w:tc>
        <w:tc>
          <w:tcPr>
            <w:tcW w:type="dxa" w:w="612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找出简单相乘明显失效的频率、空间和参数条件</w:t>
            </w:r>
          </w:p>
        </w:tc>
      </w:tr>
      <w:tr>
        <w:trPr>
          <w:cantSplit/>
        </w:trPr>
        <w:tc>
          <w:tcPr>
            <w:tcW w:type="dxa" w:w="2835"/>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哪些参数最重要</w:t>
            </w:r>
          </w:p>
        </w:tc>
        <w:tc>
          <w:tcPr>
            <w:tcW w:type="dxa" w:w="612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区分坡角、入射角、厚度、波速和密度各自的作用</w:t>
            </w:r>
          </w:p>
        </w:tc>
      </w:tr>
      <w:tr>
        <w:trPr>
          <w:cantSplit/>
        </w:trPr>
        <w:tc>
          <w:tcPr>
            <w:tcW w:type="dxa" w:w="2835"/>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机器学习能否预测</w:t>
            </w:r>
          </w:p>
        </w:tc>
        <w:tc>
          <w:tcPr>
            <w:tcW w:type="dxa" w:w="612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用较少时间快速预测整个频率—空间响应</w:t>
            </w:r>
          </w:p>
        </w:tc>
      </w:tr>
      <w:tr>
        <w:trPr>
          <w:cantSplit/>
        </w:trPr>
        <w:tc>
          <w:tcPr>
            <w:tcW w:type="dxa" w:w="2835"/>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模型何时应拒绝预测</w:t>
            </w:r>
          </w:p>
        </w:tc>
        <w:tc>
          <w:tcPr>
            <w:tcW w:type="dxa" w:w="612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遇到多层、超范围参数等情况时，不给出误导性结果</w:t>
            </w:r>
          </w:p>
        </w:tc>
      </w:tr>
    </w:tbl>
    <w:p>
      <w:pPr>
        <w:spacing w:after="0"/>
        <w:widowControl/>
      </w:pPr>
    </w:p>
    <w:p>
      <w:pPr>
        <w:pStyle w:val="Heading1"/>
        <w:widowControl/>
      </w:pPr>
      <w:r>
        <w:t>3. 为什么不能直接大规模计算</w:t>
      </w:r>
    </w:p>
    <w:p>
      <w:pPr>
        <w:pStyle w:val="正文"/>
        <w:widowControl/>
      </w:pPr>
      <w:r>
        <w:rPr>
          <w:rFonts w:ascii="Noto Sans CJK SC" w:hAnsi="Noto Sans CJK SC" w:eastAsia="Noto Sans CJK SC"/>
          <w:sz w:val="21"/>
        </w:rPr>
        <w:t>有限元工况数量很多，但“算得多”并不等于“算得对”。如果自动建模脚本、参数传递、边界条件或后处理公式存在错误，大规模计算只会批量制造错误数据。</w:t>
      </w:r>
    </w:p>
    <w:p>
      <w:pPr>
        <w:pStyle w:val="正文"/>
        <w:widowControl/>
      </w:pPr>
      <w:r>
        <w:rPr>
          <w:rFonts w:ascii="Noto Sans CJK SC" w:hAnsi="Noto Sans CJK SC" w:eastAsia="Noto Sans CJK SC"/>
          <w:sz w:val="21"/>
        </w:rPr>
        <w:t>正式运行几千个工况以前，至少需要确认以下事项：</w:t>
      </w:r>
    </w:p>
    <w:p>
      <w:pPr>
        <w:pStyle w:val="列表"/>
        <w:ind w:left="397" w:hanging="255"/>
        <w:widowControl/>
      </w:pPr>
      <w:r>
        <w:rPr>
          <w:rFonts w:ascii="Noto Sans CJK SC" w:hAnsi="Noto Sans CJK SC" w:eastAsia="Noto Sans CJK SC"/>
          <w:sz w:val="21"/>
        </w:rPr>
        <w:t>• Abaqus模型、边界条件和网格设置可靠；</w:t>
      </w:r>
    </w:p>
    <w:p>
      <w:pPr>
        <w:pStyle w:val="列表"/>
        <w:ind w:left="397" w:hanging="255"/>
        <w:widowControl/>
      </w:pPr>
      <w:r>
        <w:rPr>
          <w:rFonts w:ascii="Noto Sans CJK SC" w:hAnsi="Noto Sans CJK SC" w:eastAsia="Noto Sans CJK SC"/>
          <w:sz w:val="21"/>
        </w:rPr>
        <w:t>• 坡角、覆盖层厚度、材料参数等确实传入了对应工况；</w:t>
      </w:r>
    </w:p>
    <w:p>
      <w:pPr>
        <w:pStyle w:val="列表"/>
        <w:ind w:left="397" w:hanging="255"/>
        <w:widowControl/>
      </w:pPr>
      <w:r>
        <w:rPr>
          <w:rFonts w:ascii="Noto Sans CJK SC" w:hAnsi="Noto Sans CJK SC" w:eastAsia="Noto Sans CJK SC"/>
          <w:sz w:val="21"/>
        </w:rPr>
        <w:t>• 时间步、总时长、静默尾段和输出频率满足频响分析要求；</w:t>
      </w:r>
    </w:p>
    <w:p>
      <w:pPr>
        <w:pStyle w:val="列表"/>
        <w:ind w:left="397" w:hanging="255"/>
        <w:widowControl/>
      </w:pPr>
      <w:r>
        <w:rPr>
          <w:rFonts w:ascii="Noto Sans CJK SC" w:hAnsi="Noto Sans CJK SC" w:eastAsia="Noto Sans CJK SC"/>
          <w:sz w:val="21"/>
        </w:rPr>
        <w:t>• 后处理得到的幅值、相位和有效频带没有计算错误；</w:t>
      </w:r>
    </w:p>
    <w:p>
      <w:pPr>
        <w:pStyle w:val="列表"/>
        <w:ind w:left="397" w:hanging="255"/>
        <w:widowControl/>
      </w:pPr>
      <w:r>
        <w:rPr>
          <w:rFonts w:ascii="Noto Sans CJK SC" w:hAnsi="Noto Sans CJK SC" w:eastAsia="Noto Sans CJK SC"/>
          <w:sz w:val="21"/>
        </w:rPr>
        <w:t>• 更换宽频输入以后，同一线性系统得到的频响应基本一致；</w:t>
      </w:r>
    </w:p>
    <w:p>
      <w:pPr>
        <w:pStyle w:val="列表"/>
        <w:ind w:left="397" w:hanging="255"/>
        <w:widowControl/>
      </w:pPr>
      <w:r>
        <w:rPr>
          <w:rFonts w:ascii="Noto Sans CJK SC" w:hAnsi="Noto Sans CJK SC" w:eastAsia="Noto Sans CJK SC"/>
          <w:sz w:val="21"/>
        </w:rPr>
        <w:t>• 不同电脑、不同批次的结果具有可重复性。</w:t>
      </w: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关键原则： </w:t>
            </w:r>
            <w:r>
              <w:rPr>
                <w:rFonts w:ascii="Noto Sans CJK SC" w:hAnsi="Noto Sans CJK SC" w:eastAsia="Noto Sans CJK SC"/>
                <w:sz w:val="21"/>
              </w:rPr>
              <w:t>计算固体力学模型的可信度要依靠验证、确认和不确定性证据支撑，不能用工况数量代替。</w:t>
            </w:r>
          </w:p>
        </w:tc>
      </w:tr>
    </w:tbl>
    <w:p>
      <w:pPr>
        <w:spacing w:after="0"/>
        <w:widowControl/>
      </w:pPr>
    </w:p>
    <w:p>
      <w:pPr>
        <w:pStyle w:val="Heading1"/>
        <w:widowControl/>
      </w:pPr>
      <w:r>
        <w:t>4. 整个研究按照什么顺序进行</w:t>
      </w:r>
    </w:p>
    <w:p>
      <w:pPr>
        <w:pStyle w:val="步骤"/>
        <w:widowControl/>
      </w:pPr>
      <w:r>
        <w:rPr>
          <w:rFonts w:ascii="Noto Sans CJK SC" w:hAnsi="Noto Sans CJK SC" w:eastAsia="Noto Sans CJK SC"/>
          <w:b/>
          <w:color w:val="1F4E79"/>
          <w:sz w:val="21"/>
        </w:rPr>
        <w:t>第一步. G0：检查正式生产脚本</w:t>
      </w:r>
      <w:r>
        <w:rPr>
          <w:rFonts w:ascii="Noto Sans CJK SC" w:hAnsi="Noto Sans CJK SC" w:eastAsia="Noto Sans CJK SC"/>
          <w:sz w:val="21"/>
        </w:rPr>
        <w:t>：验证参数注入、工况编号、非法配置拦截、日志保存和结果追溯是否正常</w:t>
      </w:r>
    </w:p>
    <w:p>
      <w:pPr>
        <w:pStyle w:val="步骤"/>
        <w:widowControl/>
      </w:pPr>
      <w:r>
        <w:rPr>
          <w:rFonts w:ascii="Noto Sans CJK SC" w:hAnsi="Noto Sans CJK SC" w:eastAsia="Noto Sans CJK SC"/>
          <w:b/>
          <w:color w:val="1F4E79"/>
          <w:sz w:val="21"/>
        </w:rPr>
        <w:t>第二步. G1：验证复频响计算方法</w:t>
      </w:r>
      <w:r>
        <w:rPr>
          <w:rFonts w:ascii="Noto Sans CJK SC" w:hAnsi="Noto Sans CJK SC" w:eastAsia="Noto Sans CJK SC"/>
          <w:sz w:val="21"/>
        </w:rPr>
        <w:t>：用8个代表系统、不同宽频输入和真实波进行48次验收计算</w:t>
      </w:r>
    </w:p>
    <w:p>
      <w:pPr>
        <w:pStyle w:val="步骤"/>
        <w:widowControl/>
      </w:pPr>
      <w:r>
        <w:rPr>
          <w:rFonts w:ascii="Noto Sans CJK SC" w:hAnsi="Noto Sans CJK SC" w:eastAsia="Noto Sans CJK SC"/>
          <w:b/>
          <w:color w:val="1F4E79"/>
          <w:sz w:val="21"/>
        </w:rPr>
        <w:t>第三步. H1—H3：建立均质边坡基线</w:t>
      </w:r>
      <w:r>
        <w:rPr>
          <w:rFonts w:ascii="Noto Sans CJK SC" w:hAnsi="Noto Sans CJK SC" w:eastAsia="Noto Sans CJK SC"/>
          <w:sz w:val="21"/>
        </w:rPr>
        <w:t>：先研究纯地形效应、坡角方向效应和尺度一致性</w:t>
      </w:r>
    </w:p>
    <w:p>
      <w:pPr>
        <w:pStyle w:val="步骤"/>
        <w:widowControl/>
      </w:pPr>
      <w:r>
        <w:rPr>
          <w:rFonts w:ascii="Noto Sans CJK SC" w:hAnsi="Noto Sans CJK SC" w:eastAsia="Noto Sans CJK SC"/>
          <w:b/>
          <w:color w:val="1F4E79"/>
          <w:sz w:val="21"/>
        </w:rPr>
        <w:t>第四步. L1：运行规则化的两层机理工况</w:t>
      </w:r>
      <w:r>
        <w:rPr>
          <w:rFonts w:ascii="Noto Sans CJK SC" w:hAnsi="Noto Sans CJK SC" w:eastAsia="Noto Sans CJK SC"/>
          <w:sz w:val="21"/>
        </w:rPr>
        <w:t>：逐项改变厚度、波速、密度、阻尼等参数，便于解释物理规律</w:t>
      </w:r>
    </w:p>
    <w:p>
      <w:pPr>
        <w:pStyle w:val="步骤"/>
        <w:widowControl/>
      </w:pPr>
      <w:r>
        <w:rPr>
          <w:rFonts w:ascii="Noto Sans CJK SC" w:hAnsi="Noto Sans CJK SC" w:eastAsia="Noto Sans CJK SC"/>
          <w:b/>
          <w:color w:val="1F4E79"/>
          <w:sz w:val="21"/>
        </w:rPr>
        <w:t>第五步. L2与L3：生成训练种子集和封存盲测集</w:t>
      </w:r>
      <w:r>
        <w:rPr>
          <w:rFonts w:ascii="Noto Sans CJK SC" w:hAnsi="Noto Sans CJK SC" w:eastAsia="Noto Sans CJK SC"/>
          <w:sz w:val="21"/>
        </w:rPr>
        <w:t>：训练集可见，盲测集在模型完全确定前不得查看</w:t>
      </w:r>
    </w:p>
    <w:p>
      <w:pPr>
        <w:pStyle w:val="步骤"/>
        <w:widowControl/>
      </w:pPr>
      <w:r>
        <w:rPr>
          <w:rFonts w:ascii="Noto Sans CJK SC" w:hAnsi="Noto Sans CJK SC" w:eastAsia="Noto Sans CJK SC"/>
          <w:b/>
          <w:color w:val="1F4E79"/>
          <w:sz w:val="21"/>
        </w:rPr>
        <w:t>第六步. L4：主动学习补点</w:t>
      </w:r>
      <w:r>
        <w:rPr>
          <w:rFonts w:ascii="Noto Sans CJK SC" w:hAnsi="Noto Sans CJK SC" w:eastAsia="Noto Sans CJK SC"/>
          <w:sz w:val="21"/>
        </w:rPr>
        <w:t>：在模型最不确定、最需要补充证据的区域增加工况</w:t>
      </w:r>
    </w:p>
    <w:p>
      <w:pPr>
        <w:pStyle w:val="步骤"/>
        <w:widowControl/>
      </w:pPr>
      <w:r>
        <w:rPr>
          <w:rFonts w:ascii="Noto Sans CJK SC" w:hAnsi="Noto Sans CJK SC" w:eastAsia="Noto Sans CJK SC"/>
          <w:b/>
          <w:color w:val="1F4E79"/>
          <w:sz w:val="21"/>
        </w:rPr>
        <w:t>第七步. L5与M0：边界和拓扑挑战</w:t>
      </w:r>
      <w:r>
        <w:rPr>
          <w:rFonts w:ascii="Noto Sans CJK SC" w:hAnsi="Noto Sans CJK SC" w:eastAsia="Noto Sans CJK SC"/>
          <w:sz w:val="21"/>
        </w:rPr>
        <w:t>：测试超范围、陡坡、多层和波速倒转等失效情况</w:t>
      </w:r>
    </w:p>
    <w:p>
      <w:pPr>
        <w:pStyle w:val="步骤"/>
        <w:widowControl/>
      </w:pPr>
      <w:r>
        <w:rPr>
          <w:rFonts w:ascii="Noto Sans CJK SC" w:hAnsi="Noto Sans CJK SC" w:eastAsia="Noto Sans CJK SC"/>
          <w:b/>
          <w:color w:val="1F4E79"/>
          <w:sz w:val="21"/>
        </w:rPr>
        <w:t>第八步. L3解封与W0真实波闭环</w:t>
      </w:r>
      <w:r>
        <w:rPr>
          <w:rFonts w:ascii="Noto Sans CJK SC" w:hAnsi="Noto Sans CJK SC" w:eastAsia="Noto Sans CJK SC"/>
          <w:sz w:val="21"/>
        </w:rPr>
        <w:t>：进行最终独立考试，并验证PGA、PGV、反应谱等工程指标</w:t>
      </w:r>
    </w:p>
    <w:p>
      <w:pPr>
        <w:pStyle w:val="步骤"/>
        <w:widowControl/>
      </w:pPr>
      <w:r>
        <w:rPr>
          <w:rFonts w:ascii="Noto Sans CJK SC" w:hAnsi="Noto Sans CJK SC" w:eastAsia="Noto Sans CJK SC"/>
          <w:b/>
          <w:color w:val="1F4E79"/>
          <w:sz w:val="21"/>
        </w:rPr>
        <w:t>第九步. R0与可选N0</w:t>
      </w:r>
      <w:r>
        <w:rPr>
          <w:rFonts w:ascii="Noto Sans CJK SC" w:hAnsi="Noto Sans CJK SC" w:eastAsia="Noto Sans CJK SC"/>
          <w:sz w:val="21"/>
        </w:rPr>
        <w:t>：检查跨电脑一致性，必要时研究等效线性强度边界</w:t>
      </w: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硬性要求： </w:t>
            </w:r>
            <w:r>
              <w:rPr>
                <w:rFonts w:ascii="Noto Sans CJK SC" w:hAnsi="Noto Sans CJK SC" w:eastAsia="Noto Sans CJK SC"/>
                <w:sz w:val="21"/>
              </w:rPr>
              <w:t>G1未通过时，禁止扩大到L2等大规模数据池；盲测集L3不能用于主动学习、模型选择或停止条件判断。</w:t>
            </w:r>
          </w:p>
        </w:tc>
      </w:tr>
    </w:tbl>
    <w:p>
      <w:pPr>
        <w:spacing w:after="0"/>
        <w:widowControl/>
      </w:pPr>
    </w:p>
    <w:p>
      <w:pPr>
        <w:pStyle w:val="Heading1"/>
        <w:widowControl/>
      </w:pPr>
      <w:r>
        <w:t>5. 各类工况编号的通俗解释</w:t>
      </w:r>
    </w:p>
    <w:tbl>
      <w:tblPr>
        <w:tblStyle w:val="TableGrid"/>
        <w:tblW w:type="auto" w:w="0"/>
        <w:jc w:val="center"/>
        <w:tblLook w:firstColumn="1" w:firstRow="1" w:lastColumn="0" w:lastRow="0" w:noHBand="0" w:noVBand="1" w:val="04A0"/>
      </w:tblPr>
      <w:tblGrid>
        <w:gridCol w:w="2394"/>
        <w:gridCol w:w="2394"/>
        <w:gridCol w:w="2394"/>
        <w:gridCol w:w="2394"/>
      </w:tblGrid>
      <w:tr>
        <w:trPr>
          <w:trHeight w:hRule="atLeast" w:val="454"/>
          <w:tblHeader w:val="true"/>
          <w:cantSplit/>
        </w:trPr>
        <w:tc>
          <w:tcPr>
            <w:tcW w:type="dxa" w:w="79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编号</w:t>
            </w:r>
          </w:p>
        </w:tc>
        <w:tc>
          <w:tcPr>
            <w:tcW w:type="dxa" w:w="1757"/>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名称</w:t>
            </w:r>
          </w:p>
        </w:tc>
        <w:tc>
          <w:tcPr>
            <w:tcW w:type="dxa" w:w="4082"/>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主要用途</w:t>
            </w:r>
          </w:p>
        </w:tc>
        <w:tc>
          <w:tcPr>
            <w:tcW w:type="dxa" w:w="226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数据角色</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G0</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生产准备测试</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检查自动建模、参数传递、编号、日志和质量控制是否可用</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不进入正文规律分析</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G1</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频响验收</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检查不同激励下幅值和相位是否一致，并用真实波闭环</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通过后才能批量运行</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H1</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均质坡主图谱</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研究常规坡角与入射角下的纯地形响应</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第4章均质规律</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H2</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尺度一致性</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改变坡高，检查无量纲频响是否保持一致</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整组测试，不拆样本</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H3</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陡坡边界</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测试67.5°和75°等超常坡角</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边界与拒识测试</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L1</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结构化机理锚点</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规则改变厚度、波速、密度、泊松比和阻尼</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便于解释物理机制</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L2</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机器学习种子集</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在五维参数空间均匀撒点，共512个</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主要训练数据</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L3</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冻结盲测集</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独立生成128个工况，训练阶段完全封存</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最终域内考试</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L4</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主动学习补点</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根据不确定性有针对性补充，最多192个</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可用于训练</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L5</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结构化边界</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测试坡角、入射、厚度和材料的边界或超范围情况</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不训练</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C0</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匹配均质对照</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给每个成层坡配一个相同坡角和入射角的均质坡</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分解地形、地层和耦合</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M0</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多层拓扑挑战</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测试多层、波速倒转、夹层和随地形分层</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规则拒识与失效展示</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W0</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真实波闭环</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40个工况×6条未见真实波，共240次</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工程时域验证</w:t>
            </w:r>
          </w:p>
        </w:tc>
      </w:tr>
      <w:tr>
        <w:trPr>
          <w:cantSplit/>
        </w:trPr>
        <w:tc>
          <w:tcPr>
            <w:tcW w:type="dxa" w:w="79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R0</w:t>
            </w:r>
          </w:p>
        </w:tc>
        <w:tc>
          <w:tcPr>
            <w:tcW w:type="dxa" w:w="17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跨机器重复</w:t>
            </w:r>
          </w:p>
        </w:tc>
        <w:tc>
          <w:tcPr>
            <w:tcW w:type="dxa" w:w="408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16个代表工况在两台电脑分别运行</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检查机器一致性</w:t>
            </w:r>
          </w:p>
        </w:tc>
      </w:tr>
      <w:tr>
        <w:trPr>
          <w:cantSplit/>
        </w:trPr>
        <w:tc>
          <w:tcPr>
            <w:tcW w:type="dxa" w:w="79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N0</w:t>
            </w:r>
          </w:p>
        </w:tc>
        <w:tc>
          <w:tcPr>
            <w:tcW w:type="dxa" w:w="17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等效线性扩展</w:t>
            </w:r>
          </w:p>
        </w:tc>
        <w:tc>
          <w:tcPr>
            <w:tcW w:type="dxa" w:w="408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24个代表工况×5个地震强度，共120次</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仅研究强度适用边界</w:t>
            </w:r>
          </w:p>
        </w:tc>
      </w:tr>
    </w:tbl>
    <w:p>
      <w:pPr>
        <w:spacing w:after="0"/>
        <w:widowControl/>
      </w:pPr>
    </w:p>
    <w:p>
      <w:pPr>
        <w:pStyle w:val="Heading2"/>
        <w:widowControl/>
      </w:pPr>
      <w:r>
        <w:t>5.1 L1为什么特别重要</w:t>
      </w:r>
    </w:p>
    <w:p>
      <w:pPr>
        <w:pStyle w:val="正文"/>
        <w:widowControl/>
      </w:pPr>
      <w:r>
        <w:rPr>
          <w:rFonts w:ascii="Noto Sans CJK SC" w:hAnsi="Noto Sans CJK SC" w:eastAsia="Noto Sans CJK SC"/>
          <w:sz w:val="21"/>
        </w:rPr>
        <w:t>L1不是随机选点，而是把参数按照规则逐项改变。例如，固定密度比只改变覆盖层厚度和波速比，或者固定厚度只改变波速比和密度比。这样得到的结果更容易在第4章中解释，能够直接说明某个参数增加后，共振峰、峰值位置和空间分布如何变化。</w:t>
      </w:r>
    </w:p>
    <w:p>
      <w:pPr>
        <w:pStyle w:val="Heading2"/>
        <w:widowControl/>
      </w:pPr>
      <w:r>
        <w:t>5.2 L3为什么必须封存</w:t>
      </w:r>
    </w:p>
    <w:p>
      <w:pPr>
        <w:pStyle w:val="正文"/>
        <w:widowControl/>
      </w:pPr>
      <w:r>
        <w:rPr>
          <w:rFonts w:ascii="Noto Sans CJK SC" w:hAnsi="Noto Sans CJK SC" w:eastAsia="Noto Sans CJK SC"/>
          <w:sz w:val="21"/>
        </w:rPr>
        <w:t>L3相当于考试题。若在训练、降维、调参或主动学习过程中查看L3结果，就等于提前看过答案。此后即使得到很高精度，也不能证明模型具有真正的泛化能力。</w:t>
      </w:r>
    </w:p>
    <w:p>
      <w:pPr>
        <w:pStyle w:val="Heading1"/>
        <w:widowControl/>
      </w:pPr>
      <w:r>
        <w:t>6. 为什么必须保存复频响</w:t>
      </w:r>
    </w:p>
    <w:p>
      <w:pPr>
        <w:pStyle w:val="正文"/>
        <w:widowControl/>
      </w:pPr>
      <w:r>
        <w:rPr>
          <w:rFonts w:ascii="Noto Sans CJK SC" w:hAnsi="Noto Sans CJK SC" w:eastAsia="Noto Sans CJK SC"/>
          <w:sz w:val="21"/>
        </w:rPr>
        <w:t>以前的后处理主要保存频谱幅值之比，即“每个频率放大了多少倍”。新方案要求保存复频响，即同时保存幅值和相位。</w:t>
      </w:r>
    </w:p>
    <w:tbl>
      <w:tblPr>
        <w:tblStyle w:val="TableGrid"/>
        <w:tblW w:type="auto" w:w="0"/>
        <w:jc w:val="center"/>
        <w:tblLook w:firstColumn="1" w:firstRow="1" w:lastColumn="0" w:lastRow="0" w:noHBand="0" w:noVBand="1" w:val="04A0"/>
      </w:tblPr>
      <w:tblGrid>
        <w:gridCol w:w="3192"/>
        <w:gridCol w:w="3192"/>
        <w:gridCol w:w="3192"/>
      </w:tblGrid>
      <w:tr>
        <w:trPr>
          <w:trHeight w:hRule="atLeast" w:val="454"/>
          <w:tblHeader w:val="true"/>
          <w:cantSplit/>
        </w:trPr>
        <w:tc>
          <w:tcPr>
            <w:tcW w:type="dxa" w:w="1417"/>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信息</w:t>
            </w:r>
          </w:p>
        </w:tc>
        <w:tc>
          <w:tcPr>
            <w:tcW w:type="dxa" w:w="3402"/>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它回答什么问题</w:t>
            </w:r>
          </w:p>
        </w:tc>
        <w:tc>
          <w:tcPr>
            <w:tcW w:type="dxa" w:w="3855"/>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只保存幅值会丢失什么</w:t>
            </w:r>
          </w:p>
        </w:tc>
      </w:tr>
      <w:tr>
        <w:trPr>
          <w:cantSplit/>
        </w:trPr>
        <w:tc>
          <w:tcPr>
            <w:tcW w:type="dxa" w:w="1417"/>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幅值</w:t>
            </w:r>
          </w:p>
        </w:tc>
        <w:tc>
          <w:tcPr>
            <w:tcW w:type="dxa" w:w="340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某个频率被放大或削弱了多少</w:t>
            </w:r>
          </w:p>
        </w:tc>
        <w:tc>
          <w:tcPr>
            <w:tcW w:type="dxa" w:w="3855"/>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仍能看到放大倍数</w:t>
            </w:r>
          </w:p>
        </w:tc>
      </w:tr>
      <w:tr>
        <w:trPr>
          <w:cantSplit/>
        </w:trPr>
        <w:tc>
          <w:tcPr>
            <w:tcW w:type="dxa" w:w="1417"/>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相位</w:t>
            </w:r>
          </w:p>
        </w:tc>
        <w:tc>
          <w:tcPr>
            <w:tcW w:type="dxa" w:w="340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该频率的响应相对输入提前或滞后多少</w:t>
            </w:r>
          </w:p>
        </w:tc>
        <w:tc>
          <w:tcPr>
            <w:tcW w:type="dxa" w:w="3855"/>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无法正确重建时程和波的传播过程</w:t>
            </w:r>
          </w:p>
        </w:tc>
      </w:tr>
      <w:tr>
        <w:trPr>
          <w:cantSplit/>
        </w:trPr>
        <w:tc>
          <w:tcPr>
            <w:tcW w:type="dxa" w:w="1417"/>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有效频带</w:t>
            </w:r>
          </w:p>
        </w:tc>
        <w:tc>
          <w:tcPr>
            <w:tcW w:type="dxa" w:w="340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哪些频率的输入能量和信噪比足够可靠</w:t>
            </w:r>
          </w:p>
        </w:tc>
        <w:tc>
          <w:tcPr>
            <w:tcW w:type="dxa" w:w="3855"/>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可能在无效频点制造假峰</w:t>
            </w:r>
          </w:p>
        </w:tc>
      </w:tr>
      <w:tr>
        <w:trPr>
          <w:cantSplit/>
        </w:trPr>
        <w:tc>
          <w:tcPr>
            <w:tcW w:type="dxa" w:w="1417"/>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空间坐标</w:t>
            </w:r>
          </w:p>
        </w:tc>
        <w:tc>
          <w:tcPr>
            <w:tcW w:type="dxa" w:w="340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坡顶、坡面、坡脚和远场各处如何变化</w:t>
            </w:r>
          </w:p>
        </w:tc>
        <w:tc>
          <w:tcPr>
            <w:tcW w:type="dxa" w:w="3855"/>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无法判断放大发生在哪里</w:t>
            </w:r>
          </w:p>
        </w:tc>
      </w:tr>
    </w:tbl>
    <w:p>
      <w:pPr>
        <w:spacing w:after="0"/>
        <w:widowControl/>
      </w:pPr>
    </w:p>
    <w:p>
      <w:pPr>
        <w:pStyle w:val="正文"/>
        <w:widowControl/>
      </w:pPr>
      <w:r>
        <w:rPr>
          <w:rFonts w:ascii="Noto Sans CJK SC" w:hAnsi="Noto Sans CJK SC" w:eastAsia="Noto Sans CJK SC"/>
          <w:sz w:val="21"/>
        </w:rPr>
        <w:t>两个响应即使幅值完全相同，相位也可能明显不同。把它们转换回时域后，峰值时刻、PGA、反应谱和波形都可能不同。因此，只有完整的复频响才能支撑真实波重建和可靠的工程评价。</w:t>
      </w: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现有脚本的不足： </w:t>
            </w:r>
            <w:r>
              <w:rPr>
                <w:rFonts w:ascii="Noto Sans CJK SC" w:hAnsi="Noto Sans CJK SC" w:eastAsia="Noto Sans CJK SC"/>
                <w:sz w:val="21"/>
              </w:rPr>
              <w:t>当前后处理本质上只计算了幅值比，还没有输出相位、明确的有效频带掩码和反应谱；但已有结果文件保存了完整时程，因此后处理升级后通常不必重新读取或重跑已有ODB。</w:t>
            </w:r>
          </w:p>
        </w:tc>
      </w:tr>
    </w:tbl>
    <w:p>
      <w:pPr>
        <w:spacing w:after="0"/>
        <w:widowControl/>
      </w:pPr>
    </w:p>
    <w:p>
      <w:pPr>
        <w:pStyle w:val="Heading1"/>
        <w:widowControl/>
      </w:pPr>
      <w:r>
        <w:t>7. FSAF、RSAF和TAF的区别</w:t>
      </w:r>
    </w:p>
    <w:tbl>
      <w:tblPr>
        <w:tblStyle w:val="TableGrid"/>
        <w:tblW w:type="auto" w:w="0"/>
        <w:jc w:val="center"/>
        <w:tblLook w:firstColumn="1" w:firstRow="1" w:lastColumn="0" w:lastRow="0" w:noHBand="0" w:noVBand="1" w:val="04A0"/>
      </w:tblPr>
      <w:tblGrid>
        <w:gridCol w:w="2394"/>
        <w:gridCol w:w="2394"/>
        <w:gridCol w:w="2394"/>
        <w:gridCol w:w="2394"/>
      </w:tblGrid>
      <w:tr>
        <w:trPr>
          <w:trHeight w:hRule="atLeast" w:val="454"/>
          <w:tblHeader w:val="true"/>
          <w:cantSplit/>
        </w:trPr>
        <w:tc>
          <w:tcPr>
            <w:tcW w:type="dxa" w:w="130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指标</w:t>
            </w:r>
          </w:p>
        </w:tc>
        <w:tc>
          <w:tcPr>
            <w:tcW w:type="dxa" w:w="3175"/>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通俗含义</w:t>
            </w:r>
          </w:p>
        </w:tc>
        <w:tc>
          <w:tcPr>
            <w:tcW w:type="dxa" w:w="249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主要用途</w:t>
            </w:r>
          </w:p>
        </w:tc>
        <w:tc>
          <w:tcPr>
            <w:tcW w:type="dxa" w:w="198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注意事项</w:t>
            </w:r>
          </w:p>
        </w:tc>
      </w:tr>
      <w:tr>
        <w:trPr>
          <w:cantSplit/>
        </w:trPr>
        <w:tc>
          <w:tcPr>
            <w:tcW w:type="dxa" w:w="130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复频响 H</w:t>
            </w:r>
          </w:p>
        </w:tc>
        <w:tc>
          <w:tcPr>
            <w:tcW w:type="dxa" w:w="3175"/>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每个频率在每个位置被放大多少，并发生多大相位变化</w:t>
            </w:r>
          </w:p>
        </w:tc>
        <w:tc>
          <w:tcPr>
            <w:tcW w:type="dxa" w:w="249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机理分析和机器学习主目标</w:t>
            </w:r>
          </w:p>
        </w:tc>
        <w:tc>
          <w:tcPr>
            <w:tcW w:type="dxa" w:w="198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必须保留复数信息</w:t>
            </w:r>
          </w:p>
        </w:tc>
      </w:tr>
      <w:tr>
        <w:trPr>
          <w:cantSplit/>
        </w:trPr>
        <w:tc>
          <w:tcPr>
            <w:tcW w:type="dxa" w:w="130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FSAF</w:t>
            </w:r>
          </w:p>
        </w:tc>
        <w:tc>
          <w:tcPr>
            <w:tcW w:type="dxa" w:w="3175"/>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傅里叶谱的幅值放大倍数</w:t>
            </w:r>
          </w:p>
        </w:tc>
        <w:tc>
          <w:tcPr>
            <w:tcW w:type="dxa" w:w="249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直观展示各频带放大和主峰迁移</w:t>
            </w:r>
          </w:p>
        </w:tc>
        <w:tc>
          <w:tcPr>
            <w:tcW w:type="dxa" w:w="198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本质上就是|H|，不应重复训练</w:t>
            </w:r>
          </w:p>
        </w:tc>
      </w:tr>
      <w:tr>
        <w:trPr>
          <w:cantSplit/>
        </w:trPr>
        <w:tc>
          <w:tcPr>
            <w:tcW w:type="dxa" w:w="130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RSAF</w:t>
            </w:r>
          </w:p>
        </w:tc>
        <w:tc>
          <w:tcPr>
            <w:tcW w:type="dxa" w:w="3175"/>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不同自振周期的结构需求被放大多少</w:t>
            </w:r>
          </w:p>
        </w:tc>
        <w:tc>
          <w:tcPr>
            <w:tcW w:type="dxa" w:w="249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工程解释和真实波验证</w:t>
            </w:r>
          </w:p>
        </w:tc>
        <w:tc>
          <w:tcPr>
            <w:tcW w:type="dxa" w:w="198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依赖具体地震波，不能视为系统唯一属性</w:t>
            </w:r>
          </w:p>
        </w:tc>
      </w:tr>
      <w:tr>
        <w:trPr>
          <w:cantSplit/>
        </w:trPr>
        <w:tc>
          <w:tcPr>
            <w:tcW w:type="dxa" w:w="130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TAF</w:t>
            </w:r>
          </w:p>
        </w:tc>
        <w:tc>
          <w:tcPr>
            <w:tcW w:type="dxa" w:w="3175"/>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常见的地形放大指标或峰值比</w:t>
            </w:r>
          </w:p>
        </w:tc>
        <w:tc>
          <w:tcPr>
            <w:tcW w:type="dxa" w:w="249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与既有研究和规范表达对接</w:t>
            </w:r>
          </w:p>
        </w:tc>
        <w:tc>
          <w:tcPr>
            <w:tcW w:type="dxa" w:w="198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单个最大值不能代表完整频率—空间规律</w:t>
            </w:r>
          </w:p>
        </w:tc>
      </w:tr>
    </w:tbl>
    <w:p>
      <w:pPr>
        <w:spacing w:after="0"/>
        <w:widowControl/>
      </w:pPr>
    </w:p>
    <w:p>
      <w:pPr>
        <w:pStyle w:val="正文"/>
        <w:widowControl/>
      </w:pPr>
      <w:r>
        <w:rPr>
          <w:rFonts w:ascii="Noto Sans CJK SC" w:hAnsi="Noto Sans CJK SC" w:eastAsia="Noto Sans CJK SC"/>
          <w:sz w:val="21"/>
        </w:rPr>
        <w:t>第4章不能只报告一个“最大TAF”。至少还应说明放大出现在哪个频率、哪个位置、峰值区域有多宽、相位如何变化，以及对不同结构周期的反应谱影响。</w:t>
      </w:r>
    </w:p>
    <w:p>
      <w:pPr>
        <w:pStyle w:val="正文"/>
        <w:widowControl/>
      </w:pPr>
      <w:r>
        <w:rPr>
          <w:rFonts w:ascii="Noto Sans CJK SC" w:hAnsi="Noto Sans CJK SC" w:eastAsia="Noto Sans CJK SC"/>
          <w:sz w:val="21"/>
        </w:rPr>
        <w:t>RSAF的分离近似也不能简单用两个标量放大系数直接相乘。正确做法是先把“一维地层频响 × 均质坡频响 × 输入波谱”组合起来，恢复近似时程，再计算反应谱。</w:t>
      </w:r>
    </w:p>
    <w:p>
      <w:pPr>
        <w:pStyle w:val="Heading1"/>
        <w:widowControl/>
      </w:pPr>
      <w:r>
        <w:t>8. 如何判断地形和地层能不能分开</w:t>
      </w:r>
    </w:p>
    <w:p>
      <w:pPr>
        <w:pStyle w:val="正文"/>
        <w:widowControl/>
      </w:pPr>
      <w:r>
        <w:rPr>
          <w:rFonts w:ascii="Noto Sans CJK SC" w:hAnsi="Noto Sans CJK SC" w:eastAsia="Noto Sans CJK SC"/>
          <w:sz w:val="21"/>
        </w:rPr>
        <w:t>对每个成层坡，需要同时具备三类结果：</w:t>
      </w:r>
    </w:p>
    <w:p>
      <w:pPr>
        <w:pStyle w:val="列表"/>
        <w:ind w:left="397" w:hanging="255"/>
        <w:widowControl/>
      </w:pPr>
      <w:r>
        <w:rPr>
          <w:rFonts w:ascii="Noto Sans CJK SC" w:hAnsi="Noto Sans CJK SC" w:eastAsia="Noto Sans CJK SC"/>
          <w:sz w:val="21"/>
        </w:rPr>
        <w:t>• 成层边坡的二维总频响；</w:t>
      </w:r>
    </w:p>
    <w:p>
      <w:pPr>
        <w:pStyle w:val="列表"/>
        <w:ind w:left="397" w:hanging="255"/>
        <w:widowControl/>
      </w:pPr>
      <w:r>
        <w:rPr>
          <w:rFonts w:ascii="Noto Sans CJK SC" w:hAnsi="Noto Sans CJK SC" w:eastAsia="Noto Sans CJK SC"/>
          <w:sz w:val="21"/>
        </w:rPr>
        <w:t>• 相同地层剖面的一维自由场频响；</w:t>
      </w:r>
    </w:p>
    <w:p>
      <w:pPr>
        <w:pStyle w:val="列表"/>
        <w:ind w:left="397" w:hanging="255"/>
        <w:widowControl/>
      </w:pPr>
      <w:r>
        <w:rPr>
          <w:rFonts w:ascii="Noto Sans CJK SC" w:hAnsi="Noto Sans CJK SC" w:eastAsia="Noto Sans CJK SC"/>
          <w:sz w:val="21"/>
        </w:rPr>
        <w:t>• 相同坡角和入射角、但去掉覆盖层后的均质坡频响。</w:t>
      </w:r>
    </w:p>
    <w:p>
      <w:pPr>
        <w:pStyle w:val="正文"/>
        <w:widowControl/>
      </w:pPr>
      <w:r>
        <w:rPr>
          <w:rFonts w:ascii="Noto Sans CJK SC" w:hAnsi="Noto Sans CJK SC" w:eastAsia="Noto Sans CJK SC"/>
          <w:sz w:val="21"/>
        </w:rPr>
        <w:t>然后把实际二维总频响与“一维地层频响 × 均质坡频响”进行比较。若两者非常接近，说明地形和地层可以近似分开；若差异较大，则存在明显耦合。</w:t>
      </w:r>
    </w:p>
    <w:tbl>
      <w:tblPr>
        <w:tblStyle w:val="TableGrid"/>
        <w:tblW w:type="auto" w:w="0"/>
        <w:jc w:val="center"/>
        <w:tblLook w:firstColumn="1" w:firstRow="1" w:lastColumn="0" w:lastRow="0" w:noHBand="0" w:noVBand="1" w:val="04A0"/>
      </w:tblPr>
      <w:tblGrid>
        <w:gridCol w:w="2394"/>
        <w:gridCol w:w="2394"/>
        <w:gridCol w:w="2394"/>
        <w:gridCol w:w="2394"/>
      </w:tblGrid>
      <w:tr>
        <w:trPr>
          <w:trHeight w:hRule="atLeast" w:val="454"/>
          <w:tblHeader w:val="true"/>
          <w:cantSplit/>
        </w:trPr>
        <w:tc>
          <w:tcPr>
            <w:tcW w:type="dxa" w:w="1701"/>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分区</w:t>
            </w:r>
          </w:p>
        </w:tc>
        <w:tc>
          <w:tcPr>
            <w:tcW w:type="dxa" w:w="226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幅值表现</w:t>
            </w:r>
          </w:p>
        </w:tc>
        <w:tc>
          <w:tcPr>
            <w:tcW w:type="dxa" w:w="226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相位表现</w:t>
            </w:r>
          </w:p>
        </w:tc>
        <w:tc>
          <w:tcPr>
            <w:tcW w:type="dxa" w:w="2665"/>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含义</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近似可分离</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误差低于门槛</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误差低于门槛</w:t>
            </w:r>
          </w:p>
        </w:tc>
        <w:tc>
          <w:tcPr>
            <w:tcW w:type="dxa" w:w="2665"/>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简单乘积近似可以使用</w:t>
            </w:r>
          </w:p>
        </w:tc>
      </w:tr>
      <w:tr>
        <w:trPr>
          <w:cantSplit/>
        </w:trPr>
        <w:tc>
          <w:tcPr>
            <w:tcW w:type="dxa" w:w="170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过渡区</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幅值或相位只有一项超限</w:t>
            </w:r>
          </w:p>
        </w:tc>
        <w:tc>
          <w:tcPr>
            <w:tcW w:type="dxa" w:w="226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另一项仍可接受</w:t>
            </w:r>
          </w:p>
        </w:tc>
        <w:tc>
          <w:tcPr>
            <w:tcW w:type="dxa" w:w="2665"/>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需要更多独立工况复核</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强耦合</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幅值明显超限</w:t>
            </w:r>
          </w:p>
        </w:tc>
        <w:tc>
          <w:tcPr>
            <w:tcW w:type="dxa" w:w="226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相位也明显超限</w:t>
            </w:r>
          </w:p>
        </w:tc>
        <w:tc>
          <w:tcPr>
            <w:tcW w:type="dxa" w:w="2665"/>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必须显式建模耦合残差</w:t>
            </w:r>
          </w:p>
        </w:tc>
      </w:tr>
    </w:tbl>
    <w:p>
      <w:pPr>
        <w:spacing w:after="0"/>
        <w:widowControl/>
      </w:pP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门槛纪律： </w:t>
            </w:r>
            <w:r>
              <w:rPr>
                <w:rFonts w:ascii="Noto Sans CJK SC" w:hAnsi="Noto Sans CJK SC" w:eastAsia="Noto Sans CJK SC"/>
                <w:sz w:val="21"/>
              </w:rPr>
              <w:t>判据阈值要依据G1得到的数值误差下限确定，并在盲测集解封前冻结；不能因为最终结果不好看而临时放宽。</w:t>
            </w:r>
          </w:p>
        </w:tc>
      </w:tr>
    </w:tbl>
    <w:p>
      <w:pPr>
        <w:spacing w:after="0"/>
        <w:widowControl/>
      </w:pPr>
    </w:p>
    <w:p>
      <w:pPr>
        <w:pStyle w:val="Heading1"/>
        <w:widowControl/>
      </w:pPr>
      <w:r>
        <w:t>9. 机器学习模型具体学习什么</w:t>
      </w:r>
    </w:p>
    <w:p>
      <w:pPr>
        <w:pStyle w:val="正文"/>
        <w:widowControl/>
      </w:pPr>
      <w:r>
        <w:rPr>
          <w:rFonts w:ascii="Noto Sans CJK SC" w:hAnsi="Noto Sans CJK SC" w:eastAsia="Noto Sans CJK SC"/>
          <w:sz w:val="21"/>
        </w:rPr>
        <w:t>机器学习输入是一个完整物理工况的参数，包括坡角、入射角、覆盖层厚度比、波速比和密度比；输出是整个频率—空间上的复频响函数。方案准备比较三条路线。</w:t>
      </w:r>
    </w:p>
    <w:tbl>
      <w:tblPr>
        <w:tblStyle w:val="TableGrid"/>
        <w:tblW w:type="auto" w:w="0"/>
        <w:jc w:val="center"/>
        <w:tblLook w:firstColumn="1" w:firstRow="1" w:lastColumn="0" w:lastRow="0" w:noHBand="0" w:noVBand="1" w:val="04A0"/>
      </w:tblPr>
      <w:tblGrid>
        <w:gridCol w:w="2394"/>
        <w:gridCol w:w="2394"/>
        <w:gridCol w:w="2394"/>
        <w:gridCol w:w="2394"/>
      </w:tblGrid>
      <w:tr>
        <w:trPr>
          <w:trHeight w:hRule="atLeast" w:val="454"/>
          <w:tblHeader w:val="true"/>
          <w:cantSplit/>
        </w:trPr>
        <w:tc>
          <w:tcPr>
            <w:tcW w:type="dxa" w:w="907"/>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路线</w:t>
            </w:r>
          </w:p>
        </w:tc>
        <w:tc>
          <w:tcPr>
            <w:tcW w:type="dxa" w:w="243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学习目标</w:t>
            </w:r>
          </w:p>
        </w:tc>
        <w:tc>
          <w:tcPr>
            <w:tcW w:type="dxa" w:w="3061"/>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直观理解</w:t>
            </w:r>
          </w:p>
        </w:tc>
        <w:tc>
          <w:tcPr>
            <w:tcW w:type="dxa" w:w="249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优缺点</w:t>
            </w:r>
          </w:p>
        </w:tc>
      </w:tr>
      <w:tr>
        <w:trPr>
          <w:cantSplit/>
        </w:trPr>
        <w:tc>
          <w:tcPr>
            <w:tcW w:type="dxa" w:w="907"/>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M1</w:t>
            </w:r>
          </w:p>
        </w:tc>
        <w:tc>
          <w:tcPr>
            <w:tcW w:type="dxa" w:w="243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直接学习总复频响 H₂D</w:t>
            </w:r>
          </w:p>
        </w:tc>
        <w:tc>
          <w:tcPr>
            <w:tcW w:type="dxa" w:w="3061"/>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从参数直接预测完整响应</w:t>
            </w:r>
          </w:p>
        </w:tc>
        <w:tc>
          <w:tcPr>
            <w:tcW w:type="dxa" w:w="249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最直接，但任务可能最复杂</w:t>
            </w:r>
          </w:p>
        </w:tc>
      </w:tr>
      <w:tr>
        <w:trPr>
          <w:cantSplit/>
        </w:trPr>
        <w:tc>
          <w:tcPr>
            <w:tcW w:type="dxa" w:w="907"/>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M2</w:t>
            </w:r>
          </w:p>
        </w:tc>
        <w:tc>
          <w:tcPr>
            <w:tcW w:type="dxa" w:w="2438"/>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学习 H₂D/H₁D</w:t>
            </w:r>
          </w:p>
        </w:tc>
        <w:tc>
          <w:tcPr>
            <w:tcW w:type="dxa" w:w="3061"/>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先去掉明显的一维地层共振</w:t>
            </w:r>
          </w:p>
        </w:tc>
        <w:tc>
          <w:tcPr>
            <w:tcW w:type="dxa" w:w="249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可能更容易学习</w:t>
            </w:r>
          </w:p>
        </w:tc>
      </w:tr>
      <w:tr>
        <w:trPr>
          <w:cantSplit/>
        </w:trPr>
        <w:tc>
          <w:tcPr>
            <w:tcW w:type="dxa" w:w="907"/>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M3</w:t>
            </w:r>
          </w:p>
        </w:tc>
        <w:tc>
          <w:tcPr>
            <w:tcW w:type="dxa" w:w="2438"/>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学习耦合比 Rc</w:t>
            </w:r>
          </w:p>
        </w:tc>
        <w:tc>
          <w:tcPr>
            <w:tcW w:type="dxa" w:w="3061"/>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只学习实际结果相比“地层×地形”多出来的部分</w:t>
            </w:r>
          </w:p>
        </w:tc>
        <w:tc>
          <w:tcPr>
            <w:tcW w:type="dxa" w:w="249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创新性高，但必须用盲测证明有增益</w:t>
            </w:r>
          </w:p>
        </w:tc>
      </w:tr>
    </w:tbl>
    <w:p>
      <w:pPr>
        <w:spacing w:after="0"/>
        <w:widowControl/>
      </w:pPr>
    </w:p>
    <w:p>
      <w:pPr>
        <w:pStyle w:val="正文"/>
        <w:widowControl/>
      </w:pPr>
      <w:r>
        <w:rPr>
          <w:rFonts w:ascii="Noto Sans CJK SC" w:hAnsi="Noto Sans CJK SC" w:eastAsia="Noto Sans CJK SC"/>
          <w:sz w:val="21"/>
        </w:rPr>
        <w:t>若M3在独立盲测中没有明显优于M2，就不能为了创新而强行选择M3。第4章仍可保留耦合残差分析，但第6章应采用更可靠的M2。</w:t>
      </w:r>
    </w:p>
    <w:p>
      <w:pPr>
        <w:pStyle w:val="正文"/>
        <w:widowControl/>
      </w:pPr>
      <w:r>
        <w:rPr>
          <w:rFonts w:ascii="Noto Sans CJK SC" w:hAnsi="Noto Sans CJK SC" w:eastAsia="Noto Sans CJK SC"/>
          <w:sz w:val="21"/>
        </w:rPr>
        <w:t>均质坡代理和两层坡代理也不能混成一个模型。不能通过虚构“覆盖层厚度为0、波速比为1”把均质工况硬塞进两层模型，因为这会在输入空间中制造不连续。</w:t>
      </w:r>
    </w:p>
    <w:p>
      <w:pPr>
        <w:pStyle w:val="Heading1"/>
        <w:widowControl/>
      </w:pPr>
      <w:r>
        <w:t>10. 为什么频率点不能当作独立样本</w:t>
      </w:r>
    </w:p>
    <w:p>
      <w:pPr>
        <w:pStyle w:val="正文"/>
        <w:widowControl/>
      </w:pPr>
      <w:r>
        <w:rPr>
          <w:rFonts w:ascii="Noto Sans CJK SC" w:hAnsi="Noto Sans CJK SC" w:eastAsia="Noto Sans CJK SC"/>
          <w:sz w:val="21"/>
        </w:rPr>
        <w:t>一个有限元工况会输出大量频率点和空间点，但这些点都来自同一个边坡模型，彼此高度相关。真正独立的样本单位是“一个完整的物理工况”，而不是某一个频率点或某一个地表节点。</w:t>
      </w:r>
    </w:p>
    <w:tbl>
      <w:tblPr>
        <w:tblW w:type="auto" w:w="0"/>
        <w:jc w:val="center"/>
        <w:tblLayout w:type="autofit"/>
        <w:tblLook w:firstColumn="1" w:firstRow="1" w:lastColumn="0" w:lastRow="0" w:noHBand="0" w:noVBand="1" w:val="04A0"/>
      </w:tblPr>
      <w:tblGrid>
        <w:gridCol w:w="9576"/>
      </w:tblGrid>
      <w:tr>
        <w:tc>
          <w:tcPr>
            <w:tcW w:type="dxa" w:w="9576"/>
            <w:shd w:fill="FCE4D6"/>
            <w:tcMar>
              <w:top w:w="140" w:type="dxa"/>
              <w:start w:w="180" w:type="dxa"/>
              <w:bottom w:w="140" w:type="dxa"/>
              <w:end w:w="180" w:type="dxa"/>
            </w:tcMar>
            <w:tcBorders>
              <w:left w:val="single" w:sz="18" w:color="ED7D31"/>
            </w:tcBorders>
          </w:tcPr>
          <w:p>
            <w:pPr>
              <w:spacing w:after="40"/>
            </w:pPr>
            <w:r>
              <w:rPr>
                <w:rFonts w:ascii="Noto Sans CJK SC" w:hAnsi="Noto Sans CJK SC" w:eastAsia="Noto Sans CJK SC"/>
                <w:b/>
                <w:color w:val="1F4E79"/>
                <w:sz w:val="21"/>
              </w:rPr>
              <w:t xml:space="preserve">常见错误： </w:t>
            </w:r>
            <w:r>
              <w:rPr>
                <w:rFonts w:ascii="Noto Sans CJK SC" w:hAnsi="Noto Sans CJK SC" w:eastAsia="Noto Sans CJK SC"/>
                <w:sz w:val="21"/>
              </w:rPr>
              <w:t>把一个工况的几万个频率—空间点拆成几万个样本，再随机分到训练集和测试集。这样训练集和测试集实际上包含同一个边坡的不同点，会造成严重的数据泄漏和虚高精度。</w:t>
            </w:r>
          </w:p>
        </w:tc>
      </w:tr>
    </w:tbl>
    <w:p>
      <w:pPr>
        <w:spacing w:after="0"/>
        <w:widowControl/>
      </w:pPr>
    </w:p>
    <w:p>
      <w:pPr>
        <w:pStyle w:val="正文"/>
        <w:widowControl/>
      </w:pPr>
      <w:r>
        <w:rPr>
          <w:rFonts w:ascii="Noto Sans CJK SC" w:hAnsi="Noto Sans CJK SC" w:eastAsia="Noto Sans CJK SC"/>
          <w:sz w:val="21"/>
        </w:rPr>
        <w:t>因此，交叉验证、置信区间和数据划分都应以完整物理工况或无量纲物理原型为单位；同一原型的所有频率点、空间点和尺度变体必须保持在同一组。</w:t>
      </w:r>
    </w:p>
    <w:p>
      <w:pPr>
        <w:pStyle w:val="Heading1"/>
        <w:widowControl/>
      </w:pPr>
      <w:r>
        <w:t>11. 计算规模与资源预算</w:t>
      </w:r>
    </w:p>
    <w:p>
      <w:pPr>
        <w:pStyle w:val="正文"/>
        <w:widowControl/>
      </w:pPr>
      <w:r>
        <w:rPr>
          <w:rFonts w:ascii="Noto Sans CJK SC" w:hAnsi="Noto Sans CJK SC" w:eastAsia="Noto Sans CJK SC"/>
          <w:sz w:val="21"/>
        </w:rPr>
        <w:t>核心线性路线的动力求解上限约为2895次；若再运行N0等效线性条件扩展，总上限约为3015次。配置完全相同的均质对照可以通过散列去重，因此实际次数可能略低。</w:t>
      </w:r>
    </w:p>
    <w:tbl>
      <w:tblPr>
        <w:tblStyle w:val="TableGrid"/>
        <w:tblW w:type="auto" w:w="0"/>
        <w:jc w:val="center"/>
        <w:tblLook w:firstColumn="1" w:firstRow="1" w:lastColumn="0" w:lastRow="0" w:noHBand="0" w:noVBand="1" w:val="04A0"/>
      </w:tblPr>
      <w:tblGrid>
        <w:gridCol w:w="3192"/>
        <w:gridCol w:w="3192"/>
        <w:gridCol w:w="3192"/>
      </w:tblGrid>
      <w:tr>
        <w:trPr>
          <w:trHeight w:hRule="atLeast" w:val="454"/>
          <w:tblHeader w:val="true"/>
          <w:cantSplit/>
        </w:trPr>
        <w:tc>
          <w:tcPr>
            <w:tcW w:type="dxa" w:w="226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类别</w:t>
            </w:r>
          </w:p>
        </w:tc>
        <w:tc>
          <w:tcPr>
            <w:tcW w:type="dxa" w:w="198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动力求解上限</w:t>
            </w:r>
          </w:p>
        </w:tc>
        <w:tc>
          <w:tcPr>
            <w:tcW w:type="dxa" w:w="4819"/>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主要用途</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G0—G1</w:t>
            </w:r>
          </w:p>
        </w:tc>
        <w:tc>
          <w:tcPr>
            <w:tcW w:type="dxa" w:w="198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48</w:t>
            </w:r>
          </w:p>
        </w:tc>
        <w:tc>
          <w:tcPr>
            <w:tcW w:type="dxa" w:w="4819"/>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证明生产链和复频响提取可用</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H1—H3</w:t>
            </w:r>
          </w:p>
        </w:tc>
        <w:tc>
          <w:tcPr>
            <w:tcW w:type="dxa" w:w="198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99</w:t>
            </w:r>
          </w:p>
        </w:tc>
        <w:tc>
          <w:tcPr>
            <w:tcW w:type="dxa" w:w="4819"/>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均质坡规律、尺度与边界</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L1—L5</w:t>
            </w:r>
          </w:p>
        </w:tc>
        <w:tc>
          <w:tcPr>
            <w:tcW w:type="dxa" w:w="198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1432</w:t>
            </w:r>
          </w:p>
        </w:tc>
        <w:tc>
          <w:tcPr>
            <w:tcW w:type="dxa" w:w="4819"/>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两层坡机理、训练和评估</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C0</w:t>
            </w:r>
          </w:p>
        </w:tc>
        <w:tc>
          <w:tcPr>
            <w:tcW w:type="dxa" w:w="198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948</w:t>
            </w:r>
          </w:p>
        </w:tc>
        <w:tc>
          <w:tcPr>
            <w:tcW w:type="dxa" w:w="4819"/>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构造匹配均质基线和耦合残差</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M0</w:t>
            </w:r>
          </w:p>
        </w:tc>
        <w:tc>
          <w:tcPr>
            <w:tcW w:type="dxa" w:w="198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96</w:t>
            </w:r>
          </w:p>
        </w:tc>
        <w:tc>
          <w:tcPr>
            <w:tcW w:type="dxa" w:w="4819"/>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多层和特殊拓扑挑战</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W0</w:t>
            </w:r>
          </w:p>
        </w:tc>
        <w:tc>
          <w:tcPr>
            <w:tcW w:type="dxa" w:w="198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240</w:t>
            </w:r>
          </w:p>
        </w:tc>
        <w:tc>
          <w:tcPr>
            <w:tcW w:type="dxa" w:w="4819"/>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真实地震波时域闭环</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R0</w:t>
            </w:r>
          </w:p>
        </w:tc>
        <w:tc>
          <w:tcPr>
            <w:tcW w:type="dxa" w:w="1984"/>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32</w:t>
            </w:r>
          </w:p>
        </w:tc>
        <w:tc>
          <w:tcPr>
            <w:tcW w:type="dxa" w:w="4819"/>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跨机器一致性</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N0（可选）</w:t>
            </w:r>
          </w:p>
        </w:tc>
        <w:tc>
          <w:tcPr>
            <w:tcW w:type="dxa" w:w="1984"/>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120</w:t>
            </w:r>
          </w:p>
        </w:tc>
        <w:tc>
          <w:tcPr>
            <w:tcW w:type="dxa" w:w="4819"/>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等效线性强度边界</w:t>
            </w:r>
          </w:p>
        </w:tc>
      </w:tr>
    </w:tbl>
    <w:p>
      <w:pPr>
        <w:spacing w:after="0"/>
        <w:widowControl/>
      </w:pPr>
    </w:p>
    <w:p>
      <w:pPr>
        <w:pStyle w:val="正文"/>
        <w:widowControl/>
      </w:pPr>
      <w:r>
        <w:rPr>
          <w:rFonts w:ascii="Noto Sans CJK SC" w:hAnsi="Noto Sans CJK SC" w:eastAsia="Noto Sans CJK SC"/>
          <w:sz w:val="21"/>
        </w:rPr>
        <w:t>这些数量是预算上限，不是必须全部耗尽的指标。若主动学习连续两批改善很小，可以提前停止L4；但不能为了省计算量而减少L3盲测、L5边界测试、W0真实波验证或R0跨机器重复。</w:t>
      </w:r>
    </w:p>
    <w:p>
      <w:pPr>
        <w:pStyle w:val="Heading1"/>
        <w:widowControl/>
      </w:pPr>
      <w:r>
        <w:t>12. 数据和多机运行为什么管理严格</w:t>
      </w:r>
    </w:p>
    <w:p>
      <w:pPr>
        <w:pStyle w:val="正文"/>
        <w:widowControl/>
      </w:pPr>
      <w:r>
        <w:rPr>
          <w:rFonts w:ascii="Noto Sans CJK SC" w:hAnsi="Noto Sans CJK SC" w:eastAsia="Noto Sans CJK SC"/>
          <w:sz w:val="21"/>
        </w:rPr>
        <w:t>工况数量大、运行时间长，而且可能在多台电脑上并行计算。如果每台电脑自行随机生成工况、随意命名文件或覆盖失败结果，最终数据将难以追溯，也无法判断差异来自物理参数还是运行环境。</w:t>
      </w:r>
    </w:p>
    <w:p>
      <w:pPr>
        <w:pStyle w:val="正文"/>
        <w:widowControl/>
      </w:pPr>
      <w:r>
        <w:rPr>
          <w:rFonts w:ascii="Noto Sans CJK SC" w:hAnsi="Noto Sans CJK SC" w:eastAsia="Noto Sans CJK SC"/>
          <w:sz w:val="21"/>
        </w:rPr>
        <w:t>所有电脑必须从同一份主清单领取工况。每个工况至少要记录：</w:t>
      </w:r>
    </w:p>
    <w:p>
      <w:pPr>
        <w:pStyle w:val="列表"/>
        <w:ind w:left="397" w:hanging="255"/>
        <w:widowControl/>
      </w:pPr>
      <w:r>
        <w:rPr>
          <w:rFonts w:ascii="Noto Sans CJK SC" w:hAnsi="Noto Sans CJK SC" w:eastAsia="Noto Sans CJK SC"/>
          <w:sz w:val="21"/>
        </w:rPr>
        <w:t>• case_id、solve_id、record_id和所属数据池；</w:t>
      </w:r>
    </w:p>
    <w:p>
      <w:pPr>
        <w:pStyle w:val="列表"/>
        <w:ind w:left="397" w:hanging="255"/>
        <w:widowControl/>
      </w:pPr>
      <w:r>
        <w:rPr>
          <w:rFonts w:ascii="Noto Sans CJK SC" w:hAnsi="Noto Sans CJK SC" w:eastAsia="Noto Sans CJK SC"/>
          <w:sz w:val="21"/>
        </w:rPr>
        <w:t>• 坡角、入射角、厚度比、波速比、密度比等完整配置；</w:t>
      </w:r>
    </w:p>
    <w:p>
      <w:pPr>
        <w:pStyle w:val="列表"/>
        <w:ind w:left="397" w:hanging="255"/>
        <w:widowControl/>
      </w:pPr>
      <w:r>
        <w:rPr>
          <w:rFonts w:ascii="Noto Sans CJK SC" w:hAnsi="Noto Sans CJK SC" w:eastAsia="Noto Sans CJK SC"/>
          <w:sz w:val="21"/>
        </w:rPr>
        <w:t>• 运行目录、尝试编号和当前状态；</w:t>
      </w:r>
    </w:p>
    <w:p>
      <w:pPr>
        <w:pStyle w:val="列表"/>
        <w:ind w:left="397" w:hanging="255"/>
        <w:widowControl/>
      </w:pPr>
      <w:r>
        <w:rPr>
          <w:rFonts w:ascii="Noto Sans CJK SC" w:hAnsi="Noto Sans CJK SC" w:eastAsia="Noto Sans CJK SC"/>
          <w:sz w:val="21"/>
        </w:rPr>
        <w:t>• 配置、输入、脚本和结果的散列值；</w:t>
      </w:r>
    </w:p>
    <w:p>
      <w:pPr>
        <w:pStyle w:val="列表"/>
        <w:ind w:left="397" w:hanging="255"/>
        <w:widowControl/>
      </w:pPr>
      <w:r>
        <w:rPr>
          <w:rFonts w:ascii="Noto Sans CJK SC" w:hAnsi="Noto Sans CJK SC" w:eastAsia="Noto Sans CJK SC"/>
          <w:sz w:val="21"/>
        </w:rPr>
        <w:t>• Git提交、Abaqus版本、求解精度和机器编号；</w:t>
      </w:r>
    </w:p>
    <w:p>
      <w:pPr>
        <w:pStyle w:val="列表"/>
        <w:ind w:left="397" w:hanging="255"/>
        <w:widowControl/>
      </w:pPr>
      <w:r>
        <w:rPr>
          <w:rFonts w:ascii="Noto Sans CJK SC" w:hAnsi="Noto Sans CJK SC" w:eastAsia="Noto Sans CJK SC"/>
          <w:sz w:val="21"/>
        </w:rPr>
        <w:t>• 失败原因、质量检查结果和最终数据完整性。</w:t>
      </w:r>
    </w:p>
    <w:tbl>
      <w:tblPr>
        <w:tblStyle w:val="TableGrid"/>
        <w:tblW w:type="auto" w:w="0"/>
        <w:jc w:val="center"/>
        <w:tblLook w:firstColumn="1" w:firstRow="1" w:lastColumn="0" w:lastRow="0" w:noHBand="0" w:noVBand="1" w:val="04A0"/>
      </w:tblPr>
      <w:tblGrid>
        <w:gridCol w:w="4788"/>
        <w:gridCol w:w="4788"/>
      </w:tblGrid>
      <w:tr>
        <w:trPr>
          <w:trHeight w:hRule="atLeast" w:val="454"/>
          <w:tblHeader w:val="true"/>
          <w:cantSplit/>
        </w:trPr>
        <w:tc>
          <w:tcPr>
            <w:tcW w:type="dxa" w:w="294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运行规则</w:t>
            </w:r>
          </w:p>
        </w:tc>
        <w:tc>
          <w:tcPr>
            <w:tcW w:type="dxa" w:w="5953"/>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通俗解释</w:t>
            </w:r>
          </w:p>
        </w:tc>
      </w:tr>
      <w:tr>
        <w:trPr>
          <w:cantSplit/>
        </w:trPr>
        <w:tc>
          <w:tcPr>
            <w:tcW w:type="dxa" w:w="294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正式结果进入Run目录</w:t>
            </w:r>
          </w:p>
        </w:tc>
        <w:tc>
          <w:tcPr>
            <w:tcW w:type="dxa" w:w="595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临时诊断和论文证据不能混在一起</w:t>
            </w:r>
          </w:p>
        </w:tc>
      </w:tr>
      <w:tr>
        <w:trPr>
          <w:cantSplit/>
        </w:trPr>
        <w:tc>
          <w:tcPr>
            <w:tcW w:type="dxa" w:w="294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失败不覆盖</w:t>
            </w:r>
          </w:p>
        </w:tc>
        <w:tc>
          <w:tcPr>
            <w:tcW w:type="dxa" w:w="595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修复后使用新的attempt_id，保留旧日志供审计</w:t>
            </w:r>
          </w:p>
        </w:tc>
      </w:tr>
      <w:tr>
        <w:trPr>
          <w:cantSplit/>
        </w:trPr>
        <w:tc>
          <w:tcPr>
            <w:tcW w:type="dxa" w:w="294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ODB延迟删除</w:t>
            </w:r>
          </w:p>
        </w:tc>
        <w:tc>
          <w:tcPr>
            <w:tcW w:type="dxa" w:w="595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必须在后处理和全部QA通过以后才能删除大文件</w:t>
            </w:r>
          </w:p>
        </w:tc>
      </w:tr>
      <w:tr>
        <w:trPr>
          <w:cantSplit/>
        </w:trPr>
        <w:tc>
          <w:tcPr>
            <w:tcW w:type="dxa" w:w="294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按主清单分片</w:t>
            </w:r>
          </w:p>
        </w:tc>
        <w:tc>
          <w:tcPr>
            <w:tcW w:type="dxa" w:w="595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禁止按文件夹发现顺序临时分配</w:t>
            </w:r>
          </w:p>
        </w:tc>
      </w:tr>
      <w:tr>
        <w:trPr>
          <w:cantSplit/>
        </w:trPr>
        <w:tc>
          <w:tcPr>
            <w:tcW w:type="dxa" w:w="294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同一物理工况统一计算设置</w:t>
            </w:r>
          </w:p>
        </w:tc>
        <w:tc>
          <w:tcPr>
            <w:tcW w:type="dxa" w:w="595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不同电脑的CPU数和求解精度应一致</w:t>
            </w:r>
          </w:p>
        </w:tc>
      </w:tr>
    </w:tbl>
    <w:p>
      <w:pPr>
        <w:spacing w:after="0"/>
        <w:widowControl/>
      </w:pPr>
    </w:p>
    <w:p>
      <w:pPr>
        <w:pStyle w:val="Heading1"/>
        <w:widowControl/>
      </w:pPr>
      <w:r>
        <w:t>13. 哪些情况必须立即停止</w:t>
      </w:r>
    </w:p>
    <w:tbl>
      <w:tblPr>
        <w:tblStyle w:val="TableGrid"/>
        <w:tblW w:type="auto" w:w="0"/>
        <w:jc w:val="center"/>
        <w:tblLook w:firstColumn="1" w:firstRow="1" w:lastColumn="0" w:lastRow="0" w:noHBand="0" w:noVBand="1" w:val="04A0"/>
      </w:tblPr>
      <w:tblGrid>
        <w:gridCol w:w="3192"/>
        <w:gridCol w:w="3192"/>
        <w:gridCol w:w="3192"/>
      </w:tblGrid>
      <w:tr>
        <w:trPr>
          <w:trHeight w:hRule="atLeast" w:val="454"/>
          <w:tblHeader w:val="true"/>
          <w:cantSplit/>
        </w:trPr>
        <w:tc>
          <w:tcPr>
            <w:tcW w:type="dxa" w:w="2268"/>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触发问题</w:t>
            </w:r>
          </w:p>
        </w:tc>
        <w:tc>
          <w:tcPr>
            <w:tcW w:type="dxa" w:w="3231"/>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为什么危险</w:t>
            </w:r>
          </w:p>
        </w:tc>
        <w:tc>
          <w:tcPr>
            <w:tcW w:type="dxa" w:w="3402"/>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正确处理</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参数未正确注入</w:t>
            </w:r>
          </w:p>
        </w:tc>
        <w:tc>
          <w:tcPr>
            <w:tcW w:type="dxa" w:w="3231"/>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名义工况与实际模型不一致</w:t>
            </w:r>
          </w:p>
        </w:tc>
        <w:tc>
          <w:tcPr>
            <w:tcW w:type="dxa" w:w="340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停止全部求解，修复G0</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频响依赖具体宽频激励</w:t>
            </w:r>
          </w:p>
        </w:tc>
        <w:tc>
          <w:tcPr>
            <w:tcW w:type="dxa" w:w="3231"/>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说明提取的不是系统稳定属性</w:t>
            </w:r>
          </w:p>
        </w:tc>
        <w:tc>
          <w:tcPr>
            <w:tcW w:type="dxa" w:w="340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检查频带、窗口、阻尼、网格和相位</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缺少匹配均质基线</w:t>
            </w:r>
          </w:p>
        </w:tc>
        <w:tc>
          <w:tcPr>
            <w:tcW w:type="dxa" w:w="3231"/>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无法分解地形、地层和耦合</w:t>
            </w:r>
          </w:p>
        </w:tc>
        <w:tc>
          <w:tcPr>
            <w:tcW w:type="dxa" w:w="340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不得进入残差分析</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局部失败率超过5%</w:t>
            </w:r>
          </w:p>
        </w:tc>
        <w:tc>
          <w:tcPr>
            <w:tcW w:type="dxa" w:w="3231"/>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该参数区可能存在建模或数值问题</w:t>
            </w:r>
          </w:p>
        </w:tc>
        <w:tc>
          <w:tcPr>
            <w:tcW w:type="dxa" w:w="340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暂停该区域并诊断，不能直接删点</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跨机器结果超限</w:t>
            </w:r>
          </w:p>
        </w:tc>
        <w:tc>
          <w:tcPr>
            <w:tcW w:type="dxa" w:w="3231"/>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结果可能受版本或硬件影响</w:t>
            </w:r>
          </w:p>
        </w:tc>
        <w:tc>
          <w:tcPr>
            <w:tcW w:type="dxa" w:w="340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先校准，必要时把机器作为数值区组</w:t>
            </w:r>
          </w:p>
        </w:tc>
      </w:tr>
      <w:tr>
        <w:trPr>
          <w:cantSplit/>
        </w:trPr>
        <w:tc>
          <w:tcPr>
            <w:tcW w:type="dxa" w:w="2268"/>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盲测后继续调模型</w:t>
            </w:r>
          </w:p>
        </w:tc>
        <w:tc>
          <w:tcPr>
            <w:tcW w:type="dxa" w:w="3231"/>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盲测失去独立性</w:t>
            </w:r>
          </w:p>
        </w:tc>
        <w:tc>
          <w:tcPr>
            <w:tcW w:type="dxa" w:w="3402"/>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原L3降级为开发集，重新生成盲测</w:t>
            </w:r>
          </w:p>
        </w:tc>
      </w:tr>
      <w:tr>
        <w:trPr>
          <w:cantSplit/>
        </w:trPr>
        <w:tc>
          <w:tcPr>
            <w:tcW w:type="dxa" w:w="2268"/>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多层或结构工况混入</w:t>
            </w:r>
          </w:p>
        </w:tc>
        <w:tc>
          <w:tcPr>
            <w:tcW w:type="dxa" w:w="3231"/>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训练数据物理定义不一致</w:t>
            </w:r>
          </w:p>
        </w:tc>
        <w:tc>
          <w:tcPr>
            <w:tcW w:type="dxa" w:w="3402"/>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立即隔离，不进入第4、6章主数据</w:t>
            </w:r>
          </w:p>
        </w:tc>
      </w:tr>
    </w:tbl>
    <w:p>
      <w:pPr>
        <w:spacing w:after="0"/>
        <w:widowControl/>
      </w:pP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重要认识： </w:t>
            </w:r>
            <w:r>
              <w:rPr>
                <w:rFonts w:ascii="Noto Sans CJK SC" w:hAnsi="Noto Sans CJK SC" w:eastAsia="Noto Sans CJK SC"/>
                <w:sz w:val="21"/>
              </w:rPr>
              <w:t>当高不确定性点集中在研究域外时，正确做法通常是收窄适用范围，而不是无限增加训练工况。</w:t>
            </w:r>
          </w:p>
        </w:tc>
      </w:tr>
    </w:tbl>
    <w:p>
      <w:pPr>
        <w:spacing w:after="0"/>
        <w:widowControl/>
      </w:pPr>
    </w:p>
    <w:p>
      <w:pPr>
        <w:pStyle w:val="Heading1"/>
        <w:widowControl/>
      </w:pPr>
      <w:r>
        <w:t>14. 当前已经完成什么</w:t>
      </w:r>
    </w:p>
    <w:tbl>
      <w:tblPr>
        <w:tblStyle w:val="TableGrid"/>
        <w:tblW w:type="auto" w:w="0"/>
        <w:jc w:val="center"/>
        <w:tblLook w:firstColumn="1" w:firstRow="1" w:lastColumn="0" w:lastRow="0" w:noHBand="0" w:noVBand="1" w:val="04A0"/>
      </w:tblPr>
      <w:tblGrid>
        <w:gridCol w:w="4788"/>
        <w:gridCol w:w="4788"/>
      </w:tblGrid>
      <w:tr>
        <w:trPr>
          <w:trHeight w:hRule="atLeast" w:val="454"/>
          <w:tblHeader w:val="true"/>
          <w:cantSplit/>
        </w:trPr>
        <w:tc>
          <w:tcPr>
            <w:tcW w:type="dxa" w:w="1701"/>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状态</w:t>
            </w:r>
          </w:p>
        </w:tc>
        <w:tc>
          <w:tcPr>
            <w:tcW w:type="dxa" w:w="7257"/>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内容</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已完成</w:t>
            </w:r>
          </w:p>
        </w:tc>
        <w:tc>
          <w:tcPr>
            <w:tcW w:type="dxa" w:w="72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归档旧方案；确定第4、6章共享研究问题和工况池</w:t>
            </w:r>
          </w:p>
        </w:tc>
      </w:tr>
      <w:tr>
        <w:trPr>
          <w:cantSplit/>
        </w:trPr>
        <w:tc>
          <w:tcPr>
            <w:tcW w:type="dxa" w:w="170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已完成</w:t>
            </w:r>
          </w:p>
        </w:tc>
        <w:tc>
          <w:tcPr>
            <w:tcW w:type="dxa" w:w="72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确定复频响—傅里叶谱—反应谱三级指标关系</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已完成</w:t>
            </w:r>
          </w:p>
        </w:tc>
        <w:tc>
          <w:tcPr>
            <w:tcW w:type="dxa" w:w="72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确定训练集、盲测集、边界集和真实波验证的角色</w:t>
            </w:r>
          </w:p>
        </w:tc>
      </w:tr>
      <w:tr>
        <w:trPr>
          <w:cantSplit/>
        </w:trPr>
        <w:tc>
          <w:tcPr>
            <w:tcW w:type="dxa" w:w="170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已完成</w:t>
            </w:r>
          </w:p>
        </w:tc>
        <w:tc>
          <w:tcPr>
            <w:tcW w:type="dxa" w:w="72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确定正式Run目录、命名和多机主清单规则</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待完成</w:t>
            </w:r>
          </w:p>
        </w:tc>
        <w:tc>
          <w:tcPr>
            <w:tcW w:type="dxa" w:w="72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修复并验证正式批处理入口</w:t>
            </w:r>
          </w:p>
        </w:tc>
      </w:tr>
      <w:tr>
        <w:trPr>
          <w:cantSplit/>
        </w:trPr>
        <w:tc>
          <w:tcPr>
            <w:tcW w:type="dxa" w:w="170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待完成</w:t>
            </w:r>
          </w:p>
        </w:tc>
        <w:tc>
          <w:tcPr>
            <w:tcW w:type="dxa" w:w="72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升级复频响、相位、FSAF/RSAF和质量协议</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待完成</w:t>
            </w:r>
          </w:p>
        </w:tc>
        <w:tc>
          <w:tcPr>
            <w:tcW w:type="dxa" w:w="72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生成G0测试和G1的48次验收工况</w:t>
            </w:r>
          </w:p>
        </w:tc>
      </w:tr>
      <w:tr>
        <w:trPr>
          <w:cantSplit/>
        </w:trPr>
        <w:tc>
          <w:tcPr>
            <w:tcW w:type="dxa" w:w="170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待完成</w:t>
            </w:r>
          </w:p>
        </w:tc>
        <w:tc>
          <w:tcPr>
            <w:tcW w:type="dxa" w:w="72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G1通过后生成完整主清单和多机分片</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待完成</w:t>
            </w:r>
          </w:p>
        </w:tc>
        <w:tc>
          <w:tcPr>
            <w:tcW w:type="dxa" w:w="72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依次运行H1—H3、L1、L2、L4、L5和M0</w:t>
            </w:r>
          </w:p>
        </w:tc>
      </w:tr>
      <w:tr>
        <w:trPr>
          <w:cantSplit/>
        </w:trPr>
        <w:tc>
          <w:tcPr>
            <w:tcW w:type="dxa" w:w="1701"/>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待完成</w:t>
            </w:r>
          </w:p>
        </w:tc>
        <w:tc>
          <w:tcPr>
            <w:tcW w:type="dxa" w:w="7257"/>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锁定模型后解封L3，并执行W0与R0</w:t>
            </w:r>
          </w:p>
        </w:tc>
      </w:tr>
      <w:tr>
        <w:trPr>
          <w:cantSplit/>
        </w:trPr>
        <w:tc>
          <w:tcPr>
            <w:tcW w:type="dxa" w:w="1701"/>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可选</w:t>
            </w:r>
          </w:p>
        </w:tc>
        <w:tc>
          <w:tcPr>
            <w:tcW w:type="dxa" w:w="7257"/>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主线完成以后再决定是否运行N0</w:t>
            </w:r>
          </w:p>
        </w:tc>
      </w:tr>
    </w:tbl>
    <w:p>
      <w:pPr>
        <w:spacing w:after="0"/>
        <w:widowControl/>
      </w:pPr>
    </w:p>
    <w:tbl>
      <w:tblPr>
        <w:tblW w:type="auto" w:w="0"/>
        <w:jc w:val="center"/>
        <w:tblLayout w:type="autofit"/>
        <w:tblLook w:firstColumn="1" w:firstRow="1" w:lastColumn="0" w:lastRow="0" w:noHBand="0" w:noVBand="1" w:val="04A0"/>
      </w:tblPr>
      <w:tblGrid>
        <w:gridCol w:w="9576"/>
      </w:tblGrid>
      <w:tr>
        <w:tc>
          <w:tcPr>
            <w:tcW w:type="dxa" w:w="9576"/>
            <w:shd w:fill="EAF2F8"/>
            <w:tcMar>
              <w:top w:w="140" w:type="dxa"/>
              <w:start w:w="180" w:type="dxa"/>
              <w:bottom w:w="140" w:type="dxa"/>
              <w:end w:w="180" w:type="dxa"/>
            </w:tcMar>
            <w:tcBorders>
              <w:left w:val="single" w:sz="18" w:color="5B9BD5"/>
            </w:tcBorders>
          </w:tcPr>
          <w:p>
            <w:pPr>
              <w:spacing w:after="40"/>
            </w:pPr>
            <w:r>
              <w:rPr>
                <w:rFonts w:ascii="Noto Sans CJK SC" w:hAnsi="Noto Sans CJK SC" w:eastAsia="Noto Sans CJK SC"/>
                <w:b/>
                <w:color w:val="1F4E79"/>
                <w:sz w:val="21"/>
              </w:rPr>
              <w:t xml:space="preserve">当前准确表述： </w:t>
            </w:r>
            <w:r>
              <w:rPr>
                <w:rFonts w:ascii="Noto Sans CJK SC" w:hAnsi="Noto Sans CJK SC" w:eastAsia="Noto Sans CJK SC"/>
                <w:sz w:val="21"/>
              </w:rPr>
              <w:t>目前完成的是“研究和计算方案设计”，不能把计划中的工况数量写成已经完成的数据或已经得到的论文结论。</w:t>
            </w:r>
          </w:p>
        </w:tc>
      </w:tr>
    </w:tbl>
    <w:p>
      <w:pPr>
        <w:spacing w:after="0"/>
        <w:widowControl/>
      </w:pPr>
    </w:p>
    <w:p>
      <w:pPr>
        <w:pStyle w:val="Heading1"/>
        <w:widowControl/>
      </w:pPr>
      <w:r>
        <w:t>15. 建议的实际执行顺序</w:t>
      </w:r>
    </w:p>
    <w:p>
      <w:pPr>
        <w:pStyle w:val="正文"/>
        <w:widowControl/>
      </w:pPr>
      <w:r>
        <w:rPr>
          <w:rFonts w:ascii="Noto Sans CJK SC" w:hAnsi="Noto Sans CJK SC" w:eastAsia="Noto Sans CJK SC"/>
          <w:sz w:val="21"/>
        </w:rPr>
        <w:t>按照原方案，实际操作时可进一步压缩成以下待办清单：</w:t>
      </w:r>
    </w:p>
    <w:p>
      <w:pPr>
        <w:pStyle w:val="步骤"/>
        <w:widowControl/>
      </w:pPr>
      <w:r>
        <w:rPr>
          <w:rFonts w:ascii="Noto Sans CJK SC" w:hAnsi="Noto Sans CJK SC" w:eastAsia="Noto Sans CJK SC"/>
          <w:b/>
          <w:color w:val="1F4E79"/>
          <w:sz w:val="21"/>
        </w:rPr>
        <w:t>1. 整理生产脚本</w:t>
      </w:r>
      <w:r>
        <w:rPr>
          <w:rFonts w:ascii="Noto Sans CJK SC" w:hAnsi="Noto Sans CJK SC" w:eastAsia="Noto Sans CJK SC"/>
          <w:sz w:val="21"/>
        </w:rPr>
        <w:t>：从模板派生正式批处理入口，清理未知配置键并增加非法参数拦截。</w:t>
      </w:r>
    </w:p>
    <w:p>
      <w:pPr>
        <w:pStyle w:val="步骤"/>
        <w:widowControl/>
      </w:pPr>
      <w:r>
        <w:rPr>
          <w:rFonts w:ascii="Noto Sans CJK SC" w:hAnsi="Noto Sans CJK SC" w:eastAsia="Noto Sans CJK SC"/>
          <w:b/>
          <w:color w:val="1F4E79"/>
          <w:sz w:val="21"/>
        </w:rPr>
        <w:t>2. 升级后处理</w:t>
      </w:r>
      <w:r>
        <w:rPr>
          <w:rFonts w:ascii="Noto Sans CJK SC" w:hAnsi="Noto Sans CJK SC" w:eastAsia="Noto Sans CJK SC"/>
          <w:sz w:val="21"/>
        </w:rPr>
        <w:t>：输出复数频响、相位、valid_mask、FSAF派生视图、5%阻尼反应谱和质量JSON。</w:t>
      </w:r>
    </w:p>
    <w:p>
      <w:pPr>
        <w:pStyle w:val="步骤"/>
        <w:widowControl/>
      </w:pPr>
      <w:r>
        <w:rPr>
          <w:rFonts w:ascii="Noto Sans CJK SC" w:hAnsi="Noto Sans CJK SC" w:eastAsia="Noto Sans CJK SC"/>
          <w:b/>
          <w:color w:val="1F4E79"/>
          <w:sz w:val="21"/>
        </w:rPr>
        <w:t>3. 执行G0</w:t>
      </w:r>
      <w:r>
        <w:rPr>
          <w:rFonts w:ascii="Noto Sans CJK SC" w:hAnsi="Noto Sans CJK SC" w:eastAsia="Noto Sans CJK SC"/>
          <w:sz w:val="21"/>
        </w:rPr>
        <w:t>：用至少12个只建模或短时工况核对case_meta与主清单。</w:t>
      </w:r>
    </w:p>
    <w:p>
      <w:pPr>
        <w:pStyle w:val="步骤"/>
        <w:widowControl/>
      </w:pPr>
      <w:r>
        <w:rPr>
          <w:rFonts w:ascii="Noto Sans CJK SC" w:hAnsi="Noto Sans CJK SC" w:eastAsia="Noto Sans CJK SC"/>
          <w:b/>
          <w:color w:val="1F4E79"/>
          <w:sz w:val="21"/>
        </w:rPr>
        <w:t>4. 执行G1</w:t>
      </w:r>
      <w:r>
        <w:rPr>
          <w:rFonts w:ascii="Noto Sans CJK SC" w:hAnsi="Noto Sans CJK SC" w:eastAsia="Noto Sans CJK SC"/>
          <w:sz w:val="21"/>
        </w:rPr>
        <w:t>：运行48次频响闸门工况，检查激励一致性、幅值缩放和真实波闭环。</w:t>
      </w:r>
    </w:p>
    <w:p>
      <w:pPr>
        <w:pStyle w:val="步骤"/>
        <w:widowControl/>
      </w:pPr>
      <w:r>
        <w:rPr>
          <w:rFonts w:ascii="Noto Sans CJK SC" w:hAnsi="Noto Sans CJK SC" w:eastAsia="Noto Sans CJK SC"/>
          <w:b/>
          <w:color w:val="1F4E79"/>
          <w:sz w:val="21"/>
        </w:rPr>
        <w:t>5. 冻结正式协议</w:t>
      </w:r>
      <w:r>
        <w:rPr>
          <w:rFonts w:ascii="Noto Sans CJK SC" w:hAnsi="Noto Sans CJK SC" w:eastAsia="Noto Sans CJK SC"/>
          <w:sz w:val="21"/>
        </w:rPr>
        <w:t>：确定最终有效频带、反应谱周期范围、误差门槛和生产激励。</w:t>
      </w:r>
    </w:p>
    <w:p>
      <w:pPr>
        <w:pStyle w:val="步骤"/>
        <w:widowControl/>
      </w:pPr>
      <w:r>
        <w:rPr>
          <w:rFonts w:ascii="Noto Sans CJK SC" w:hAnsi="Noto Sans CJK SC" w:eastAsia="Noto Sans CJK SC"/>
          <w:b/>
          <w:color w:val="1F4E79"/>
          <w:sz w:val="21"/>
        </w:rPr>
        <w:t>6. 运行均质池</w:t>
      </w:r>
      <w:r>
        <w:rPr>
          <w:rFonts w:ascii="Noto Sans CJK SC" w:hAnsi="Noto Sans CJK SC" w:eastAsia="Noto Sans CJK SC"/>
          <w:sz w:val="21"/>
        </w:rPr>
        <w:t>：完成H1—H3，建立地形基线和尺度验证。</w:t>
      </w:r>
    </w:p>
    <w:p>
      <w:pPr>
        <w:pStyle w:val="步骤"/>
        <w:widowControl/>
      </w:pPr>
      <w:r>
        <w:rPr>
          <w:rFonts w:ascii="Noto Sans CJK SC" w:hAnsi="Noto Sans CJK SC" w:eastAsia="Noto Sans CJK SC"/>
          <w:b/>
          <w:color w:val="1F4E79"/>
          <w:sz w:val="21"/>
        </w:rPr>
        <w:t>7. 运行规则机理池</w:t>
      </w:r>
      <w:r>
        <w:rPr>
          <w:rFonts w:ascii="Noto Sans CJK SC" w:hAnsi="Noto Sans CJK SC" w:eastAsia="Noto Sans CJK SC"/>
          <w:sz w:val="21"/>
        </w:rPr>
        <w:t>：完成L1a、L1b和L1c，判断是否需要扩展泊松比和阻尼维度。</w:t>
      </w:r>
    </w:p>
    <w:p>
      <w:pPr>
        <w:pStyle w:val="步骤"/>
        <w:widowControl/>
      </w:pPr>
      <w:r>
        <w:rPr>
          <w:rFonts w:ascii="Noto Sans CJK SC" w:hAnsi="Noto Sans CJK SC" w:eastAsia="Noto Sans CJK SC"/>
          <w:b/>
          <w:color w:val="1F4E79"/>
          <w:sz w:val="21"/>
        </w:rPr>
        <w:t>8. 生成训练与盲测</w:t>
      </w:r>
      <w:r>
        <w:rPr>
          <w:rFonts w:ascii="Noto Sans CJK SC" w:hAnsi="Noto Sans CJK SC" w:eastAsia="Noto Sans CJK SC"/>
          <w:sz w:val="21"/>
        </w:rPr>
        <w:t>：运行L2，同时封存L3及其匹配C0对照。</w:t>
      </w:r>
    </w:p>
    <w:p>
      <w:pPr>
        <w:pStyle w:val="步骤"/>
        <w:widowControl/>
      </w:pPr>
      <w:r>
        <w:rPr>
          <w:rFonts w:ascii="Noto Sans CJK SC" w:hAnsi="Noto Sans CJK SC" w:eastAsia="Noto Sans CJK SC"/>
          <w:b/>
          <w:color w:val="1F4E79"/>
          <w:sz w:val="21"/>
        </w:rPr>
        <w:t>9. 主动补点</w:t>
      </w:r>
      <w:r>
        <w:rPr>
          <w:rFonts w:ascii="Noto Sans CJK SC" w:hAnsi="Noto Sans CJK SC" w:eastAsia="Noto Sans CJK SC"/>
          <w:sz w:val="21"/>
        </w:rPr>
        <w:t>：按批次运行L4，并依据预注册停止条件决定是否继续。</w:t>
      </w:r>
    </w:p>
    <w:p>
      <w:pPr>
        <w:pStyle w:val="步骤"/>
        <w:widowControl/>
      </w:pPr>
      <w:r>
        <w:rPr>
          <w:rFonts w:ascii="Noto Sans CJK SC" w:hAnsi="Noto Sans CJK SC" w:eastAsia="Noto Sans CJK SC"/>
          <w:b/>
          <w:color w:val="1F4E79"/>
          <w:sz w:val="21"/>
        </w:rPr>
        <w:t>10. 完成边界与拓扑挑战</w:t>
      </w:r>
      <w:r>
        <w:rPr>
          <w:rFonts w:ascii="Noto Sans CJK SC" w:hAnsi="Noto Sans CJK SC" w:eastAsia="Noto Sans CJK SC"/>
          <w:sz w:val="21"/>
        </w:rPr>
        <w:t>：运行L5和M0，建立适用域和拒识规则。</w:t>
      </w:r>
    </w:p>
    <w:p>
      <w:pPr>
        <w:pStyle w:val="步骤"/>
        <w:widowControl/>
      </w:pPr>
      <w:r>
        <w:rPr>
          <w:rFonts w:ascii="Noto Sans CJK SC" w:hAnsi="Noto Sans CJK SC" w:eastAsia="Noto Sans CJK SC"/>
          <w:b/>
          <w:color w:val="1F4E79"/>
          <w:sz w:val="21"/>
        </w:rPr>
        <w:t>11. 锁定并盲测</w:t>
      </w:r>
      <w:r>
        <w:rPr>
          <w:rFonts w:ascii="Noto Sans CJK SC" w:hAnsi="Noto Sans CJK SC" w:eastAsia="Noto Sans CJK SC"/>
          <w:sz w:val="21"/>
        </w:rPr>
        <w:t>：冻结数据处理、模型族和超参数范围后，一次性解封L3。</w:t>
      </w:r>
    </w:p>
    <w:p>
      <w:pPr>
        <w:pStyle w:val="步骤"/>
        <w:widowControl/>
      </w:pPr>
      <w:r>
        <w:rPr>
          <w:rFonts w:ascii="Noto Sans CJK SC" w:hAnsi="Noto Sans CJK SC" w:eastAsia="Noto Sans CJK SC"/>
          <w:b/>
          <w:color w:val="1F4E79"/>
          <w:sz w:val="21"/>
        </w:rPr>
        <w:t>12. 完成工程闭环</w:t>
      </w:r>
      <w:r>
        <w:rPr>
          <w:rFonts w:ascii="Noto Sans CJK SC" w:hAnsi="Noto Sans CJK SC" w:eastAsia="Noto Sans CJK SC"/>
          <w:sz w:val="21"/>
        </w:rPr>
        <w:t>：运行W0真实波和R0跨机器重复，形成第4章和第6章最终证据链。</w:t>
      </w:r>
    </w:p>
    <w:p>
      <w:pPr>
        <w:pStyle w:val="Heading1"/>
        <w:widowControl/>
      </w:pPr>
      <w:r>
        <w:t>16. 总结</w:t>
      </w:r>
    </w:p>
    <w:p>
      <w:pPr>
        <w:pStyle w:val="正文"/>
        <w:widowControl/>
      </w:pPr>
      <w:r>
        <w:rPr>
          <w:rFonts w:ascii="Noto Sans CJK SC" w:hAnsi="Noto Sans CJK SC" w:eastAsia="Noto Sans CJK SC"/>
          <w:sz w:val="21"/>
        </w:rPr>
        <w:t>这份方案真正要建立的不是一个“工况数量很多”的数据库，而是一套能够经得起论文审查的研究流程：</w:t>
      </w:r>
    </w:p>
    <w:tbl>
      <w:tblPr>
        <w:tblW w:type="auto" w:w="0"/>
        <w:jc w:val="center"/>
        <w:tblLayout w:type="autofit"/>
        <w:tblLook w:firstColumn="1" w:firstRow="1" w:lastColumn="0" w:lastRow="0" w:noHBand="0" w:noVBand="1" w:val="04A0"/>
      </w:tblPr>
      <w:tblGrid>
        <w:gridCol w:w="9576"/>
      </w:tblGrid>
      <w:tr>
        <w:tc>
          <w:tcPr>
            <w:tcW w:type="dxa" w:w="9576"/>
            <w:shd w:fill="E2F0D9"/>
            <w:tcMar>
              <w:top w:w="140" w:type="dxa"/>
              <w:start w:w="180" w:type="dxa"/>
              <w:bottom w:w="140" w:type="dxa"/>
              <w:end w:w="180" w:type="dxa"/>
            </w:tcMar>
            <w:tcBorders>
              <w:left w:val="single" w:sz="18" w:color="70AD47"/>
            </w:tcBorders>
          </w:tcPr>
          <w:p>
            <w:pPr>
              <w:spacing w:after="40"/>
            </w:pPr>
            <w:r>
              <w:rPr>
                <w:rFonts w:ascii="Noto Sans CJK SC" w:hAnsi="Noto Sans CJK SC" w:eastAsia="Noto Sans CJK SC"/>
                <w:b/>
                <w:color w:val="1F4E79"/>
                <w:sz w:val="21"/>
              </w:rPr>
              <w:t xml:space="preserve">完整流程： </w:t>
            </w:r>
            <w:r>
              <w:rPr>
                <w:rFonts w:ascii="Noto Sans CJK SC" w:hAnsi="Noto Sans CJK SC" w:eastAsia="Noto Sans CJK SC"/>
                <w:sz w:val="21"/>
              </w:rPr>
              <w:t>验证模型和后处理方法 → 建立均质边坡基线 → 研究两层边坡地形—地层耦合 → 严格划分训练、盲测和边界数据 → 训练并校准代理模型 → 用未见工况和真实地震波独立检验 → 明确模型适用范围和拒识条件。</w:t>
            </w:r>
          </w:p>
        </w:tc>
      </w:tr>
    </w:tbl>
    <w:p>
      <w:pPr>
        <w:spacing w:after="0"/>
        <w:widowControl/>
      </w:pPr>
    </w:p>
    <w:p>
      <w:pPr>
        <w:pStyle w:val="正文"/>
        <w:widowControl/>
      </w:pPr>
      <w:r>
        <w:rPr>
          <w:rFonts w:ascii="Noto Sans CJK SC" w:hAnsi="Noto Sans CJK SC" w:eastAsia="Noto Sans CJK SC"/>
          <w:sz w:val="21"/>
        </w:rPr>
        <w:t>方案最强调的五点是：</w:t>
      </w:r>
    </w:p>
    <w:p>
      <w:pPr>
        <w:pStyle w:val="列表"/>
        <w:ind w:left="397" w:hanging="255"/>
        <w:widowControl/>
      </w:pPr>
      <w:r>
        <w:rPr>
          <w:rFonts w:ascii="Noto Sans CJK SC" w:hAnsi="Noto Sans CJK SC" w:eastAsia="Noto Sans CJK SC"/>
          <w:sz w:val="21"/>
        </w:rPr>
        <w:t>• 数据数量不能替代模型可信性；</w:t>
      </w:r>
    </w:p>
    <w:p>
      <w:pPr>
        <w:pStyle w:val="列表"/>
        <w:ind w:left="397" w:hanging="255"/>
        <w:widowControl/>
      </w:pPr>
      <w:r>
        <w:rPr>
          <w:rFonts w:ascii="Noto Sans CJK SC" w:hAnsi="Noto Sans CJK SC" w:eastAsia="Noto Sans CJK SC"/>
          <w:sz w:val="21"/>
        </w:rPr>
        <w:t>• 机器学习训练精度不能替代独立盲测；</w:t>
      </w:r>
    </w:p>
    <w:p>
      <w:pPr>
        <w:pStyle w:val="列表"/>
        <w:ind w:left="397" w:hanging="255"/>
        <w:widowControl/>
      </w:pPr>
      <w:r>
        <w:rPr>
          <w:rFonts w:ascii="Noto Sans CJK SC" w:hAnsi="Noto Sans CJK SC" w:eastAsia="Noto Sans CJK SC"/>
          <w:sz w:val="21"/>
        </w:rPr>
        <w:t>• 不能只报告一个最大放大倍数；</w:t>
      </w:r>
    </w:p>
    <w:p>
      <w:pPr>
        <w:pStyle w:val="列表"/>
        <w:ind w:left="397" w:hanging="255"/>
        <w:widowControl/>
      </w:pPr>
      <w:r>
        <w:rPr>
          <w:rFonts w:ascii="Noto Sans CJK SC" w:hAnsi="Noto Sans CJK SC" w:eastAsia="Noto Sans CJK SC"/>
          <w:sz w:val="21"/>
        </w:rPr>
        <w:t>• 必须同时考虑幅值、相位、频率、空间和工程反应谱；</w:t>
      </w:r>
    </w:p>
    <w:p>
      <w:pPr>
        <w:pStyle w:val="列表"/>
        <w:ind w:left="397" w:hanging="255"/>
        <w:widowControl/>
      </w:pPr>
      <w:r>
        <w:rPr>
          <w:rFonts w:ascii="Noto Sans CJK SC" w:hAnsi="Noto Sans CJK SC" w:eastAsia="Noto Sans CJK SC"/>
          <w:sz w:val="21"/>
        </w:rPr>
        <w:t>• 必须明确结论和代理模型在哪些范围内有效、在哪些情况下应拒绝使用。</w:t>
      </w:r>
    </w:p>
    <w:p>
      <w:pPr>
        <w:pStyle w:val="Heading1"/>
        <w:widowControl/>
      </w:pPr>
      <w:r>
        <w:t>附录：关键术语速查</w:t>
      </w:r>
    </w:p>
    <w:tbl>
      <w:tblPr>
        <w:tblStyle w:val="TableGrid"/>
        <w:tblW w:type="auto" w:w="0"/>
        <w:jc w:val="center"/>
        <w:tblLook w:firstColumn="1" w:firstRow="1" w:lastColumn="0" w:lastRow="0" w:noHBand="0" w:noVBand="1" w:val="04A0"/>
      </w:tblPr>
      <w:tblGrid>
        <w:gridCol w:w="4788"/>
        <w:gridCol w:w="4788"/>
      </w:tblGrid>
      <w:tr>
        <w:trPr>
          <w:trHeight w:hRule="atLeast" w:val="454"/>
          <w:tblHeader w:val="true"/>
          <w:cantSplit/>
        </w:trPr>
        <w:tc>
          <w:tcPr>
            <w:tcW w:type="dxa" w:w="1984"/>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术语</w:t>
            </w:r>
          </w:p>
        </w:tc>
        <w:tc>
          <w:tcPr>
            <w:tcW w:type="dxa" w:w="6973"/>
            <w:vAlign w:val="center"/>
            <w:tcMar>
              <w:top w:w="90" w:type="dxa"/>
              <w:start w:w="120" w:type="dxa"/>
              <w:bottom w:w="90" w:type="dxa"/>
              <w:end w:w="120" w:type="dxa"/>
            </w:tcMar>
            <w:shd w:fill="1F4E79"/>
          </w:tcPr>
          <w:p>
            <w:pPr>
              <w:spacing w:after="0"/>
              <w:jc w:val="center"/>
            </w:pPr>
            <w:r/>
            <w:r>
              <w:rPr>
                <w:rFonts w:ascii="Noto Sans CJK SC" w:hAnsi="Noto Sans CJK SC" w:eastAsia="Noto Sans CJK SC"/>
                <w:b/>
                <w:color w:val="FFFFFF"/>
                <w:sz w:val="20"/>
              </w:rPr>
              <w:t>通俗解释</w:t>
            </w:r>
          </w:p>
        </w:tc>
      </w:tr>
      <w:tr>
        <w:trPr>
          <w:cantSplit/>
        </w:trPr>
        <w:tc>
          <w:tcPr>
            <w:tcW w:type="dxa" w:w="198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复频响</w:t>
            </w:r>
          </w:p>
        </w:tc>
        <w:tc>
          <w:tcPr>
            <w:tcW w:type="dxa" w:w="697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同时包含“放大多少”和“相位变化多少”的频率响应</w:t>
            </w:r>
          </w:p>
        </w:tc>
      </w:tr>
      <w:tr>
        <w:trPr>
          <w:cantSplit/>
        </w:trPr>
        <w:tc>
          <w:tcPr>
            <w:tcW w:type="dxa" w:w="198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有效频带</w:t>
            </w:r>
          </w:p>
        </w:tc>
        <w:tc>
          <w:tcPr>
            <w:tcW w:type="dxa" w:w="697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输入能量和数值信噪比足够可靠、允许分析的频率范围</w:t>
            </w:r>
          </w:p>
        </w:tc>
      </w:tr>
      <w:tr>
        <w:trPr>
          <w:cantSplit/>
        </w:trPr>
        <w:tc>
          <w:tcPr>
            <w:tcW w:type="dxa" w:w="198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无量纲频率</w:t>
            </w:r>
          </w:p>
        </w:tc>
        <w:tc>
          <w:tcPr>
            <w:tcW w:type="dxa" w:w="697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把频率、坡高和波速组合起来，使不同尺度边坡可以比较</w:t>
            </w:r>
          </w:p>
        </w:tc>
      </w:tr>
      <w:tr>
        <w:trPr>
          <w:cantSplit/>
        </w:trPr>
        <w:tc>
          <w:tcPr>
            <w:tcW w:type="dxa" w:w="198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耦合残差</w:t>
            </w:r>
          </w:p>
        </w:tc>
        <w:tc>
          <w:tcPr>
            <w:tcW w:type="dxa" w:w="697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实际总响应相比“地层效应×地形效应”多出来或少掉的部分</w:t>
            </w:r>
          </w:p>
        </w:tc>
      </w:tr>
      <w:tr>
        <w:trPr>
          <w:cantSplit/>
        </w:trPr>
        <w:tc>
          <w:tcPr>
            <w:tcW w:type="dxa" w:w="198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盲测</w:t>
            </w:r>
          </w:p>
        </w:tc>
        <w:tc>
          <w:tcPr>
            <w:tcW w:type="dxa" w:w="697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训练和调参时完全不可见、只在最后打开的独立测试数据</w:t>
            </w:r>
          </w:p>
        </w:tc>
      </w:tr>
      <w:tr>
        <w:trPr>
          <w:cantSplit/>
        </w:trPr>
        <w:tc>
          <w:tcPr>
            <w:tcW w:type="dxa" w:w="198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主动学习</w:t>
            </w:r>
          </w:p>
        </w:tc>
        <w:tc>
          <w:tcPr>
            <w:tcW w:type="dxa" w:w="697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根据模型不确定性决定下一批最值得计算的工况</w:t>
            </w:r>
          </w:p>
        </w:tc>
      </w:tr>
      <w:tr>
        <w:trPr>
          <w:cantSplit/>
        </w:trPr>
        <w:tc>
          <w:tcPr>
            <w:tcW w:type="dxa" w:w="198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适用域拒识</w:t>
            </w:r>
          </w:p>
        </w:tc>
        <w:tc>
          <w:tcPr>
            <w:tcW w:type="dxa" w:w="697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输入超出可靠范围时，模型明确拒绝给出可信预测</w:t>
            </w:r>
          </w:p>
        </w:tc>
      </w:tr>
      <w:tr>
        <w:trPr>
          <w:cantSplit/>
        </w:trPr>
        <w:tc>
          <w:tcPr>
            <w:tcW w:type="dxa" w:w="1984"/>
            <w:shd w:fill="F5F8FC"/>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配置散列</w:t>
            </w:r>
          </w:p>
        </w:tc>
        <w:tc>
          <w:tcPr>
            <w:tcW w:type="dxa" w:w="6973"/>
            <w:shd w:fill="F5F8FC"/>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用于确认两个同名工况的实际配置是否完全一致的数字指纹</w:t>
            </w:r>
          </w:p>
        </w:tc>
      </w:tr>
      <w:tr>
        <w:trPr>
          <w:cantSplit/>
        </w:trPr>
        <w:tc>
          <w:tcPr>
            <w:tcW w:type="dxa" w:w="1984"/>
            <w:vAlign w:val="center"/>
            <w:tcMar>
              <w:top w:w="90" w:type="dxa"/>
              <w:start w:w="120" w:type="dxa"/>
              <w:bottom w:w="90" w:type="dxa"/>
              <w:end w:w="120" w:type="dxa"/>
            </w:tcMar>
          </w:tcPr>
          <w:p>
            <w:pPr>
              <w:spacing w:after="0"/>
              <w:jc w:val="center"/>
            </w:pPr>
            <w:r/>
            <w:r>
              <w:rPr>
                <w:rFonts w:ascii="Noto Sans CJK SC" w:hAnsi="Noto Sans CJK SC" w:eastAsia="Noto Sans CJK SC"/>
                <w:b w:val="0"/>
                <w:sz w:val="19"/>
              </w:rPr>
              <w:t>闭环验证</w:t>
            </w:r>
          </w:p>
        </w:tc>
        <w:tc>
          <w:tcPr>
            <w:tcW w:type="dxa" w:w="6973"/>
            <w:vAlign w:val="center"/>
            <w:tcMar>
              <w:top w:w="90" w:type="dxa"/>
              <w:start w:w="120" w:type="dxa"/>
              <w:bottom w:w="90" w:type="dxa"/>
              <w:end w:w="120" w:type="dxa"/>
            </w:tcMar>
          </w:tcPr>
          <w:p>
            <w:pPr>
              <w:spacing w:after="0"/>
              <w:jc w:val="left"/>
            </w:pPr>
            <w:r/>
            <w:r>
              <w:rPr>
                <w:rFonts w:ascii="Noto Sans CJK SC" w:hAnsi="Noto Sans CJK SC" w:eastAsia="Noto Sans CJK SC"/>
                <w:b w:val="0"/>
                <w:sz w:val="19"/>
              </w:rPr>
              <w:t>从频响预测恢复时程，再与直接有限元结果比较PGA、PGV和反应谱</w:t>
            </w:r>
          </w:p>
        </w:tc>
      </w:tr>
    </w:tbl>
    <w:p>
      <w:pPr>
        <w:spacing w:after="0"/>
        <w:widowControl/>
      </w:pPr>
    </w:p>
    <w:p>
      <w:pPr>
        <w:spacing w:before="360"/>
        <w:jc w:val="center"/>
        <w:widowControl/>
      </w:pPr>
      <w:r>
        <w:rPr>
          <w:rFonts w:ascii="Noto Sans CJK SC" w:hAnsi="Noto Sans CJK SC" w:eastAsia="Noto Sans CJK SC"/>
          <w:color w:val="7F7F7F"/>
          <w:sz w:val="20"/>
        </w:rPr>
        <w:t>—— 报告结束 ——</w:t>
      </w:r>
    </w:p>
    <w:sectPr w:rsidR="00FC693F" w:rsidRPr="0006063C" w:rsidSect="00034616">
      <w:headerReference w:type="default" r:id="rId9"/>
      <w:footerReference w:type="default" r:id="rId10"/>
      <w:pgSz w:w="12240" w:h="15840"/>
      <w:pgMar w:top="1247" w:right="124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F7F7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Noto Sans CJK SC" w:hAnsi="Noto Sans CJK SC" w:eastAsia="Noto Sans CJK SC"/>
        <w:color w:val="7F7F7F"/>
        <w:sz w:val="17"/>
      </w:rPr>
      <w:t>数值模拟全流程工况设计方案通俗解读报告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SC" w:hAnsi="Noto Sans CJK SC" w:eastAsia="Noto Sans CJK SC"/>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Noto Sans CJK SC" w:hAnsi="Noto Sans CJK SC" w:eastAsia="Noto Sans CJK SC"/>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360" w:lineRule="auto" w:after="100"/>
      <w:ind w:firstLine="420"/>
      <w:jc w:val="both"/>
    </w:pPr>
    <w:rPr>
      <w:rFonts w:ascii="Noto Serif CJK SC" w:hAnsi="Noto Serif CJK SC" w:eastAsia="Noto Serif CJK SC"/>
      <w:sz w:val="21"/>
    </w:rPr>
  </w:style>
  <w:style w:type="paragraph" w:customStyle="1" w:styleId="列表">
    <w:name w:val="列表"/>
    <w:pPr>
      <w:spacing w:line="324" w:lineRule="auto" w:after="40"/>
    </w:pPr>
    <w:rPr>
      <w:rFonts w:ascii="Noto Sans CJK SC" w:hAnsi="Noto Sans CJK SC" w:eastAsia="Noto Sans CJK SC"/>
      <w:sz w:val="21"/>
    </w:rPr>
  </w:style>
  <w:style w:type="paragraph" w:customStyle="1" w:styleId="步骤">
    <w:name w:val="步骤"/>
    <w:pPr>
      <w:spacing w:line="324" w:lineRule="auto" w:after="80"/>
    </w:pPr>
    <w:rPr>
      <w:rFonts w:ascii="Noto Sans CJK SC" w:hAnsi="Noto Sans CJK SC" w:eastAsia="Noto Sans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数值模拟全流程工况设计方案通俗解读报告</dc:title>
  <dc:subject>第4章机理分析与第6章可信代理建模工况设计的通俗说明</dc:subject>
  <dc:creator>ChatGPT</dc:creator>
  <cp:keywords>数值模拟, 边坡地震响应, 复频响, 机器学习, 工况设计</cp:keywords>
  <dc:description>根据用户提供的《数值模拟全流程工况设计方案》整理。</dc:description>
  <cp:lastModifiedBy/>
  <cp:revision>1</cp:revision>
  <dcterms:created xsi:type="dcterms:W3CDTF">2013-12-23T23:15:00Z</dcterms:created>
  <dcterms:modified xsi:type="dcterms:W3CDTF">2013-12-23T23:15:00Z</dcterms:modified>
  <cp:category/>
</cp:coreProperties>
</file>