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68" w:after="0"/>
        <w:ind w:left="420" w:right="420"/>
        <w:jc w:val="center"/>
      </w:pPr>
      <w:r>
        <w:rPr>
          <w:rFonts w:ascii="Times New Roman" w:hAnsi="Times New Roman" w:eastAsia="宋体" w:cs="Times New Roman" w:hint="eastAsia"/>
          <w:b/>
          <w:i w:val="0"/>
          <w:sz w:val="32"/>
        </w:rPr>
        <w:t>成层坡地地震动放大效应的幅值—相位联合表征、代理预测与真实地震动重构</w:t>
      </w:r>
      <w:r>
        <w:footnoteReference w:id="0"/>
      </w:r>
    </w:p>
    <w:p>
      <w:pPr>
        <w:spacing w:before="156" w:after="0"/>
        <w:ind w:left="420" w:right="420"/>
        <w:jc w:val="center"/>
      </w:pPr>
      <w:r>
        <w:rPr>
          <w:rFonts w:ascii="Times New Roman" w:hAnsi="Times New Roman" w:eastAsia="仿宋" w:cs="Times New Roman" w:hint="eastAsia"/>
          <w:b w:val="0"/>
          <w:i w:val="0"/>
          <w:sz w:val="24"/>
        </w:rPr>
        <w:t>【作者一】</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，【作者二】</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，【作者三】</w:t>
      </w:r>
      <w:r>
        <w:rPr>
          <w:rFonts w:ascii="Times New Roman" w:hAnsi="Times New Roman" w:eastAsia="仿宋" w:cs="Times New Roman" w:hint="eastAsia"/>
          <w:b w:val="0"/>
          <w:i w:val="0"/>
          <w:sz w:val="24"/>
          <w:vertAlign w:val="superscript"/>
        </w:rPr>
        <w:t>1</w:t>
      </w:r>
    </w:p>
    <w:p>
      <w:pPr>
        <w:spacing w:before="0" w:after="156"/>
        <w:ind w:left="420" w:right="420"/>
        <w:jc w:val="center"/>
      </w:pPr>
      <w:r>
        <w:rPr>
          <w:rFonts w:ascii="Times New Roman" w:hAnsi="Times New Roman" w:eastAsia="宋体" w:cs="Times New Roman" w:hint="eastAsia"/>
          <w:b w:val="0"/>
          <w:i w:val="0"/>
          <w:sz w:val="21"/>
        </w:rPr>
        <w:t>（1. 【单位全称，省 市 邮编】）</w:t>
      </w:r>
    </w:p>
    <w:p>
      <w:pPr>
        <w:ind w:left="420" w:right="420"/>
        <w:jc w:val="both"/>
      </w:pPr>
      <w:r>
        <w:rPr>
          <w:rFonts w:ascii="Times New Roman" w:hAnsi="Times New Roman" w:eastAsia="黑体" w:cs="Times New Roman" w:hint="eastAsia"/>
          <w:b w:val="0"/>
          <w:i w:val="0"/>
          <w:sz w:val="21"/>
        </w:rPr>
        <w:t>摘  要：</w:t>
      </w:r>
      <w:r>
        <w:rPr>
          <w:rFonts w:ascii="Times New Roman" w:hAnsi="Times New Roman" w:eastAsia="楷体" w:cs="Times New Roman" w:hint="eastAsia"/>
          <w:b w:val="0"/>
          <w:i w:val="0"/>
          <w:sz w:val="21"/>
        </w:rPr>
        <w:t xml:space="preserve">成层坡地地震动放大同时受地形散射、覆盖层传播和斜入射相位差控制，传统峰值加速度（PGA）等标量指标难以保留频率—空间响应中的相位关系。基于黏弹性人工边界、频域自由场输入和宽频多正弦系统识别，建立了15° SV波斜入射下的二维线弹性成层坡地模型。总波场响应函数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楷体" w:cs="Times New Roman" w:hint="eastAsia"/>
          <w:b w:val="0"/>
          <w:i w:val="0"/>
          <w:sz w:val="21"/>
        </w:rPr>
        <w:t xml:space="preserve"> 采用统一的左侧上平台自由场幅值基准，并扣除平面入射波沿水平方向的确定性传播相位。针对4个均质坡、64个成层坡及12个训练外中间参数组合，研究坡角、覆盖层厚度比和波速比的影响，并构建本征正交分解—高斯过程代理模型。结果表明，16条厚度序列中有9条峰值放大呈非单调变化，固定坡角和波速比时主峰频率最大跨度为7.3 Hz；无量纲特征频率与中位绝对相位、群时延修正的Spearman相关系数分别为−0.940和−0.922，明显强于其与净幅值修正幅度的相关（−0.300）。代理模型在五折交叉验证和训练外组合上的中位加权复数误差分别为21.6%和23.0%。采用El Centro、Kobe和Chi-Chi记录开展的10个体系—记录闭环表明，重构时程的中位归一化均方根误差为10.8%，相关系数为0.994，PGA误差为2.7%，峰值时刻误差为0.002 s；但10个组合中有7个、全部地表位置中有62.9%的时程误差超过10%。软厚覆盖层、坡面—下平台及高频区域仍需有限元复核。</w:t>
      </w:r>
    </w:p>
    <w:p>
      <w:pPr>
        <w:ind w:left="420" w:right="420"/>
        <w:jc w:val="both"/>
      </w:pPr>
      <w:r>
        <w:rPr>
          <w:rFonts w:ascii="Times New Roman" w:hAnsi="Times New Roman" w:eastAsia="黑体" w:cs="Times New Roman" w:hint="eastAsia"/>
          <w:b w:val="0"/>
          <w:i w:val="0"/>
          <w:sz w:val="21"/>
        </w:rPr>
        <w:t>关键词：</w:t>
      </w:r>
      <w:r>
        <w:rPr>
          <w:rFonts w:ascii="Times New Roman" w:hAnsi="Times New Roman" w:eastAsia="楷体" w:cs="Times New Roman" w:hint="eastAsia"/>
          <w:b w:val="0"/>
          <w:i w:val="0"/>
          <w:sz w:val="21"/>
        </w:rPr>
        <w:t>成层坡地；地形效应；总波场响应函数；水平传播相位；代理模型；地震动重构</w:t>
      </w:r>
    </w:p>
    <w:p>
      <w:pPr>
        <w:ind w:left="420" w:right="420"/>
        <w:jc w:val="both"/>
      </w:pPr>
      <w:r>
        <w:rPr>
          <w:rFonts w:ascii="Times New Roman" w:hAnsi="Times New Roman" w:eastAsia="黑体" w:cs="Times New Roman" w:hint="eastAsia"/>
          <w:b w:val="0"/>
          <w:i w:val="0"/>
          <w:sz w:val="21"/>
        </w:rPr>
        <w:t>中图分类号：</w:t>
      </w:r>
      <w:r>
        <w:rPr>
          <w:rFonts w:ascii="Times New Roman" w:hAnsi="Times New Roman" w:eastAsia="宋体" w:cs="Times New Roman" w:hint="eastAsia"/>
          <w:b w:val="0"/>
          <w:i w:val="0"/>
          <w:sz w:val="21"/>
        </w:rPr>
        <w:t xml:space="preserve">TU43                </w:t>
      </w:r>
      <w:r>
        <w:rPr>
          <w:rFonts w:ascii="Times New Roman" w:hAnsi="Times New Roman" w:eastAsia="黑体" w:cs="Times New Roman" w:hint="eastAsia"/>
          <w:b w:val="0"/>
          <w:i w:val="0"/>
          <w:sz w:val="21"/>
        </w:rPr>
        <w:t>文献标志码：</w:t>
      </w:r>
      <w:r>
        <w:rPr>
          <w:rFonts w:ascii="Times New Roman" w:hAnsi="Times New Roman" w:eastAsia="Times New Roman" w:cs="Times New Roman" w:hint="eastAsia"/>
          <w:b w:val="0"/>
          <w:i w:val="0"/>
          <w:sz w:val="21"/>
        </w:rPr>
        <w:t>A</w:t>
      </w:r>
    </w:p>
    <w:p>
      <w:pPr>
        <w:spacing w:before="312" w:after="0"/>
        <w:jc w:val="center"/>
      </w:pPr>
      <w:r>
        <w:rPr>
          <w:rFonts w:ascii="Times New Roman" w:hAnsi="Times New Roman" w:eastAsia="Times New Roman" w:cs="Times New Roman" w:hint="eastAsia"/>
          <w:b/>
          <w:i w:val="0"/>
          <w:sz w:val="28"/>
        </w:rPr>
        <w:t>Amplitude–phase joint characterization, surrogate prediction and ground-motion reconstruction of seismic amplification effects of layered slopes</w:t>
      </w:r>
    </w:p>
    <w:p>
      <w:pPr>
        <w:spacing w:before="156" w:after="0"/>
        <w:jc w:val="center"/>
      </w:pPr>
      <w:r>
        <w:rPr>
          <w:rFonts w:ascii="Times New Roman" w:hAnsi="Times New Roman" w:eastAsia="Times New Roman" w:cs="Times New Roman" w:hint="eastAsia"/>
          <w:b w:val="0"/>
          <w:i w:val="0"/>
          <w:sz w:val="24"/>
        </w:rPr>
        <w:t>【AUTHOR 1】</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2】</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3】</w:t>
      </w:r>
      <w:r>
        <w:rPr>
          <w:rFonts w:ascii="Times New Roman" w:hAnsi="Times New Roman" w:eastAsia="Times New Roman" w:cs="Times New Roman" w:hint="eastAsia"/>
          <w:b w:val="0"/>
          <w:i w:val="0"/>
          <w:sz w:val="24"/>
          <w:vertAlign w:val="superscript"/>
        </w:rPr>
        <w:t>1</w:t>
      </w:r>
    </w:p>
    <w:p>
      <w:pPr>
        <w:spacing w:before="0" w:after="156"/>
        <w:jc w:val="center"/>
      </w:pPr>
      <w:r>
        <w:rPr>
          <w:rFonts w:ascii="Times New Roman" w:hAnsi="Times New Roman" w:eastAsia="Times New Roman" w:cs="Times New Roman" w:hint="eastAsia"/>
          <w:b w:val="0"/>
          <w:i w:val="0"/>
          <w:sz w:val="21"/>
        </w:rPr>
        <w:t>(1. 【Affiliation, City, Postcode, China】)</w:t>
      </w:r>
    </w:p>
    <w:p>
      <w:pPr>
        <w:jc w:val="both"/>
      </w:pPr>
      <w:r>
        <w:rPr>
          <w:rFonts w:ascii="Times New Roman" w:hAnsi="Times New Roman" w:eastAsia="Times New Roman" w:cs="Times New Roman" w:hint="eastAsia"/>
          <w:b/>
          <w:i w:val="0"/>
          <w:sz w:val="21"/>
        </w:rPr>
        <w:t xml:space="preserve">Abstract: </w:t>
      </w:r>
      <w:r>
        <w:rPr>
          <w:rFonts w:ascii="Times New Roman" w:hAnsi="Times New Roman" w:eastAsia="Times New Roman" w:cs="Times New Roman" w:hint="eastAsia"/>
          <w:b w:val="0"/>
          <w:i w:val="0"/>
          <w:sz w:val="21"/>
        </w:rPr>
        <w:t xml:space="preserve">** Seismic amplification of layered slopes is jointly controlled by topographic scattering, cover-layer propagation and oblique-incidence phase differences, whereas scalar measures such as peak ground acceleration (PGA) cannot retain the phase relation within the frequency–space response. A two-dimensional linear-elastic model under 15° SV-wave incidence was developed using viscous-spring boundaries, frequency-domain free-field input and broadband system identification. The total-wavefield response function </w:t>
      </w:r>
      <m:oMath>
        <m:sSub>
          <m:e>
            <m:r>
              <m:t>G</m:t>
            </m:r>
          </m:e>
          <m:sub>
            <m:r>
              <m:t>h</m:t>
            </m:r>
          </m:sub>
        </m:sSub>
        <m:r>
          <m:rPr>
            <m:sty m:val="p"/>
          </m:rPr>
          <m:t>(</m:t>
        </m:r>
        <m:r>
          <m:t>f</m:t>
        </m:r>
        <m:r>
          <m:rPr>
            <m:sty m:val="p"/>
          </m:rPr>
          <m:t>,</m:t>
        </m:r>
        <m:r>
          <m:t>s</m:t>
        </m:r>
        <m:r>
          <m:rPr>
            <m:sty m:val="p"/>
          </m:rPr>
          <m:t>)</m:t>
        </m:r>
      </m:oMath>
      <w:r>
        <w:rPr>
          <w:rFonts w:ascii="Times New Roman" w:hAnsi="Times New Roman" w:eastAsia="Times New Roman" w:cs="Times New Roman" w:hint="eastAsia"/>
          <w:b w:val="0"/>
          <w:i w:val="0"/>
          <w:sz w:val="21"/>
        </w:rPr>
        <w:t xml:space="preserve"> uses the left upper-platform free field as a common amplitude reference and removes the deterministic horizontal propagation phase of the obliquely incident plane wave. Four homogeneous and 64 layered configurations, together with 12 training-excluded intermediate combinations, were used to examine three governing parameters and construct a proper orthogonal decomposition–Gaussian process regression surrogate. Nine of the 16 thickness sequences showed non-monotonic peak amplification, with a maximum dominant-frequency span of 7.3 Hz. The characteristic frequency was strongly correlated with the median absolute phase and group-delay corrections (Spearman coefficients −0.940 and −0.922), but weakly correlated with the absolute magnitude of the net amplitude correction (−0.300). Median weighted complex errors were 21.6% in five-fold cross-validation and 23.0% for the training-excluded combinations. Ten closed-loop system–record combinations involving El Centro, Kobe and Chi-Chi motions yielded a median time-history normalized root-mean-square error of 10.8%, a correlation of 0.994, a PGA error of 2.7% and a peak-time error of 0.002 s. Nevertheless, the time-history error exceeded 10% in seven combinations and at 62.9% of surface locations. Direct finite-element checks remain necessary for soft-thick cover, slope and lower-platform regions, and high frequencies.</w:t>
      </w:r>
    </w:p>
    <w:p>
      <w:pPr>
        <w:spacing w:after="120"/>
        <w:jc w:val="both"/>
        <w:sectPr>
          <w:type w:val="continuous"/>
          <w:pgSz w:w="11906" w:h="16838"/>
          <w:pgMar w:top="1418" w:right="1134" w:bottom="1418" w:left="1134" w:header="851" w:footer="992" w:gutter="0"/>
          <w:cols w:num="1" w:space="425"/>
          <w:docGrid w:type="lines" w:linePitch="312"/>
        </w:sectPr>
      </w:pPr>
      <w:r>
        <w:rPr>
          <w:rFonts w:ascii="Times New Roman" w:hAnsi="Times New Roman" w:eastAsia="Times New Roman" w:cs="Times New Roman" w:hint="eastAsia"/>
          <w:b/>
          <w:i w:val="0"/>
          <w:sz w:val="21"/>
        </w:rPr>
        <w:t xml:space="preserve">Keywords: </w:t>
      </w:r>
      <w:r>
        <w:rPr>
          <w:rFonts w:ascii="Times New Roman" w:hAnsi="Times New Roman" w:eastAsia="Times New Roman" w:cs="Times New Roman" w:hint="eastAsia"/>
          <w:b w:val="0"/>
          <w:i w:val="0"/>
          <w:sz w:val="21"/>
        </w:rPr>
        <w:t>** layered slope; topographic effect; total-wavefield response function; horizontal propagation phase; surrogate model; ground-motion reconstruction</w:t>
      </w:r>
    </w:p>
    <w:p>
      <w:pPr>
        <w:spacing w:before="312" w:after="60"/>
        <w:ind w:firstLine="0"/>
        <w:jc w:val="left"/>
      </w:pPr>
      <w:r>
        <w:rPr>
          <w:rFonts w:ascii="Times New Roman" w:hAnsi="Times New Roman" w:eastAsia="宋体" w:cs="Times New Roman" w:hint="eastAsia"/>
          <w:b/>
          <w:i w:val="0"/>
          <w:sz w:val="28"/>
        </w:rPr>
        <w:t>1 引 言</w:t>
      </w:r>
    </w:p>
    <w:p>
      <w:pPr>
        <w:spacing w:before="0" w:after="0"/>
        <w:ind w:firstLine="420"/>
        <w:jc w:val="both"/>
      </w:pPr>
      <w:r>
        <w:rPr>
          <w:rFonts w:ascii="Times New Roman" w:hAnsi="Times New Roman" w:eastAsia="宋体" w:cs="Times New Roman" w:hint="eastAsia"/>
          <w:b w:val="0"/>
          <w:i w:val="0"/>
          <w:sz w:val="21"/>
        </w:rPr>
        <w:t>大量强震观测与震害调查表明，山脊、坡顶及地形边缘处的地震动显著强于平坦场地，地形放大效应是山地震害空间差异的重要控制因素。1971 年 San Fernando 地震余震台站观测证实，当放大波长与山体宽度相当时山顶放大最为显著</w:t>
      </w:r>
      <w:r>
        <w:rPr>
          <w:rFonts w:ascii="Times New Roman" w:hAnsi="Times New Roman" w:eastAsia="宋体" w:cs="Times New Roman" w:hint="eastAsia"/>
          <w:b w:val="0"/>
          <w:i w:val="0"/>
          <w:sz w:val="21"/>
          <w:vertAlign w:val="superscript"/>
        </w:rPr>
        <w:t>[1]</w:t>
      </w:r>
      <w:r>
        <w:rPr>
          <w:rFonts w:ascii="Times New Roman" w:hAnsi="Times New Roman" w:eastAsia="宋体" w:cs="Times New Roman" w:hint="eastAsia"/>
          <w:b w:val="0"/>
          <w:i w:val="0"/>
          <w:sz w:val="21"/>
        </w:rPr>
        <w:t>；1985 年智利地震余震谱比分析定位了与主震破坏分布一致的山脊放大</w:t>
      </w:r>
      <w:r>
        <w:rPr>
          <w:rFonts w:ascii="Times New Roman" w:hAnsi="Times New Roman" w:eastAsia="宋体" w:cs="Times New Roman" w:hint="eastAsia"/>
          <w:b w:val="0"/>
          <w:i w:val="0"/>
          <w:sz w:val="21"/>
          <w:vertAlign w:val="superscript"/>
        </w:rPr>
        <w:t>[2]</w:t>
      </w:r>
      <w:r>
        <w:rPr>
          <w:rFonts w:ascii="Times New Roman" w:hAnsi="Times New Roman" w:eastAsia="宋体" w:cs="Times New Roman" w:hint="eastAsia"/>
          <w:b w:val="0"/>
          <w:i w:val="0"/>
          <w:sz w:val="21"/>
        </w:rPr>
        <w:t>；Geli 等</w:t>
      </w:r>
      <w:r>
        <w:rPr>
          <w:rFonts w:ascii="Times New Roman" w:hAnsi="Times New Roman" w:eastAsia="宋体" w:cs="Times New Roman" w:hint="eastAsia"/>
          <w:b w:val="0"/>
          <w:i w:val="0"/>
          <w:sz w:val="21"/>
          <w:vertAlign w:val="superscript"/>
        </w:rPr>
        <w:t>[3]</w:t>
      </w:r>
      <w:r>
        <w:rPr>
          <w:rFonts w:ascii="Times New Roman" w:hAnsi="Times New Roman" w:eastAsia="宋体" w:cs="Times New Roman" w:hint="eastAsia"/>
          <w:b w:val="0"/>
          <w:i w:val="0"/>
          <w:sz w:val="21"/>
        </w:rPr>
        <w:t>的观测综述系统总结了地形效应的普遍性与入射角相关性；国内的震害调查同样发现孤立山体山顶加速度较山脚增大近一倍</w:t>
      </w:r>
      <w:r>
        <w:rPr>
          <w:rFonts w:ascii="Times New Roman" w:hAnsi="Times New Roman" w:eastAsia="宋体" w:cs="Times New Roman" w:hint="eastAsia"/>
          <w:b w:val="0"/>
          <w:i w:val="0"/>
          <w:sz w:val="21"/>
          <w:vertAlign w:val="superscript"/>
        </w:rPr>
        <w:t>[4]</w:t>
      </w:r>
      <w:r>
        <w:rPr>
          <w:rFonts w:ascii="Times New Roman" w:hAnsi="Times New Roman" w:eastAsia="宋体" w:cs="Times New Roman" w:hint="eastAsia"/>
          <w:b w:val="0"/>
          <w:i w:val="0"/>
          <w:sz w:val="21"/>
        </w:rPr>
        <w:t>。各国抗震规范将上述证据转化为标量放大系数：欧洲规范 EC8 规定孤立悬崖与边坡的放大系数不小于 1.2、平均坡度不小于 30° 的孤立山脊不小于 1.4</w:t>
      </w:r>
      <w:r>
        <w:rPr>
          <w:rFonts w:ascii="Times New Roman" w:hAnsi="Times New Roman" w:eastAsia="宋体" w:cs="Times New Roman" w:hint="eastAsia"/>
          <w:b w:val="0"/>
          <w:i w:val="0"/>
          <w:sz w:val="21"/>
          <w:vertAlign w:val="superscript"/>
        </w:rPr>
        <w:t>[5]</w:t>
      </w:r>
      <w:r>
        <w:rPr>
          <w:rFonts w:ascii="Times New Roman" w:hAnsi="Times New Roman" w:eastAsia="宋体" w:cs="Times New Roman" w:hint="eastAsia"/>
          <w:b w:val="0"/>
          <w:i w:val="0"/>
          <w:sz w:val="21"/>
        </w:rPr>
        <w:t>；我国《建筑抗震设计规范》（GB 50011—2010）按地形与地质条件给出 1.1～1.6 的放大系数</w:t>
      </w:r>
      <w:r>
        <w:rPr>
          <w:rFonts w:ascii="Times New Roman" w:hAnsi="Times New Roman" w:eastAsia="宋体" w:cs="Times New Roman" w:hint="eastAsia"/>
          <w:b w:val="0"/>
          <w:i w:val="0"/>
          <w:sz w:val="21"/>
          <w:vertAlign w:val="superscript"/>
        </w:rPr>
        <w:t>[6]</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然而，数值模拟与震害实录均提示规范上限可能低估了真实地形效应。均质弹性岩坡的有限元模拟在特定几何与岩体参数下给出高达 1.93 的放大系数</w:t>
      </w:r>
      <w:r>
        <w:rPr>
          <w:rFonts w:ascii="Times New Roman" w:hAnsi="Times New Roman" w:eastAsia="宋体" w:cs="Times New Roman" w:hint="eastAsia"/>
          <w:b w:val="0"/>
          <w:i w:val="0"/>
          <w:sz w:val="21"/>
          <w:vertAlign w:val="superscript"/>
        </w:rPr>
        <w:t>[7]</w:t>
      </w:r>
      <w:r>
        <w:rPr>
          <w:rFonts w:ascii="Times New Roman" w:hAnsi="Times New Roman" w:eastAsia="宋体" w:cs="Times New Roman" w:hint="eastAsia"/>
          <w:b w:val="0"/>
          <w:i w:val="0"/>
          <w:sz w:val="21"/>
        </w:rPr>
        <w:t>；考虑斜入射后，SV 波 30° 入射时的平均谱放大可超过 2</w:t>
      </w:r>
      <w:r>
        <w:rPr>
          <w:rFonts w:ascii="Times New Roman" w:hAnsi="Times New Roman" w:eastAsia="宋体" w:cs="Times New Roman" w:hint="eastAsia"/>
          <w:b w:val="0"/>
          <w:i w:val="0"/>
          <w:sz w:val="21"/>
          <w:vertAlign w:val="superscript"/>
        </w:rPr>
        <w:t>[8]</w:t>
      </w:r>
      <w:r>
        <w:rPr>
          <w:rFonts w:ascii="Times New Roman" w:hAnsi="Times New Roman" w:eastAsia="宋体" w:cs="Times New Roman" w:hint="eastAsia"/>
          <w:b w:val="0"/>
          <w:i w:val="0"/>
          <w:sz w:val="21"/>
        </w:rPr>
        <w:t>。2022 年泸定 6.8 级地震中，磨西台地边缘两栋结构对称的框架建筑呈现出“近缘严重损毁、远缘轻微受损”的鲜明对比，直接证实了地形边缘对地震响应的差异化控制作用</w:t>
      </w:r>
      <w:r>
        <w:rPr>
          <w:rFonts w:ascii="Times New Roman" w:hAnsi="Times New Roman" w:eastAsia="宋体" w:cs="Times New Roman" w:hint="eastAsia"/>
          <w:b w:val="0"/>
          <w:i w:val="0"/>
          <w:sz w:val="21"/>
          <w:vertAlign w:val="superscript"/>
        </w:rPr>
        <w:t>[9-11]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值得注意的是，上述研究与规范体系几乎无一例外地采用标量指标——PGA 放大系数、选定频率处的谱放大或地形放大系数</w:t>
      </w:r>
      <w:r>
        <w:rPr>
          <w:rFonts w:ascii="Times New Roman" w:hAnsi="Times New Roman" w:eastAsia="宋体" w:cs="Times New Roman" w:hint="eastAsia"/>
          <w:b w:val="0"/>
          <w:i w:val="0"/>
          <w:sz w:val="21"/>
          <w:vertAlign w:val="superscript"/>
        </w:rPr>
        <w:t>[12-13]</w:t>
      </w:r>
      <w:r>
        <w:rPr>
          <w:rFonts w:ascii="Times New Roman" w:hAnsi="Times New Roman" w:eastAsia="宋体" w:cs="Times New Roman" w:hint="eastAsia"/>
          <w:b w:val="0"/>
          <w:i w:val="0"/>
          <w:sz w:val="21"/>
        </w:rPr>
        <w:t>。然而，线性场地响应本质上是一个传递函数，幅值与相位是其两个正交分量：仅保留幅值的描述在原理上无法重构地震动时程，也无法区分真实的放大与波动的时域叠加效应。散射波相对于一维参考场积累的频率相关迟滞——即传递函数的相位——在这一标量化传统中被系统性地丢弃了。</w:t>
      </w:r>
    </w:p>
    <w:p>
      <w:pPr>
        <w:spacing w:before="0" w:after="0"/>
        <w:ind w:firstLine="420"/>
        <w:jc w:val="both"/>
      </w:pPr>
      <w:r>
        <w:rPr>
          <w:rFonts w:ascii="Times New Roman" w:hAnsi="Times New Roman" w:eastAsia="宋体" w:cs="Times New Roman" w:hint="eastAsia"/>
          <w:b w:val="0"/>
          <w:i w:val="0"/>
          <w:sz w:val="21"/>
        </w:rPr>
        <w:t>另一方面，天然坡地常覆盖有软弱覆盖层，地层效应与地形效应并不简单叠加。山脊场地的放大被归因于地形与近地表地层的联合作用</w:t>
      </w:r>
      <w:r>
        <w:rPr>
          <w:rFonts w:ascii="Times New Roman" w:hAnsi="Times New Roman" w:eastAsia="宋体" w:cs="Times New Roman" w:hint="eastAsia"/>
          <w:b w:val="0"/>
          <w:i w:val="0"/>
          <w:sz w:val="21"/>
          <w:vertAlign w:val="superscript"/>
        </w:rPr>
        <w:t>[14-15]</w:t>
      </w:r>
      <w:r>
        <w:rPr>
          <w:rFonts w:ascii="Times New Roman" w:hAnsi="Times New Roman" w:eastAsia="宋体" w:cs="Times New Roman" w:hint="eastAsia"/>
          <w:b w:val="0"/>
          <w:i w:val="0"/>
          <w:sz w:val="21"/>
        </w:rPr>
        <w:t>；参数化分析与震例研究表明软弱表层可显著重塑地形放大</w:t>
      </w:r>
      <w:r>
        <w:rPr>
          <w:rFonts w:ascii="Times New Roman" w:hAnsi="Times New Roman" w:eastAsia="宋体" w:cs="Times New Roman" w:hint="eastAsia"/>
          <w:b w:val="0"/>
          <w:i w:val="0"/>
          <w:sz w:val="21"/>
          <w:vertAlign w:val="superscript"/>
        </w:rPr>
        <w:t>[16-17]</w:t>
      </w:r>
      <w:r>
        <w:rPr>
          <w:rFonts w:ascii="Times New Roman" w:hAnsi="Times New Roman" w:eastAsia="宋体" w:cs="Times New Roman" w:hint="eastAsia"/>
          <w:b w:val="0"/>
          <w:i w:val="0"/>
          <w:sz w:val="21"/>
        </w:rPr>
        <w:t>，且两种效应的线性或等效线性耦合必须显式表达</w:t>
      </w:r>
      <w:r>
        <w:rPr>
          <w:rFonts w:ascii="Times New Roman" w:hAnsi="Times New Roman" w:eastAsia="宋体" w:cs="Times New Roman" w:hint="eastAsia"/>
          <w:b w:val="0"/>
          <w:i w:val="0"/>
          <w:sz w:val="21"/>
          <w:vertAlign w:val="superscript"/>
        </w:rPr>
        <w:t>[18-19]</w:t>
      </w:r>
      <w:r>
        <w:rPr>
          <w:rFonts w:ascii="Times New Roman" w:hAnsi="Times New Roman" w:eastAsia="宋体" w:cs="Times New Roman" w:hint="eastAsia"/>
          <w:b w:val="0"/>
          <w:i w:val="0"/>
          <w:sz w:val="21"/>
        </w:rPr>
        <w:t>；2008 年希腊 Achaia-Ilia 地震的震害观测表明，规范中“地形与地层效应解耦叠加”的做法在特定周期带内低估了坡顶放大</w:t>
      </w:r>
      <w:r>
        <w:rPr>
          <w:rFonts w:ascii="Times New Roman" w:hAnsi="Times New Roman" w:eastAsia="宋体" w:cs="Times New Roman" w:hint="eastAsia"/>
          <w:b w:val="0"/>
          <w:i w:val="0"/>
          <w:sz w:val="21"/>
          <w:vertAlign w:val="superscript"/>
        </w:rPr>
        <w:t>[20]</w:t>
      </w:r>
      <w:r>
        <w:rPr>
          <w:rFonts w:ascii="Times New Roman" w:hAnsi="Times New Roman" w:eastAsia="宋体" w:cs="Times New Roman" w:hint="eastAsia"/>
          <w:b w:val="0"/>
          <w:i w:val="0"/>
          <w:sz w:val="21"/>
        </w:rPr>
        <w:t>；现场监测与高分辨率模拟的联合研究更发现，耦合近地表成层地质可将放大系数由不足 3 提升至 5～6</w:t>
      </w:r>
      <w:r>
        <w:rPr>
          <w:rFonts w:ascii="Times New Roman" w:hAnsi="Times New Roman" w:eastAsia="宋体" w:cs="Times New Roman" w:hint="eastAsia"/>
          <w:b w:val="0"/>
          <w:i w:val="0"/>
          <w:sz w:val="21"/>
          <w:vertAlign w:val="superscript"/>
        </w:rPr>
        <w:t>[21]</w:t>
      </w:r>
      <w:r>
        <w:rPr>
          <w:rFonts w:ascii="Times New Roman" w:hAnsi="Times New Roman" w:eastAsia="宋体" w:cs="Times New Roman" w:hint="eastAsia"/>
          <w:b w:val="0"/>
          <w:i w:val="0"/>
          <w:sz w:val="21"/>
        </w:rPr>
        <w:t>。与此同时，真实地震动往往以一定角度斜入射：1994 年 Northridge 地震 Tarzana 台站的异常放大只有引入斜入射才能解释</w:t>
      </w:r>
      <w:r>
        <w:rPr>
          <w:rFonts w:ascii="Times New Roman" w:hAnsi="Times New Roman" w:eastAsia="宋体" w:cs="Times New Roman" w:hint="eastAsia"/>
          <w:b w:val="0"/>
          <w:i w:val="0"/>
          <w:sz w:val="21"/>
          <w:vertAlign w:val="superscript"/>
        </w:rPr>
        <w:t>[22]</w:t>
      </w:r>
      <w:r>
        <w:rPr>
          <w:rFonts w:ascii="Times New Roman" w:hAnsi="Times New Roman" w:eastAsia="宋体" w:cs="Times New Roman" w:hint="eastAsia"/>
          <w:b w:val="0"/>
          <w:i w:val="0"/>
          <w:sz w:val="21"/>
        </w:rPr>
        <w:t>；陡峻海岸崖坡的参数化分析表明斜入射剪切波的放大可达垂直入射的两倍以上</w:t>
      </w:r>
      <w:r>
        <w:rPr>
          <w:rFonts w:ascii="Times New Roman" w:hAnsi="Times New Roman" w:eastAsia="宋体" w:cs="Times New Roman" w:hint="eastAsia"/>
          <w:b w:val="0"/>
          <w:i w:val="0"/>
          <w:sz w:val="21"/>
          <w:vertAlign w:val="superscript"/>
        </w:rPr>
        <w:t>[23]</w:t>
      </w:r>
      <w:r>
        <w:rPr>
          <w:rFonts w:ascii="Times New Roman" w:hAnsi="Times New Roman" w:eastAsia="宋体" w:cs="Times New Roman" w:hint="eastAsia"/>
          <w:b w:val="0"/>
          <w:i w:val="0"/>
          <w:sz w:val="21"/>
        </w:rPr>
        <w:t>；均质岩坡在斜入射 SV 波作用下的系统研究表明，最大 PGA 放大系数为垂直入射的 1.4～2.2 倍</w:t>
      </w:r>
      <w:r>
        <w:rPr>
          <w:rFonts w:ascii="Times New Roman" w:hAnsi="Times New Roman" w:eastAsia="宋体" w:cs="Times New Roman" w:hint="eastAsia"/>
          <w:b w:val="0"/>
          <w:i w:val="0"/>
          <w:sz w:val="21"/>
          <w:vertAlign w:val="superscript"/>
        </w:rPr>
        <w:t>[8,24]</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覆盖层一维共振与坡体散射频段接近程度的一个自然无量纲度量是归一化场地特征频率 </w:t>
      </w:r>
      <m:oMath>
        <m:r>
          <m:t>χ</m:t>
        </m:r>
        <m:r>
          <m:rPr>
            <m:sty m:val="p"/>
          </m:rPr>
          <m:t>=</m:t>
        </m:r>
        <m:sSub>
          <m:e>
            <m:r>
              <m:t>f</m:t>
            </m:r>
          </m:e>
          <m:sub>
            <m:r>
              <m:rPr>
                <m:sty m:val="p"/>
              </m:rPr>
              <m:t>s</m:t>
            </m:r>
          </m:sub>
        </m:sSub>
        <m:r>
          <m:t>h</m:t>
        </m:r>
        <m:r>
          <m:rPr>
            <m:sty m:val="p"/>
          </m:rPr>
          <m:t>/</m:t>
        </m:r>
        <m:sSub>
          <m:e>
            <m:r>
              <m:t>V</m:t>
            </m:r>
          </m:e>
          <m:sub>
            <m:r>
              <m:rPr>
                <m:sty m:val="p"/>
              </m:rPr>
              <m:t>s</m:t>
            </m:r>
            <m:r>
              <m:rPr>
                <m:sty m:val="p"/>
              </m:rPr>
              <m:t>,</m:t>
            </m:r>
            <m:r>
              <m:rPr>
                <m:sty m:val="p"/>
              </m:rPr>
              <m:t>b</m:t>
            </m:r>
          </m:sub>
        </m:sSub>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，式中：</w:t>
      </w:r>
      <m:oMath>
        <m:sSub>
          <m:e>
            <m:r>
              <m:t>f</m:t>
            </m:r>
          </m:e>
          <m:sub>
            <m:r>
              <m:rPr>
                <m:sty m:val="p"/>
              </m:rPr>
              <m:t>s</m:t>
            </m:r>
          </m:sub>
        </m:sSub>
        <m:r>
          <m:rPr>
            <m:sty m:val="p"/>
          </m:rPr>
          <m:t>=</m:t>
        </m:r>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 xml:space="preserve"> 为覆盖层基频；</w:t>
      </w:r>
      <m:oMath>
        <m:r>
          <m:t>h</m:t>
        </m:r>
      </m:oMath>
      <w:r>
        <w:rPr>
          <w:rFonts w:ascii="Times New Roman" w:hAnsi="Times New Roman" w:eastAsia="宋体" w:cs="Times New Roman" w:hint="eastAsia"/>
          <w:b w:val="0"/>
          <w:i w:val="0"/>
          <w:sz w:val="21"/>
        </w:rPr>
        <w:t xml:space="preserve"> 为坡高；</w:t>
      </w:r>
      <m:oMath>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为基岩剪切波速；</w:t>
      </w:r>
      <m:oMath>
        <m:r>
          <m:t>d</m:t>
        </m:r>
      </m:oMath>
      <w:r>
        <w:rPr>
          <w:rFonts w:ascii="Times New Roman" w:hAnsi="Times New Roman" w:eastAsia="宋体" w:cs="Times New Roman" w:hint="eastAsia"/>
          <w:b w:val="0"/>
          <w:i w:val="0"/>
          <w:sz w:val="21"/>
        </w:rPr>
        <w:t xml:space="preserve"> 为覆盖层厚度；</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为波速比。既有研究尚未定量回答覆盖层如何联合修正地形响应的幅值与相位，以及该修正如何随 </w:t>
      </w: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变化。</w:t>
      </w:r>
    </w:p>
    <w:p>
      <w:pPr>
        <w:spacing w:before="0" w:after="0"/>
        <w:ind w:firstLine="420"/>
        <w:jc w:val="both"/>
      </w:pPr>
      <w:r>
        <w:rPr>
          <w:rFonts w:ascii="Times New Roman" w:hAnsi="Times New Roman" w:eastAsia="宋体" w:cs="Times New Roman" w:hint="eastAsia"/>
          <w:b w:val="0"/>
          <w:i w:val="0"/>
          <w:sz w:val="21"/>
        </w:rPr>
        <w:t>在预测方法层面，有限元场地反应分析代价高昂，数据驱动的代理模型已被用于地形与场地放大预测，但目标几乎全部是标量：卷积神经网络预测盆地地表放大</w:t>
      </w:r>
      <w:r>
        <w:rPr>
          <w:rFonts w:ascii="Times New Roman" w:hAnsi="Times New Roman" w:eastAsia="宋体" w:cs="Times New Roman" w:hint="eastAsia"/>
          <w:b w:val="0"/>
          <w:i w:val="0"/>
          <w:sz w:val="21"/>
          <w:vertAlign w:val="superscript"/>
        </w:rPr>
        <w:t>[25]</w:t>
      </w:r>
      <w:r>
        <w:rPr>
          <w:rFonts w:ascii="Times New Roman" w:hAnsi="Times New Roman" w:eastAsia="宋体" w:cs="Times New Roman" w:hint="eastAsia"/>
          <w:b w:val="0"/>
          <w:i w:val="0"/>
          <w:sz w:val="21"/>
        </w:rPr>
        <w:t>，人工神经网络、支持向量机和随机森林回归复杂场地放大</w:t>
      </w:r>
      <w:r>
        <w:rPr>
          <w:rFonts w:ascii="Times New Roman" w:hAnsi="Times New Roman" w:eastAsia="宋体" w:cs="Times New Roman" w:hint="eastAsia"/>
          <w:b w:val="0"/>
          <w:i w:val="0"/>
          <w:sz w:val="21"/>
          <w:vertAlign w:val="superscript"/>
        </w:rPr>
        <w:t>[26]</w:t>
      </w:r>
      <w:r>
        <w:rPr>
          <w:rFonts w:ascii="Times New Roman" w:hAnsi="Times New Roman" w:eastAsia="宋体" w:cs="Times New Roman" w:hint="eastAsia"/>
          <w:b w:val="0"/>
          <w:i w:val="0"/>
          <w:sz w:val="21"/>
        </w:rPr>
        <w:t>，基于二维地形图像的 BP 网络</w:t>
      </w:r>
      <w:r>
        <w:rPr>
          <w:rFonts w:ascii="Times New Roman" w:hAnsi="Times New Roman" w:eastAsia="宋体" w:cs="Times New Roman" w:hint="eastAsia"/>
          <w:b w:val="0"/>
          <w:i w:val="0"/>
          <w:sz w:val="21"/>
          <w:vertAlign w:val="superscript"/>
        </w:rPr>
        <w:t>[27]</w:t>
      </w:r>
      <w:r>
        <w:rPr>
          <w:rFonts w:ascii="Times New Roman" w:hAnsi="Times New Roman" w:eastAsia="宋体" w:cs="Times New Roman" w:hint="eastAsia"/>
          <w:b w:val="0"/>
          <w:i w:val="0"/>
          <w:sz w:val="21"/>
        </w:rPr>
        <w:t>，谱元数据驱动的区域地形效应模型</w:t>
      </w:r>
      <w:r>
        <w:rPr>
          <w:rFonts w:ascii="Times New Roman" w:hAnsi="Times New Roman" w:eastAsia="宋体" w:cs="Times New Roman" w:hint="eastAsia"/>
          <w:b w:val="0"/>
          <w:i w:val="0"/>
          <w:sz w:val="21"/>
          <w:vertAlign w:val="superscript"/>
        </w:rPr>
        <w:t>[28-29]</w:t>
      </w:r>
      <w:r>
        <w:rPr>
          <w:rFonts w:ascii="Times New Roman" w:hAnsi="Times New Roman" w:eastAsia="宋体" w:cs="Times New Roman" w:hint="eastAsia"/>
          <w:b w:val="0"/>
          <w:i w:val="0"/>
          <w:sz w:val="21"/>
        </w:rPr>
        <w:t>，以及基于可靠性分析的控制参数识别</w:t>
      </w:r>
      <w:r>
        <w:rPr>
          <w:rFonts w:ascii="Times New Roman" w:hAnsi="Times New Roman" w:eastAsia="宋体" w:cs="Times New Roman" w:hint="eastAsia"/>
          <w:b w:val="0"/>
          <w:i w:val="0"/>
          <w:sz w:val="21"/>
          <w:vertAlign w:val="superscript"/>
        </w:rPr>
        <w:t>[30]</w:t>
      </w:r>
      <w:r>
        <w:rPr>
          <w:rFonts w:ascii="Times New Roman" w:hAnsi="Times New Roman" w:eastAsia="宋体" w:cs="Times New Roman" w:hint="eastAsia"/>
          <w:b w:val="0"/>
          <w:i w:val="0"/>
          <w:sz w:val="21"/>
        </w:rPr>
        <w:t>。这些研究建立了可行性，但完整空间模式和相位信息较少被同时预测，训练域之外的适用边界也缺少独立检验。</w:t>
      </w:r>
    </w:p>
    <w:p>
      <w:pPr>
        <w:spacing w:before="0" w:after="0"/>
        <w:ind w:firstLine="420"/>
        <w:jc w:val="both"/>
      </w:pPr>
      <w:r>
        <w:rPr>
          <w:rFonts w:ascii="Times New Roman" w:hAnsi="Times New Roman" w:eastAsia="宋体" w:cs="Times New Roman" w:hint="eastAsia"/>
          <w:b w:val="0"/>
          <w:i w:val="0"/>
          <w:sz w:val="21"/>
        </w:rPr>
        <w:t xml:space="preserve">针对上述问题，本文以二维线弹性“上土下岩”成层坡地为对象，将扣除斜入射水平传播相位后的地表总波场响应函数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宋体" w:cs="Times New Roman" w:hint="eastAsia"/>
          <w:b w:val="0"/>
          <w:i w:val="0"/>
          <w:sz w:val="21"/>
        </w:rPr>
        <w:t xml:space="preserve"> 作为统一研究对象。首先采用宽频系统识别，在4个均质坡和64个成层坡上分析 </w:t>
      </w:r>
      <m:oMath>
        <m:r>
          <m:t>i</m:t>
        </m:r>
      </m:oMath>
      <w:r>
        <w:rPr>
          <w:rFonts w:ascii="Times New Roman" w:hAnsi="Times New Roman" w:eastAsia="宋体" w:cs="Times New Roman" w:hint="eastAsia"/>
          <w:b w:val="0"/>
          <w:i w:val="0"/>
          <w:sz w:val="21"/>
        </w:rPr>
        <w:t>、</w:t>
      </w:r>
      <m:oMath>
        <m:r>
          <m:t>d</m:t>
        </m:r>
        <m:r>
          <m:rPr>
            <m:sty m:val="p"/>
          </m:rPr>
          <m:t>/</m:t>
        </m:r>
        <m:r>
          <m:t>h</m:t>
        </m:r>
      </m:oMath>
      <w:r>
        <w:rPr>
          <w:rFonts w:ascii="Times New Roman" w:hAnsi="Times New Roman" w:eastAsia="宋体" w:cs="Times New Roman" w:hint="eastAsia"/>
          <w:b w:val="0"/>
          <w:i w:val="0"/>
          <w:sz w:val="21"/>
        </w:rPr>
        <w:t>、</w:t>
      </w:r>
      <m:oMath>
        <m:sSub>
          <m:e>
            <m:r>
              <m:t>r</m:t>
            </m:r>
          </m:e>
          <m:sub>
            <m:r>
              <m:t>v</m:t>
            </m:r>
          </m:sub>
        </m:sSub>
      </m:oMath>
      <w:r>
        <w:rPr>
          <w:rFonts w:ascii="Times New Roman" w:hAnsi="Times New Roman" w:eastAsia="宋体" w:cs="Times New Roman" w:hint="eastAsia"/>
          <w:b w:val="0"/>
          <w:i w:val="0"/>
          <w:sz w:val="21"/>
        </w:rPr>
        <w:t xml:space="preserve"> 对幅值、相位与峰位的影响；随后建立 POD-GPR 复数场代理，以12个未参与训练和选模的中间参数组合检验域内插值能力；最后将代理响应用于 El Centro、Kobe 和 Chi-Chi 地震动重构，并与10例直接有限元结果闭环比较。研究范围限定为二维平面应变、线性两层坡、</w:t>
      </w:r>
      <m:oMath>
        <m:r>
          <m:t>h</m:t>
        </m:r>
        <m:r>
          <m:rPr>
            <m:sty m:val="p"/>
          </m:rPr>
          <m:t>=</m:t>
        </m:r>
        <m:r>
          <m:t>100</m:t>
        </m:r>
      </m:oMath>
      <w:r>
        <w:rPr>
          <w:rFonts w:ascii="Times New Roman" w:hAnsi="Times New Roman" w:eastAsia="宋体" w:cs="Times New Roman" w:hint="eastAsia"/>
          <w:b w:val="0"/>
          <w:i w:val="0"/>
          <w:sz w:val="21"/>
        </w:rPr>
        <w:t xml:space="preserve"> m、15° SV斜入射、密度比0.85和0.5～10 Hz频带，不外推至其他入射角、非线性介质或三维地形。</w:t>
      </w:r>
    </w:p>
    <w:p>
      <w:pPr>
        <w:spacing w:before="312" w:after="60"/>
        <w:ind w:firstLine="0"/>
        <w:jc w:val="left"/>
      </w:pPr>
      <w:r>
        <w:rPr>
          <w:rFonts w:ascii="Times New Roman" w:hAnsi="Times New Roman" w:eastAsia="宋体" w:cs="Times New Roman" w:hint="eastAsia"/>
          <w:b/>
          <w:i w:val="0"/>
          <w:sz w:val="28"/>
        </w:rPr>
        <w:t>2 数值方法与模型建立</w:t>
      </w:r>
    </w:p>
    <w:p>
      <w:pPr>
        <w:spacing w:before="0" w:after="0"/>
        <w:ind w:firstLine="420"/>
        <w:jc w:val="both"/>
      </w:pPr>
      <w:r>
        <w:rPr>
          <w:rFonts w:ascii="Times New Roman" w:hAnsi="Times New Roman" w:eastAsia="宋体" w:cs="Times New Roman" w:hint="eastAsia"/>
          <w:b w:val="0"/>
          <w:i w:val="0"/>
          <w:sz w:val="21"/>
        </w:rPr>
        <w:t>本章介绍成层坡地斜入射地震动输入方法、数值模型与研究方案。</w:t>
      </w:r>
    </w:p>
    <w:p>
      <w:pPr>
        <w:spacing w:before="156" w:after="40"/>
        <w:ind w:firstLine="0"/>
        <w:jc w:val="left"/>
      </w:pPr>
      <w:r>
        <w:rPr>
          <w:rFonts w:ascii="Times New Roman" w:hAnsi="Times New Roman" w:eastAsia="宋体" w:cs="Times New Roman" w:hint="eastAsia"/>
          <w:b/>
          <w:i w:val="0"/>
          <w:sz w:val="24"/>
        </w:rPr>
        <w:t>2.1 成层坡地地震动输入方法</w:t>
      </w:r>
    </w:p>
    <w:p>
      <w:pPr>
        <w:spacing w:before="0" w:after="0"/>
        <w:ind w:firstLine="420"/>
        <w:jc w:val="both"/>
      </w:pPr>
      <w:r>
        <w:rPr>
          <w:rFonts w:ascii="Times New Roman" w:hAnsi="Times New Roman" w:eastAsia="宋体" w:cs="Times New Roman" w:hint="eastAsia"/>
          <w:b w:val="0"/>
          <w:i w:val="0"/>
          <w:sz w:val="21"/>
        </w:rPr>
        <w:t>有限元模型仅截取无限场地中的局部区域。为减小外行波在截断边界处的非物理反射，本文在模型左右两侧及底部采用刘晶波等</w:t>
      </w:r>
      <w:r>
        <w:rPr>
          <w:rFonts w:ascii="Times New Roman" w:hAnsi="Times New Roman" w:eastAsia="宋体" w:cs="Times New Roman" w:hint="eastAsia"/>
          <w:b w:val="0"/>
          <w:i w:val="0"/>
          <w:sz w:val="21"/>
          <w:vertAlign w:val="superscript"/>
        </w:rPr>
        <w:t>[32]</w:t>
      </w:r>
      <w:r>
        <w:rPr>
          <w:rFonts w:ascii="Times New Roman" w:hAnsi="Times New Roman" w:eastAsia="宋体" w:cs="Times New Roman" w:hint="eastAsia"/>
          <w:b w:val="0"/>
          <w:i w:val="0"/>
          <w:sz w:val="21"/>
        </w:rPr>
        <w:t xml:space="preserve">提出的黏弹性人工边界，地表保持自由。按照该方法，边界节点 </w:t>
      </w:r>
      <m:oMath>
        <m:r>
          <m:t>l</m:t>
        </m:r>
      </m:oMath>
      <w:r>
        <w:rPr>
          <w:rFonts w:ascii="Times New Roman" w:hAnsi="Times New Roman" w:eastAsia="宋体" w:cs="Times New Roman" w:hint="eastAsia"/>
          <w:b w:val="0"/>
          <w:i w:val="0"/>
          <w:sz w:val="21"/>
        </w:rPr>
        <w:t xml:space="preserve"> 处的法向、切向弹簧刚度及阻尼系数分别为：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K</m:t>
                            </m:r>
                          </m:e>
                          <m:sub>
                            <m:r>
                              <m:rPr>
                                <m:sty m:val="p"/>
                              </m:rPr>
                              <m:t>N</m:t>
                            </m:r>
                          </m:sub>
                        </m:sSub>
                      </m:e>
                    </m:mr>
                    <m:mr>
                      <m:e>
                        <m:sSub>
                          <m:e>
                            <m:r>
                              <m:t>K</m:t>
                            </m:r>
                          </m:e>
                          <m:sub>
                            <m:r>
                              <m:rPr>
                                <m:sty m:val="p"/>
                              </m:rPr>
                              <m:t>T</m:t>
                            </m:r>
                          </m:sub>
                        </m:sSub>
                      </m:e>
                    </m:mr>
                  </m:m>
                </m:e>
              </m:d>
              <m:r>
                <m:rPr>
                  <m:sty m:val="p"/>
                </m:rPr>
                <m:t>=</m:t>
              </m:r>
              <m:f>
                <m:fPr>
                  <m:type m:val="bar"/>
                </m:fPr>
                <m:num>
                  <m:r>
                    <m:t>1</m:t>
                  </m:r>
                </m:num>
                <m:den>
                  <m:r>
                    <m:t>2</m:t>
                  </m:r>
                  <m:r>
                    <m:t>r</m:t>
                  </m:r>
                  <m:r>
                    <m:rPr>
                      <m:sty m:val="p"/>
                    </m:rPr>
                    <m:t>(</m:t>
                  </m:r>
                  <m:r>
                    <m:t>1</m:t>
                  </m:r>
                  <m:r>
                    <m:rPr>
                      <m:sty m:val="p"/>
                    </m:rPr>
                    <m:t>+</m:t>
                  </m:r>
                  <m:r>
                    <m:t>A</m:t>
                  </m:r>
                  <m:r>
                    <m:rPr>
                      <m:sty m:val="p"/>
                    </m:rPr>
                    <m:t>)</m:t>
                  </m:r>
                </m:den>
              </m:f>
              <m:d>
                <m:dPr>
                  <m:begChr m:val="["/>
                  <m:sepChr m:val=""/>
                  <m:endChr m:val="]"/>
                  <m:grow/>
                </m:dPr>
                <m:e>
                  <m:m>
                    <m:mPr>
                      <m:baseJc m:val="center"/>
                      <m:plcHide m:val="on"/>
                      <m:mcs>
                        <m:mc>
                          <m:mcPr>
                            <m:mcJc m:val="center"/>
                            <m:count m:val="1"/>
                          </m:mcPr>
                        </m:mc>
                      </m:mcs>
                    </m:mPr>
                    <m:mr>
                      <m:e>
                        <m:r>
                          <m:t>λ</m:t>
                        </m:r>
                        <m:r>
                          <m:rPr>
                            <m:sty m:val="p"/>
                          </m:rPr>
                          <m:t>+</m:t>
                        </m:r>
                        <m:r>
                          <m:t>2</m:t>
                        </m:r>
                        <m:r>
                          <m:t>G</m:t>
                        </m:r>
                      </m:e>
                    </m:mr>
                    <m:mr>
                      <m:e>
                        <m:r>
                          <m:t>G</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C</m:t>
                            </m:r>
                          </m:e>
                          <m:sub>
                            <m:r>
                              <m:rPr>
                                <m:sty m:val="p"/>
                              </m:rPr>
                              <m:t>N</m:t>
                            </m:r>
                          </m:sub>
                        </m:sSub>
                      </m:e>
                    </m:mr>
                    <m:mr>
                      <m:e>
                        <m:sSub>
                          <m:e>
                            <m:r>
                              <m:t>C</m:t>
                            </m:r>
                          </m:e>
                          <m:sub>
                            <m:r>
                              <m:rPr>
                                <m:sty m:val="p"/>
                              </m:rPr>
                              <m:t>T</m:t>
                            </m:r>
                          </m:sub>
                        </m:sSub>
                      </m:e>
                    </m:mr>
                  </m:m>
                </m:e>
              </m:d>
              <m:r>
                <m:rPr>
                  <m:sty m:val="p"/>
                </m:rPr>
                <m:t>=</m:t>
              </m:r>
              <m:r>
                <m:t>B</m:t>
              </m:r>
              <m:r>
                <m:t>ρ</m:t>
              </m:r>
              <m:d>
                <m:dPr>
                  <m:begChr m:val="["/>
                  <m:sepChr m:val=""/>
                  <m:endChr m:val="]"/>
                  <m:grow/>
                </m:dPr>
                <m:e>
                  <m:m>
                    <m:mPr>
                      <m:baseJc m:val="center"/>
                      <m:plcHide m:val="on"/>
                      <m:mcs>
                        <m:mc>
                          <m:mcPr>
                            <m:mcJc m:val="center"/>
                            <m:count m:val="1"/>
                          </m:mcPr>
                        </m:mc>
                      </m:mcs>
                    </m:mPr>
                    <m:mr>
                      <m:e>
                        <m:sSub>
                          <m:e>
                            <m:r>
                              <m:t>c</m:t>
                            </m:r>
                          </m:e>
                          <m:sub>
                            <m:r>
                              <m:rPr>
                                <m:sty m:val="p"/>
                              </m:rPr>
                              <m:t>p</m:t>
                            </m:r>
                          </m:sub>
                        </m:sSub>
                      </m:e>
                    </m:mr>
                    <m:mr>
                      <m:e>
                        <m:sSub>
                          <m:e>
                            <m:r>
                              <m:t>c</m:t>
                            </m:r>
                          </m:e>
                          <m:sub>
                            <m:r>
                              <m:rPr>
                                <m:sty m:val="p"/>
                              </m:rPr>
                              <m:t>s</m:t>
                            </m:r>
                          </m:sub>
                        </m:sSub>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w:t>
            </w:r>
          </w:p>
        </w:tc>
      </w:tr>
    </w:tbl>
    <w:p>
      <w:pPr>
        <w:spacing w:before="0" w:after="0"/>
        <w:ind w:firstLine="420"/>
        <w:jc w:val="both"/>
      </w:pPr>
      <w:r>
        <w:rPr>
          <w:rFonts w:ascii="Times New Roman" w:hAnsi="Times New Roman" w:eastAsia="宋体" w:cs="Times New Roman" w:hint="eastAsia"/>
          <w:b w:val="0"/>
          <w:i w:val="0"/>
          <w:sz w:val="21"/>
        </w:rPr>
        <w:t>式中，</w:t>
      </w:r>
      <m:oMath>
        <m:sSub>
          <m:e>
            <m:r>
              <m:t>K</m:t>
            </m:r>
          </m:e>
          <m:sub>
            <m:r>
              <m:rPr>
                <m:sty m:val="p"/>
              </m:rPr>
              <m:t>N</m:t>
            </m:r>
          </m:sub>
        </m:sSub>
      </m:oMath>
      <w:r>
        <w:rPr>
          <w:rFonts w:ascii="Times New Roman" w:hAnsi="Times New Roman" w:eastAsia="宋体" w:cs="Times New Roman" w:hint="eastAsia"/>
          <w:b w:val="0"/>
          <w:i w:val="0"/>
          <w:sz w:val="21"/>
        </w:rPr>
        <w:t>、</w:t>
      </w:r>
      <m:oMath>
        <m:sSub>
          <m:e>
            <m:r>
              <m:t>K</m:t>
            </m:r>
          </m:e>
          <m:sub>
            <m:r>
              <m:rPr>
                <m:sty m:val="p"/>
              </m:rPr>
              <m:t>T</m:t>
            </m:r>
          </m:sub>
        </m:sSub>
      </m:oMath>
      <w:r>
        <w:rPr>
          <w:rFonts w:ascii="Times New Roman" w:hAnsi="Times New Roman" w:eastAsia="宋体" w:cs="Times New Roman" w:hint="eastAsia"/>
          <w:b w:val="0"/>
          <w:i w:val="0"/>
          <w:sz w:val="21"/>
        </w:rPr>
        <w:t xml:space="preserve"> 和 </w:t>
      </w:r>
      <m:oMath>
        <m:sSub>
          <m:e>
            <m:r>
              <m:t>C</m:t>
            </m:r>
          </m:e>
          <m:sub>
            <m:r>
              <m:rPr>
                <m:sty m:val="p"/>
              </m:rPr>
              <m:t>N</m:t>
            </m:r>
          </m:sub>
        </m:sSub>
      </m:oMath>
      <w:r>
        <w:rPr>
          <w:rFonts w:ascii="Times New Roman" w:hAnsi="Times New Roman" w:eastAsia="宋体" w:cs="Times New Roman" w:hint="eastAsia"/>
          <w:b w:val="0"/>
          <w:i w:val="0"/>
          <w:sz w:val="21"/>
        </w:rPr>
        <w:t>、</w:t>
      </w:r>
      <m:oMath>
        <m:sSub>
          <m:e>
            <m:r>
              <m:t>C</m:t>
            </m:r>
          </m:e>
          <m:sub>
            <m:r>
              <m:rPr>
                <m:sty m:val="p"/>
              </m:rPr>
              <m:t>T</m:t>
            </m:r>
          </m:sub>
        </m:sSub>
      </m:oMath>
      <w:r>
        <w:rPr>
          <w:rFonts w:ascii="Times New Roman" w:hAnsi="Times New Roman" w:eastAsia="宋体" w:cs="Times New Roman" w:hint="eastAsia"/>
          <w:b w:val="0"/>
          <w:i w:val="0"/>
          <w:sz w:val="21"/>
        </w:rPr>
        <w:t xml:space="preserve"> 分别为法向、切向弹簧及阻尼参数；</w:t>
      </w:r>
      <m:oMath>
        <m:r>
          <m:t>λ</m:t>
        </m:r>
      </m:oMath>
      <w:r>
        <w:rPr>
          <w:rFonts w:ascii="Times New Roman" w:hAnsi="Times New Roman" w:eastAsia="宋体" w:cs="Times New Roman" w:hint="eastAsia"/>
          <w:b w:val="0"/>
          <w:i w:val="0"/>
          <w:sz w:val="21"/>
        </w:rPr>
        <w:t>、</w:t>
      </w:r>
      <m:oMath>
        <m:r>
          <m:t>G</m:t>
        </m:r>
      </m:oMath>
      <w:r>
        <w:rPr>
          <w:rFonts w:ascii="Times New Roman" w:hAnsi="Times New Roman" w:eastAsia="宋体" w:cs="Times New Roman" w:hint="eastAsia"/>
          <w:b w:val="0"/>
          <w:i w:val="0"/>
          <w:sz w:val="21"/>
        </w:rPr>
        <w:t>、</w:t>
      </w:r>
      <m:oMath>
        <m:r>
          <m:t>ρ</m:t>
        </m:r>
      </m:oMath>
      <w:r>
        <w:rPr>
          <w:rFonts w:ascii="Times New Roman" w:hAnsi="Times New Roman" w:eastAsia="宋体" w:cs="Times New Roman" w:hint="eastAsia"/>
          <w:b w:val="0"/>
          <w:i w:val="0"/>
          <w:sz w:val="21"/>
        </w:rPr>
        <w:t>、</w:t>
      </w:r>
      <m:oMath>
        <m:sSub>
          <m:e>
            <m:r>
              <m:t>c</m:t>
            </m:r>
          </m:e>
          <m:sub>
            <m:r>
              <m:rPr>
                <m:sty m:val="p"/>
              </m:rPr>
              <m:t>p</m:t>
            </m:r>
          </m:sub>
        </m:sSub>
      </m:oMath>
      <w:r>
        <w:rPr>
          <w:rFonts w:ascii="Times New Roman" w:hAnsi="Times New Roman" w:eastAsia="宋体" w:cs="Times New Roman" w:hint="eastAsia"/>
          <w:b w:val="0"/>
          <w:i w:val="0"/>
          <w:sz w:val="21"/>
        </w:rPr>
        <w:t xml:space="preserve"> 和 </w:t>
      </w:r>
      <m:oMath>
        <m:sSub>
          <m:e>
            <m:r>
              <m:t>c</m:t>
            </m:r>
          </m:e>
          <m:sub>
            <m:r>
              <m:rPr>
                <m:sty m:val="p"/>
              </m:rPr>
              <m:t>s</m:t>
            </m:r>
          </m:sub>
        </m:sSub>
      </m:oMath>
      <w:r>
        <w:rPr>
          <w:rFonts w:ascii="Times New Roman" w:hAnsi="Times New Roman" w:eastAsia="宋体" w:cs="Times New Roman" w:hint="eastAsia"/>
          <w:b w:val="0"/>
          <w:i w:val="0"/>
          <w:sz w:val="21"/>
        </w:rPr>
        <w:t xml:space="preserve"> 按边界节点所在介质取值；</w:t>
      </w:r>
      <m:oMath>
        <m:r>
          <m:t>r</m:t>
        </m:r>
        <m:r>
          <m:rPr>
            <m:sty m:val="p"/>
          </m:rPr>
          <m:t>=</m:t>
        </m:r>
        <m:rad>
          <m:radPr>
            <m:degHide m:val="on"/>
          </m:radPr>
          <m:deg/>
          <m:e>
            <m:r>
              <m:rPr>
                <m:sty m:val="p"/>
              </m:rPr>
              <m:t>(</m:t>
            </m:r>
            <m:r>
              <m:t>L</m:t>
            </m:r>
            <m:r>
              <m:rPr>
                <m:sty m:val="p"/>
              </m:rPr>
              <m:t>/</m:t>
            </m:r>
            <m:r>
              <m:t>2</m:t>
            </m:r>
            <m:sSup>
              <m:e>
                <m:r>
                  <m:rPr>
                    <m:sty m:val="p"/>
                  </m:rPr>
                  <m:t>)</m:t>
                </m:r>
              </m:e>
              <m:sup>
                <m:r>
                  <m:t>2</m:t>
                </m:r>
              </m:sup>
            </m:sSup>
            <m:r>
              <m:rPr>
                <m:sty m:val="p"/>
              </m:rPr>
              <m:t>+</m:t>
            </m:r>
            <m:r>
              <m:rPr>
                <m:sty m:val="p"/>
              </m:rPr>
              <m:t>(</m:t>
            </m:r>
            <m:r>
              <m:t>H</m:t>
            </m:r>
            <m:r>
              <m:rPr>
                <m:sty m:val="p"/>
              </m:rPr>
              <m:t>/</m:t>
            </m:r>
            <m:r>
              <m:t>2</m:t>
            </m:r>
            <m:sSup>
              <m:e>
                <m:r>
                  <m:rPr>
                    <m:sty m:val="p"/>
                  </m:rPr>
                  <m:t>)</m:t>
                </m:r>
              </m:e>
              <m:sup>
                <m:r>
                  <m:t>2</m:t>
                </m:r>
              </m:sup>
            </m:sSup>
          </m:e>
        </m:rad>
      </m:oMath>
      <w:r>
        <w:rPr>
          <w:rFonts w:ascii="Times New Roman" w:hAnsi="Times New Roman" w:eastAsia="宋体" w:cs="Times New Roman" w:hint="eastAsia"/>
          <w:b w:val="0"/>
          <w:i w:val="0"/>
          <w:sz w:val="21"/>
        </w:rPr>
        <w:t xml:space="preserve"> 为计算域包络矩形的半对角线。本文取修正系数 </w:t>
      </w:r>
      <m:oMath>
        <m:r>
          <m:t>A</m:t>
        </m:r>
        <m:r>
          <m:rPr>
            <m:sty m:val="p"/>
          </m:rPr>
          <m:t>=</m:t>
        </m:r>
        <m:r>
          <m:t>0.8</m:t>
        </m:r>
      </m:oMath>
      <w:r>
        <w:rPr>
          <w:rFonts w:ascii="Times New Roman" w:hAnsi="Times New Roman" w:eastAsia="宋体" w:cs="Times New Roman" w:hint="eastAsia"/>
          <w:b w:val="0"/>
          <w:i w:val="0"/>
          <w:sz w:val="21"/>
        </w:rPr>
        <w:t>、</w:t>
      </w:r>
      <m:oMath>
        <m:r>
          <m:t>B</m:t>
        </m:r>
        <m:r>
          <m:rPr>
            <m:sty m:val="p"/>
          </m:rPr>
          <m:t>=</m:t>
        </m:r>
        <m:r>
          <m:t>1.1</m:t>
        </m:r>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仅设置吸收边界只能减小外行波在截断边界处的反射，不能引入原无限场地中的斜入射波。参考Bielak等</w:t>
      </w:r>
      <w:r>
        <w:rPr>
          <w:rFonts w:ascii="Times New Roman" w:hAnsi="Times New Roman" w:eastAsia="宋体" w:cs="Times New Roman" w:hint="eastAsia"/>
          <w:b w:val="0"/>
          <w:i w:val="0"/>
          <w:sz w:val="21"/>
          <w:vertAlign w:val="superscript"/>
        </w:rPr>
        <w:t>[33]</w:t>
      </w:r>
      <w:r>
        <w:rPr>
          <w:rFonts w:ascii="Times New Roman" w:hAnsi="Times New Roman" w:eastAsia="宋体" w:cs="Times New Roman" w:hint="eastAsia"/>
          <w:b w:val="0"/>
          <w:i w:val="0"/>
          <w:sz w:val="21"/>
        </w:rPr>
        <w:t>关于背景自由场与局部残余场的分解，将有限元总波场写为自由场与散射场之和：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u</m:t>
              </m:r>
              <m:r>
                <m:rPr>
                  <m:sty m:val="p"/>
                </m:rPr>
                <m:t>=</m:t>
              </m:r>
              <m:sSup>
                <m:e>
                  <m:r>
                    <m:rPr>
                      <m:sty m:val="bi"/>
                    </m:rPr>
                    <m:t>u</m:t>
                  </m:r>
                </m:e>
                <m:sup>
                  <m:r>
                    <m:rPr>
                      <m:sty m:val="p"/>
                    </m:rPr>
                    <m:t>f</m:t>
                  </m:r>
                </m:sup>
              </m:sSup>
              <m:r>
                <m:rPr>
                  <m:sty m:val="p"/>
                </m:rPr>
                <m:t>+</m:t>
              </m:r>
              <m:sSup>
                <m:e>
                  <m:r>
                    <m:rPr>
                      <m:sty m:val="bi"/>
                    </m:rPr>
                    <m:t>u</m:t>
                  </m:r>
                </m:e>
                <m:sup>
                  <m:r>
                    <m:rPr>
                      <m:sty m:val="p"/>
                    </m:rPr>
                    <m:t>s</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(3)</w:t>
            </w:r>
          </w:p>
        </w:tc>
      </w:tr>
    </w:tbl>
    <w:p>
      <w:pPr>
        <w:spacing w:before="0" w:after="0"/>
        <w:ind w:firstLine="420"/>
        <w:jc w:val="both"/>
      </w:pPr>
      <w:r>
        <w:rPr>
          <w:rFonts w:ascii="Times New Roman" w:hAnsi="Times New Roman" w:eastAsia="宋体" w:cs="Times New Roman" w:hint="eastAsia"/>
          <w:b w:val="0"/>
          <w:i w:val="0"/>
          <w:sz w:val="21"/>
        </w:rPr>
        <w:t>基于式（3），黏弹性边界用于吸收外行散射波，斜入射自由场则通过等效节点力引入有限元模型。本文参考张季等</w:t>
      </w:r>
      <w:r>
        <w:rPr>
          <w:rFonts w:ascii="Times New Roman" w:hAnsi="Times New Roman" w:eastAsia="宋体" w:cs="Times New Roman" w:hint="eastAsia"/>
          <w:b w:val="0"/>
          <w:i w:val="0"/>
          <w:sz w:val="21"/>
          <w:vertAlign w:val="superscript"/>
        </w:rPr>
        <w:t>[34]</w:t>
      </w:r>
      <w:r>
        <w:rPr>
          <w:rFonts w:ascii="Times New Roman" w:hAnsi="Times New Roman" w:eastAsia="宋体" w:cs="Times New Roman" w:hint="eastAsia"/>
          <w:b w:val="0"/>
          <w:i w:val="0"/>
          <w:sz w:val="21"/>
        </w:rPr>
        <w:t>采用的“频域求解成层自由场—生成边界等效节点力”总体流程：由输入时程获得位移谱，求解单位入射波的成层自由场，恢复各节点的实际自由场，最后组装节点力谱并逆变换至时域。</w:t>
      </w:r>
    </w:p>
    <w:p>
      <w:pPr>
        <w:spacing w:before="0" w:after="0"/>
        <w:ind w:firstLine="420"/>
        <w:jc w:val="both"/>
      </w:pPr>
      <w:r>
        <w:rPr>
          <w:rFonts w:ascii="Times New Roman" w:hAnsi="Times New Roman" w:eastAsia="宋体" w:cs="Times New Roman" w:hint="eastAsia"/>
          <w:b w:val="0"/>
          <w:i w:val="0"/>
          <w:sz w:val="21"/>
        </w:rPr>
        <w:t>首先对给定加速度时程作傅里叶变换，并换算为入射位移谱</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U</m:t>
                  </m:r>
                </m:e>
                <m:sub>
                  <m:r>
                    <m:t>0</m:t>
                  </m:r>
                </m:sub>
              </m:sSub>
              <m:r>
                <m:rPr>
                  <m:sty m:val="p"/>
                </m:rPr>
                <m:t>(</m:t>
              </m:r>
              <m:r>
                <m:t>ω</m:t>
              </m:r>
              <m:r>
                <m:rPr>
                  <m:sty m:val="p"/>
                </m:rPr>
                <m:t>)</m:t>
              </m:r>
              <m:r>
                <m:rPr>
                  <m:sty m:val="p"/>
                </m:rPr>
                <m:t>=</m:t>
              </m:r>
              <m:r>
                <m:rPr>
                  <m:sty m:val="p"/>
                </m:rPr>
                <m:t>−</m:t>
              </m:r>
              <m:f>
                <m:fPr>
                  <m:type m:val="bar"/>
                </m:fPr>
                <m:num>
                  <m:sSub>
                    <m:e>
                      <m:acc>
                        <m:accPr>
                          <m:chr m:val="̂"/>
                        </m:accPr>
                        <m:e>
                          <m:r>
                            <m:t>a</m:t>
                          </m:r>
                        </m:e>
                      </m:acc>
                    </m:e>
                    <m:sub>
                      <m:r>
                        <m:rPr>
                          <m:sty m:val="p"/>
                        </m:rPr>
                        <m:t>i</m:t>
                      </m:r>
                      <m:r>
                        <m:rPr>
                          <m:sty m:val="p"/>
                        </m:rPr>
                        <m:t>n</m:t>
                      </m:r>
                    </m:sub>
                  </m:sSub>
                  <m:r>
                    <m:rPr>
                      <m:sty m:val="p"/>
                    </m:rPr>
                    <m:t>(</m:t>
                  </m:r>
                  <m:r>
                    <m:t>ω</m:t>
                  </m:r>
                  <m:r>
                    <m:rPr>
                      <m:sty m:val="p"/>
                    </m:rPr>
                    <m:t>)</m:t>
                  </m:r>
                </m:num>
                <m:den>
                  <m:sSup>
                    <m:e>
                      <m:r>
                        <m:t>ω</m:t>
                      </m:r>
                    </m:e>
                    <m:sup>
                      <m:r>
                        <m:t>2</m:t>
                      </m:r>
                    </m:sup>
                  </m:sSup>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(4)</w:t>
            </w:r>
          </w:p>
        </w:tc>
      </w:tr>
    </w:tbl>
    <w:p>
      <w:pPr>
        <w:spacing w:before="0" w:after="0"/>
        <w:ind w:firstLine="420"/>
        <w:jc w:val="both"/>
      </w:pPr>
      <w:r>
        <w:rPr>
          <w:rFonts w:ascii="Times New Roman" w:hAnsi="Times New Roman" w:eastAsia="宋体" w:cs="Times New Roman" w:hint="eastAsia"/>
          <w:b w:val="0"/>
          <w:i w:val="0"/>
          <w:sz w:val="21"/>
        </w:rPr>
        <w:t xml:space="preserve">随后逐频求解单位入射波作用下的水平成层自由场。以下以单覆盖层—基岩半空间为例说明，多层情形可按相同的界面连续条件逐层组装。以c、b分别标识覆盖层和基岩，自由表面与覆盖层—基岩界面的高程分别为 </w:t>
      </w:r>
      <m:oMath>
        <m:sSub>
          <m:e>
            <m:r>
              <m:t>y</m:t>
            </m:r>
          </m:e>
          <m:sub>
            <m:r>
              <m:rPr>
                <m:sty m:val="p"/>
              </m:rPr>
              <m:t>s</m:t>
            </m:r>
          </m:sub>
        </m:sSub>
      </m:oMath>
      <w:r>
        <w:rPr>
          <w:rFonts w:ascii="Times New Roman" w:hAnsi="Times New Roman" w:eastAsia="宋体" w:cs="Times New Roman" w:hint="eastAsia"/>
          <w:b w:val="0"/>
          <w:i w:val="0"/>
          <w:sz w:val="21"/>
        </w:rPr>
        <w:t>、</w:t>
      </w:r>
      <m:oMath>
        <m:sSub>
          <m:e>
            <m:r>
              <m:t>y</m:t>
            </m:r>
          </m:e>
          <m:sub>
            <m:r>
              <m:rPr>
                <m:sty m:val="p"/>
              </m:rPr>
              <m:t>I</m:t>
            </m:r>
          </m:sub>
        </m:sSub>
      </m:oMath>
      <w:r>
        <w:rPr>
          <w:rFonts w:ascii="Times New Roman" w:hAnsi="Times New Roman" w:eastAsia="宋体" w:cs="Times New Roman" w:hint="eastAsia"/>
          <w:b w:val="0"/>
          <w:i w:val="0"/>
          <w:sz w:val="21"/>
        </w:rPr>
        <w:t xml:space="preserve">，两者高差为覆盖层厚度 </w:t>
      </w:r>
      <m:oMath>
        <m:r>
          <m:t>d</m:t>
        </m:r>
      </m:oMath>
      <w:r>
        <w:rPr>
          <w:rFonts w:ascii="Times New Roman" w:hAnsi="Times New Roman" w:eastAsia="宋体" w:cs="Times New Roman" w:hint="eastAsia"/>
          <w:b w:val="0"/>
          <w:i w:val="0"/>
          <w:sz w:val="21"/>
        </w:rPr>
        <w:t>。与张季等</w:t>
      </w:r>
      <w:r>
        <w:rPr>
          <w:rFonts w:ascii="Times New Roman" w:hAnsi="Times New Roman" w:eastAsia="宋体" w:cs="Times New Roman" w:hint="eastAsia"/>
          <w:b w:val="0"/>
          <w:i w:val="0"/>
          <w:sz w:val="21"/>
          <w:vertAlign w:val="superscript"/>
        </w:rPr>
        <w:t>[34]</w:t>
      </w:r>
      <w:r>
        <w:rPr>
          <w:rFonts w:ascii="Times New Roman" w:hAnsi="Times New Roman" w:eastAsia="宋体" w:cs="Times New Roman" w:hint="eastAsia"/>
          <w:b w:val="0"/>
          <w:i w:val="0"/>
          <w:sz w:val="21"/>
        </w:rPr>
        <w:t>以层间界面位移为未知量组装精确动力刚度矩阵不同，本文以覆盖层内上、下行P波和SV波及基岩反射波的复幅值为未知量，根据界面连续条件和自由表面条件组装全局复线性方程。</w:t>
      </w:r>
    </w:p>
    <w:p>
      <w:pPr>
        <w:spacing w:before="0" w:after="0"/>
        <w:ind w:firstLine="420"/>
        <w:jc w:val="both"/>
      </w:pPr>
      <w:r>
        <w:rPr>
          <w:rFonts w:ascii="Times New Roman" w:hAnsi="Times New Roman" w:eastAsia="宋体" w:cs="Times New Roman" w:hint="eastAsia"/>
          <w:b w:val="0"/>
          <w:i w:val="0"/>
          <w:sz w:val="21"/>
        </w:rPr>
        <w:t xml:space="preserve">为表示斜入射波的空间传播，将各P波和SV波分量的传播相位分别写为水平项和竖向项，并引入相应慢度。设基岩中上行SV波相对竖直方向的入射角为 </w:t>
      </w:r>
      <m:oMath>
        <m:sSub>
          <m:e>
            <m:r>
              <m:t>θ</m:t>
            </m:r>
          </m:e>
          <m:sub>
            <m:r>
              <m:rPr>
                <m:sty m:val="p"/>
              </m:rPr>
              <m:t>s</m:t>
            </m:r>
          </m:sub>
        </m:sSub>
      </m:oMath>
      <w:r>
        <w:rPr>
          <w:rFonts w:ascii="Times New Roman" w:hAnsi="Times New Roman" w:eastAsia="宋体" w:cs="Times New Roman" w:hint="eastAsia"/>
          <w:b w:val="0"/>
          <w:i w:val="0"/>
          <w:sz w:val="21"/>
        </w:rPr>
        <w:t>，由Snell定律，覆盖层与基岩中的波具有相同的水平慢度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sSub>
                    <m:e>
                      <m:r>
                        <m:t>θ</m:t>
                      </m:r>
                    </m:e>
                    <m:sub>
                      <m:r>
                        <m:rPr>
                          <m:sty m:val="p"/>
                        </m:rPr>
                        <m:t>s</m:t>
                      </m:r>
                    </m:sub>
                  </m:sSub>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(5)</w:t>
            </w:r>
          </w:p>
        </w:tc>
      </w:tr>
    </w:tbl>
    <w:p>
      <w:pPr>
        <w:spacing w:before="0" w:after="0"/>
        <w:ind w:firstLine="420"/>
        <w:jc w:val="both"/>
      </w:pPr>
      <w:r>
        <w:rPr>
          <w:rFonts w:ascii="Times New Roman" w:hAnsi="Times New Roman" w:eastAsia="宋体" w:cs="Times New Roman" w:hint="eastAsia"/>
          <w:b w:val="0"/>
          <w:i w:val="0"/>
          <w:sz w:val="21"/>
        </w:rPr>
        <w:t>覆盖层与基岩中P波和SV波的竖向慢度统一写为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q</m:t>
                  </m:r>
                </m:e>
                <m:sub>
                  <m:r>
                    <m:t>α</m:t>
                  </m:r>
                  <m:r>
                    <m:rPr>
                      <m:sty m:val="p"/>
                    </m:rPr>
                    <m:t>,</m:t>
                  </m:r>
                  <m:r>
                    <m:t>j</m:t>
                  </m:r>
                </m:sub>
              </m:sSub>
              <m:r>
                <m:rPr>
                  <m:sty m:val="p"/>
                </m:rPr>
                <m:t>=</m:t>
              </m:r>
              <m:rad>
                <m:radPr>
                  <m:degHide m:val="on"/>
                </m:radPr>
                <m:deg/>
                <m:e>
                  <m:f>
                    <m:fPr>
                      <m:type m:val="bar"/>
                    </m:fPr>
                    <m:num>
                      <m:r>
                        <m:t>1</m:t>
                      </m:r>
                    </m:num>
                    <m:den>
                      <m:sSubSup>
                        <m:e>
                          <m:r>
                            <m:t>V</m:t>
                          </m:r>
                        </m:e>
                        <m:sub>
                          <m:r>
                            <m:t>α</m:t>
                          </m:r>
                          <m:r>
                            <m:rPr>
                              <m:sty m:val="p"/>
                            </m:rPr>
                            <m:t>,</m:t>
                          </m:r>
                          <m:r>
                            <m:t>j</m:t>
                          </m:r>
                        </m:sub>
                        <m:sup>
                          <m:r>
                            <m:t>2</m:t>
                          </m:r>
                        </m:sup>
                      </m:sSubSup>
                    </m:den>
                  </m:f>
                  <m:r>
                    <m:rPr>
                      <m:sty m:val="p"/>
                    </m:rPr>
                    <m:t>−</m:t>
                  </m:r>
                  <m:sSup>
                    <m:e>
                      <m:r>
                        <m:t>p</m:t>
                      </m:r>
                    </m:e>
                    <m:sup>
                      <m:r>
                        <m:t>2</m:t>
                      </m:r>
                    </m:sup>
                  </m:sSup>
                </m:e>
              </m:ra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(6)</w:t>
            </w:r>
          </w:p>
        </w:tc>
      </w:tr>
    </w:tbl>
    <w:p>
      <w:pPr>
        <w:spacing w:before="0" w:after="0"/>
        <w:ind w:firstLine="420"/>
        <w:jc w:val="both"/>
      </w:pPr>
      <w:r>
        <w:rPr>
          <w:rFonts w:ascii="Times New Roman" w:hAnsi="Times New Roman" w:eastAsia="宋体" w:cs="Times New Roman" w:hint="eastAsia"/>
          <w:b w:val="0"/>
          <w:i w:val="0"/>
          <w:sz w:val="21"/>
        </w:rPr>
        <w:t>式中，</w:t>
      </w:r>
      <m:oMath>
        <m:r>
          <m:t>α</m:t>
        </m:r>
        <m:r>
          <m:rPr>
            <m:sty m:val="p"/>
          </m:rPr>
          <m:t>∈</m:t>
        </m:r>
        <m:r>
          <m:rPr>
            <m:sty m:val="p"/>
          </m:rPr>
          <m:t>{</m:t>
        </m:r>
        <m:r>
          <m:rPr>
            <m:sty m:val="p"/>
          </m:rPr>
          <m:t>p</m:t>
        </m:r>
        <m:r>
          <m:rPr>
            <m:sty m:val="p"/>
          </m:rPr>
          <m:t>,</m:t>
        </m:r>
        <m:r>
          <m:rPr>
            <m:sty m:val="p"/>
          </m:rPr>
          <m:t>s</m:t>
        </m:r>
        <m:r>
          <m:rPr>
            <m:sty m:val="p"/>
          </m:rPr>
          <m:t>}</m:t>
        </m:r>
      </m:oMath>
      <w:r>
        <w:rPr>
          <w:rFonts w:ascii="Times New Roman" w:hAnsi="Times New Roman" w:eastAsia="宋体" w:cs="Times New Roman" w:hint="eastAsia"/>
          <w:b w:val="0"/>
          <w:i w:val="0"/>
          <w:sz w:val="21"/>
        </w:rPr>
        <w:t xml:space="preserve"> 区分P波与SV波，</w:t>
      </w:r>
      <m:oMath>
        <m:r>
          <m:t>j</m:t>
        </m:r>
        <m:r>
          <m:rPr>
            <m:sty m:val="p"/>
          </m:rPr>
          <m:t>∈</m:t>
        </m:r>
        <m:r>
          <m:rPr>
            <m:sty m:val="p"/>
          </m:rPr>
          <m:t>{</m:t>
        </m:r>
        <m:r>
          <m:rPr>
            <m:sty m:val="p"/>
          </m:rPr>
          <m:t>c</m:t>
        </m:r>
        <m:r>
          <m:rPr>
            <m:sty m:val="p"/>
          </m:rPr>
          <m:t>,</m:t>
        </m:r>
        <m:r>
          <m:rPr>
            <m:sty m:val="p"/>
          </m:rPr>
          <m:t>b</m:t>
        </m:r>
        <m:r>
          <m:rPr>
            <m:sty m:val="p"/>
          </m:rPr>
          <m:t>}</m:t>
        </m:r>
      </m:oMath>
      <w:r>
        <w:rPr>
          <w:rFonts w:ascii="Times New Roman" w:hAnsi="Times New Roman" w:eastAsia="宋体" w:cs="Times New Roman" w:hint="eastAsia"/>
          <w:b w:val="0"/>
          <w:i w:val="0"/>
          <w:sz w:val="21"/>
        </w:rPr>
        <w:t xml:space="preserve"> 仅区分覆盖层与基岩。取 </w:t>
      </w:r>
      <m:oMath>
        <m:r>
          <m:t>y</m:t>
        </m:r>
      </m:oMath>
      <w:r>
        <w:rPr>
          <w:rFonts w:ascii="Times New Roman" w:hAnsi="Times New Roman" w:eastAsia="宋体" w:cs="Times New Roman" w:hint="eastAsia"/>
          <w:b w:val="0"/>
          <w:i w:val="0"/>
          <w:sz w:val="21"/>
        </w:rPr>
        <w:t xml:space="preserve"> 轴竖直向上，采用时间因子 </w:t>
      </w:r>
      <m:oMath>
        <m:r>
          <m:rPr>
            <m:sty m:val="p"/>
          </m:rPr>
          <m:t>exp</m:t>
        </m:r>
        <m:r>
          <m:rPr>
            <m:sty m:val="p"/>
          </m:rPr>
          <m:t>(</m:t>
        </m:r>
        <m:r>
          <m:rPr>
            <m:sty m:val="p"/>
          </m:rPr>
          <m:t>i</m:t>
        </m:r>
        <m:r>
          <m:t>ω</m:t>
        </m:r>
        <m:r>
          <m:t>t</m:t>
        </m:r>
        <m:r>
          <m:rPr>
            <m:sty m:val="p"/>
          </m:rPr>
          <m:t>)</m:t>
        </m:r>
      </m:oMath>
      <w:r>
        <w:rPr>
          <w:rFonts w:ascii="Times New Roman" w:hAnsi="Times New Roman" w:eastAsia="宋体" w:cs="Times New Roman" w:hint="eastAsia"/>
          <w:b w:val="0"/>
          <w:i w:val="0"/>
          <w:sz w:val="21"/>
        </w:rPr>
        <w:t>，以覆盖层—基岩界面为竖向相位参考位置，各波分量的空间传播因子为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p"/>
                    </m:rPr>
                    <m:t>Φ</m:t>
                  </m:r>
                </m:e>
                <m:sub>
                  <m:r>
                    <m:t>α</m:t>
                  </m:r>
                  <m:r>
                    <m:rPr>
                      <m:sty m:val="p"/>
                    </m:rPr>
                    <m:t>,</m:t>
                  </m:r>
                  <m:r>
                    <m:t>j</m:t>
                  </m:r>
                </m:sub>
                <m:sup>
                  <m:r>
                    <m:rPr>
                      <m:sty m:val="p"/>
                    </m:rPr>
                    <m:t>±</m:t>
                  </m:r>
                </m:sup>
              </m:sSubSup>
              <m:r>
                <m:rPr>
                  <m:sty m:val="p"/>
                </m:rPr>
                <m:t>(</m:t>
              </m:r>
              <m:r>
                <m:t>x</m:t>
              </m:r>
              <m:r>
                <m:rPr>
                  <m:sty m:val="p"/>
                </m:rPr>
                <m:t>,</m:t>
              </m:r>
              <m:r>
                <m:t>y</m:t>
              </m:r>
              <m:r>
                <m:rPr>
                  <m:sty m:val="p"/>
                </m:rPr>
                <m:t>,</m:t>
              </m:r>
              <m:r>
                <m:t>ω</m:t>
              </m:r>
              <m:r>
                <m:rPr>
                  <m:sty m:val="p"/>
                </m:rPr>
                <m:t>)</m:t>
              </m:r>
              <m:r>
                <m:rPr>
                  <m:sty m:val="p"/>
                </m:rPr>
                <m:t>=</m:t>
              </m:r>
              <m:r>
                <m:rPr>
                  <m:sty m:val="p"/>
                </m:rPr>
                <m:t>exp</m:t>
              </m:r>
              <m:r>
                <m:t>​</m:t>
              </m:r>
              <m:d>
                <m:dPr>
                  <m:begChr m:val="["/>
                  <m:sepChr m:val=""/>
                  <m:endChr m:val="]"/>
                  <m:grow/>
                </m:dPr>
                <m:e>
                  <m:r>
                    <m:rPr>
                      <m:sty m:val="p"/>
                    </m:rPr>
                    <m:t>−</m:t>
                  </m:r>
                  <m:r>
                    <m:rPr>
                      <m:sty m:val="p"/>
                    </m:rPr>
                    <m:t>i</m:t>
                  </m:r>
                  <m:r>
                    <m:t>ω</m:t>
                  </m:r>
                  <m:r>
                    <m:t>p</m:t>
                  </m:r>
                  <m:r>
                    <m:rPr>
                      <m:sty m:val="p"/>
                    </m:rPr>
                    <m:t>(</m:t>
                  </m:r>
                  <m:r>
                    <m:t>x</m:t>
                  </m:r>
                  <m:r>
                    <m:rPr>
                      <m:sty m:val="p"/>
                    </m:rPr>
                    <m:t>−</m:t>
                  </m:r>
                  <m:sSub>
                    <m:e>
                      <m:r>
                        <m:t>x</m:t>
                      </m:r>
                    </m:e>
                    <m:sub>
                      <m:r>
                        <m:rPr>
                          <m:sty m:val="p"/>
                        </m:rPr>
                        <m:t>r</m:t>
                      </m:r>
                      <m:r>
                        <m:rPr>
                          <m:sty m:val="p"/>
                        </m:rPr>
                        <m:t>e</m:t>
                      </m:r>
                      <m:r>
                        <m:rPr>
                          <m:sty m:val="p"/>
                        </m:rPr>
                        <m:t>f</m:t>
                      </m:r>
                    </m:sub>
                  </m:sSub>
                  <m:r>
                    <m:rPr>
                      <m:sty m:val="p"/>
                    </m:rPr>
                    <m:t>)</m:t>
                  </m:r>
                </m:e>
              </m:d>
              <m:r>
                <m:rPr>
                  <m:sty m:val="p"/>
                </m:rPr>
                <m:t>exp</m:t>
              </m:r>
              <m:r>
                <m:t>​</m:t>
              </m:r>
              <m:d>
                <m:dPr>
                  <m:begChr m:val="["/>
                  <m:sepChr m:val=""/>
                  <m:endChr m:val="]"/>
                  <m:grow/>
                </m:dPr>
                <m:e>
                  <m:r>
                    <m:rPr>
                      <m:sty m:val="p"/>
                    </m:rPr>
                    <m:t>∓</m:t>
                  </m:r>
                  <m:r>
                    <m:rPr>
                      <m:sty m:val="p"/>
                    </m:rPr>
                    <m:t>i</m:t>
                  </m:r>
                  <m:r>
                    <m:t>ω</m:t>
                  </m:r>
                  <m:sSub>
                    <m:e>
                      <m:r>
                        <m:t>q</m:t>
                      </m:r>
                    </m:e>
                    <m:sub>
                      <m:r>
                        <m:t>α</m:t>
                      </m:r>
                      <m:r>
                        <m:rPr>
                          <m:sty m:val="p"/>
                        </m:rPr>
                        <m:t>,</m:t>
                      </m:r>
                      <m:r>
                        <m:t>j</m:t>
                      </m:r>
                    </m:sub>
                  </m:sSub>
                  <m:r>
                    <m:rPr>
                      <m:sty m:val="p"/>
                    </m:rPr>
                    <m:t>(</m:t>
                  </m:r>
                  <m:r>
                    <m:t>y</m:t>
                  </m:r>
                  <m:r>
                    <m:rPr>
                      <m:sty m:val="p"/>
                    </m:rPr>
                    <m:t>−</m:t>
                  </m:r>
                  <m:sSub>
                    <m:e>
                      <m:r>
                        <m:t>y</m:t>
                      </m:r>
                    </m:e>
                    <m:sub>
                      <m:r>
                        <m:rPr>
                          <m:sty m:val="p"/>
                        </m:rPr>
                        <m:t>I</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(7)</w:t>
            </w:r>
          </w:p>
        </w:tc>
      </w:tr>
    </w:tbl>
    <w:p>
      <w:pPr>
        <w:spacing w:before="0" w:after="0"/>
        <w:ind w:firstLine="420"/>
        <w:jc w:val="both"/>
      </w:pPr>
      <w:r>
        <w:rPr>
          <w:rFonts w:ascii="Times New Roman" w:hAnsi="Times New Roman" w:eastAsia="宋体" w:cs="Times New Roman" w:hint="eastAsia"/>
          <w:b w:val="0"/>
          <w:i w:val="0"/>
          <w:sz w:val="21"/>
        </w:rPr>
        <w:t>式中，</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为水平相位参考位置，上标 </w:t>
      </w:r>
      <m:oMath>
        <m:r>
          <m:rPr>
            <m:sty m:val="p"/>
          </m:rPr>
          <m:t>+</m:t>
        </m:r>
      </m:oMath>
      <w:r>
        <w:rPr>
          <w:rFonts w:ascii="Times New Roman" w:hAnsi="Times New Roman" w:eastAsia="宋体" w:cs="Times New Roman" w:hint="eastAsia"/>
          <w:b w:val="0"/>
          <w:i w:val="0"/>
          <w:sz w:val="21"/>
        </w:rPr>
        <w:t>、</w:t>
      </w:r>
      <m:oMath>
        <m:r>
          <m:rPr>
            <m:sty m:val="p"/>
          </m:rPr>
          <m:t>−</m:t>
        </m:r>
      </m:oMath>
      <w:r>
        <w:rPr>
          <w:rFonts w:ascii="Times New Roman" w:hAnsi="Times New Roman" w:eastAsia="宋体" w:cs="Times New Roman" w:hint="eastAsia"/>
          <w:b w:val="0"/>
          <w:i w:val="0"/>
          <w:sz w:val="21"/>
        </w:rPr>
        <w:t xml:space="preserve"> 分别标记上、下行波。第一项表示水平传播相位，第二项表示竖向传播；超过临界角时，竖向慢度取满足衰减条件的复数分支。结合式（7）、各波复幅值及偏振关系构造位移表达式，再由应变—位移关系和本构关系求得应力。本文自由场求解不计材料阻尼。</w:t>
      </w:r>
    </w:p>
    <w:p>
      <w:pPr>
        <w:spacing w:before="0" w:after="0"/>
        <w:ind w:firstLine="420"/>
        <w:jc w:val="both"/>
      </w:pPr>
      <w:r>
        <w:rPr>
          <w:rFonts w:ascii="Times New Roman" w:hAnsi="Times New Roman" w:eastAsia="宋体" w:cs="Times New Roman" w:hint="eastAsia"/>
          <w:b w:val="0"/>
          <w:i w:val="0"/>
          <w:sz w:val="21"/>
        </w:rPr>
        <w:t xml:space="preserve">覆盖层中保留上、下行P波和SV波4个未知复幅值；基岩中给定单位上行SV波，另有下行反射P波和SV波2个未知复幅值，共6个未知量。以 </w:t>
      </w:r>
      <m:oMath>
        <m:sSub>
          <m:e>
            <m:r>
              <m:t>U</m:t>
            </m:r>
          </m:e>
          <m:sub>
            <m:r>
              <m:t>x</m:t>
            </m:r>
          </m:sub>
        </m:sSub>
      </m:oMath>
      <w:r>
        <w:rPr>
          <w:rFonts w:ascii="Times New Roman" w:hAnsi="Times New Roman" w:eastAsia="宋体" w:cs="Times New Roman" w:hint="eastAsia"/>
          <w:b w:val="0"/>
          <w:i w:val="0"/>
          <w:sz w:val="21"/>
        </w:rPr>
        <w:t>、</w:t>
      </w:r>
      <m:oMath>
        <m:sSub>
          <m:e>
            <m:r>
              <m:t>U</m:t>
            </m:r>
          </m:e>
          <m:sub>
            <m:r>
              <m:t>y</m:t>
            </m:r>
          </m:sub>
        </m:sSub>
      </m:oMath>
      <w:r>
        <w:rPr>
          <w:rFonts w:ascii="Times New Roman" w:hAnsi="Times New Roman" w:eastAsia="宋体" w:cs="Times New Roman" w:hint="eastAsia"/>
          <w:b w:val="0"/>
          <w:i w:val="0"/>
          <w:sz w:val="21"/>
        </w:rPr>
        <w:t>、</w:t>
      </w:r>
      <m:oMath>
        <m:sSub>
          <m:e>
            <m:r>
              <m:rPr>
                <m:sty m:val="p"/>
              </m:rPr>
              <m:t>Σ</m:t>
            </m:r>
          </m:e>
          <m:sub>
            <m:r>
              <m:t>y</m:t>
            </m:r>
            <m:r>
              <m:t>y</m:t>
            </m:r>
          </m:sub>
        </m:sSub>
      </m:oMath>
      <w:r>
        <w:rPr>
          <w:rFonts w:ascii="Times New Roman" w:hAnsi="Times New Roman" w:eastAsia="宋体" w:cs="Times New Roman" w:hint="eastAsia"/>
          <w:b w:val="0"/>
          <w:i w:val="0"/>
          <w:sz w:val="21"/>
        </w:rPr>
        <w:t xml:space="preserve"> 和 </w:t>
      </w:r>
      <m:oMath>
        <m:sSub>
          <m:e>
            <m:r>
              <m:rPr>
                <m:sty m:val="p"/>
              </m:rPr>
              <m:t>Σ</m:t>
            </m:r>
          </m:e>
          <m:sub>
            <m:r>
              <m:t>x</m:t>
            </m:r>
            <m:r>
              <m:t>y</m:t>
            </m:r>
          </m:sub>
        </m:sSub>
      </m:oMath>
      <w:r>
        <w:rPr>
          <w:rFonts w:ascii="Times New Roman" w:hAnsi="Times New Roman" w:eastAsia="宋体" w:cs="Times New Roman" w:hint="eastAsia"/>
          <w:b w:val="0"/>
          <w:i w:val="0"/>
          <w:sz w:val="21"/>
        </w:rPr>
        <w:t xml:space="preserve"> 表示频率 </w:t>
      </w:r>
      <m:oMath>
        <m:r>
          <m:t>ω</m:t>
        </m:r>
      </m:oMath>
      <w:r>
        <w:rPr>
          <w:rFonts w:ascii="Times New Roman" w:hAnsi="Times New Roman" w:eastAsia="宋体" w:cs="Times New Roman" w:hint="eastAsia"/>
          <w:b w:val="0"/>
          <w:i w:val="0"/>
          <w:sz w:val="21"/>
        </w:rPr>
        <w:t xml:space="preserve"> 下的位移和应力复幅值，上标c、b分别表示界面两侧的覆盖层与基岩。覆盖层—基岩界面 </w:t>
      </w:r>
      <m:oMath>
        <m:r>
          <m:t>y</m:t>
        </m:r>
        <m:r>
          <m:rPr>
            <m:sty m:val="p"/>
          </m:rPr>
          <m:t>=</m:t>
        </m:r>
        <m:sSub>
          <m:e>
            <m:r>
              <m:t>y</m:t>
            </m:r>
          </m:e>
          <m:sub>
            <m:r>
              <m:rPr>
                <m:sty m:val="p"/>
              </m:rPr>
              <m:t>I</m:t>
            </m:r>
          </m:sub>
        </m:sSub>
      </m:oMath>
      <w:r>
        <w:rPr>
          <w:rFonts w:ascii="Times New Roman" w:hAnsi="Times New Roman" w:eastAsia="宋体" w:cs="Times New Roman" w:hint="eastAsia"/>
          <w:b w:val="0"/>
          <w:i w:val="0"/>
          <w:sz w:val="21"/>
        </w:rPr>
        <w:t xml:space="preserve"> 处的完全黏结条件为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t>U</m:t>
                  </m:r>
                </m:e>
                <m:sub>
                  <m:r>
                    <m:t>x</m:t>
                  </m:r>
                </m:sub>
                <m:sup>
                  <m:r>
                    <m:rPr>
                      <m:sty m:val="p"/>
                    </m:rPr>
                    <m:t>c</m:t>
                  </m:r>
                </m:sup>
              </m:sSubSup>
              <m:r>
                <m:rPr>
                  <m:sty m:val="p"/>
                </m:rPr>
                <m:t>(</m:t>
              </m:r>
              <m:r>
                <m:t>x</m:t>
              </m:r>
              <m:r>
                <m:rPr>
                  <m:sty m:val="p"/>
                </m:rPr>
                <m:t>,</m:t>
              </m:r>
              <m:sSub>
                <m:e>
                  <m:r>
                    <m:t>y</m:t>
                  </m:r>
                </m:e>
                <m:sub>
                  <m:r>
                    <m:rPr>
                      <m:sty m:val="p"/>
                    </m:rPr>
                    <m:t>I</m:t>
                  </m:r>
                </m:sub>
              </m:sSub>
              <m:r>
                <m:rPr>
                  <m:sty m:val="p"/>
                </m:rPr>
                <m:t>,</m:t>
              </m:r>
              <m:r>
                <m:t>ω</m:t>
              </m:r>
              <m:r>
                <m:rPr>
                  <m:sty m:val="p"/>
                </m:rPr>
                <m:t>)</m:t>
              </m:r>
              <m:r>
                <m:rPr>
                  <m:sty m:val="p"/>
                </m:rPr>
                <m:t>=</m:t>
              </m:r>
              <m:sSubSup>
                <m:e>
                  <m:r>
                    <m:t>U</m:t>
                  </m:r>
                </m:e>
                <m:sub>
                  <m:r>
                    <m:t>x</m:t>
                  </m:r>
                </m:sub>
                <m:sup>
                  <m:r>
                    <m:rPr>
                      <m:sty m:val="p"/>
                    </m:rPr>
                    <m:t>b</m:t>
                  </m:r>
                </m:sup>
              </m:sSubSup>
              <m:r>
                <m:rPr>
                  <m:sty m:val="p"/>
                </m:rPr>
                <m:t>(</m:t>
              </m:r>
              <m:r>
                <m:t>x</m:t>
              </m:r>
              <m:r>
                <m:rPr>
                  <m:sty m:val="p"/>
                </m:rPr>
                <m:t>,</m:t>
              </m:r>
              <m:sSub>
                <m:e>
                  <m:r>
                    <m:t>y</m:t>
                  </m:r>
                </m:e>
                <m:sub>
                  <m:r>
                    <m:rPr>
                      <m:sty m:val="p"/>
                    </m:rPr>
                    <m:t>I</m:t>
                  </m:r>
                </m:sub>
              </m:sSub>
              <m:r>
                <m:rPr>
                  <m:sty m:val="p"/>
                </m:rPr>
                <m:t>,</m:t>
              </m:r>
              <m:r>
                <m:t>ω</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(8)</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t>U</m:t>
                  </m:r>
                </m:e>
                <m:sub>
                  <m:r>
                    <m:t>y</m:t>
                  </m:r>
                </m:sub>
                <m:sup>
                  <m:r>
                    <m:rPr>
                      <m:sty m:val="p"/>
                    </m:rPr>
                    <m:t>c</m:t>
                  </m:r>
                </m:sup>
              </m:sSubSup>
              <m:r>
                <m:rPr>
                  <m:sty m:val="p"/>
                </m:rPr>
                <m:t>(</m:t>
              </m:r>
              <m:r>
                <m:t>x</m:t>
              </m:r>
              <m:r>
                <m:rPr>
                  <m:sty m:val="p"/>
                </m:rPr>
                <m:t>,</m:t>
              </m:r>
              <m:sSub>
                <m:e>
                  <m:r>
                    <m:t>y</m:t>
                  </m:r>
                </m:e>
                <m:sub>
                  <m:r>
                    <m:rPr>
                      <m:sty m:val="p"/>
                    </m:rPr>
                    <m:t>I</m:t>
                  </m:r>
                </m:sub>
              </m:sSub>
              <m:r>
                <m:rPr>
                  <m:sty m:val="p"/>
                </m:rPr>
                <m:t>,</m:t>
              </m:r>
              <m:r>
                <m:t>ω</m:t>
              </m:r>
              <m:r>
                <m:rPr>
                  <m:sty m:val="p"/>
                </m:rPr>
                <m:t>)</m:t>
              </m:r>
              <m:r>
                <m:rPr>
                  <m:sty m:val="p"/>
                </m:rPr>
                <m:t>=</m:t>
              </m:r>
              <m:sSubSup>
                <m:e>
                  <m:r>
                    <m:t>U</m:t>
                  </m:r>
                </m:e>
                <m:sub>
                  <m:r>
                    <m:t>y</m:t>
                  </m:r>
                </m:sub>
                <m:sup>
                  <m:r>
                    <m:rPr>
                      <m:sty m:val="p"/>
                    </m:rPr>
                    <m:t>b</m:t>
                  </m:r>
                </m:sup>
              </m:sSubSup>
              <m:r>
                <m:rPr>
                  <m:sty m:val="p"/>
                </m:rPr>
                <m:t>(</m:t>
              </m:r>
              <m:r>
                <m:t>x</m:t>
              </m:r>
              <m:r>
                <m:rPr>
                  <m:sty m:val="p"/>
                </m:rPr>
                <m:t>,</m:t>
              </m:r>
              <m:sSub>
                <m:e>
                  <m:r>
                    <m:t>y</m:t>
                  </m:r>
                </m:e>
                <m:sub>
                  <m:r>
                    <m:rPr>
                      <m:sty m:val="p"/>
                    </m:rPr>
                    <m:t>I</m:t>
                  </m:r>
                </m:sub>
              </m:sSub>
              <m:r>
                <m:rPr>
                  <m:sty m:val="p"/>
                </m:rPr>
                <m:t>,</m:t>
              </m:r>
              <m:r>
                <m:t>ω</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(9)</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p"/>
                    </m:rPr>
                    <m:t>Σ</m:t>
                  </m:r>
                </m:e>
                <m:sub>
                  <m:r>
                    <m:t>y</m:t>
                  </m:r>
                  <m:r>
                    <m:t>y</m:t>
                  </m:r>
                </m:sub>
                <m:sup>
                  <m:r>
                    <m:rPr>
                      <m:sty m:val="p"/>
                    </m:rPr>
                    <m:t>c</m:t>
                  </m:r>
                </m:sup>
              </m:sSubSup>
              <m:r>
                <m:rPr>
                  <m:sty m:val="p"/>
                </m:rPr>
                <m:t>(</m:t>
              </m:r>
              <m:r>
                <m:t>x</m:t>
              </m:r>
              <m:r>
                <m:rPr>
                  <m:sty m:val="p"/>
                </m:rPr>
                <m:t>,</m:t>
              </m:r>
              <m:sSub>
                <m:e>
                  <m:r>
                    <m:t>y</m:t>
                  </m:r>
                </m:e>
                <m:sub>
                  <m:r>
                    <m:rPr>
                      <m:sty m:val="p"/>
                    </m:rPr>
                    <m:t>I</m:t>
                  </m:r>
                </m:sub>
              </m:sSub>
              <m:r>
                <m:rPr>
                  <m:sty m:val="p"/>
                </m:rPr>
                <m:t>,</m:t>
              </m:r>
              <m:r>
                <m:t>ω</m:t>
              </m:r>
              <m:r>
                <m:rPr>
                  <m:sty m:val="p"/>
                </m:rPr>
                <m:t>)</m:t>
              </m:r>
              <m:r>
                <m:rPr>
                  <m:sty m:val="p"/>
                </m:rPr>
                <m:t>=</m:t>
              </m:r>
              <m:sSubSup>
                <m:e>
                  <m:r>
                    <m:rPr>
                      <m:sty m:val="p"/>
                    </m:rPr>
                    <m:t>Σ</m:t>
                  </m:r>
                </m:e>
                <m:sub>
                  <m:r>
                    <m:t>y</m:t>
                  </m:r>
                  <m:r>
                    <m:t>y</m:t>
                  </m:r>
                </m:sub>
                <m:sup>
                  <m:r>
                    <m:rPr>
                      <m:sty m:val="p"/>
                    </m:rPr>
                    <m:t>b</m:t>
                  </m:r>
                </m:sup>
              </m:sSubSup>
              <m:r>
                <m:rPr>
                  <m:sty m:val="p"/>
                </m:rPr>
                <m:t>(</m:t>
              </m:r>
              <m:r>
                <m:t>x</m:t>
              </m:r>
              <m:r>
                <m:rPr>
                  <m:sty m:val="p"/>
                </m:rPr>
                <m:t>,</m:t>
              </m:r>
              <m:sSub>
                <m:e>
                  <m:r>
                    <m:t>y</m:t>
                  </m:r>
                </m:e>
                <m:sub>
                  <m:r>
                    <m:rPr>
                      <m:sty m:val="p"/>
                    </m:rPr>
                    <m:t>I</m:t>
                  </m:r>
                </m:sub>
              </m:sSub>
              <m:r>
                <m:rPr>
                  <m:sty m:val="p"/>
                </m:rPr>
                <m:t>,</m:t>
              </m:r>
              <m:r>
                <m:t>ω</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(10)</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p"/>
                    </m:rPr>
                    <m:t>Σ</m:t>
                  </m:r>
                </m:e>
                <m:sub>
                  <m:r>
                    <m:t>x</m:t>
                  </m:r>
                  <m:r>
                    <m:t>y</m:t>
                  </m:r>
                </m:sub>
                <m:sup>
                  <m:r>
                    <m:rPr>
                      <m:sty m:val="p"/>
                    </m:rPr>
                    <m:t>c</m:t>
                  </m:r>
                </m:sup>
              </m:sSubSup>
              <m:r>
                <m:rPr>
                  <m:sty m:val="p"/>
                </m:rPr>
                <m:t>(</m:t>
              </m:r>
              <m:r>
                <m:t>x</m:t>
              </m:r>
              <m:r>
                <m:rPr>
                  <m:sty m:val="p"/>
                </m:rPr>
                <m:t>,</m:t>
              </m:r>
              <m:sSub>
                <m:e>
                  <m:r>
                    <m:t>y</m:t>
                  </m:r>
                </m:e>
                <m:sub>
                  <m:r>
                    <m:rPr>
                      <m:sty m:val="p"/>
                    </m:rPr>
                    <m:t>I</m:t>
                  </m:r>
                </m:sub>
              </m:sSub>
              <m:r>
                <m:rPr>
                  <m:sty m:val="p"/>
                </m:rPr>
                <m:t>,</m:t>
              </m:r>
              <m:r>
                <m:t>ω</m:t>
              </m:r>
              <m:r>
                <m:rPr>
                  <m:sty m:val="p"/>
                </m:rPr>
                <m:t>)</m:t>
              </m:r>
              <m:r>
                <m:rPr>
                  <m:sty m:val="p"/>
                </m:rPr>
                <m:t>=</m:t>
              </m:r>
              <m:sSubSup>
                <m:e>
                  <m:r>
                    <m:rPr>
                      <m:sty m:val="p"/>
                    </m:rPr>
                    <m:t>Σ</m:t>
                  </m:r>
                </m:e>
                <m:sub>
                  <m:r>
                    <m:t>x</m:t>
                  </m:r>
                  <m:r>
                    <m:t>y</m:t>
                  </m:r>
                </m:sub>
                <m:sup>
                  <m:r>
                    <m:rPr>
                      <m:sty m:val="p"/>
                    </m:rPr>
                    <m:t>b</m:t>
                  </m:r>
                </m:sup>
              </m:sSubSup>
              <m:r>
                <m:rPr>
                  <m:sty m:val="p"/>
                </m:rPr>
                <m:t>(</m:t>
              </m:r>
              <m:r>
                <m:t>x</m:t>
              </m:r>
              <m:r>
                <m:rPr>
                  <m:sty m:val="p"/>
                </m:rPr>
                <m:t>,</m:t>
              </m:r>
              <m:sSub>
                <m:e>
                  <m:r>
                    <m:t>y</m:t>
                  </m:r>
                </m:e>
                <m:sub>
                  <m:r>
                    <m:rPr>
                      <m:sty m:val="p"/>
                    </m:rPr>
                    <m:t>I</m:t>
                  </m:r>
                </m:sub>
              </m:sSub>
              <m:r>
                <m:rPr>
                  <m:sty m:val="p"/>
                </m:rPr>
                <m:t>,</m:t>
              </m:r>
              <m:r>
                <m:t>ω</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(11)</w:t>
            </w:r>
          </w:p>
        </w:tc>
      </w:tr>
    </w:tbl>
    <w:p>
      <w:pPr>
        <w:spacing w:before="0" w:after="0"/>
        <w:ind w:firstLine="420"/>
        <w:jc w:val="both"/>
      </w:pPr>
      <w:r>
        <w:rPr>
          <w:rFonts w:ascii="Times New Roman" w:hAnsi="Times New Roman" w:eastAsia="宋体" w:cs="Times New Roman" w:hint="eastAsia"/>
          <w:b w:val="0"/>
          <w:i w:val="0"/>
          <w:sz w:val="21"/>
        </w:rPr>
        <w:t xml:space="preserve">式（8）和式（9）为水平、竖向位移协调条件，式（10）和式（11）为法向、切向牵引平衡条件，该界面共提供4个方程。覆盖层自由表面 </w:t>
      </w:r>
      <m:oMath>
        <m:r>
          <m:t>y</m:t>
        </m:r>
        <m:r>
          <m:rPr>
            <m:sty m:val="p"/>
          </m:rPr>
          <m:t>=</m:t>
        </m:r>
        <m:sSub>
          <m:e>
            <m:r>
              <m:t>y</m:t>
            </m:r>
          </m:e>
          <m:sub>
            <m:r>
              <m:rPr>
                <m:sty m:val="p"/>
              </m:rPr>
              <m:t>s</m:t>
            </m:r>
          </m:sub>
        </m:sSub>
      </m:oMath>
      <w:r>
        <w:rPr>
          <w:rFonts w:ascii="Times New Roman" w:hAnsi="Times New Roman" w:eastAsia="宋体" w:cs="Times New Roman" w:hint="eastAsia"/>
          <w:b w:val="0"/>
          <w:i w:val="0"/>
          <w:sz w:val="21"/>
        </w:rPr>
        <w:t xml:space="preserve"> 再提供2个零牵引条件：</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p"/>
                    </m:rPr>
                    <m:t>Σ</m:t>
                  </m:r>
                </m:e>
                <m:sub>
                  <m:r>
                    <m:t>y</m:t>
                  </m:r>
                  <m:r>
                    <m:t>y</m:t>
                  </m:r>
                </m:sub>
                <m:sup>
                  <m:r>
                    <m:rPr>
                      <m:sty m:val="p"/>
                    </m:rPr>
                    <m:t>c</m:t>
                  </m:r>
                </m:sup>
              </m:sSubSup>
              <m:r>
                <m:rPr>
                  <m:sty m:val="p"/>
                </m:rPr>
                <m:t>(</m:t>
              </m:r>
              <m:r>
                <m:t>x</m:t>
              </m:r>
              <m:r>
                <m:rPr>
                  <m:sty m:val="p"/>
                </m:rPr>
                <m:t>,</m:t>
              </m:r>
              <m:sSub>
                <m:e>
                  <m:r>
                    <m:t>y</m:t>
                  </m:r>
                </m:e>
                <m:sub>
                  <m:r>
                    <m:rPr>
                      <m:sty m:val="p"/>
                    </m:rPr>
                    <m:t>s</m:t>
                  </m:r>
                </m:sub>
              </m:sSub>
              <m:r>
                <m:rPr>
                  <m:sty m:val="p"/>
                </m:rPr>
                <m:t>,</m:t>
              </m:r>
              <m:r>
                <m:t>ω</m:t>
              </m:r>
              <m:r>
                <m:rPr>
                  <m:sty m:val="p"/>
                </m:rPr>
                <m:t>)</m:t>
              </m:r>
              <m:r>
                <m:rPr>
                  <m:sty m:val="p"/>
                </m:rPr>
                <m:t>=</m:t>
              </m:r>
              <m:r>
                <m:t>0</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(12)</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p"/>
                    </m:rPr>
                    <m:t>Σ</m:t>
                  </m:r>
                </m:e>
                <m:sub>
                  <m:r>
                    <m:t>x</m:t>
                  </m:r>
                  <m:r>
                    <m:t>y</m:t>
                  </m:r>
                </m:sub>
                <m:sup>
                  <m:r>
                    <m:rPr>
                      <m:sty m:val="p"/>
                    </m:rPr>
                    <m:t>c</m:t>
                  </m:r>
                </m:sup>
              </m:sSubSup>
              <m:r>
                <m:rPr>
                  <m:sty m:val="p"/>
                </m:rPr>
                <m:t>(</m:t>
              </m:r>
              <m:r>
                <m:t>x</m:t>
              </m:r>
              <m:r>
                <m:rPr>
                  <m:sty m:val="p"/>
                </m:rPr>
                <m:t>,</m:t>
              </m:r>
              <m:sSub>
                <m:e>
                  <m:r>
                    <m:t>y</m:t>
                  </m:r>
                </m:e>
                <m:sub>
                  <m:r>
                    <m:rPr>
                      <m:sty m:val="p"/>
                    </m:rPr>
                    <m:t>s</m:t>
                  </m:r>
                </m:sub>
              </m:sSub>
              <m:r>
                <m:rPr>
                  <m:sty m:val="p"/>
                </m:rPr>
                <m:t>,</m:t>
              </m:r>
              <m:r>
                <m:t>ω</m:t>
              </m:r>
              <m:r>
                <m:rPr>
                  <m:sty m:val="p"/>
                </m:rPr>
                <m:t>)</m:t>
              </m:r>
              <m:r>
                <m:rPr>
                  <m:sty m:val="p"/>
                </m:rPr>
                <m:t>=</m:t>
              </m:r>
              <m:r>
                <m:t>0</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将位移和应力表达式代入式（8）—（13），约去各波共有的水平传播因子，竖向传播项及慢度参数保留在方程系数中。4个界面条件与2个自由表面条件对应6个未知波幅，逐频组装为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limLow>
                <m:e>
                  <m:r>
                    <m:rPr>
                      <m:sty m:val="bi"/>
                    </m:rPr>
                    <m:t>A</m:t>
                  </m:r>
                  <m:r>
                    <m:rPr>
                      <m:sty m:val="p"/>
                    </m:rPr>
                    <m:t>(</m:t>
                  </m:r>
                  <m:r>
                    <m:t>ω</m:t>
                  </m:r>
                  <m:r>
                    <m:rPr>
                      <m:sty m:val="p"/>
                    </m:rPr>
                    <m:t>)</m:t>
                  </m:r>
                </m:e>
                <m:lim>
                  <m:r>
                    <m:t>6</m:t>
                  </m:r>
                  <m:r>
                    <m:rPr>
                      <m:sty m:val="p"/>
                    </m:rPr>
                    <m:t>×</m:t>
                  </m:r>
                  <m:r>
                    <m:t>6</m:t>
                  </m:r>
                </m:lim>
              </m:limLow>
              <m:r>
                <m:t> </m:t>
              </m:r>
              <m:limLow>
                <m:e>
                  <m:r>
                    <m:rPr>
                      <m:sty m:val="bi"/>
                    </m:rPr>
                    <m:t>a</m:t>
                  </m:r>
                  <m:r>
                    <m:rPr>
                      <m:sty m:val="p"/>
                    </m:rPr>
                    <m:t>(</m:t>
                  </m:r>
                  <m:r>
                    <m:t>ω</m:t>
                  </m:r>
                  <m:r>
                    <m:rPr>
                      <m:sty m:val="p"/>
                    </m:rPr>
                    <m:t>)</m:t>
                  </m:r>
                </m:e>
                <m:lim>
                  <m:r>
                    <m:t>6</m:t>
                  </m:r>
                  <m:r>
                    <m:rPr>
                      <m:sty m:val="p"/>
                    </m:rPr>
                    <m:t>×</m:t>
                  </m:r>
                  <m:r>
                    <m:t>1</m:t>
                  </m:r>
                </m:lim>
              </m:limLow>
              <m:r>
                <m:rPr>
                  <m:sty m:val="p"/>
                </m:rPr>
                <m:t>=</m:t>
              </m:r>
              <m:limLow>
                <m:e>
                  <m:r>
                    <m:rPr>
                      <m:sty m:val="bi"/>
                    </m:rPr>
                    <m:t>b</m:t>
                  </m:r>
                  <m:r>
                    <m:rPr>
                      <m:sty m:val="p"/>
                    </m:rPr>
                    <m:t>(</m:t>
                  </m:r>
                  <m:r>
                    <m:t>ω</m:t>
                  </m:r>
                  <m:r>
                    <m:rPr>
                      <m:sty m:val="p"/>
                    </m:rPr>
                    <m:t>)</m:t>
                  </m:r>
                </m:e>
                <m:lim>
                  <m:r>
                    <m:t>6</m:t>
                  </m:r>
                  <m:r>
                    <m:rPr>
                      <m:sty m:val="p"/>
                    </m:rPr>
                    <m:t>×</m:t>
                  </m:r>
                  <m:r>
                    <m:t>1</m:t>
                  </m:r>
                </m:lim>
              </m:limLow>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p>
      <w:pPr>
        <w:spacing w:before="0" w:after="0"/>
        <w:ind w:firstLine="420"/>
        <w:jc w:val="both"/>
      </w:pPr>
      <w:r>
        <w:rPr>
          <w:rFonts w:ascii="Times New Roman" w:hAnsi="Times New Roman" w:eastAsia="宋体" w:cs="Times New Roman" w:hint="eastAsia"/>
          <w:b w:val="0"/>
          <w:i w:val="0"/>
          <w:sz w:val="21"/>
        </w:rPr>
        <w:t>式中，</w:t>
      </w:r>
      <m:oMath>
        <m:r>
          <m:rPr>
            <m:sty m:val="bi"/>
          </m:rPr>
          <m:t>A</m:t>
        </m:r>
        <m:r>
          <m:rPr>
            <m:sty m:val="p"/>
          </m:rPr>
          <m:t>(</m:t>
        </m:r>
        <m:r>
          <m:t>ω</m:t>
        </m:r>
        <m:r>
          <m:rPr>
            <m:sty m:val="p"/>
          </m:rPr>
          <m:t>)</m:t>
        </m:r>
      </m:oMath>
      <w:r>
        <w:rPr>
          <w:rFonts w:ascii="Times New Roman" w:hAnsi="Times New Roman" w:eastAsia="宋体" w:cs="Times New Roman" w:hint="eastAsia"/>
          <w:b w:val="0"/>
          <w:i w:val="0"/>
          <w:sz w:val="21"/>
        </w:rPr>
        <w:t xml:space="preserve"> 由覆盖层与基岩的材料参数、覆盖层厚度 </w:t>
      </w:r>
      <m:oMath>
        <m:r>
          <m:t>d</m:t>
        </m:r>
      </m:oMath>
      <w:r>
        <w:rPr>
          <w:rFonts w:ascii="Times New Roman" w:hAnsi="Times New Roman" w:eastAsia="宋体" w:cs="Times New Roman" w:hint="eastAsia"/>
          <w:b w:val="0"/>
          <w:i w:val="0"/>
          <w:sz w:val="21"/>
        </w:rPr>
        <w:t>、频率及入射角对应的慢度确定，</w:t>
      </w:r>
      <m:oMath>
        <m:r>
          <m:rPr>
            <m:sty m:val="bi"/>
          </m:rPr>
          <m:t>a</m:t>
        </m:r>
        <m:r>
          <m:rPr>
            <m:sty m:val="p"/>
          </m:rPr>
          <m:t>(</m:t>
        </m:r>
        <m:r>
          <m:t>ω</m:t>
        </m:r>
        <m:r>
          <m:rPr>
            <m:sty m:val="p"/>
          </m:rPr>
          <m:t>)</m:t>
        </m:r>
      </m:oMath>
      <w:r>
        <w:rPr>
          <w:rFonts w:ascii="Times New Roman" w:hAnsi="Times New Roman" w:eastAsia="宋体" w:cs="Times New Roman" w:hint="eastAsia"/>
          <w:b w:val="0"/>
          <w:i w:val="0"/>
          <w:sz w:val="21"/>
        </w:rPr>
        <w:t xml:space="preserve"> 为上述6个未知波幅构成的向量。单位上行SV波幅值已规定为1，不列入未知向量；其在覆盖层—基岩界面产生的已知位移和应力移至方程右端，构成 </w:t>
      </w:r>
      <m:oMath>
        <m:r>
          <m:rPr>
            <m:sty m:val="bi"/>
          </m:rPr>
          <m:t>b</m:t>
        </m:r>
        <m:r>
          <m:rPr>
            <m:sty m:val="p"/>
          </m:rPr>
          <m:t>(</m:t>
        </m:r>
        <m:r>
          <m:t>ω</m:t>
        </m:r>
        <m:r>
          <m:rPr>
            <m:sty m:val="p"/>
          </m:rPr>
          <m:t>)</m:t>
        </m:r>
      </m:oMath>
      <w:r>
        <w:rPr>
          <w:rFonts w:ascii="Times New Roman" w:hAnsi="Times New Roman" w:eastAsia="宋体" w:cs="Times New Roman" w:hint="eastAsia"/>
          <w:b w:val="0"/>
          <w:i w:val="0"/>
          <w:sz w:val="21"/>
        </w:rPr>
        <w:t xml:space="preserve">。求解式（14）后，可在水平相位参考位置 </w:t>
      </w:r>
      <m:oMath>
        <m:r>
          <m:t>x</m:t>
        </m:r>
        <m:r>
          <m:rPr>
            <m:sty m:val="p"/>
          </m:rPr>
          <m:t>=</m:t>
        </m:r>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计算任意深度处的单位自由场位移与应力。该形式无需先求界面位移再恢复层内响应，便于直接计算不同深度的边界节点力，并可显式反映P-SV波的反射、透射及波型转换。</w:t>
      </w:r>
    </w:p>
    <w:p>
      <w:pPr>
        <w:spacing w:before="0" w:after="0"/>
        <w:ind w:firstLine="420"/>
        <w:jc w:val="both"/>
      </w:pPr>
      <w:r>
        <w:rPr>
          <w:rFonts w:ascii="Times New Roman" w:hAnsi="Times New Roman" w:eastAsia="宋体" w:cs="Times New Roman" w:hint="eastAsia"/>
          <w:b w:val="0"/>
          <w:i w:val="0"/>
          <w:sz w:val="21"/>
        </w:rPr>
        <w:t xml:space="preserve">对于坐标为 </w:t>
      </w:r>
      <m:oMath>
        <m:r>
          <m:rPr>
            <m:sty m:val="p"/>
          </m:rPr>
          <m:t>(</m:t>
        </m:r>
        <m:sSub>
          <m:e>
            <m:r>
              <m:t>x</m:t>
            </m:r>
          </m:e>
          <m:sub>
            <m:r>
              <m:t>l</m:t>
            </m:r>
          </m:sub>
        </m:sSub>
        <m:r>
          <m:rPr>
            <m:sty m:val="p"/>
          </m:rPr>
          <m:t>,</m:t>
        </m:r>
        <m:sSub>
          <m:e>
            <m:r>
              <m:t>y</m:t>
            </m:r>
          </m:e>
          <m:sub>
            <m:r>
              <m:t>l</m:t>
            </m:r>
          </m:sub>
        </m:sSub>
        <m:r>
          <m:rPr>
            <m:sty m:val="p"/>
          </m:rPr>
          <m:t>)</m:t>
        </m:r>
      </m:oMath>
      <w:r>
        <w:rPr>
          <w:rFonts w:ascii="Times New Roman" w:hAnsi="Times New Roman" w:eastAsia="宋体" w:cs="Times New Roman" w:hint="eastAsia"/>
          <w:b w:val="0"/>
          <w:i w:val="0"/>
          <w:sz w:val="21"/>
        </w:rPr>
        <w:t xml:space="preserve"> 的人工边界节点 </w:t>
      </w:r>
      <m:oMath>
        <m:r>
          <m:t>l</m:t>
        </m:r>
      </m:oMath>
      <w:r>
        <w:rPr>
          <w:rFonts w:ascii="Times New Roman" w:hAnsi="Times New Roman" w:eastAsia="宋体" w:cs="Times New Roman" w:hint="eastAsia"/>
          <w:b w:val="0"/>
          <w:i w:val="0"/>
          <w:sz w:val="21"/>
        </w:rPr>
        <w:t xml:space="preserve">，先在其所属介质中计算深度 </w:t>
      </w:r>
      <m:oMath>
        <m:sSub>
          <m:e>
            <m:r>
              <m:t>y</m:t>
            </m:r>
          </m:e>
          <m:sub>
            <m:r>
              <m:t>l</m:t>
            </m:r>
          </m:sub>
        </m:sSub>
      </m:oMath>
      <w:r>
        <w:rPr>
          <w:rFonts w:ascii="Times New Roman" w:hAnsi="Times New Roman" w:eastAsia="宋体" w:cs="Times New Roman" w:hint="eastAsia"/>
          <w:b w:val="0"/>
          <w:i w:val="0"/>
          <w:sz w:val="21"/>
        </w:rPr>
        <w:t xml:space="preserve"> 处的单位自由场响应，再乘以实际入射位移谱 </w:t>
      </w:r>
      <m:oMath>
        <m:sSub>
          <m:e>
            <m:r>
              <m:t>U</m:t>
            </m:r>
          </m:e>
          <m:sub>
            <m:r>
              <m:t>0</m:t>
            </m:r>
          </m:sub>
        </m:sSub>
        <m:r>
          <m:rPr>
            <m:sty m:val="p"/>
          </m:rPr>
          <m:t>(</m:t>
        </m:r>
        <m:r>
          <m:t>ω</m:t>
        </m:r>
        <m:r>
          <m:rPr>
            <m:sty m:val="p"/>
          </m:rPr>
          <m:t>)</m:t>
        </m:r>
      </m:oMath>
      <w:r>
        <w:rPr>
          <w:rFonts w:ascii="Times New Roman" w:hAnsi="Times New Roman" w:eastAsia="宋体" w:cs="Times New Roman" w:hint="eastAsia"/>
          <w:b w:val="0"/>
          <w:i w:val="0"/>
          <w:sz w:val="21"/>
        </w:rPr>
        <w:t xml:space="preserve"> 并恢复式（7）的水平传播相位。节点的水平、竖向位移谱为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Sup>
                          <m:e>
                            <m:acc>
                              <m:accPr>
                                <m:chr m:val="̂"/>
                              </m:accPr>
                              <m:e>
                                <m:r>
                                  <m:t>u</m:t>
                                </m:r>
                              </m:e>
                            </m:acc>
                          </m:e>
                          <m:sub>
                            <m:r>
                              <m:t>x</m:t>
                            </m:r>
                            <m:r>
                              <m:rPr>
                                <m:sty m:val="p"/>
                              </m:rPr>
                              <m:t>,</m:t>
                            </m:r>
                            <m:r>
                              <m:t>l</m:t>
                            </m:r>
                          </m:sub>
                          <m:sup>
                            <m:r>
                              <m:rPr>
                                <m:sty m:val="p"/>
                              </m:rPr>
                              <m:t>f</m:t>
                            </m:r>
                          </m:sup>
                        </m:sSubSup>
                        <m:r>
                          <m:rPr>
                            <m:sty m:val="p"/>
                          </m:rPr>
                          <m:t>(</m:t>
                        </m:r>
                        <m:r>
                          <m:t>ω</m:t>
                        </m:r>
                        <m:r>
                          <m:rPr>
                            <m:sty m:val="p"/>
                          </m:rPr>
                          <m:t>)</m:t>
                        </m:r>
                      </m:e>
                    </m:mr>
                    <m:mr>
                      <m:e>
                        <m:sSubSup>
                          <m:e>
                            <m:acc>
                              <m:accPr>
                                <m:chr m:val="̂"/>
                              </m:accPr>
                              <m:e>
                                <m:r>
                                  <m:t>u</m:t>
                                </m:r>
                              </m:e>
                            </m:acc>
                          </m:e>
                          <m:sub>
                            <m:r>
                              <m:t>y</m:t>
                            </m:r>
                            <m:r>
                              <m:rPr>
                                <m:sty m:val="p"/>
                              </m:rPr>
                              <m:t>,</m:t>
                            </m:r>
                            <m:r>
                              <m:t>l</m:t>
                            </m:r>
                          </m:sub>
                          <m:sup>
                            <m:r>
                              <m:rPr>
                                <m:sty m:val="p"/>
                              </m:rPr>
                              <m:t>f</m:t>
                            </m:r>
                          </m:sup>
                        </m:sSubSup>
                        <m:r>
                          <m:rPr>
                            <m:sty m:val="p"/>
                          </m:rPr>
                          <m:t>(</m:t>
                        </m:r>
                        <m:r>
                          <m:t>ω</m:t>
                        </m:r>
                        <m:r>
                          <m:rPr>
                            <m:sty m:val="p"/>
                          </m:rPr>
                          <m:t>)</m:t>
                        </m:r>
                      </m:e>
                    </m:mr>
                  </m:m>
                </m:e>
              </m:d>
              <m:r>
                <m:rPr>
                  <m:sty m:val="p"/>
                </m:rPr>
                <m:t>=</m:t>
              </m:r>
              <m:sSub>
                <m:e>
                  <m:r>
                    <m:t>U</m:t>
                  </m:r>
                </m:e>
                <m:sub>
                  <m:r>
                    <m:t>0</m:t>
                  </m:r>
                </m:sub>
              </m:sSub>
              <m:r>
                <m:rPr>
                  <m:sty m:val="p"/>
                </m:rPr>
                <m:t>(</m:t>
              </m:r>
              <m:r>
                <m:t>ω</m:t>
              </m:r>
              <m:r>
                <m:rPr>
                  <m:sty m:val="p"/>
                </m:rPr>
                <m:t>)</m:t>
              </m:r>
              <m:r>
                <m:rPr>
                  <m:sty m:val="p"/>
                </m:rPr>
                <m:t>exp</m:t>
              </m:r>
              <m:r>
                <m:t>​</m:t>
              </m:r>
              <m:d>
                <m:dPr>
                  <m:begChr m:val="["/>
                  <m:sepChr m:val=""/>
                  <m:endChr m:val="]"/>
                  <m:grow/>
                </m:dPr>
                <m:e>
                  <m:r>
                    <m:rPr>
                      <m:sty m:val="p"/>
                    </m:rPr>
                    <m:t>−</m:t>
                  </m:r>
                  <m:r>
                    <m:rPr>
                      <m:sty m:val="p"/>
                    </m:rPr>
                    <m:t>i</m:t>
                  </m:r>
                  <m:r>
                    <m:t>ω</m:t>
                  </m:r>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e>
              </m:d>
              <m:d>
                <m:dPr>
                  <m:begChr m:val="["/>
                  <m:sepChr m:val=""/>
                  <m:endChr m:val="]"/>
                  <m:grow/>
                </m:dPr>
                <m:e>
                  <m:m>
                    <m:mPr>
                      <m:baseJc m:val="center"/>
                      <m:plcHide m:val="on"/>
                      <m:mcs>
                        <m:mc>
                          <m:mcPr>
                            <m:mcJc m:val="center"/>
                            <m:count m:val="1"/>
                          </m:mcPr>
                        </m:mc>
                      </m:mcs>
                    </m:mPr>
                    <m:mr>
                      <m:e>
                        <m:sSubSup>
                          <m:e>
                            <m:r>
                              <m:t>U</m:t>
                            </m:r>
                          </m:e>
                          <m:sub>
                            <m:r>
                              <m:t>x</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mr>
                    <m:mr>
                      <m:e>
                        <m:sSubSup>
                          <m:e>
                            <m:r>
                              <m:t>U</m:t>
                            </m:r>
                          </m:e>
                          <m:sub>
                            <m:r>
                              <m:t>y</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p>
      <w:pPr>
        <w:spacing w:before="0" w:after="0"/>
        <w:ind w:firstLine="420"/>
        <w:jc w:val="both"/>
      </w:pPr>
      <w:r>
        <w:rPr>
          <w:rFonts w:ascii="Times New Roman" w:hAnsi="Times New Roman" w:eastAsia="宋体" w:cs="Times New Roman" w:hint="eastAsia"/>
          <w:b w:val="0"/>
          <w:i w:val="0"/>
          <w:sz w:val="21"/>
        </w:rPr>
        <w:t>根据时间微分的傅里叶变换关系，节点速度谱为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Sup>
                          <m:e>
                            <m:acc>
                              <m:accPr>
                                <m:chr m:val="̂"/>
                              </m:accPr>
                              <m:e>
                                <m:acc>
                                  <m:accPr>
                                    <m:chr m:val="̇"/>
                                  </m:accPr>
                                  <m:e>
                                    <m:r>
                                      <m:t>u</m:t>
                                    </m:r>
                                  </m:e>
                                </m:acc>
                              </m:e>
                            </m:acc>
                          </m:e>
                          <m:sub>
                            <m:r>
                              <m:t>x</m:t>
                            </m:r>
                            <m:r>
                              <m:rPr>
                                <m:sty m:val="p"/>
                              </m:rPr>
                              <m:t>,</m:t>
                            </m:r>
                            <m:r>
                              <m:t>l</m:t>
                            </m:r>
                          </m:sub>
                          <m:sup>
                            <m:r>
                              <m:rPr>
                                <m:sty m:val="p"/>
                              </m:rPr>
                              <m:t>f</m:t>
                            </m:r>
                          </m:sup>
                        </m:sSubSup>
                        <m:r>
                          <m:rPr>
                            <m:sty m:val="p"/>
                          </m:rPr>
                          <m:t>(</m:t>
                        </m:r>
                        <m:r>
                          <m:t>ω</m:t>
                        </m:r>
                        <m:r>
                          <m:rPr>
                            <m:sty m:val="p"/>
                          </m:rPr>
                          <m:t>)</m:t>
                        </m:r>
                      </m:e>
                    </m:mr>
                    <m:mr>
                      <m:e>
                        <m:sSubSup>
                          <m:e>
                            <m:acc>
                              <m:accPr>
                                <m:chr m:val="̂"/>
                              </m:accPr>
                              <m:e>
                                <m:acc>
                                  <m:accPr>
                                    <m:chr m:val="̇"/>
                                  </m:accPr>
                                  <m:e>
                                    <m:r>
                                      <m:t>u</m:t>
                                    </m:r>
                                  </m:e>
                                </m:acc>
                              </m:e>
                            </m:acc>
                          </m:e>
                          <m:sub>
                            <m:r>
                              <m:t>y</m:t>
                            </m:r>
                            <m:r>
                              <m:rPr>
                                <m:sty m:val="p"/>
                              </m:rPr>
                              <m:t>,</m:t>
                            </m:r>
                            <m:r>
                              <m:t>l</m:t>
                            </m:r>
                          </m:sub>
                          <m:sup>
                            <m:r>
                              <m:rPr>
                                <m:sty m:val="p"/>
                              </m:rPr>
                              <m:t>f</m:t>
                            </m:r>
                          </m:sup>
                        </m:sSubSup>
                        <m:r>
                          <m:rPr>
                            <m:sty m:val="p"/>
                          </m:rPr>
                          <m:t>(</m:t>
                        </m:r>
                        <m:r>
                          <m:t>ω</m:t>
                        </m:r>
                        <m:r>
                          <m:rPr>
                            <m:sty m:val="p"/>
                          </m:rPr>
                          <m:t>)</m:t>
                        </m:r>
                      </m:e>
                    </m:mr>
                  </m:m>
                </m:e>
              </m:d>
              <m:r>
                <m:rPr>
                  <m:sty m:val="p"/>
                </m:rPr>
                <m:t>=</m:t>
              </m:r>
              <m:r>
                <m:rPr>
                  <m:sty m:val="p"/>
                </m:rPr>
                <m:t>i</m:t>
              </m:r>
              <m:r>
                <m:t>ω</m:t>
              </m:r>
              <m:d>
                <m:dPr>
                  <m:begChr m:val="["/>
                  <m:sepChr m:val=""/>
                  <m:endChr m:val="]"/>
                  <m:grow/>
                </m:dPr>
                <m:e>
                  <m:m>
                    <m:mPr>
                      <m:baseJc m:val="center"/>
                      <m:plcHide m:val="on"/>
                      <m:mcs>
                        <m:mc>
                          <m:mcPr>
                            <m:mcJc m:val="center"/>
                            <m:count m:val="1"/>
                          </m:mcPr>
                        </m:mc>
                      </m:mcs>
                    </m:mPr>
                    <m:mr>
                      <m:e>
                        <m:sSubSup>
                          <m:e>
                            <m:acc>
                              <m:accPr>
                                <m:chr m:val="̂"/>
                              </m:accPr>
                              <m:e>
                                <m:r>
                                  <m:t>u</m:t>
                                </m:r>
                              </m:e>
                            </m:acc>
                          </m:e>
                          <m:sub>
                            <m:r>
                              <m:t>x</m:t>
                            </m:r>
                            <m:r>
                              <m:rPr>
                                <m:sty m:val="p"/>
                              </m:rPr>
                              <m:t>,</m:t>
                            </m:r>
                            <m:r>
                              <m:t>l</m:t>
                            </m:r>
                          </m:sub>
                          <m:sup>
                            <m:r>
                              <m:rPr>
                                <m:sty m:val="p"/>
                              </m:rPr>
                              <m:t>f</m:t>
                            </m:r>
                          </m:sup>
                        </m:sSubSup>
                        <m:r>
                          <m:rPr>
                            <m:sty m:val="p"/>
                          </m:rPr>
                          <m:t>(</m:t>
                        </m:r>
                        <m:r>
                          <m:t>ω</m:t>
                        </m:r>
                        <m:r>
                          <m:rPr>
                            <m:sty m:val="p"/>
                          </m:rPr>
                          <m:t>)</m:t>
                        </m:r>
                      </m:e>
                    </m:mr>
                    <m:mr>
                      <m:e>
                        <m:sSubSup>
                          <m:e>
                            <m:acc>
                              <m:accPr>
                                <m:chr m:val="̂"/>
                              </m:accPr>
                              <m:e>
                                <m:r>
                                  <m:t>u</m:t>
                                </m:r>
                              </m:e>
                            </m:acc>
                          </m:e>
                          <m:sub>
                            <m:r>
                              <m:t>y</m:t>
                            </m:r>
                            <m:r>
                              <m:rPr>
                                <m:sty m:val="p"/>
                              </m:rPr>
                              <m:t>,</m:t>
                            </m:r>
                            <m:r>
                              <m:t>l</m:t>
                            </m:r>
                          </m:sub>
                          <m:sup>
                            <m:r>
                              <m:rPr>
                                <m:sty m:val="p"/>
                              </m:rPr>
                              <m:t>f</m:t>
                            </m:r>
                          </m:sup>
                        </m:sSubSup>
                        <m:r>
                          <m:rPr>
                            <m:sty m:val="p"/>
                          </m:rPr>
                          <m:t>(</m:t>
                        </m:r>
                        <m:r>
                          <m:t>ω</m:t>
                        </m:r>
                        <m:r>
                          <m:rPr>
                            <m:sty m:val="p"/>
                          </m:rPr>
                          <m:t>)</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w:r>
        <w:rPr>
          <w:rFonts w:ascii="Times New Roman" w:hAnsi="Times New Roman" w:eastAsia="宋体" w:cs="Times New Roman" w:hint="eastAsia"/>
          <w:b w:val="0"/>
          <w:i w:val="0"/>
          <w:sz w:val="21"/>
        </w:rPr>
        <w:t>节点的自由场应力张量为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
                          <m:mcPr>
                            <m:mcJc m:val="center"/>
                            <m:count m:val="1"/>
                          </m:mcPr>
                        </m:mc>
                      </m:mcs>
                    </m:mPr>
                    <m:mr>
                      <m:e>
                        <m:sSubSup>
                          <m:e>
                            <m:acc>
                              <m:accPr>
                                <m:chr m:val="̂"/>
                              </m:accPr>
                              <m:e>
                                <m:r>
                                  <m:t>σ</m:t>
                                </m:r>
                              </m:e>
                            </m:acc>
                          </m:e>
                          <m:sub>
                            <m:r>
                              <m:t>x</m:t>
                            </m:r>
                            <m:r>
                              <m:t>x</m:t>
                            </m:r>
                            <m:r>
                              <m:rPr>
                                <m:sty m:val="p"/>
                              </m:rPr>
                              <m:t>,</m:t>
                            </m:r>
                            <m:r>
                              <m:t>l</m:t>
                            </m:r>
                          </m:sub>
                          <m:sup>
                            <m:r>
                              <m:rPr>
                                <m:sty m:val="p"/>
                              </m:rPr>
                              <m:t>f</m:t>
                            </m:r>
                          </m:sup>
                        </m:sSubSup>
                        <m:r>
                          <m:rPr>
                            <m:sty m:val="p"/>
                          </m:rPr>
                          <m:t>(</m:t>
                        </m:r>
                        <m:r>
                          <m:t>ω</m:t>
                        </m:r>
                        <m:r>
                          <m:rPr>
                            <m:sty m:val="p"/>
                          </m:rPr>
                          <m:t>)</m:t>
                        </m:r>
                      </m:e>
                      <m:e>
                        <m:sSubSup>
                          <m:e>
                            <m:acc>
                              <m:accPr>
                                <m:chr m:val="̂"/>
                              </m:accPr>
                              <m:e>
                                <m:r>
                                  <m:t>σ</m:t>
                                </m:r>
                              </m:e>
                            </m:acc>
                          </m:e>
                          <m:sub>
                            <m:r>
                              <m:t>x</m:t>
                            </m:r>
                            <m:r>
                              <m:t>y</m:t>
                            </m:r>
                            <m:r>
                              <m:rPr>
                                <m:sty m:val="p"/>
                              </m:rPr>
                              <m:t>,</m:t>
                            </m:r>
                            <m:r>
                              <m:t>l</m:t>
                            </m:r>
                          </m:sub>
                          <m:sup>
                            <m:r>
                              <m:rPr>
                                <m:sty m:val="p"/>
                              </m:rPr>
                              <m:t>f</m:t>
                            </m:r>
                          </m:sup>
                        </m:sSubSup>
                        <m:r>
                          <m:rPr>
                            <m:sty m:val="p"/>
                          </m:rPr>
                          <m:t>(</m:t>
                        </m:r>
                        <m:r>
                          <m:t>ω</m:t>
                        </m:r>
                        <m:r>
                          <m:rPr>
                            <m:sty m:val="p"/>
                          </m:rPr>
                          <m:t>)</m:t>
                        </m:r>
                      </m:e>
                    </m:mr>
                    <m:mr>
                      <m:e>
                        <m:sSubSup>
                          <m:e>
                            <m:acc>
                              <m:accPr>
                                <m:chr m:val="̂"/>
                              </m:accPr>
                              <m:e>
                                <m:r>
                                  <m:t>σ</m:t>
                                </m:r>
                              </m:e>
                            </m:acc>
                          </m:e>
                          <m:sub>
                            <m:r>
                              <m:t>x</m:t>
                            </m:r>
                            <m:r>
                              <m:t>y</m:t>
                            </m:r>
                            <m:r>
                              <m:rPr>
                                <m:sty m:val="p"/>
                              </m:rPr>
                              <m:t>,</m:t>
                            </m:r>
                            <m:r>
                              <m:t>l</m:t>
                            </m:r>
                          </m:sub>
                          <m:sup>
                            <m:r>
                              <m:rPr>
                                <m:sty m:val="p"/>
                              </m:rPr>
                              <m:t>f</m:t>
                            </m:r>
                          </m:sup>
                        </m:sSubSup>
                        <m:r>
                          <m:rPr>
                            <m:sty m:val="p"/>
                          </m:rPr>
                          <m:t>(</m:t>
                        </m:r>
                        <m:r>
                          <m:t>ω</m:t>
                        </m:r>
                        <m:r>
                          <m:rPr>
                            <m:sty m:val="p"/>
                          </m:rPr>
                          <m:t>)</m:t>
                        </m:r>
                      </m:e>
                      <m:e>
                        <m:sSubSup>
                          <m:e>
                            <m:acc>
                              <m:accPr>
                                <m:chr m:val="̂"/>
                              </m:accPr>
                              <m:e>
                                <m:r>
                                  <m:t>σ</m:t>
                                </m:r>
                              </m:e>
                            </m:acc>
                          </m:e>
                          <m:sub>
                            <m:r>
                              <m:t>y</m:t>
                            </m:r>
                            <m:r>
                              <m:t>y</m:t>
                            </m:r>
                            <m:r>
                              <m:rPr>
                                <m:sty m:val="p"/>
                              </m:rPr>
                              <m:t>,</m:t>
                            </m:r>
                            <m:r>
                              <m:t>l</m:t>
                            </m:r>
                          </m:sub>
                          <m:sup>
                            <m:r>
                              <m:rPr>
                                <m:sty m:val="p"/>
                              </m:rPr>
                              <m:t>f</m:t>
                            </m:r>
                          </m:sup>
                        </m:sSubSup>
                        <m:r>
                          <m:rPr>
                            <m:sty m:val="p"/>
                          </m:rPr>
                          <m:t>(</m:t>
                        </m:r>
                        <m:r>
                          <m:t>ω</m:t>
                        </m:r>
                        <m:r>
                          <m:rPr>
                            <m:sty m:val="p"/>
                          </m:rPr>
                          <m:t>)</m:t>
                        </m:r>
                      </m:e>
                    </m:mr>
                  </m:m>
                </m:e>
              </m:d>
              <m:r>
                <m:rPr>
                  <m:sty m:val="p"/>
                </m:rPr>
                <m:t>=</m:t>
              </m:r>
              <m:sSub>
                <m:e>
                  <m:r>
                    <m:t>U</m:t>
                  </m:r>
                </m:e>
                <m:sub>
                  <m:r>
                    <m:t>0</m:t>
                  </m:r>
                </m:sub>
              </m:sSub>
              <m:r>
                <m:rPr>
                  <m:sty m:val="p"/>
                </m:rPr>
                <m:t>(</m:t>
              </m:r>
              <m:r>
                <m:t>ω</m:t>
              </m:r>
              <m:r>
                <m:rPr>
                  <m:sty m:val="p"/>
                </m:rPr>
                <m:t>)</m:t>
              </m:r>
              <m:r>
                <m:rPr>
                  <m:sty m:val="p"/>
                </m:rPr>
                <m:t>exp</m:t>
              </m:r>
              <m:r>
                <m:t>​</m:t>
              </m:r>
              <m:d>
                <m:dPr>
                  <m:begChr m:val="["/>
                  <m:sepChr m:val=""/>
                  <m:endChr m:val="]"/>
                  <m:grow/>
                </m:dPr>
                <m:e>
                  <m:r>
                    <m:rPr>
                      <m:sty m:val="p"/>
                    </m:rPr>
                    <m:t>−</m:t>
                  </m:r>
                  <m:r>
                    <m:rPr>
                      <m:sty m:val="p"/>
                    </m:rPr>
                    <m:t>i</m:t>
                  </m:r>
                  <m:r>
                    <m:t>ω</m:t>
                  </m:r>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e>
              </m:d>
              <m:d>
                <m:dPr>
                  <m:begChr m:val="["/>
                  <m:sepChr m:val=""/>
                  <m:endChr m:val="]"/>
                  <m:grow/>
                </m:dPr>
                <m:e>
                  <m:m>
                    <m:mPr>
                      <m:baseJc m:val="center"/>
                      <m:plcHide m:val="on"/>
                      <m:mcs>
                        <m:mc>
                          <m:mcPr>
                            <m:mcJc m:val="center"/>
                            <m:count m:val="1"/>
                          </m:mcPr>
                        </m:mc>
                        <m:mc>
                          <m:mcPr>
                            <m:mcJc m:val="center"/>
                            <m:count m:val="1"/>
                          </m:mcPr>
                        </m:mc>
                      </m:mcs>
                    </m:mPr>
                    <m:mr>
                      <m:e>
                        <m:sSubSup>
                          <m:e>
                            <m:r>
                              <m:rPr>
                                <m:sty m:val="p"/>
                              </m:rPr>
                              <m:t>Σ</m:t>
                            </m:r>
                          </m:e>
                          <m:sub>
                            <m:r>
                              <m:t>x</m:t>
                            </m:r>
                            <m:r>
                              <m:t>x</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e>
                        <m:sSubSup>
                          <m:e>
                            <m:r>
                              <m:rPr>
                                <m:sty m:val="p"/>
                              </m:rPr>
                              <m:t>Σ</m:t>
                            </m:r>
                          </m:e>
                          <m:sub>
                            <m:r>
                              <m:t>x</m:t>
                            </m:r>
                            <m:r>
                              <m:t>y</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mr>
                    <m:mr>
                      <m:e>
                        <m:sSubSup>
                          <m:e>
                            <m:r>
                              <m:rPr>
                                <m:sty m:val="p"/>
                              </m:rPr>
                              <m:t>Σ</m:t>
                            </m:r>
                          </m:e>
                          <m:sub>
                            <m:r>
                              <m:t>x</m:t>
                            </m:r>
                            <m:r>
                              <m:t>y</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e>
                        <m:sSubSup>
                          <m:e>
                            <m:r>
                              <m:rPr>
                                <m:sty m:val="p"/>
                              </m:rPr>
                              <m:t>Σ</m:t>
                            </m:r>
                          </m:e>
                          <m:sub>
                            <m:r>
                              <m:t>y</m:t>
                            </m:r>
                            <m:r>
                              <m:t>y</m:t>
                            </m:r>
                          </m:sub>
                          <m:sup>
                            <m:r>
                              <m:rPr>
                                <m:sty m:val="p"/>
                              </m:rPr>
                              <m:t>u</m:t>
                            </m:r>
                            <m:r>
                              <m:rPr>
                                <m:sty m:val="p"/>
                              </m:rPr>
                              <m:t>n</m:t>
                            </m:r>
                            <m:r>
                              <m:rPr>
                                <m:sty m:val="p"/>
                              </m:rPr>
                              <m:t>i</m:t>
                            </m:r>
                            <m:r>
                              <m:rPr>
                                <m:sty m:val="p"/>
                              </m:rPr>
                              <m:t>t</m:t>
                            </m:r>
                          </m:sup>
                        </m:sSubSup>
                        <m:r>
                          <m:rPr>
                            <m:sty m:val="p"/>
                          </m:rPr>
                          <m:t>(</m:t>
                        </m:r>
                        <m:sSub>
                          <m:e>
                            <m:r>
                              <m:t>y</m:t>
                            </m:r>
                          </m:e>
                          <m:sub>
                            <m:r>
                              <m:t>l</m:t>
                            </m:r>
                          </m:sub>
                        </m:sSub>
                        <m:r>
                          <m:rPr>
                            <m:sty m:val="p"/>
                          </m:rPr>
                          <m:t>,</m:t>
                        </m:r>
                        <m:r>
                          <m:t>ω</m:t>
                        </m:r>
                        <m:r>
                          <m:rPr>
                            <m:sty m:val="p"/>
                          </m:rPr>
                          <m:t>)</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w:r>
        <w:rPr>
          <w:rFonts w:ascii="Times New Roman" w:hAnsi="Times New Roman" w:eastAsia="宋体" w:cs="Times New Roman" w:hint="eastAsia"/>
          <w:b w:val="0"/>
          <w:i w:val="0"/>
          <w:sz w:val="21"/>
        </w:rPr>
        <w:t xml:space="preserve">式中，上标unit表示单位入射波在 </w:t>
      </w:r>
      <m:oMath>
        <m:r>
          <m:t>x</m:t>
        </m:r>
        <m:r>
          <m:rPr>
            <m:sty m:val="p"/>
          </m:rPr>
          <m:t>=</m:t>
        </m:r>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处的响应，已包含竖向传播、界面透反射及P-SV波型转换；</w:t>
      </w:r>
      <m:oMath>
        <m:sSub>
          <m:e>
            <m:r>
              <m:t>σ</m:t>
            </m:r>
          </m:e>
          <m:sub>
            <m:r>
              <m:t>x</m:t>
            </m:r>
            <m:r>
              <m:t>x</m:t>
            </m:r>
          </m:sub>
        </m:sSub>
      </m:oMath>
      <w:r>
        <w:rPr>
          <w:rFonts w:ascii="Times New Roman" w:hAnsi="Times New Roman" w:eastAsia="宋体" w:cs="Times New Roman" w:hint="eastAsia"/>
          <w:b w:val="0"/>
          <w:i w:val="0"/>
          <w:sz w:val="21"/>
        </w:rPr>
        <w:t>、</w:t>
      </w:r>
      <m:oMath>
        <m:sSub>
          <m:e>
            <m:r>
              <m:t>σ</m:t>
            </m:r>
          </m:e>
          <m:sub>
            <m:r>
              <m:t>y</m:t>
            </m:r>
            <m:r>
              <m:t>y</m:t>
            </m:r>
          </m:sub>
        </m:sSub>
      </m:oMath>
      <w:r>
        <w:rPr>
          <w:rFonts w:ascii="Times New Roman" w:hAnsi="Times New Roman" w:eastAsia="宋体" w:cs="Times New Roman" w:hint="eastAsia"/>
          <w:b w:val="0"/>
          <w:i w:val="0"/>
          <w:sz w:val="21"/>
        </w:rPr>
        <w:t xml:space="preserve"> 为水平、竖向正应力，</w:t>
      </w:r>
      <m:oMath>
        <m:sSub>
          <m:e>
            <m:r>
              <m:t>σ</m:t>
            </m:r>
          </m:e>
          <m:sub>
            <m:r>
              <m:t>x</m:t>
            </m:r>
            <m:r>
              <m:t>y</m:t>
            </m:r>
          </m:sub>
        </m:sSub>
      </m:oMath>
      <w:r>
        <w:rPr>
          <w:rFonts w:ascii="Times New Roman" w:hAnsi="Times New Roman" w:eastAsia="宋体" w:cs="Times New Roman" w:hint="eastAsia"/>
          <w:b w:val="0"/>
          <w:i w:val="0"/>
          <w:sz w:val="21"/>
        </w:rPr>
        <w:t xml:space="preserve"> 为剪应力。式（15）和式（17）均按“单位自由场响应×实际输入位移谱×水平相位因子”恢复节点响应，其中水平到时差为 </w:t>
      </w:r>
      <m:oMath>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oMath>
      <w:r>
        <w:rPr>
          <w:rFonts w:ascii="Times New Roman" w:hAnsi="Times New Roman" w:eastAsia="宋体" w:cs="Times New Roman" w:hint="eastAsia"/>
          <w:b w:val="0"/>
          <w:i w:val="0"/>
          <w:sz w:val="21"/>
        </w:rPr>
        <w:t>，竖向传播已计入unit项，不再重复施加。由上述位移、速度和应力谱，得到频域等效节点力</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rPr>
                          <m:sty m:val="bi"/>
                        </m:rPr>
                        <m:t>F</m:t>
                      </m:r>
                    </m:e>
                  </m:acc>
                </m:e>
                <m:sub>
                  <m:r>
                    <m:t>l</m:t>
                  </m:r>
                </m:sub>
                <m:sup>
                  <m:r>
                    <m:rPr>
                      <m:sty m:val="p"/>
                    </m:rPr>
                    <m:t>e</m:t>
                  </m:r>
                  <m:r>
                    <m:rPr>
                      <m:sty m:val="p"/>
                    </m:rPr>
                    <m:t>q</m:t>
                  </m:r>
                </m:sup>
              </m:sSubSup>
              <m:r>
                <m:rPr>
                  <m:sty m:val="p"/>
                </m:rPr>
                <m:t>(</m:t>
              </m:r>
              <m:r>
                <m:t>ω</m:t>
              </m:r>
              <m:r>
                <m:rPr>
                  <m:sty m:val="p"/>
                </m:rPr>
                <m:t>)</m:t>
              </m:r>
              <m:r>
                <m:rPr>
                  <m:sty m:val="p"/>
                </m:rPr>
                <m:t>=</m:t>
              </m:r>
              <m:sSub>
                <m:e>
                  <m:r>
                    <m:t>A</m:t>
                  </m:r>
                </m:e>
                <m:sub>
                  <m:r>
                    <m:t>l</m:t>
                  </m:r>
                </m:sub>
              </m:sSub>
              <m:d>
                <m:dPr>
                  <m:begChr m:val="["/>
                  <m:sepChr m:val=""/>
                  <m:endChr m:val="]"/>
                  <m:grow/>
                </m:dPr>
                <m:e>
                  <m:d>
                    <m:dPr>
                      <m:begChr m:val="("/>
                      <m:sepChr m:val=""/>
                      <m:endChr m:val=")"/>
                      <m:grow/>
                    </m:dPr>
                    <m:e>
                      <m:sSub>
                        <m:e>
                          <m:r>
                            <m:rPr>
                              <m:sty m:val="bi"/>
                            </m:rPr>
                            <m:t>K</m:t>
                          </m:r>
                        </m:e>
                        <m:sub>
                          <m:r>
                            <m:t>l</m:t>
                          </m:r>
                        </m:sub>
                      </m:sSub>
                      <m:r>
                        <m:rPr>
                          <m:sty m:val="p"/>
                        </m:rPr>
                        <m:t>+</m:t>
                      </m:r>
                      <m:r>
                        <m:rPr>
                          <m:sty m:val="p"/>
                        </m:rPr>
                        <m:t>i</m:t>
                      </m:r>
                      <m:r>
                        <m:t>ω</m:t>
                      </m:r>
                      <m:sSub>
                        <m:e>
                          <m:r>
                            <m:rPr>
                              <m:sty m:val="bi"/>
                            </m:rPr>
                            <m:t>C</m:t>
                          </m:r>
                        </m:e>
                        <m:sub>
                          <m:r>
                            <m:t>l</m:t>
                          </m:r>
                        </m:sub>
                      </m:sSub>
                    </m:e>
                  </m:d>
                  <m:sSubSup>
                    <m:e>
                      <m:acc>
                        <m:accPr>
                          <m:chr m:val="̂"/>
                        </m:accPr>
                        <m:e>
                          <m:r>
                            <m:rPr>
                              <m:sty m:val="bi"/>
                            </m:rPr>
                            <m:t>u</m:t>
                          </m:r>
                        </m:e>
                      </m:acc>
                    </m:e>
                    <m:sub>
                      <m:r>
                        <m:t>l</m:t>
                      </m:r>
                    </m:sub>
                    <m:sup>
                      <m:r>
                        <m:rPr>
                          <m:sty m:val="p"/>
                        </m:rPr>
                        <m:t>f</m:t>
                      </m:r>
                    </m:sup>
                  </m:sSubSup>
                  <m:r>
                    <m:rPr>
                      <m:sty m:val="p"/>
                    </m:rPr>
                    <m:t>(</m:t>
                  </m:r>
                  <m:r>
                    <m:t>ω</m:t>
                  </m:r>
                  <m:r>
                    <m:rPr>
                      <m:sty m:val="p"/>
                    </m:rPr>
                    <m:t>)</m:t>
                  </m:r>
                  <m:r>
                    <m:rPr>
                      <m:sty m:val="p"/>
                    </m:rPr>
                    <m:t>+</m:t>
                  </m:r>
                  <m:sSubSup>
                    <m:e>
                      <m:acc>
                        <m:accPr>
                          <m:chr m:val="̂"/>
                        </m:accPr>
                        <m:e>
                          <m:r>
                            <m:rPr>
                              <m:sty m:val="bi"/>
                            </m:rPr>
                            <m:t>σ</m:t>
                          </m:r>
                        </m:e>
                      </m:acc>
                    </m:e>
                    <m:sub>
                      <m:r>
                        <m:t>l</m:t>
                      </m:r>
                    </m:sub>
                    <m:sup>
                      <m:r>
                        <m:rPr>
                          <m:sty m:val="p"/>
                        </m:rPr>
                        <m:t>f</m:t>
                      </m:r>
                    </m:sup>
                  </m:sSubSup>
                  <m:r>
                    <m:rPr>
                      <m:sty m:val="p"/>
                    </m:rPr>
                    <m:t>(</m:t>
                  </m:r>
                  <m:r>
                    <m:t>ω</m:t>
                  </m:r>
                  <m:r>
                    <m:rPr>
                      <m:sty m:val="p"/>
                    </m:rPr>
                    <m:t>)</m:t>
                  </m:r>
                  <m:sSub>
                    <m:e>
                      <m:r>
                        <m:rPr>
                          <m:sty m:val="bi"/>
                        </m:rPr>
                        <m:t>n</m:t>
                      </m:r>
                    </m:e>
                    <m:sub>
                      <m:r>
                        <m:t>l</m:t>
                      </m:r>
                    </m:sub>
                  </m:sSub>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(18)</w:t>
            </w:r>
          </w:p>
        </w:tc>
      </w:tr>
    </w:tbl>
    <w:p>
      <w:pPr>
        <w:spacing w:before="0" w:after="0"/>
        <w:ind w:firstLine="420"/>
        <w:jc w:val="both"/>
      </w:pPr>
      <w:r>
        <w:rPr>
          <w:rFonts w:ascii="Times New Roman" w:hAnsi="Times New Roman" w:eastAsia="宋体" w:cs="Times New Roman" w:hint="eastAsia"/>
          <w:b w:val="0"/>
          <w:i w:val="0"/>
          <w:sz w:val="21"/>
        </w:rPr>
        <w:t>式中，</w:t>
      </w:r>
      <m:oMath>
        <m:sSub>
          <m:e>
            <m:r>
              <m:t>A</m:t>
            </m:r>
          </m:e>
          <m:sub>
            <m:r>
              <m:t>l</m:t>
            </m:r>
          </m:sub>
        </m:sSub>
      </m:oMath>
      <w:r>
        <w:rPr>
          <w:rFonts w:ascii="Times New Roman" w:hAnsi="Times New Roman" w:eastAsia="宋体" w:cs="Times New Roman" w:hint="eastAsia"/>
          <w:b w:val="0"/>
          <w:i w:val="0"/>
          <w:sz w:val="21"/>
        </w:rPr>
        <w:t xml:space="preserve"> 为二维单位厚度下节点的代表边界长度，</w:t>
      </w:r>
      <m:oMath>
        <m:sSub>
          <m:e>
            <m:r>
              <m:rPr>
                <m:sty m:val="bi"/>
              </m:rPr>
              <m:t>n</m:t>
            </m:r>
          </m:e>
          <m:sub>
            <m:r>
              <m:t>l</m:t>
            </m:r>
          </m:sub>
        </m:sSub>
      </m:oMath>
      <w:r>
        <w:rPr>
          <w:rFonts w:ascii="Times New Roman" w:hAnsi="Times New Roman" w:eastAsia="宋体" w:cs="Times New Roman" w:hint="eastAsia"/>
          <w:b w:val="0"/>
          <w:i w:val="0"/>
          <w:sz w:val="21"/>
        </w:rPr>
        <w:t xml:space="preserve"> 为外法向，</w:t>
      </w:r>
      <m:oMath>
        <m:sSub>
          <m:e>
            <m:r>
              <m:rPr>
                <m:sty m:val="bi"/>
              </m:rPr>
              <m:t>K</m:t>
            </m:r>
          </m:e>
          <m:sub>
            <m:r>
              <m:t>l</m:t>
            </m:r>
          </m:sub>
        </m:sSub>
      </m:oMath>
      <w:r>
        <w:rPr>
          <w:rFonts w:ascii="Times New Roman" w:hAnsi="Times New Roman" w:eastAsia="宋体" w:cs="Times New Roman" w:hint="eastAsia"/>
          <w:b w:val="0"/>
          <w:i w:val="0"/>
          <w:sz w:val="21"/>
        </w:rPr>
        <w:t xml:space="preserve"> 和 </w:t>
      </w:r>
      <m:oMath>
        <m:sSub>
          <m:e>
            <m:r>
              <m:rPr>
                <m:sty m:val="bi"/>
              </m:rPr>
              <m:t>C</m:t>
            </m:r>
          </m:e>
          <m:sub>
            <m:r>
              <m:t>l</m:t>
            </m:r>
          </m:sub>
        </m:sSub>
      </m:oMath>
      <w:r>
        <w:rPr>
          <w:rFonts w:ascii="Times New Roman" w:hAnsi="Times New Roman" w:eastAsia="宋体" w:cs="Times New Roman" w:hint="eastAsia"/>
          <w:b w:val="0"/>
          <w:i w:val="0"/>
          <w:sz w:val="21"/>
        </w:rPr>
        <w:t xml:space="preserve"> 为式（1）和式（2）在全局坐标下的参数矩阵。弹簧项和阻尼项补偿人工边界对自由场运动的作用，应力项恢复原无限介质作用于截断面的自由场牵引。最后，对节点力谱作逆傅里叶变换，得到各节点水平和竖向等效力时程，并作为集中力幅值施加于Abaqus。左、右及底部边界采用同一上平台水平成层自由场，但均按节点实际坐标、外法向和代表边界长度分别计算。至此，输入时程经“位移谱—单位自由场—节点自由场—节点力谱—节点力时程”完成三侧人工边界输入。</w:t>
      </w:r>
    </w:p>
    <w:p>
      <w:pPr>
        <w:spacing w:before="156" w:after="40"/>
        <w:ind w:firstLine="0"/>
        <w:jc w:val="left"/>
      </w:pPr>
      <w:r>
        <w:rPr>
          <w:rFonts w:ascii="Times New Roman" w:hAnsi="Times New Roman" w:eastAsia="宋体" w:cs="Times New Roman" w:hint="eastAsia"/>
          <w:b/>
          <w:i w:val="0"/>
          <w:sz w:val="24"/>
        </w:rPr>
        <w:t>2.2 数值模型与研究方案</w:t>
      </w:r>
    </w:p>
    <w:p>
      <w:pPr>
        <w:spacing w:before="80" w:after="20"/>
        <w:ind w:firstLine="0"/>
        <w:jc w:val="left"/>
      </w:pPr>
      <w:r>
        <w:rPr>
          <w:rFonts w:ascii="Times New Roman" w:hAnsi="Times New Roman" w:eastAsia="宋体" w:cs="Times New Roman" w:hint="eastAsia"/>
          <w:b/>
          <w:i w:val="0"/>
          <w:sz w:val="21"/>
        </w:rPr>
        <w:t>2.2.1 模型几何、材料及工况</w:t>
      </w:r>
    </w:p>
    <w:p>
      <w:pPr>
        <w:spacing w:before="0" w:after="0"/>
        <w:ind w:firstLine="420"/>
        <w:jc w:val="both"/>
      </w:pPr>
      <w:r>
        <w:rPr>
          <w:rFonts w:ascii="Times New Roman" w:hAnsi="Times New Roman" w:eastAsia="宋体" w:cs="Times New Roman" w:hint="eastAsia"/>
          <w:b w:val="0"/>
          <w:i w:val="0"/>
          <w:sz w:val="21"/>
        </w:rPr>
        <w:t>研究对象为SV波斜入射下的二维“上土下岩”坡地，采用平面应变、小变形线弹性假定。计算使用Abaqus/Standard 2021隐式动力求解器</w:t>
      </w:r>
      <w:r>
        <w:rPr>
          <w:rFonts w:ascii="Times New Roman" w:hAnsi="Times New Roman" w:eastAsia="宋体" w:cs="Times New Roman" w:hint="eastAsia"/>
          <w:b w:val="0"/>
          <w:i w:val="0"/>
          <w:sz w:val="21"/>
          <w:vertAlign w:val="superscript"/>
        </w:rPr>
        <w:t>[31]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坡高固定为 </w:t>
      </w:r>
      <m:oMath>
        <m:r>
          <m:t>h</m:t>
        </m:r>
        <m:r>
          <m:rPr>
            <m:sty m:val="p"/>
          </m:rPr>
          <m:t>=</m:t>
        </m:r>
        <m:r>
          <m:t>100</m:t>
        </m:r>
        <m:r>
          <m:t> </m:t>
        </m:r>
        <m:r>
          <m:rPr>
            <m:sty m:val="p"/>
          </m:rPr>
          <m:t>m</m:t>
        </m:r>
      </m:oMath>
      <w:r>
        <w:rPr>
          <w:rFonts w:ascii="Times New Roman" w:hAnsi="Times New Roman" w:eastAsia="宋体" w:cs="Times New Roman" w:hint="eastAsia"/>
          <w:b w:val="0"/>
          <w:i w:val="0"/>
          <w:sz w:val="21"/>
        </w:rPr>
        <w:t xml:space="preserve">，坡角记为 </w:t>
      </w:r>
      <m:oMath>
        <m:r>
          <m:t>i</m:t>
        </m:r>
      </m:oMath>
      <w:r>
        <w:rPr>
          <w:rFonts w:ascii="Times New Roman" w:hAnsi="Times New Roman" w:eastAsia="宋体" w:cs="Times New Roman" w:hint="eastAsia"/>
          <w:b w:val="0"/>
          <w:i w:val="0"/>
          <w:sz w:val="21"/>
        </w:rPr>
        <w:t xml:space="preserve">。取 </w:t>
      </w:r>
      <m:oMath>
        <m:r>
          <m:t>x</m:t>
        </m:r>
      </m:oMath>
      <w:r>
        <w:rPr>
          <w:rFonts w:ascii="Times New Roman" w:hAnsi="Times New Roman" w:eastAsia="宋体" w:cs="Times New Roman" w:hint="eastAsia"/>
          <w:b w:val="0"/>
          <w:i w:val="0"/>
          <w:sz w:val="21"/>
        </w:rPr>
        <w:t xml:space="preserve"> 轴水平向右、</w:t>
      </w:r>
      <m:oMath>
        <m:r>
          <m:t>y</m:t>
        </m:r>
      </m:oMath>
      <w:r>
        <w:rPr>
          <w:rFonts w:ascii="Times New Roman" w:hAnsi="Times New Roman" w:eastAsia="宋体" w:cs="Times New Roman" w:hint="eastAsia"/>
          <w:b w:val="0"/>
          <w:i w:val="0"/>
          <w:sz w:val="21"/>
        </w:rPr>
        <w:t xml:space="preserve"> 轴竖直向上，坡顶与坡脚的水平坐标分别为 </w:t>
      </w:r>
      <m:oMath>
        <m:sSub>
          <m:e>
            <m:r>
              <m:t>x</m:t>
            </m:r>
          </m:e>
          <m:sub>
            <m:r>
              <m:rPr>
                <m:sty m:val="p"/>
              </m:rPr>
              <m:t>c</m:t>
            </m:r>
          </m:sub>
        </m:sSub>
      </m:oMath>
      <w:r>
        <w:rPr>
          <w:rFonts w:ascii="Times New Roman" w:hAnsi="Times New Roman" w:eastAsia="宋体" w:cs="Times New Roman" w:hint="eastAsia"/>
          <w:b w:val="0"/>
          <w:i w:val="0"/>
          <w:sz w:val="21"/>
        </w:rPr>
        <w:t xml:space="preserve"> 和 </w:t>
      </w:r>
      <m:oMath>
        <m:sSub>
          <m:e>
            <m:r>
              <m:t>x</m:t>
            </m:r>
          </m:e>
          <m:sub>
            <m:r>
              <m:rPr>
                <m:sty m:val="p"/>
              </m:rPr>
              <m:t>t</m:t>
            </m:r>
          </m:sub>
        </m:sSub>
      </m:oMath>
      <w:r>
        <w:rPr>
          <w:rFonts w:ascii="Times New Roman" w:hAnsi="Times New Roman" w:eastAsia="宋体" w:cs="Times New Roman" w:hint="eastAsia"/>
          <w:b w:val="0"/>
          <w:i w:val="0"/>
          <w:sz w:val="21"/>
        </w:rPr>
        <w:t xml:space="preserve">。上、下平台观测窗分别延伸 </w:t>
      </w:r>
      <m:oMath>
        <m:r>
          <m:t>4</m:t>
        </m:r>
        <m:r>
          <m:t>h</m:t>
        </m:r>
      </m:oMath>
      <w:r>
        <w:rPr>
          <w:rFonts w:ascii="Times New Roman" w:hAnsi="Times New Roman" w:eastAsia="宋体" w:cs="Times New Roman" w:hint="eastAsia"/>
          <w:b w:val="0"/>
          <w:i w:val="0"/>
          <w:sz w:val="21"/>
        </w:rPr>
        <w:t xml:space="preserve"> 和 </w:t>
      </w:r>
      <m:oMath>
        <m:r>
          <m:t>3</m:t>
        </m:r>
        <m:r>
          <m:t>h</m:t>
        </m:r>
      </m:oMath>
      <w:r>
        <w:rPr>
          <w:rFonts w:ascii="Times New Roman" w:hAnsi="Times New Roman" w:eastAsia="宋体" w:cs="Times New Roman" w:hint="eastAsia"/>
          <w:b w:val="0"/>
          <w:i w:val="0"/>
          <w:sz w:val="21"/>
        </w:rPr>
        <w:t xml:space="preserve">，左右两侧各保留 </w:t>
      </w:r>
      <m:oMath>
        <m:r>
          <m:t>1</m:t>
        </m:r>
        <m:r>
          <m:t>h</m:t>
        </m:r>
      </m:oMath>
      <w:r>
        <w:rPr>
          <w:rFonts w:ascii="Times New Roman" w:hAnsi="Times New Roman" w:eastAsia="宋体" w:cs="Times New Roman" w:hint="eastAsia"/>
          <w:b w:val="0"/>
          <w:i w:val="0"/>
          <w:sz w:val="21"/>
        </w:rPr>
        <w:t xml:space="preserve"> 边界净空，坡脚以下保留 </w:t>
      </w:r>
      <m:oMath>
        <m:r>
          <m:t>3</m:t>
        </m:r>
        <m:r>
          <m:t>h</m:t>
        </m:r>
      </m:oMath>
      <w:r>
        <w:rPr>
          <w:rFonts w:ascii="Times New Roman" w:hAnsi="Times New Roman" w:eastAsia="宋体" w:cs="Times New Roman" w:hint="eastAsia"/>
          <w:b w:val="0"/>
          <w:i w:val="0"/>
          <w:sz w:val="21"/>
        </w:rPr>
        <w:t xml:space="preserve"> 基底深度。模型底边取 </w:t>
      </w:r>
      <m:oMath>
        <m:r>
          <m:t>y</m:t>
        </m:r>
        <m:r>
          <m:rPr>
            <m:sty m:val="p"/>
          </m:rPr>
          <m:t>=</m:t>
        </m:r>
        <m:r>
          <m:t>0</m:t>
        </m:r>
      </m:oMath>
      <w:r>
        <w:rPr>
          <w:rFonts w:ascii="Times New Roman" w:hAnsi="Times New Roman" w:eastAsia="宋体" w:cs="Times New Roman" w:hint="eastAsia"/>
          <w:b w:val="0"/>
          <w:i w:val="0"/>
          <w:sz w:val="21"/>
        </w:rPr>
        <w:t xml:space="preserve">，坡脚和坡顶地表高程分别为 </w:t>
      </w:r>
      <m:oMath>
        <m:r>
          <m:t>3</m:t>
        </m:r>
        <m:r>
          <m:t>h</m:t>
        </m:r>
      </m:oMath>
      <w:r>
        <w:rPr>
          <w:rFonts w:ascii="Times New Roman" w:hAnsi="Times New Roman" w:eastAsia="宋体" w:cs="Times New Roman" w:hint="eastAsia"/>
          <w:b w:val="0"/>
          <w:i w:val="0"/>
          <w:sz w:val="21"/>
        </w:rPr>
        <w:t xml:space="preserve"> 和 </w:t>
      </w:r>
      <m:oMath>
        <m:r>
          <m:t>4</m:t>
        </m:r>
        <m:r>
          <m:t>h</m:t>
        </m:r>
      </m:oMath>
      <w:r>
        <w:rPr>
          <w:rFonts w:ascii="Times New Roman" w:hAnsi="Times New Roman" w:eastAsia="宋体" w:cs="Times New Roman" w:hint="eastAsia"/>
          <w:b w:val="0"/>
          <w:i w:val="0"/>
          <w:sz w:val="21"/>
        </w:rPr>
        <w:t>；不同坡角下的地表位置采用式（19）映射至共同坐标。</w:t>
      </w:r>
    </w:p>
    <w:p>
      <w:pPr>
        <w:spacing w:before="0" w:after="0"/>
        <w:ind w:firstLine="420"/>
        <w:jc w:val="both"/>
      </w:pPr>
      <w:r>
        <w:rPr>
          <w:rFonts w:ascii="Times New Roman" w:hAnsi="Times New Roman" w:eastAsia="宋体" w:cs="Times New Roman" w:hint="eastAsia"/>
          <w:b w:val="0"/>
          <w:i w:val="0"/>
          <w:sz w:val="21"/>
        </w:rPr>
        <w:t xml:space="preserve">为把不同坡角下的折线地表映射到共同空间坐标，本文采用三段归一化坐标 </w:t>
      </w:r>
      <m:oMath>
        <m:r>
          <m:t>s</m:t>
        </m:r>
      </m:oMath>
      <w:r>
        <w:rPr>
          <w:rFonts w:ascii="Times New Roman" w:hAnsi="Times New Roman" w:eastAsia="宋体" w:cs="Times New Roman" w:hint="eastAsia"/>
          <w:b w:val="0"/>
          <w:i w:val="0"/>
          <w:sz w:val="21"/>
        </w:rPr>
        <w:t>。上平台以坡高归一化水平距离，坡面以坡顶至坡脚的沿段进程归一化，下平台继续以坡高为尺度：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s</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x</m:t>
                        </m:r>
                        <m:r>
                          <m:rPr>
                            <m:sty m:val="p"/>
                          </m:rPr>
                          <m:t>−</m:t>
                        </m:r>
                        <m:sSub>
                          <m:e>
                            <m:r>
                              <m:t>x</m:t>
                            </m:r>
                          </m:e>
                          <m:sub>
                            <m:r>
                              <m:rPr>
                                <m:sty m:val="p"/>
                              </m:rPr>
                              <m:t>c</m:t>
                            </m:r>
                          </m:sub>
                        </m:sSub>
                        <m:r>
                          <m:rPr>
                            <m:sty m:val="p"/>
                          </m:rPr>
                          <m:t>)</m:t>
                        </m:r>
                        <m:r>
                          <m:rPr>
                            <m:sty m:val="p"/>
                          </m:rPr>
                          <m:t>/</m:t>
                        </m:r>
                        <m:r>
                          <m:t>h</m:t>
                        </m:r>
                        <m:r>
                          <m:rPr>
                            <m:sty m:val="p"/>
                          </m:rPr>
                          <m:t>,</m:t>
                        </m:r>
                      </m:e>
                      <m:e>
                        <m:r>
                          <m:t>x</m:t>
                        </m:r>
                        <m:r>
                          <m:rPr>
                            <m:sty m:val="p"/>
                          </m:rPr>
                          <m:t>≤</m:t>
                        </m:r>
                        <m:sSub>
                          <m:e>
                            <m:r>
                              <m:t>x</m:t>
                            </m:r>
                          </m:e>
                          <m:sub>
                            <m:r>
                              <m:rPr>
                                <m:sty m:val="p"/>
                              </m:rPr>
                              <m:t>c</m:t>
                            </m:r>
                          </m:sub>
                        </m:sSub>
                        <m:r>
                          <m:rPr>
                            <m:sty m:val="p"/>
                          </m:rPr>
                          <m:t>,</m:t>
                        </m:r>
                      </m:e>
                    </m:mr>
                    <m:mr>
                      <m:e>
                        <m:r>
                          <m:rPr>
                            <m:sty m:val="p"/>
                          </m:rPr>
                          <m:t>(</m:t>
                        </m:r>
                        <m:r>
                          <m:t>x</m:t>
                        </m:r>
                        <m:r>
                          <m:rPr>
                            <m:sty m:val="p"/>
                          </m:rPr>
                          <m:t>−</m:t>
                        </m:r>
                        <m:sSub>
                          <m:e>
                            <m:r>
                              <m:t>x</m:t>
                            </m:r>
                          </m:e>
                          <m:sub>
                            <m:r>
                              <m:rPr>
                                <m:sty m:val="p"/>
                              </m:rPr>
                              <m:t>c</m:t>
                            </m:r>
                          </m:sub>
                        </m:sSub>
                        <m:r>
                          <m:rPr>
                            <m:sty m:val="p"/>
                          </m:rPr>
                          <m:t>)</m:t>
                        </m:r>
                        <m:r>
                          <m:rPr>
                            <m:sty m:val="p"/>
                          </m:rPr>
                          <m:t>/</m:t>
                        </m:r>
                        <m:r>
                          <m:rPr>
                            <m:sty m:val="p"/>
                          </m:rPr>
                          <m:t>(</m:t>
                        </m:r>
                        <m:sSub>
                          <m:e>
                            <m:r>
                              <m:t>x</m:t>
                            </m:r>
                          </m:e>
                          <m:sub>
                            <m:r>
                              <m:rPr>
                                <m:sty m:val="p"/>
                              </m:rPr>
                              <m:t>t</m:t>
                            </m:r>
                          </m:sub>
                        </m:sSub>
                        <m:r>
                          <m:rPr>
                            <m:sty m:val="p"/>
                          </m:rPr>
                          <m:t>−</m:t>
                        </m:r>
                        <m:sSub>
                          <m:e>
                            <m:r>
                              <m:t>x</m:t>
                            </m:r>
                          </m:e>
                          <m:sub>
                            <m:r>
                              <m:rPr>
                                <m:sty m:val="p"/>
                              </m:rPr>
                              <m:t>c</m:t>
                            </m:r>
                          </m:sub>
                        </m:sSub>
                        <m:r>
                          <m:rPr>
                            <m:sty m:val="p"/>
                          </m:rPr>
                          <m:t>)</m:t>
                        </m:r>
                        <m:r>
                          <m:rPr>
                            <m:sty m:val="p"/>
                          </m:rPr>
                          <m:t>,</m:t>
                        </m:r>
                      </m:e>
                      <m:e>
                        <m:sSub>
                          <m:e>
                            <m:r>
                              <m:t>x</m:t>
                            </m:r>
                          </m:e>
                          <m:sub>
                            <m:r>
                              <m:rPr>
                                <m:sty m:val="p"/>
                              </m:rPr>
                              <m:t>c</m:t>
                            </m:r>
                          </m:sub>
                        </m:sSub>
                        <m:r>
                          <m:rPr>
                            <m:sty m:val="p"/>
                          </m:rPr>
                          <m:t>&lt;</m:t>
                        </m:r>
                        <m:r>
                          <m:t>x</m:t>
                        </m:r>
                        <m:r>
                          <m:rPr>
                            <m:sty m:val="p"/>
                          </m:rPr>
                          <m:t>&lt;</m:t>
                        </m:r>
                        <m:sSub>
                          <m:e>
                            <m:r>
                              <m:t>x</m:t>
                            </m:r>
                          </m:e>
                          <m:sub>
                            <m:r>
                              <m:rPr>
                                <m:sty m:val="p"/>
                              </m:rPr>
                              <m:t>t</m:t>
                            </m:r>
                          </m:sub>
                        </m:sSub>
                        <m:r>
                          <m:rPr>
                            <m:sty m:val="p"/>
                          </m:rPr>
                          <m:t>,</m:t>
                        </m:r>
                      </m:e>
                    </m:mr>
                    <m:mr>
                      <m:e>
                        <m:r>
                          <m:t>1</m:t>
                        </m:r>
                        <m:r>
                          <m:rPr>
                            <m:sty m:val="p"/>
                          </m:rPr>
                          <m:t>+</m:t>
                        </m:r>
                        <m:r>
                          <m:rPr>
                            <m:sty m:val="p"/>
                          </m:rPr>
                          <m:t>(</m:t>
                        </m:r>
                        <m:r>
                          <m:t>x</m:t>
                        </m:r>
                        <m:r>
                          <m:rPr>
                            <m:sty m:val="p"/>
                          </m:rPr>
                          <m:t>−</m:t>
                        </m:r>
                        <m:sSub>
                          <m:e>
                            <m:r>
                              <m:t>x</m:t>
                            </m:r>
                          </m:e>
                          <m:sub>
                            <m:r>
                              <m:rPr>
                                <m:sty m:val="p"/>
                              </m:rPr>
                              <m:t>t</m:t>
                            </m:r>
                          </m:sub>
                        </m:sSub>
                        <m:r>
                          <m:rPr>
                            <m:sty m:val="p"/>
                          </m:rPr>
                          <m:t>)</m:t>
                        </m:r>
                        <m:r>
                          <m:rPr>
                            <m:sty m:val="p"/>
                          </m:rPr>
                          <m:t>/</m:t>
                        </m:r>
                        <m:r>
                          <m:t>h</m:t>
                        </m:r>
                        <m:r>
                          <m:rPr>
                            <m:sty m:val="p"/>
                          </m:rPr>
                          <m:t>,</m:t>
                        </m:r>
                      </m:e>
                      <m:e>
                        <m:r>
                          <m:t>x</m:t>
                        </m:r>
                        <m:r>
                          <m:rPr>
                            <m:sty m:val="p"/>
                          </m:rPr>
                          <m:t>≥</m:t>
                        </m:r>
                        <m:sSub>
                          <m:e>
                            <m:r>
                              <m:t>x</m:t>
                            </m:r>
                          </m:e>
                          <m:sub>
                            <m:r>
                              <m:rPr>
                                <m:sty m:val="p"/>
                              </m:rPr>
                              <m:t>t</m:t>
                            </m:r>
                          </m:sub>
                        </m:sSub>
                        <m:r>
                          <m:rPr>
                            <m:sty m:val="p"/>
                          </m:rPr>
                          <m:t>.</m:t>
                        </m:r>
                      </m:e>
                    </m:mr>
                  </m:m>
                </m:e>
              </m:d>
            </m:oMath>
          </w:p>
        </w:tc>
        <w:tc>
          <w:tcPr>
            <w:tcW w:type="dxa" w:w="4819"/>
          </w:tcPr>
          <w:p>
            <w:pPr>
              <w:spacing w:before="60" w:after="60"/>
              <w:jc w:val="right"/>
            </w:pPr>
            <w:r>
              <w:rPr>
                <w:rFonts w:ascii="Times New Roman" w:hAnsi="Times New Roman" w:eastAsia="Times New Roman" w:cs="Times New Roman" w:hint="eastAsia"/>
                <w:b w:val="0"/>
                <w:i w:val="0"/>
                <w:sz w:val="21"/>
              </w:rPr>
              <w:t>(19)</w:t>
            </w:r>
          </w:p>
        </w:tc>
      </w:tr>
    </w:tbl>
    <w:p>
      <w:pPr>
        <w:spacing w:before="0" w:after="0"/>
        <w:ind w:firstLine="420"/>
        <w:jc w:val="both"/>
      </w:pPr>
      <w:r>
        <w:rPr>
          <w:rFonts w:ascii="Times New Roman" w:hAnsi="Times New Roman" w:eastAsia="宋体" w:cs="Times New Roman" w:hint="eastAsia"/>
          <w:b w:val="0"/>
          <w:i w:val="0"/>
          <w:sz w:val="21"/>
        </w:rPr>
        <w:t xml:space="preserve">观测范围为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，其中 </w:t>
      </w:r>
      <m:oMath>
        <m:r>
          <m:t>s</m:t>
        </m:r>
        <m:r>
          <m:rPr>
            <m:sty m:val="p"/>
          </m:rPr>
          <m:t>=</m:t>
        </m:r>
        <m:r>
          <m:t>0</m:t>
        </m:r>
      </m:oMath>
      <w:r>
        <w:rPr>
          <w:rFonts w:ascii="Times New Roman" w:hAnsi="Times New Roman" w:eastAsia="宋体" w:cs="Times New Roman" w:hint="eastAsia"/>
          <w:b w:val="0"/>
          <w:i w:val="0"/>
          <w:sz w:val="21"/>
        </w:rPr>
        <w:t xml:space="preserve">、0.5 和 1 分别对应坡顶、坡面中部和坡脚；左右各 </w:t>
      </w:r>
      <m:oMath>
        <m:r>
          <m:t>1</m:t>
        </m:r>
        <m:r>
          <m:t>h</m:t>
        </m:r>
      </m:oMath>
      <w:r>
        <w:rPr>
          <w:rFonts w:ascii="Times New Roman" w:hAnsi="Times New Roman" w:eastAsia="宋体" w:cs="Times New Roman" w:hint="eastAsia"/>
          <w:b w:val="0"/>
          <w:i w:val="0"/>
          <w:sz w:val="21"/>
        </w:rPr>
        <w:t xml:space="preserve"> 的边界净空不纳入统计。模型与监测点布置见图1。</w:t>
      </w:r>
    </w:p>
    <w:p>
      <w:pPr>
        <w:spacing w:before="0" w:after="0"/>
        <w:ind w:firstLine="420"/>
        <w:jc w:val="both"/>
      </w:pPr>
      <w:r>
        <w:rPr>
          <w:rFonts w:ascii="Times New Roman" w:hAnsi="Times New Roman" w:eastAsia="宋体" w:cs="Times New Roman" w:hint="eastAsia"/>
          <w:b w:val="0"/>
          <w:i w:val="0"/>
          <w:sz w:val="21"/>
        </w:rPr>
        <w:t>&gt; 【图1占位符】二维成层坡地数值模型与监测布置</w:t>
      </w:r>
    </w:p>
    <w:p>
      <w:pPr>
        <w:spacing w:before="0" w:after="0"/>
        <w:ind w:firstLine="420"/>
        <w:jc w:val="both"/>
      </w:pPr>
      <w:r>
        <w:rPr>
          <w:rFonts w:ascii="Times New Roman" w:hAnsi="Times New Roman" w:eastAsia="宋体" w:cs="Times New Roman" w:hint="eastAsia"/>
          <w:b w:val="0"/>
          <w:i w:val="0"/>
          <w:sz w:val="21"/>
        </w:rPr>
        <w:t>成层工况采用水平覆盖层—基岩界面，</w:t>
      </w:r>
      <m:oMath>
        <m:r>
          <m:t>d</m:t>
        </m:r>
      </m:oMath>
      <w:r>
        <w:rPr>
          <w:rFonts w:ascii="Times New Roman" w:hAnsi="Times New Roman" w:eastAsia="宋体" w:cs="Times New Roman" w:hint="eastAsia"/>
          <w:b w:val="0"/>
          <w:i w:val="0"/>
          <w:sz w:val="21"/>
        </w:rPr>
        <w:t>为上平台覆盖层厚度。</w:t>
      </w:r>
      <m:oMath>
        <m:r>
          <m:t>d</m:t>
        </m:r>
        <m:r>
          <m:rPr>
            <m:sty m:val="p"/>
          </m:rPr>
          <m:t>/</m:t>
        </m:r>
        <m:r>
          <m:t>h</m:t>
        </m:r>
        <m:r>
          <m:rPr>
            <m:sty m:val="p"/>
          </m:rPr>
          <m:t>&lt;</m:t>
        </m:r>
        <m:r>
          <m:t>1</m:t>
        </m:r>
      </m:oMath>
      <w:r>
        <w:rPr>
          <w:rFonts w:ascii="Times New Roman" w:hAnsi="Times New Roman" w:eastAsia="宋体" w:cs="Times New Roman" w:hint="eastAsia"/>
          <w:b w:val="0"/>
          <w:i w:val="0"/>
          <w:sz w:val="21"/>
        </w:rPr>
        <w:t>时界面在坡面出露，</w:t>
      </w:r>
      <m:oMath>
        <m:r>
          <m:t>d</m:t>
        </m:r>
        <m:r>
          <m:rPr>
            <m:sty m:val="p"/>
          </m:rPr>
          <m:t>/</m:t>
        </m:r>
        <m:r>
          <m:t>h</m:t>
        </m:r>
        <m:r>
          <m:rPr>
            <m:sty m:val="p"/>
          </m:rPr>
          <m:t>=</m:t>
        </m:r>
        <m:r>
          <m:t>1</m:t>
        </m:r>
      </m:oMath>
      <w:r>
        <w:rPr>
          <w:rFonts w:ascii="Times New Roman" w:hAnsi="Times New Roman" w:eastAsia="宋体" w:cs="Times New Roman" w:hint="eastAsia"/>
          <w:b w:val="0"/>
          <w:i w:val="0"/>
          <w:sz w:val="21"/>
        </w:rPr>
        <w:t>时到达坡脚，</w:t>
      </w:r>
      <m:oMath>
        <m:r>
          <m:t>d</m:t>
        </m:r>
        <m:r>
          <m:rPr>
            <m:sty m:val="p"/>
          </m:rPr>
          <m:t>/</m:t>
        </m:r>
        <m:r>
          <m:t>h</m:t>
        </m:r>
        <m:r>
          <m:rPr>
            <m:sty m:val="p"/>
          </m:rPr>
          <m:t>&gt;</m:t>
        </m:r>
        <m:r>
          <m:t>1</m:t>
        </m:r>
      </m:oMath>
      <w:r>
        <w:rPr>
          <w:rFonts w:ascii="Times New Roman" w:hAnsi="Times New Roman" w:eastAsia="宋体" w:cs="Times New Roman" w:hint="eastAsia"/>
          <w:b w:val="0"/>
          <w:i w:val="0"/>
          <w:sz w:val="21"/>
        </w:rPr>
        <w:t>时覆盖层延伸至下平台。因此，厚度效应同时包含传播距离和界面出露位置的变化；H组则全域采用基岩参数，作为同坡角几何基线。</w:t>
      </w:r>
    </w:p>
    <w:p>
      <w:pPr>
        <w:spacing w:before="0" w:after="0"/>
        <w:ind w:firstLine="420"/>
        <w:jc w:val="both"/>
      </w:pPr>
      <w:r>
        <w:rPr>
          <w:rFonts w:ascii="Times New Roman" w:hAnsi="Times New Roman" w:eastAsia="宋体" w:cs="Times New Roman" w:hint="eastAsia"/>
          <w:b w:val="0"/>
          <w:i w:val="0"/>
          <w:sz w:val="21"/>
        </w:rPr>
        <w:t xml:space="preserve">基岩剪切波速为 </w:t>
      </w:r>
      <m:oMath>
        <m:sSub>
          <m:e>
            <m:r>
              <m:t>V</m:t>
            </m:r>
          </m:e>
          <m:sub>
            <m:r>
              <m:rPr>
                <m:sty m:val="p"/>
              </m:rPr>
              <m:t>s</m:t>
            </m:r>
            <m:r>
              <m:rPr>
                <m:sty m:val="p"/>
              </m:rPr>
              <m:t>,</m:t>
            </m:r>
            <m:r>
              <m:rPr>
                <m:sty m:val="p"/>
              </m:rPr>
              <m:t>b</m:t>
            </m:r>
          </m:sub>
        </m:sSub>
        <m:r>
          <m:rPr>
            <m:sty m:val="p"/>
          </m:rPr>
          <m:t>=</m:t>
        </m:r>
        <m:r>
          <m:t>2000</m:t>
        </m:r>
        <m:r>
          <m:t> </m:t>
        </m:r>
        <m:r>
          <m:rPr>
            <m:sty m:val="p"/>
          </m:rPr>
          <m:t>m</m:t>
        </m:r>
        <m:r>
          <m:rPr>
            <m:sty m:val="p"/>
          </m:rPr>
          <m:t>/</m:t>
        </m:r>
        <m:r>
          <m:rPr>
            <m:sty m:val="p"/>
          </m:rPr>
          <m:t>s</m:t>
        </m:r>
      </m:oMath>
      <w:r>
        <w:rPr>
          <w:rFonts w:ascii="Times New Roman" w:hAnsi="Times New Roman" w:eastAsia="宋体" w:cs="Times New Roman" w:hint="eastAsia"/>
          <w:b w:val="0"/>
          <w:i w:val="0"/>
          <w:sz w:val="21"/>
        </w:rPr>
        <w:t xml:space="preserve">，密度为 </w:t>
      </w:r>
      <m:oMath>
        <m:r>
          <m:t>2500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0.30；覆盖层密度固定为基岩的 0.85 倍，即 </w:t>
      </w:r>
      <m:oMath>
        <m:r>
          <m:t>2125</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0.35，剪切波速由速度比 </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控制。材料的剪切模量、弹性模量和压缩波速均由波速、密度与泊松比一致换算，而非彼此独立指定：</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G</m:t>
              </m:r>
              <m:r>
                <m:rPr>
                  <m:sty m:val="p"/>
                </m:rPr>
                <m:t>=</m:t>
              </m:r>
              <m:r>
                <m:t>ρ</m:t>
              </m:r>
              <m:sSubSup>
                <m:e>
                  <m:r>
                    <m:t>V</m:t>
                  </m:r>
                </m:e>
                <m:sub>
                  <m:r>
                    <m:rPr>
                      <m:sty m:val="p"/>
                    </m:rPr>
                    <m:t>s</m:t>
                  </m:r>
                </m:sub>
                <m:sup>
                  <m:r>
                    <m:t>2</m:t>
                  </m:r>
                </m:sup>
              </m:sSub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(20)</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E</m:t>
              </m:r>
              <m:r>
                <m:rPr>
                  <m:sty m:val="p"/>
                </m:rPr>
                <m:t>=</m:t>
              </m:r>
              <m:r>
                <m:t>2</m:t>
              </m:r>
              <m:r>
                <m:t>G</m:t>
              </m:r>
              <m:r>
                <m:rPr>
                  <m:sty m:val="p"/>
                </m:rPr>
                <m:t>(</m:t>
              </m:r>
              <m:r>
                <m:t>1</m:t>
              </m:r>
              <m:r>
                <m:rPr>
                  <m:sty m:val="p"/>
                </m:rPr>
                <m:t>+</m:t>
              </m:r>
              <m:r>
                <m:t>ν</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(21)</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V</m:t>
                  </m:r>
                </m:e>
                <m:sub>
                  <m:r>
                    <m:rPr>
                      <m:sty m:val="p"/>
                    </m:rPr>
                    <m:t>p</m:t>
                  </m:r>
                </m:sub>
              </m:sSub>
              <m:r>
                <m:rPr>
                  <m:sty m:val="p"/>
                </m:rPr>
                <m:t>=</m:t>
              </m:r>
              <m:sSub>
                <m:e>
                  <m:r>
                    <m:t>V</m:t>
                  </m:r>
                </m:e>
                <m:sub>
                  <m:r>
                    <m:rPr>
                      <m:sty m:val="p"/>
                    </m:rPr>
                    <m:t>s</m:t>
                  </m:r>
                </m:sub>
              </m:sSub>
              <m:rad>
                <m:radPr>
                  <m:degHide m:val="on"/>
                </m:radPr>
                <m:deg/>
                <m:e>
                  <m:f>
                    <m:fPr>
                      <m:type m:val="bar"/>
                    </m:fPr>
                    <m:num>
                      <m:r>
                        <m:t>2</m:t>
                      </m:r>
                      <m:r>
                        <m:rPr>
                          <m:sty m:val="p"/>
                        </m:rPr>
                        <m:t>(</m:t>
                      </m:r>
                      <m:r>
                        <m:t>1</m:t>
                      </m:r>
                      <m:r>
                        <m:rPr>
                          <m:sty m:val="p"/>
                        </m:rPr>
                        <m:t>−</m:t>
                      </m:r>
                      <m:r>
                        <m:t>ν</m:t>
                      </m:r>
                      <m:r>
                        <m:rPr>
                          <m:sty m:val="p"/>
                        </m:rPr>
                        <m:t>)</m:t>
                      </m:r>
                    </m:num>
                    <m:den>
                      <m:r>
                        <m:t>1</m:t>
                      </m:r>
                      <m:r>
                        <m:rPr>
                          <m:sty m:val="p"/>
                        </m:rPr>
                        <m:t>−</m:t>
                      </m:r>
                      <m:r>
                        <m:t>2</m:t>
                      </m:r>
                      <m:r>
                        <m:t>ν</m:t>
                      </m:r>
                    </m:den>
                  </m:f>
                </m:e>
              </m:ra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(22)</w:t>
            </w:r>
          </w:p>
        </w:tc>
      </w:tr>
    </w:tbl>
    <w:p>
      <w:pPr>
        <w:spacing w:before="0" w:after="0"/>
        <w:ind w:firstLine="420"/>
        <w:jc w:val="both"/>
      </w:pPr>
      <w:r>
        <w:rPr>
          <w:rFonts w:ascii="Times New Roman" w:hAnsi="Times New Roman" w:eastAsia="宋体" w:cs="Times New Roman" w:hint="eastAsia"/>
          <w:b w:val="0"/>
          <w:i w:val="0"/>
          <w:sz w:val="21"/>
        </w:rPr>
        <w:t>式（20）—（22）保证材料刚度与波速定义相容。覆盖层与基岩的阻尼比分别为 3% 和 0.05%，采用 Rayleigh 阻尼：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ξ</m:t>
              </m:r>
              <m:r>
                <m:rPr>
                  <m:sty m:val="p"/>
                </m:rPr>
                <m:t>(</m:t>
              </m:r>
              <m:r>
                <m:t>ω</m:t>
              </m:r>
              <m:r>
                <m:rPr>
                  <m:sty m:val="p"/>
                </m:rPr>
                <m:t>)</m:t>
              </m:r>
              <m:r>
                <m:rPr>
                  <m:sty m:val="p"/>
                </m:rPr>
                <m:t>=</m:t>
              </m:r>
              <m:f>
                <m:fPr>
                  <m:type m:val="bar"/>
                </m:fPr>
                <m:num>
                  <m:sSub>
                    <m:e>
                      <m:r>
                        <m:t>α</m:t>
                      </m:r>
                    </m:e>
                    <m:sub>
                      <m:r>
                        <m:rPr>
                          <m:sty m:val="p"/>
                        </m:rPr>
                        <m:t>R</m:t>
                      </m:r>
                    </m:sub>
                  </m:sSub>
                </m:num>
                <m:den>
                  <m:r>
                    <m:t>2</m:t>
                  </m:r>
                  <m:r>
                    <m:t>ω</m:t>
                  </m:r>
                </m:den>
              </m:f>
              <m:r>
                <m:rPr>
                  <m:sty m:val="p"/>
                </m:rPr>
                <m:t>+</m:t>
              </m:r>
              <m:f>
                <m:fPr>
                  <m:type m:val="bar"/>
                </m:fPr>
                <m:num>
                  <m:sSub>
                    <m:e>
                      <m:r>
                        <m:t>β</m:t>
                      </m:r>
                    </m:e>
                    <m:sub>
                      <m:r>
                        <m:rPr>
                          <m:sty m:val="p"/>
                        </m:rPr>
                        <m:t>R</m:t>
                      </m:r>
                    </m:sub>
                  </m:sSub>
                  <m:r>
                    <m:t>ω</m:t>
                  </m:r>
                </m:num>
                <m:den>
                  <m:r>
                    <m:t>2</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(23)</w:t>
            </w:r>
          </w:p>
        </w:tc>
      </w:tr>
    </w:tbl>
    <w:p>
      <w:pPr>
        <w:spacing w:before="0" w:after="0"/>
        <w:ind w:firstLine="420"/>
        <w:jc w:val="both"/>
      </w:pPr>
      <w:r>
        <w:rPr>
          <w:rFonts w:ascii="Times New Roman" w:hAnsi="Times New Roman" w:eastAsia="宋体" w:cs="Times New Roman" w:hint="eastAsia"/>
          <w:b w:val="0"/>
          <w:i w:val="0"/>
          <w:sz w:val="21"/>
        </w:rPr>
        <w:t xml:space="preserve">其中 </w:t>
      </w:r>
      <m:oMath>
        <m:sSub>
          <m:e>
            <m:r>
              <m:t>α</m:t>
            </m:r>
          </m:e>
          <m:sub>
            <m:r>
              <m:rPr>
                <m:sty m:val="p"/>
              </m:rPr>
              <m:t>R</m:t>
            </m:r>
          </m:sub>
        </m:sSub>
      </m:oMath>
      <w:r>
        <w:rPr>
          <w:rFonts w:ascii="Times New Roman" w:hAnsi="Times New Roman" w:eastAsia="宋体" w:cs="Times New Roman" w:hint="eastAsia"/>
          <w:b w:val="0"/>
          <w:i w:val="0"/>
          <w:sz w:val="21"/>
        </w:rPr>
        <w:t xml:space="preserve"> 和 </w:t>
      </w:r>
      <m:oMath>
        <m:sSub>
          <m:e>
            <m:r>
              <m:t>β</m:t>
            </m:r>
          </m:e>
          <m:sub>
            <m:r>
              <m:rPr>
                <m:sty m:val="p"/>
              </m:rPr>
              <m:t>R</m:t>
            </m:r>
          </m:sub>
        </m:sSub>
      </m:oMath>
      <w:r>
        <w:rPr>
          <w:rFonts w:ascii="Times New Roman" w:hAnsi="Times New Roman" w:eastAsia="宋体" w:cs="Times New Roman" w:hint="eastAsia"/>
          <w:b w:val="0"/>
          <w:i w:val="0"/>
          <w:sz w:val="21"/>
        </w:rPr>
        <w:t xml:space="preserve"> 采用双频等阻尼拟合；基岩按输入主频标定，覆盖层同时考虑四分之一波长频率 </w:t>
      </w:r>
      <m:oMath>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。材料、几何与输入参数见表2。</w:t>
      </w:r>
    </w:p>
    <w:p>
      <w:pPr>
        <w:spacing w:before="0" w:after="0"/>
        <w:ind w:firstLine="420"/>
        <w:jc w:val="both"/>
      </w:pPr>
      <w:r>
        <w:rPr>
          <w:rFonts w:ascii="Times New Roman" w:hAnsi="Times New Roman" w:eastAsia="宋体" w:cs="Times New Roman" w:hint="eastAsia"/>
          <w:b w:val="0"/>
          <w:i w:val="0"/>
          <w:sz w:val="21"/>
        </w:rPr>
        <w:t xml:space="preserve">即使 </w:t>
      </w:r>
      <m:oMath>
        <m:sSub>
          <m:e>
            <m:r>
              <m:t>r</m:t>
            </m:r>
          </m:e>
          <m:sub>
            <m:r>
              <m:t>v</m:t>
            </m:r>
          </m:sub>
        </m:sSub>
        <m:r>
          <m:rPr>
            <m:sty m:val="p"/>
          </m:rPr>
          <m:t>=</m:t>
        </m:r>
        <m:r>
          <m:t>0.75</m:t>
        </m:r>
      </m:oMath>
      <w:r>
        <w:rPr>
          <w:rFonts w:ascii="Times New Roman" w:hAnsi="Times New Roman" w:eastAsia="宋体" w:cs="Times New Roman" w:hint="eastAsia"/>
          <w:b w:val="0"/>
          <w:i w:val="0"/>
          <w:sz w:val="21"/>
        </w:rPr>
        <w:t>，覆盖层与基岩的密度、泊松比和阻尼仍不同，因此均质参照采用独立的 H 组。</w:t>
      </w:r>
    </w:p>
    <w:p>
      <w:pPr>
        <w:spacing w:before="0" w:after="0"/>
        <w:ind w:firstLine="420"/>
        <w:jc w:val="both"/>
      </w:pPr>
      <w:r>
        <w:rPr>
          <w:rFonts w:ascii="Times New Roman" w:hAnsi="Times New Roman" w:eastAsia="宋体" w:cs="Times New Roman" w:hint="eastAsia"/>
          <w:b w:val="0"/>
          <w:i w:val="0"/>
          <w:sz w:val="21"/>
        </w:rPr>
        <w:t>&gt; 【表2占位符】数值模型的材料、几何与输入参数</w:t>
      </w:r>
    </w:p>
    <w:p>
      <w:pPr>
        <w:spacing w:before="0" w:after="0"/>
        <w:ind w:firstLine="420"/>
        <w:jc w:val="both"/>
      </w:pPr>
      <w:r>
        <w:rPr>
          <w:rFonts w:ascii="Times New Roman" w:hAnsi="Times New Roman" w:eastAsia="宋体" w:cs="Times New Roman" w:hint="eastAsia"/>
          <w:b w:val="0"/>
          <w:i w:val="0"/>
          <w:sz w:val="21"/>
        </w:rPr>
        <w:t>P组由坡角</w:t>
      </w:r>
      <m:oMath>
        <m:r>
          <m:t>i</m:t>
        </m:r>
      </m:oMath>
      <w:r>
        <w:rPr>
          <w:rFonts w:ascii="Times New Roman" w:hAnsi="Times New Roman" w:eastAsia="宋体" w:cs="Times New Roman" w:hint="eastAsia"/>
          <w:b w:val="0"/>
          <w:i w:val="0"/>
          <w:sz w:val="21"/>
        </w:rPr>
        <w:t>、厚度比</w:t>
      </w:r>
      <m:oMath>
        <m:r>
          <m:t>d</m:t>
        </m:r>
        <m:r>
          <m:rPr>
            <m:sty m:val="p"/>
          </m:rPr>
          <m:t>/</m:t>
        </m:r>
        <m:r>
          <m:t>h</m:t>
        </m:r>
      </m:oMath>
      <w:r>
        <w:rPr>
          <w:rFonts w:ascii="Times New Roman" w:hAnsi="Times New Roman" w:eastAsia="宋体" w:cs="Times New Roman" w:hint="eastAsia"/>
          <w:b w:val="0"/>
          <w:i w:val="0"/>
          <w:sz w:val="21"/>
        </w:rPr>
        <w:t>和速度比</w:t>
      </w:r>
      <m:oMath>
        <m:sSub>
          <m:e>
            <m:r>
              <m:t>r</m:t>
            </m:r>
          </m:e>
          <m:sub>
            <m:r>
              <m:t>v</m:t>
            </m:r>
          </m:sub>
        </m:sSub>
      </m:oMath>
      <w:r>
        <w:rPr>
          <w:rFonts w:ascii="Times New Roman" w:hAnsi="Times New Roman" w:eastAsia="宋体" w:cs="Times New Roman" w:hint="eastAsia"/>
          <w:b w:val="0"/>
          <w:i w:val="0"/>
          <w:sz w:val="21"/>
        </w:rPr>
        <w:t>的</w:t>
      </w:r>
      <m:oMath>
        <m:r>
          <m:t>4</m:t>
        </m:r>
        <m:r>
          <m:rPr>
            <m:sty m:val="p"/>
          </m:rPr>
          <m:t>×</m:t>
        </m:r>
        <m:r>
          <m:t>4</m:t>
        </m:r>
        <m:r>
          <m:rPr>
            <m:sty m:val="p"/>
          </m:rPr>
          <m:t>×</m:t>
        </m:r>
        <m:r>
          <m:t>4</m:t>
        </m:r>
      </m:oMath>
      <w:r>
        <w:rPr>
          <w:rFonts w:ascii="Times New Roman" w:hAnsi="Times New Roman" w:eastAsia="宋体" w:cs="Times New Roman" w:hint="eastAsia"/>
          <w:b w:val="0"/>
          <w:i w:val="0"/>
          <w:sz w:val="21"/>
        </w:rPr>
        <w:t>全因子组合构成，共64例；H组含4个同坡角均质基岩坡。坡高、密度比、入射角及输入信号均保持不变。</w:t>
      </w:r>
    </w:p>
    <w:p>
      <w:pPr>
        <w:spacing w:before="80" w:after="20"/>
        <w:ind w:firstLine="0"/>
        <w:jc w:val="left"/>
      </w:pPr>
      <w:r>
        <w:rPr>
          <w:rFonts w:ascii="Times New Roman" w:hAnsi="Times New Roman" w:eastAsia="宋体" w:cs="Times New Roman" w:hint="eastAsia"/>
          <w:b/>
          <w:i w:val="0"/>
          <w:sz w:val="21"/>
        </w:rPr>
        <w:t>2.2.2 网格与宽频识别方案</w:t>
      </w:r>
    </w:p>
    <w:p>
      <w:pPr>
        <w:spacing w:before="0" w:after="0"/>
        <w:ind w:firstLine="420"/>
        <w:jc w:val="both"/>
      </w:pPr>
      <w:r>
        <w:rPr>
          <w:rFonts w:ascii="Times New Roman" w:hAnsi="Times New Roman" w:eastAsia="宋体" w:cs="Times New Roman" w:hint="eastAsia"/>
          <w:b w:val="0"/>
          <w:i w:val="0"/>
          <w:sz w:val="21"/>
        </w:rPr>
        <w:t>空间离散由10 Hz下的最短剪切波长控制。最软覆盖层的</w:t>
      </w:r>
      <m:oMath>
        <m:sSub>
          <m:e>
            <m:r>
              <m:t>λ</m:t>
            </m:r>
          </m:e>
          <m:sub>
            <m:r>
              <m:rPr>
                <m:sty m:val="p"/>
              </m:rPr>
              <m:t>min</m:t>
            </m:r>
          </m:sub>
        </m:sSub>
        <m:r>
          <m:rPr>
            <m:sty m:val="p"/>
          </m:rPr>
          <m:t>=</m:t>
        </m:r>
        <m:r>
          <m:t>60</m:t>
        </m:r>
      </m:oMath>
      <w:r>
        <w:rPr>
          <w:rFonts w:ascii="Times New Roman" w:hAnsi="Times New Roman" w:eastAsia="宋体" w:cs="Times New Roman" w:hint="eastAsia"/>
          <w:b w:val="0"/>
          <w:i w:val="0"/>
          <w:sz w:val="21"/>
        </w:rPr>
        <w:t xml:space="preserve"> m，4 m基准网格约含15个单元/波长；网格随波速渐粗，尺寸比不超过4，每层厚度方向不少于6个单元。P061含11038个单元和11175个节点。</w:t>
      </w:r>
    </w:p>
    <w:p>
      <w:pPr>
        <w:spacing w:before="0" w:after="0"/>
        <w:ind w:firstLine="420"/>
        <w:jc w:val="both"/>
      </w:pPr>
      <w:r>
        <w:rPr>
          <w:rFonts w:ascii="Times New Roman" w:hAnsi="Times New Roman" w:eastAsia="宋体" w:cs="Times New Roman" w:hint="eastAsia"/>
          <w:b w:val="0"/>
          <w:i w:val="0"/>
          <w:sz w:val="21"/>
        </w:rPr>
        <w:t>为在一次计算中识别目标频带内的响应，动力输入采用G1b宽频多正弦加速度信号。该信号由100个离散频率分量按平顶包络和Schroeder相位叠加，峰值为0.1g。与逐频稳态加载相比，宽频输入可显著减少计算工况；相较天然地震动，其目标频带能量分布更均匀。全部68个H/P构型采用相同的输入幅值、相位编排和持续时间，以保证参数对比口径一致。</w:t>
      </w:r>
    </w:p>
    <w:p>
      <w:pPr>
        <w:spacing w:before="0" w:after="0"/>
        <w:ind w:firstLine="420"/>
        <w:jc w:val="both"/>
      </w:pPr>
      <w:r>
        <w:rPr>
          <w:rFonts w:ascii="Times New Roman" w:hAnsi="Times New Roman" w:eastAsia="宋体" w:cs="Times New Roman" w:hint="eastAsia"/>
          <w:b w:val="0"/>
          <w:i w:val="0"/>
          <w:sz w:val="21"/>
        </w:rPr>
        <w:t>输入记录含8192点，采样间隔为0.001 s，有效持时8.191 s，随后附加6 s静默尾段，总时长为14.191 s。静默段用于保留覆盖层多次波和坡体散射形成的晚到响应，减小时程截断对频谱的影响。原始响应函数存储范围为0.305—11.994 Hz，正式分析频带固定为0.5—10 Hz，并统一至0.1 Hz频率网格；频带外结果仅用于检查边界趋势。输入、等效力和地表输出采用相同时间增量，具体设置见图2和表3。</w:t>
      </w:r>
    </w:p>
    <w:p>
      <w:pPr>
        <w:spacing w:before="0" w:after="0"/>
        <w:ind w:firstLine="420"/>
        <w:jc w:val="both"/>
      </w:pPr>
      <w:r>
        <w:rPr>
          <w:rFonts w:ascii="Times New Roman" w:hAnsi="Times New Roman" w:eastAsia="宋体" w:cs="Times New Roman" w:hint="eastAsia"/>
          <w:b w:val="0"/>
          <w:i w:val="0"/>
          <w:sz w:val="21"/>
        </w:rPr>
        <w:t>&gt; 【图2占位符】G1b宽频多正弦输入与网格分辨率</w:t>
      </w:r>
    </w:p>
    <w:p>
      <w:pPr>
        <w:spacing w:before="0" w:after="0"/>
        <w:ind w:firstLine="420"/>
        <w:jc w:val="both"/>
      </w:pPr>
      <w:r>
        <w:rPr>
          <w:rFonts w:ascii="Times New Roman" w:hAnsi="Times New Roman" w:eastAsia="宋体" w:cs="Times New Roman" w:hint="eastAsia"/>
          <w:b w:val="0"/>
          <w:i w:val="0"/>
          <w:sz w:val="21"/>
        </w:rPr>
        <w:t>标准H/P工况的数值设置见表3。</w:t>
      </w:r>
    </w:p>
    <w:p>
      <w:pPr>
        <w:spacing w:before="0" w:after="0"/>
        <w:ind w:firstLine="420"/>
        <w:jc w:val="both"/>
      </w:pPr>
      <w:r>
        <w:rPr>
          <w:rFonts w:ascii="Times New Roman" w:hAnsi="Times New Roman" w:eastAsia="宋体" w:cs="Times New Roman" w:hint="eastAsia"/>
          <w:b w:val="0"/>
          <w:i w:val="0"/>
          <w:sz w:val="21"/>
        </w:rPr>
        <w:t>&gt; 【表3占位符】标准工况的数值计算设置</w:t>
      </w:r>
    </w:p>
    <w:p>
      <w:pPr>
        <w:spacing w:before="312" w:after="60"/>
        <w:ind w:firstLine="0"/>
        <w:jc w:val="left"/>
      </w:pPr>
      <w:r>
        <w:rPr>
          <w:rFonts w:ascii="Times New Roman" w:hAnsi="Times New Roman" w:eastAsia="宋体" w:cs="Times New Roman" w:hint="eastAsia"/>
          <w:b/>
          <w:i w:val="0"/>
          <w:sz w:val="28"/>
        </w:rPr>
        <w:t>3 总波场响应函数与参数影响规律</w:t>
      </w:r>
    </w:p>
    <w:p>
      <w:pPr>
        <w:spacing w:before="156" w:after="40"/>
        <w:ind w:firstLine="0"/>
        <w:jc w:val="left"/>
      </w:pPr>
      <w:r>
        <w:rPr>
          <w:rFonts w:ascii="Times New Roman" w:hAnsi="Times New Roman" w:eastAsia="宋体" w:cs="Times New Roman" w:hint="eastAsia"/>
          <w:b/>
          <w:i w:val="0"/>
          <w:sz w:val="24"/>
        </w:rPr>
        <w:t>3.1 扣除斜入射水平传播相位后的总波场响应函数</w:t>
      </w:r>
    </w:p>
    <w:p>
      <w:pPr>
        <w:spacing w:before="0" w:after="0"/>
        <w:ind w:firstLine="420"/>
        <w:jc w:val="both"/>
      </w:pPr>
      <w:r>
        <w:rPr>
          <w:rFonts w:ascii="Times New Roman" w:hAnsi="Times New Roman" w:eastAsia="宋体" w:cs="Times New Roman" w:hint="eastAsia"/>
          <w:b w:val="0"/>
          <w:i w:val="0"/>
          <w:sz w:val="21"/>
        </w:rPr>
        <w:t>坡地表面的地震响应同时随频率和位置变化，仅比较时程峰值难以区分频带结构和到时关系。本文利用2.2.2节的宽频输入，在同一次线性计算中由各频率分量估计输入—输出关系，并以二维坡地总波场与一维自由场的复谱比表征坡地响应。</w:t>
      </w:r>
    </w:p>
    <w:p>
      <w:pPr>
        <w:spacing w:before="0" w:after="0"/>
        <w:ind w:firstLine="420"/>
        <w:jc w:val="both"/>
      </w:pPr>
      <w:r>
        <w:rPr>
          <w:rFonts w:ascii="Times New Roman" w:hAnsi="Times New Roman" w:eastAsia="宋体" w:cs="Times New Roman" w:hint="eastAsia"/>
          <w:b w:val="0"/>
          <w:i w:val="0"/>
          <w:sz w:val="21"/>
        </w:rPr>
        <w:t>图5(a)、(b)给出了G1b的时程和归一化输入谱。0.5—10 Hz内归一化谱幅的中位数为0.921，5%分位数为0.533，表明正式频带内不存在连续的近零谱谷。当输入谱接近零时，复谱相除会放大数值误差，因此后处理要求参考输入谱不低于候选频带峰值的5%，且输出复谱的实部和虚部均为有限值；不满足条件的频点记为无效。</w:t>
      </w:r>
    </w:p>
    <w:p>
      <w:pPr>
        <w:spacing w:before="0" w:after="0"/>
        <w:ind w:firstLine="420"/>
        <w:jc w:val="both"/>
      </w:pPr>
      <w:r>
        <w:rPr>
          <w:rFonts w:ascii="Times New Roman" w:hAnsi="Times New Roman" w:eastAsia="宋体" w:cs="Times New Roman" w:hint="eastAsia"/>
          <w:b w:val="0"/>
          <w:i w:val="0"/>
          <w:sz w:val="21"/>
        </w:rPr>
        <w:t xml:space="preserve">有效掩码不仅保护幅值比，也决定相位是否可以连续解释。复数除法在分母很小时会同时污染模和辐角；若只删除异常大的幅值而保留这些频点的相位，后续相位展开仍可能把一个噪声点传递成整段 </w:t>
      </w:r>
      <m:oMath>
        <m:r>
          <m:t>2</m:t>
        </m:r>
        <m:r>
          <m:t>π</m:t>
        </m:r>
      </m:oMath>
      <w:r>
        <w:rPr>
          <w:rFonts w:ascii="Times New Roman" w:hAnsi="Times New Roman" w:eastAsia="宋体" w:cs="Times New Roman" w:hint="eastAsia"/>
          <w:b w:val="0"/>
          <w:i w:val="0"/>
          <w:sz w:val="21"/>
        </w:rPr>
        <w:t xml:space="preserve"> 分支偏移，群时延求导还会进一步放大该误差。因此，输入谱5%阈值和复谱有限性检查均在相位展开之前完成，幅值、相位及其导数使用同一套有效频点；相位只在相邻有效频点组成的连续区间内分别展开，不跨无效区间拼接分支。本文把分析网格统一为 0.1 Hz 间隔，也使不同工况的相位条带和峰位能够逐点比较，而不必把某一工况的缺失频点误认为主峰迁移。</w:t>
      </w:r>
    </w:p>
    <w:p>
      <w:pPr>
        <w:spacing w:before="0" w:after="0"/>
        <w:ind w:firstLine="420"/>
        <w:jc w:val="both"/>
      </w:pPr>
      <w:r>
        <w:rPr>
          <w:rFonts w:ascii="Times New Roman" w:hAnsi="Times New Roman" w:eastAsia="宋体" w:cs="Times New Roman" w:hint="eastAsia"/>
          <w:b w:val="0"/>
          <w:i w:val="0"/>
          <w:sz w:val="21"/>
        </w:rPr>
        <w:t>从原始时程到图5(f)可按一条不可颠倒的链条理解。先对基岩输入、总波场响应和自由场响应作傅里叶变换，再在同一频率上形成总波场与自由场的复谱比；随后按式（13）乘以单位模相位因子，扣除斜入射的水平传播相位，最后才提取模、展开相位及其导数。有效性检查位于复数相除和相位展开之前。若先对时程取峰、分别在两条曲线上寻找最大值后相除，或在相位扣除前丢掉复数辐角，频率间原有的一一对应关系都会丢失。</w:t>
      </w:r>
    </w:p>
    <w:p>
      <w:pPr>
        <w:spacing w:before="0" w:after="0"/>
        <w:ind w:firstLine="420"/>
        <w:jc w:val="both"/>
      </w:pPr>
      <w:r>
        <w:rPr>
          <w:rFonts w:ascii="Times New Roman" w:hAnsi="Times New Roman" w:eastAsia="宋体" w:cs="Times New Roman" w:hint="eastAsia"/>
          <w:b w:val="0"/>
          <w:i w:val="0"/>
          <w:sz w:val="21"/>
        </w:rPr>
        <w:t>这条顺序还说明输入谱为何需要单独展示。只看输出谱无法区分某一频带的高响应究竟来自模型传递特性，还是输入本身在该处能量较大；只看复比值又容易忽略分母接近零时的不稳定性。图5(b)先证明正式频带内持续具有可识别的输入，图5(c)再说明二维坡顶与一维柱在同一输入下确实产生不同的时程，图5(d)把共同输入从两条响应中分别约去，图5(e)、(f)才给出两种传播体系之间的幅值和相位差。六幅子图并非重复展示同一结果，而是逐层回答“能否识别、识别什么以及结果如何解释”。</w:t>
      </w:r>
    </w:p>
    <w:p>
      <w:pPr>
        <w:spacing w:before="80" w:after="40"/>
        <w:ind w:firstLine="0"/>
        <w:jc w:val="center"/>
      </w:pPr>
      <w:r>
        <w:drawing>
          <wp:inline xmlns:a="http://schemas.openxmlformats.org/drawingml/2006/main" xmlns:pic="http://schemas.openxmlformats.org/drawingml/2006/picture">
            <wp:extent cx="5669280" cy="2857792"/>
            <wp:docPr id="1" name="Picture 1"/>
            <wp:cNvGraphicFramePr>
              <a:graphicFrameLocks noChangeAspect="1"/>
            </wp:cNvGraphicFramePr>
            <a:graphic>
              <a:graphicData uri="http://schemas.openxmlformats.org/drawingml/2006/picture">
                <pic:pic>
                  <pic:nvPicPr>
                    <pic:cNvPr id="0" name="fig05_宽频系统识别与复频响提取.png"/>
                    <pic:cNvPicPr/>
                  </pic:nvPicPr>
                  <pic:blipFill>
                    <a:blip r:embed="rId17"/>
                    <a:stretch>
                      <a:fillRect/>
                    </a:stretch>
                  </pic:blipFill>
                  <pic:spPr>
                    <a:xfrm>
                      <a:off x="0" y="0"/>
                      <a:ext cx="5669280" cy="2857792"/>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图5 P061 工况的宽频系统识别与总波场响应函数提取：（a）G1b 输入时程；（b）输入能量覆盖；（c）坡顶总波场与左侧自由场响应；（d）两者相对基岩输入的传递函数；（e）</w:t>
      </w:r>
      <m:oMath>
        <m:sSub>
          <m:e>
            <m:r>
              <m:t>G</m:t>
            </m:r>
          </m:e>
          <m:sub>
            <m:r>
              <m:t>h</m:t>
            </m:r>
          </m:sub>
        </m:sSub>
      </m:oMath>
      <w:r>
        <w:rPr>
          <w:rFonts w:ascii="Times New Roman" w:hAnsi="Times New Roman" w:eastAsia="宋体" w:cs="Times New Roman" w:hint="eastAsia"/>
          <w:b w:val="0"/>
          <w:i w:val="0"/>
          <w:sz w:val="18"/>
        </w:rPr>
        <w:t xml:space="preserve"> 幅值；（f）扣除水平传播相位后的展开相位</w:t>
      </w:r>
    </w:p>
    <w:p>
      <w:pPr>
        <w:spacing w:before="0" w:after="60"/>
        <w:ind w:firstLine="0"/>
        <w:jc w:val="center"/>
      </w:pPr>
      <w:r>
        <w:rPr>
          <w:rFonts w:ascii="Times New Roman" w:hAnsi="Times New Roman" w:eastAsia="Times New Roman" w:cs="Times New Roman" w:hint="eastAsia"/>
          <w:b w:val="0"/>
          <w:i w:val="0"/>
          <w:sz w:val="18"/>
        </w:rPr>
        <w:t>Fig. 5 Broadband identification of the phase-aligned total-wavefield response for P061</w:t>
      </w:r>
    </w:p>
    <w:p>
      <w:pPr>
        <w:spacing w:before="0" w:after="0"/>
        <w:ind w:firstLine="420"/>
        <w:jc w:val="both"/>
      </w:pPr>
      <w:r>
        <w:rPr>
          <w:rFonts w:ascii="Times New Roman" w:hAnsi="Times New Roman" w:eastAsia="宋体" w:cs="Times New Roman" w:hint="eastAsia"/>
          <w:b w:val="0"/>
          <w:i w:val="0"/>
          <w:sz w:val="21"/>
        </w:rPr>
        <w:t xml:space="preserve">图5(c)～(f)用 P061 说明 </w:t>
      </w:r>
      <m:oMath>
        <m:sSub>
          <m:e>
            <m:r>
              <m:t>G</m:t>
            </m:r>
          </m:e>
          <m:sub>
            <m:r>
              <m:t>h</m:t>
            </m:r>
          </m:sub>
        </m:sSub>
      </m:oMath>
      <w:r>
        <w:rPr>
          <w:rFonts w:ascii="Times New Roman" w:hAnsi="Times New Roman" w:eastAsia="宋体" w:cs="Times New Roman" w:hint="eastAsia"/>
          <w:b w:val="0"/>
          <w:i w:val="0"/>
          <w:sz w:val="21"/>
        </w:rPr>
        <w:t xml:space="preserve"> 的形成过程。基岩输入、坡顶总波场和左侧自由场的峰值加速度分别为 0.980、4.796 和 3.275 m/s²；这些时程峰值不能直接相除后当作响应函数，因为不同频率分量在峰值时刻并不同相。作傅里叶变换后，坡顶总波场相对基岩输入的传递函数幅值在 1.2 Hz 达到 8.596，左侧自由场在 1.1 Hz 达到 5.918；二者在相同频点作复数相除并扣除水平传播相位后，</w:t>
      </w:r>
      <m:oMath>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在1.9 Hz达到2.015。单位模相位修正不改变这三个幅值及其峰频，只使图5(f)表示相对于当地入射相位的散射与成层干涉。</w:t>
      </w:r>
    </w:p>
    <w:p>
      <w:pPr>
        <w:spacing w:before="0" w:after="0"/>
        <w:ind w:firstLine="420"/>
        <w:jc w:val="both"/>
      </w:pPr>
      <w:r>
        <w:rPr>
          <w:rFonts w:ascii="Times New Roman" w:hAnsi="Times New Roman" w:eastAsia="宋体" w:cs="Times New Roman" w:hint="eastAsia"/>
          <w:b w:val="0"/>
          <w:i w:val="0"/>
          <w:sz w:val="21"/>
        </w:rPr>
        <w:t xml:space="preserve">这一差别也可以从数值上直观看出。若直接用两个时程峰值相除，P061 坡顶相对左侧自由场的比值仅为 1.464；而总波场响应函数的最大幅值为 2.015，且出现在 1.9 Hz。前者把发生在不同时刻、由不同频率组合形成的两个峰强行配对，既没有明确的频率坐标，也丢失了相位信息；后者则在每个频率上先完成复谱配对，再从所得曲线中寻找峰值。即使把总波场和自由场传递函数各自的最大值 8.596 与 5.918 相除，所得比值也不能代替 </w:t>
      </w:r>
      <m:oMath>
        <m:sSub>
          <m:e>
            <m:r>
              <m:t>G</m:t>
            </m:r>
          </m:e>
          <m:sub>
            <m:r>
              <m:t>h</m:t>
            </m:r>
          </m:sub>
        </m:sSub>
      </m:oMath>
      <w:r>
        <w:rPr>
          <w:rFonts w:ascii="Times New Roman" w:hAnsi="Times New Roman" w:eastAsia="宋体" w:cs="Times New Roman" w:hint="eastAsia"/>
          <w:b w:val="0"/>
          <w:i w:val="0"/>
          <w:sz w:val="21"/>
        </w:rPr>
        <w:t xml:space="preserve">，因为两个最大值分别位于 1.2 和 1.1 Hz，而 </w:t>
      </w:r>
      <m:oMath>
        <m:sSub>
          <m:e>
            <m:r>
              <m:t>G</m:t>
            </m:r>
          </m:e>
          <m:sub>
            <m:r>
              <m:t>h</m:t>
            </m:r>
          </m:sub>
        </m:sSub>
      </m:oMath>
      <w:r>
        <w:rPr>
          <w:rFonts w:ascii="Times New Roman" w:hAnsi="Times New Roman" w:eastAsia="宋体" w:cs="Times New Roman" w:hint="eastAsia"/>
          <w:b w:val="0"/>
          <w:i w:val="0"/>
          <w:sz w:val="21"/>
        </w:rPr>
        <w:t xml:space="preserve"> 的最大值位于 1.9 Hz。复数相除必须在相同频点进行，这正是图5从时程、单独传递函数到复比值逐层展示的原因。</w:t>
      </w:r>
    </w:p>
    <w:p>
      <w:pPr>
        <w:spacing w:before="0" w:after="0"/>
        <w:ind w:firstLine="420"/>
        <w:jc w:val="both"/>
      </w:pPr>
      <w:r>
        <w:rPr>
          <w:rFonts w:ascii="Times New Roman" w:hAnsi="Times New Roman" w:eastAsia="宋体" w:cs="Times New Roman" w:hint="eastAsia"/>
          <w:b w:val="0"/>
          <w:i w:val="0"/>
          <w:sz w:val="21"/>
        </w:rPr>
        <w:t>由此，本文所用“放大”始终是带参考条件的相对概念。</w:t>
      </w:r>
      <m:oMath>
        <m:sSub>
          <m:e>
            <m:r>
              <m:t>G</m:t>
            </m:r>
          </m:e>
          <m:sub>
            <m:r>
              <m:t>h</m:t>
            </m:r>
          </m:sub>
        </m:sSub>
      </m:oMath>
      <w:r>
        <w:rPr>
          <w:rFonts w:ascii="Times New Roman" w:hAnsi="Times New Roman" w:eastAsia="宋体" w:cs="Times New Roman" w:hint="eastAsia"/>
          <w:b w:val="0"/>
          <w:i w:val="0"/>
          <w:sz w:val="21"/>
        </w:rPr>
        <w:t xml:space="preserve"> 不是总波场相对基岩的绝对传递函数，而是总波场相对当地相位一致自由场的复数响应。工程上若需恢复总波场，必须把 </w:t>
      </w:r>
      <m:oMath>
        <m:sSub>
          <m:e>
            <m:r>
              <m:t>G</m:t>
            </m:r>
          </m:e>
          <m:sub>
            <m:r>
              <m:t>h</m:t>
            </m:r>
          </m:sub>
        </m:sSub>
      </m:oMath>
      <w:r>
        <w:rPr>
          <w:rFonts w:ascii="Times New Roman" w:hAnsi="Times New Roman" w:eastAsia="宋体" w:cs="Times New Roman" w:hint="eastAsia"/>
          <w:b w:val="0"/>
          <w:i w:val="0"/>
          <w:sz w:val="21"/>
        </w:rPr>
        <w:t xml:space="preserve"> 与左侧自由场复谱以及式（13a）的水平传播相位共同相乘，不能只把幅值峰值相乘。</w:t>
      </w:r>
    </w:p>
    <w:p>
      <w:pPr>
        <w:spacing w:before="0" w:after="0"/>
        <w:ind w:firstLine="420"/>
        <w:jc w:val="both"/>
      </w:pPr>
      <w:r>
        <w:rPr>
          <w:rFonts w:ascii="Times New Roman" w:hAnsi="Times New Roman" w:eastAsia="宋体" w:cs="Times New Roman" w:hint="eastAsia"/>
          <w:b w:val="0"/>
          <w:i w:val="0"/>
          <w:sz w:val="21"/>
        </w:rPr>
        <w:t>图5中的三个峰进一步表明，这一约分不是简单“消去一个数字”。二维传递函数在1.2 Hz取8.596，一维传递函数在1.1 Hz取5.918，而二者复比值在1.9 Hz取2.015；三个峰不在同一频率，说明分子和分母在频率轴上的相对起伏共同塑造了最终结果。某频率处即使二维传递幅值很高，只要一维自由场也同步放大，</w:t>
      </w:r>
      <m:oMath>
        <m:sSub>
          <m:e>
            <m:r>
              <m:t>G</m:t>
            </m:r>
          </m:e>
          <m:sub>
            <m:r>
              <m:t>h</m:t>
            </m:r>
          </m:sub>
        </m:sSub>
      </m:oMath>
      <w:r>
        <w:rPr>
          <w:rFonts w:ascii="Times New Roman" w:hAnsi="Times New Roman" w:eastAsia="宋体" w:cs="Times New Roman" w:hint="eastAsia"/>
          <w:b w:val="0"/>
          <w:i w:val="0"/>
          <w:sz w:val="21"/>
        </w:rPr>
        <w:t>未必很大；反之，二维传递函数不在自身峰值处，也可能因相对一维场偏离更明显而形成</w:t>
      </w:r>
      <m:oMath>
        <m:sSub>
          <m:e>
            <m:r>
              <m:t>G</m:t>
            </m:r>
          </m:e>
          <m:sub>
            <m:r>
              <m:t>h</m:t>
            </m:r>
          </m:sub>
        </m:sSub>
      </m:oMath>
      <w:r>
        <w:rPr>
          <w:rFonts w:ascii="Times New Roman" w:hAnsi="Times New Roman" w:eastAsia="宋体" w:cs="Times New Roman" w:hint="eastAsia"/>
          <w:b w:val="0"/>
          <w:i w:val="0"/>
          <w:sz w:val="21"/>
        </w:rPr>
        <w:t>局部峰。相位差同样来自同频复数商，不能由两条幅值曲线推回。</w:t>
      </w:r>
    </w:p>
    <w:p>
      <w:pPr>
        <w:spacing w:before="0" w:after="0"/>
        <w:ind w:firstLine="420"/>
        <w:jc w:val="both"/>
      </w:pPr>
      <w:r>
        <w:rPr>
          <w:rFonts w:ascii="Times New Roman" w:hAnsi="Times New Roman" w:eastAsia="宋体" w:cs="Times New Roman" w:hint="eastAsia"/>
          <w:b w:val="0"/>
          <w:i w:val="0"/>
          <w:sz w:val="21"/>
        </w:rPr>
        <w:t>因此，宽频识别的产物不是一张“峰值排行表”，而是一组在频率和空间上保持复数关系的场。后文从场中摘取全场峰、固定频率剖面和固定位置谱，是对同一数据作不同方向的切片：全场峰回答最不利组合在哪里，固定频率剖面回答同一时刻尺度下响应怎样沿地表重新分配，固定位置谱回答某一工程位置受哪些频带控制。三类读法必须共同使用，才能避免把某个偶然极值等同于完整的坡体规律。</w:t>
      </w:r>
    </w:p>
    <w:p>
      <w:pPr>
        <w:spacing w:before="0" w:after="0"/>
        <w:ind w:firstLine="420"/>
        <w:jc w:val="both"/>
      </w:pPr>
      <w:r>
        <w:rPr>
          <w:rFonts w:ascii="Times New Roman" w:hAnsi="Times New Roman" w:eastAsia="宋体" w:cs="Times New Roman" w:hint="eastAsia"/>
          <w:b w:val="0"/>
          <w:i w:val="0"/>
          <w:sz w:val="21"/>
        </w:rPr>
        <w:t xml:space="preserve">采用式（19）沿折线地表分段定义归一化坐标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。令 </w:t>
      </w:r>
      <m:oMath>
        <m:r>
          <m:t>x</m:t>
        </m:r>
        <m:r>
          <m:rPr>
            <m:sty m:val="p"/>
          </m:rPr>
          <m:t>(</m:t>
        </m:r>
        <m:r>
          <m:t>s</m:t>
        </m:r>
        <m:r>
          <m:rPr>
            <m:sty m:val="p"/>
          </m:rPr>
          <m:t>)</m:t>
        </m:r>
      </m:oMath>
      <w:r>
        <w:rPr>
          <w:rFonts w:ascii="Times New Roman" w:hAnsi="Times New Roman" w:eastAsia="宋体" w:cs="Times New Roman" w:hint="eastAsia"/>
          <w:b w:val="0"/>
          <w:i w:val="0"/>
          <w:sz w:val="21"/>
        </w:rPr>
        <w:t xml:space="preserve"> 为该位置的物理横坐标，</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为自由场相位原点。对基岩中以入射角 </w:t>
      </w:r>
      <m:oMath>
        <m:r>
          <m:t>θ</m:t>
        </m:r>
      </m:oMath>
      <w:r>
        <w:rPr>
          <w:rFonts w:ascii="Times New Roman" w:hAnsi="Times New Roman" w:eastAsia="宋体" w:cs="Times New Roman" w:hint="eastAsia"/>
          <w:b w:val="0"/>
          <w:i w:val="0"/>
          <w:sz w:val="21"/>
        </w:rPr>
        <w:t xml:space="preserve"> 传播的 SV 平面波，水平慢度为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r>
                    <m:t>θ</m:t>
                  </m:r>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其从 </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传播至 </w:t>
      </w:r>
      <m:oMath>
        <m:r>
          <m:t>x</m:t>
        </m:r>
        <m:r>
          <m:rPr>
            <m:sty m:val="p"/>
          </m:rPr>
          <m:t>(</m:t>
        </m:r>
        <m:r>
          <m:t>s</m:t>
        </m:r>
        <m:r>
          <m:rPr>
            <m:sty m:val="p"/>
          </m:rPr>
          <m:t>)</m:t>
        </m:r>
      </m:oMath>
      <w:r>
        <w:rPr>
          <w:rFonts w:ascii="Times New Roman" w:hAnsi="Times New Roman" w:eastAsia="宋体" w:cs="Times New Roman" w:hint="eastAsia"/>
          <w:b w:val="0"/>
          <w:i w:val="0"/>
          <w:sz w:val="21"/>
        </w:rPr>
        <w:t xml:space="preserve"> 所产生的确定性水平相位为 </w:t>
      </w:r>
      <m:oMath>
        <m:r>
          <m:rPr>
            <m:sty m:val="p"/>
          </m:rPr>
          <m:t>exp</m:t>
        </m:r>
        <m:r>
          <m:rPr>
            <m:sty m:val="p"/>
          </m:rPr>
          <m:t>[</m:t>
        </m:r>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r>
          <m:rPr>
            <m:sty m:val="p"/>
          </m:rPr>
          <m:t>]</m:t>
        </m:r>
      </m:oMath>
      <w:r>
        <w:rPr>
          <w:rFonts w:ascii="Times New Roman" w:hAnsi="Times New Roman" w:eastAsia="宋体" w:cs="Times New Roman" w:hint="eastAsia"/>
          <w:b w:val="0"/>
          <w:i w:val="0"/>
          <w:sz w:val="21"/>
        </w:rPr>
        <w:t xml:space="preserve">。本文先用左侧上平台自由场复谱 </w:t>
      </w:r>
      <m:oMath>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oMath>
      <w:r>
        <w:rPr>
          <w:rFonts w:ascii="Times New Roman" w:hAnsi="Times New Roman" w:eastAsia="宋体" w:cs="Times New Roman" w:hint="eastAsia"/>
          <w:b w:val="0"/>
          <w:i w:val="0"/>
          <w:sz w:val="21"/>
        </w:rPr>
        <w:t xml:space="preserve"> 构造各位置的相位一致参考：</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r>
                <m:rPr>
                  <m:sty m:val="p"/>
                </m:rPr>
                <m:t>=</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扣除斜入射水平传播相位后的总波场响应函数定义为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den>
              </m:f>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式中，</w:t>
      </w:r>
      <m:oMath>
        <m:sSubSup>
          <m:e>
            <m:acc>
              <m:accPr>
                <m:chr m:val="̂"/>
              </m:accPr>
              <m:e>
                <m:r>
                  <m:t>a</m:t>
                </m:r>
              </m:e>
            </m:acc>
          </m:e>
          <m:sub>
            <m:r>
              <m:t>h</m:t>
            </m:r>
          </m:sub>
          <m:sup>
            <m:r>
              <m:rPr>
                <m:sty m:val="p"/>
              </m:rPr>
              <m:t>t</m:t>
            </m:r>
            <m:r>
              <m:rPr>
                <m:sty m:val="p"/>
              </m:rPr>
              <m:t>o</m:t>
            </m:r>
            <m:r>
              <m:rPr>
                <m:sty m:val="p"/>
              </m:rPr>
              <m:t>t</m:t>
            </m:r>
          </m:sup>
        </m:sSubSup>
      </m:oMath>
      <w:r>
        <w:rPr>
          <w:rFonts w:ascii="Times New Roman" w:hAnsi="Times New Roman" w:eastAsia="宋体" w:cs="Times New Roman" w:hint="eastAsia"/>
          <w:b w:val="0"/>
          <w:i w:val="0"/>
          <w:sz w:val="21"/>
        </w:rPr>
        <w:t xml:space="preserve"> 是 Abaqus 计算得到的地表总波场复谱，包含自由场和坡体散射场；</w:t>
      </w:r>
      <m:oMath>
        <m:sSubSup>
          <m:e>
            <m:acc>
              <m:accPr>
                <m:chr m:val="̂"/>
              </m:accPr>
              <m:e>
                <m:r>
                  <m:t>a</m:t>
                </m:r>
              </m:e>
            </m:acc>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 xml:space="preserve"> 是频域全局矩阵法得到的左侧上平台自由场复谱。式（13）右侧的指数项只用于消除斜入射平面波随 </w:t>
      </w:r>
      <m:oMath>
        <m:r>
          <m:t>x</m:t>
        </m:r>
      </m:oMath>
      <w:r>
        <w:rPr>
          <w:rFonts w:ascii="Times New Roman" w:hAnsi="Times New Roman" w:eastAsia="宋体" w:cs="Times New Roman" w:hint="eastAsia"/>
          <w:b w:val="0"/>
          <w:i w:val="0"/>
          <w:sz w:val="21"/>
        </w:rPr>
        <w:t xml:space="preserve"> 线性累积的背景相位，其模恒为1，因此</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p"/>
                </m:rPr>
                <m:t>|</m:t>
              </m:r>
              <m:sSub>
                <m:e>
                  <m:r>
                    <m:t>G</m:t>
                  </m:r>
                </m:e>
                <m:sub>
                  <m:r>
                    <m:t>h</m:t>
                  </m:r>
                </m:sub>
              </m:sSub>
              <m:r>
                <m:rPr>
                  <m:sty m:val="p"/>
                </m:rPr>
                <m:t>(</m:t>
              </m:r>
              <m:r>
                <m:t>f</m:t>
              </m:r>
              <m:r>
                <m:rPr>
                  <m:sty m:val="p"/>
                </m:rPr>
                <m:t>,</m:t>
              </m:r>
              <m:r>
                <m:t>s</m:t>
              </m:r>
              <m:r>
                <m:rPr>
                  <m:sty m:val="p"/>
                </m:rPr>
                <m:t>)</m:t>
              </m:r>
              <m:r>
                <m:rPr>
                  <m:sty m:val="p"/>
                </m:rPr>
                <m:t>|</m:t>
              </m:r>
              <m:r>
                <m:rPr>
                  <m:sty m:val="p"/>
                </m:rPr>
                <m:t>=</m:t>
              </m:r>
              <m:d>
                <m:dPr>
                  <m:begChr m:val="|"/>
                  <m:sepChr m:val=""/>
                  <m:endChr m:val="|"/>
                  <m:grow/>
                </m:dPr>
                <m:e>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指数项的模恒为1，因此式（13）不改变总波场相对左侧自由场的幅值，只将各位置的相位统一到当地入射波相位。相位和群时延由此主要表征坡体散射、覆盖层透反射及多波干涉，而不包含平面入射波沿水平方向传播的确定性走时。本文工况取 </w:t>
      </w:r>
      <m:oMath>
        <m:r>
          <m:t>θ</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V</m:t>
            </m:r>
          </m:e>
          <m:sub>
            <m:r>
              <m:rPr>
                <m:sty m:val="p"/>
              </m:rPr>
              <m:t>s</m:t>
            </m:r>
            <m:r>
              <m:rPr>
                <m:sty m:val="p"/>
              </m:rPr>
              <m:t>,</m:t>
            </m:r>
            <m:r>
              <m:rPr>
                <m:sty m:val="p"/>
              </m:rPr>
              <m:t>b</m:t>
            </m:r>
          </m:sub>
        </m:sSub>
        <m:r>
          <m:rPr>
            <m:sty m:val="p"/>
          </m:rPr>
          <m:t>=</m:t>
        </m:r>
        <m:r>
          <m:t>2000</m:t>
        </m:r>
      </m:oMath>
      <w:r>
        <w:rPr>
          <w:rFonts w:ascii="Times New Roman" w:hAnsi="Times New Roman" w:eastAsia="宋体" w:cs="Times New Roman" w:hint="eastAsia"/>
          <w:b w:val="0"/>
          <w:i w:val="0"/>
          <w:sz w:val="21"/>
        </w:rPr>
        <w:t xml:space="preserve"> m/s，故 </w:t>
      </w:r>
      <m:oMath>
        <m:r>
          <m:t>p</m:t>
        </m:r>
        <m:r>
          <m:rPr>
            <m:sty m:val="p"/>
          </m:rPr>
          <m:t>=</m:t>
        </m:r>
        <m:r>
          <m:t>1.2941</m:t>
        </m:r>
        <m:r>
          <m:rPr>
            <m:sty m:val="p"/>
          </m:rPr>
          <m:t>×</m:t>
        </m:r>
        <m:sSup>
          <m:e>
            <m:r>
              <m:t>10</m:t>
            </m:r>
          </m:e>
          <m:sup>
            <m:r>
              <m:rPr>
                <m:sty m:val="p"/>
              </m:rPr>
              <m:t>−</m:t>
            </m:r>
            <m:r>
              <m:t>4</m:t>
            </m:r>
          </m:sup>
        </m:sSup>
      </m:oMath>
      <w:r>
        <w:rPr>
          <w:rFonts w:ascii="Times New Roman" w:hAnsi="Times New Roman" w:eastAsia="宋体" w:cs="Times New Roman" w:hint="eastAsia"/>
          <w:b w:val="0"/>
          <w:i w:val="0"/>
          <w:sz w:val="21"/>
        </w:rPr>
        <w:t xml:space="preserve"> s/m。80个H/P/B工况中，单位模运算的最大幅值数值误差为 </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 xml:space="preserve">，式（13）的最大复数恒等残差为 </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建模自由场与式（13）的自由场参考承担不同作用。前者用于计算三侧人工边界的等效节点力并参与有限元求解；后者用于表述已经得到的地表总波场。式（13）不会改变Abaqus时程、边界荷载或幅值结果。全地表均采用左侧上平台自由场幅值基准，并按各测点物理横坐标扣除水平传播相位；相位展开和群时延求导均基于同一个 </w:t>
      </w:r>
      <m:oMath>
        <m:sSub>
          <m:e>
            <m:r>
              <m:t>G</m:t>
            </m:r>
          </m:e>
          <m:sub>
            <m:r>
              <m:t>h</m:t>
            </m:r>
          </m:sub>
        </m:sSub>
      </m:oMath>
      <w:r>
        <w:rPr>
          <w:rFonts w:ascii="Times New Roman" w:hAnsi="Times New Roman" w:eastAsia="宋体" w:cs="Times New Roman" w:hint="eastAsia"/>
          <w:b w:val="0"/>
          <w:i w:val="0"/>
          <w:sz w:val="21"/>
        </w:rPr>
        <w:t>。</w:t>
      </w:r>
    </w:p>
    <w:p>
      <w:pPr>
        <w:spacing w:before="80" w:after="40"/>
        <w:ind w:firstLine="0"/>
        <w:jc w:val="center"/>
      </w:pPr>
      <w:r>
        <w:drawing>
          <wp:inline xmlns:a="http://schemas.openxmlformats.org/drawingml/2006/main" xmlns:pic="http://schemas.openxmlformats.org/drawingml/2006/picture">
            <wp:extent cx="5669280" cy="3586853"/>
            <wp:docPr id="2" name="Picture 2"/>
            <wp:cNvGraphicFramePr>
              <a:graphicFrameLocks noChangeAspect="1"/>
            </wp:cNvGraphicFramePr>
            <a:graphic>
              <a:graphicData uri="http://schemas.openxmlformats.org/drawingml/2006/picture">
                <pic:pic>
                  <pic:nvPicPr>
                    <pic:cNvPr id="0" name="fig06_相位对齐总波场响应频率空间特征.png"/>
                    <pic:cNvPicPr/>
                  </pic:nvPicPr>
                  <pic:blipFill>
                    <a:blip r:embed="rId18"/>
                    <a:stretch>
                      <a:fillRect/>
                    </a:stretch>
                  </pic:blipFill>
                  <pic:spPr>
                    <a:xfrm>
                      <a:off x="0" y="0"/>
                      <a:ext cx="5669280" cy="358685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图6 相位对齐总波场响应的频率—空间特征：（a）均质坡H004对数幅值场；（b）成层坡P061对数幅值场；（c）5 Hz空间剖面；（d）H004与P061坡脚邻点复数梯度；虚线标出坡顶和坡脚</w:t>
      </w:r>
    </w:p>
    <w:p>
      <w:pPr>
        <w:spacing w:before="0" w:after="60"/>
        <w:ind w:firstLine="0"/>
        <w:jc w:val="center"/>
      </w:pPr>
      <w:r>
        <w:rPr>
          <w:rFonts w:ascii="Times New Roman" w:hAnsi="Times New Roman" w:eastAsia="Times New Roman" w:cs="Times New Roman" w:hint="eastAsia"/>
          <w:b w:val="0"/>
          <w:i w:val="0"/>
          <w:sz w:val="18"/>
        </w:rPr>
        <w:t>Fig. 6 Frequency–space characteristics of the phase-aligned total-wavefield response</w:t>
      </w:r>
    </w:p>
    <w:p>
      <w:pPr>
        <w:spacing w:before="0" w:after="0"/>
        <w:ind w:firstLine="420"/>
        <w:jc w:val="both"/>
      </w:pPr>
      <w:r>
        <w:rPr>
          <w:rFonts w:ascii="Times New Roman" w:hAnsi="Times New Roman" w:eastAsia="宋体" w:cs="Times New Roman" w:hint="eastAsia"/>
          <w:b w:val="0"/>
          <w:i w:val="0"/>
          <w:sz w:val="21"/>
        </w:rPr>
        <w:t>图6仅展示式（13）对应的总波场响应。H004的对数幅值场较平滑，P061则在坡脚和下平台形成更密集的弯曲条带，反映成层干涉和地形散射的共同作用。5 Hz时，P061在</w:t>
      </w:r>
      <m:oMath>
        <m:r>
          <m:t>s</m:t>
        </m:r>
        <m:r>
          <m:rPr>
            <m:sty m:val="p"/>
          </m:rPr>
          <m:t>=</m:t>
        </m:r>
        <m:r>
          <m:t>2</m:t>
        </m:r>
      </m:oMath>
      <w:r>
        <w:rPr>
          <w:rFonts w:ascii="Times New Roman" w:hAnsi="Times New Roman" w:eastAsia="宋体" w:cs="Times New Roman" w:hint="eastAsia"/>
          <w:b w:val="0"/>
          <w:i w:val="0"/>
          <w:sz w:val="21"/>
        </w:rPr>
        <w:t>处的幅值为1.496，其下平台响应明显高于同频均质坡。</w:t>
      </w:r>
    </w:p>
    <w:p>
      <w:pPr>
        <w:spacing w:before="0" w:after="0"/>
        <w:ind w:firstLine="420"/>
        <w:jc w:val="both"/>
      </w:pPr>
      <w:r>
        <w:rPr>
          <w:rFonts w:ascii="Times New Roman" w:hAnsi="Times New Roman" w:eastAsia="宋体" w:cs="Times New Roman" w:hint="eastAsia"/>
          <w:b w:val="0"/>
          <w:i w:val="0"/>
          <w:sz w:val="21"/>
        </w:rPr>
        <w:t>图6(d)采用复数对称相对变化量描述坡脚左邻点与坡脚点的差异，即两点复数差的模除以两点幅值之和。H004与P061在0.5～10 Hz内的中位值分别为22.6%和40.3%，90%分位数分别为50.4%和58.9%。该量同时包含幅值与相位变化，用于刻画几何折点附近的局部梯度；P061较大的数值与其更复杂的散射和成层干涉结构一致。图7—图17均沿用式（13）的总波场响应函数及相同的频率—空间网格。</w:t>
      </w:r>
    </w:p>
    <w:p>
      <w:pPr>
        <w:spacing w:before="0" w:after="0"/>
        <w:ind w:firstLine="420"/>
        <w:jc w:val="both"/>
      </w:pPr>
      <w:r>
        <w:rPr>
          <w:rFonts w:ascii="Times New Roman" w:hAnsi="Times New Roman" w:eastAsia="宋体" w:cs="Times New Roman" w:hint="eastAsia"/>
          <w:b w:val="0"/>
          <w:i w:val="0"/>
          <w:sz w:val="21"/>
        </w:rPr>
        <w:t>总波场响应函数的幅值和频率展开相位定义为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A</m:t>
                  </m:r>
                </m:e>
                <m:sub>
                  <m:r>
                    <m:t>h</m:t>
                  </m:r>
                </m:sub>
              </m:sSub>
              <m:r>
                <m:rPr>
                  <m:sty m:val="p"/>
                </m:rPr>
                <m:t>(</m:t>
              </m:r>
              <m:r>
                <m:t>f</m:t>
              </m:r>
              <m:r>
                <m:rPr>
                  <m:sty m:val="p"/>
                </m:rPr>
                <m:t>,</m:t>
              </m:r>
              <m:r>
                <m:t>s</m:t>
              </m:r>
              <m:r>
                <m:rPr>
                  <m:sty m:val="p"/>
                </m:rPr>
                <m:t>)</m:t>
              </m:r>
              <m:r>
                <m:rPr>
                  <m:sty m:val="p"/>
                </m:rPr>
                <m:t>=</m:t>
              </m:r>
              <m:r>
                <m:rPr>
                  <m:sty m:val="p"/>
                </m:rPr>
                <m:t>|</m:t>
              </m:r>
              <m:sSub>
                <m:e>
                  <m:r>
                    <m:t>G</m:t>
                  </m:r>
                </m:e>
                <m:sub>
                  <m:r>
                    <m:t>h</m:t>
                  </m:r>
                </m:sub>
              </m:sSub>
              <m:r>
                <m:rPr>
                  <m:sty m:val="p"/>
                </m:rPr>
                <m:t>(</m:t>
              </m:r>
              <m:r>
                <m:t>f</m:t>
              </m:r>
              <m:r>
                <m:rPr>
                  <m:sty m:val="p"/>
                </m:rPr>
                <m:t>,</m:t>
              </m:r>
              <m:r>
                <m:t>s</m:t>
              </m:r>
              <m:r>
                <m:rPr>
                  <m:sty m:val="p"/>
                </m:rPr>
                <m:t>)</m:t>
              </m:r>
              <m:r>
                <m:rPr>
                  <m:sty m:val="p"/>
                </m:rPr>
                <m:t>|</m:t>
              </m:r>
              <m:r>
                <m:rPr>
                  <m:sty m:val="p"/>
                </m:rPr>
                <m:t>,</m:t>
              </m:r>
              <m:r>
                <m:t>  </m:t>
              </m:r>
              <m:sSub>
                <m:e>
                  <m:r>
                    <m:rPr>
                      <m:sty m:val="p"/>
                    </m:rPr>
                    <m:t>Φ</m:t>
                  </m:r>
                </m:e>
                <m:sub>
                  <m:r>
                    <m:t>h</m:t>
                  </m:r>
                </m:sub>
              </m:sSub>
              <m:r>
                <m:rPr>
                  <m:sty m:val="p"/>
                </m:rPr>
                <m:t>(</m:t>
              </m:r>
              <m:r>
                <m:t>f</m:t>
              </m:r>
              <m:r>
                <m:rPr>
                  <m:sty m:val="p"/>
                </m:rPr>
                <m:t>,</m:t>
              </m:r>
              <m:r>
                <m:t>s</m:t>
              </m:r>
              <m:r>
                <m:rPr>
                  <m:sty m:val="p"/>
                </m:rPr>
                <m:t>)</m:t>
              </m:r>
              <m:r>
                <m:rPr>
                  <m:sty m:val="p"/>
                </m:rPr>
                <m:t>=</m:t>
              </m:r>
              <m:sSub>
                <m:e>
                  <m:r>
                    <m:rPr>
                      <m:sty m:val="p"/>
                    </m:rPr>
                    <m:t>unwrap</m:t>
                  </m:r>
                </m:e>
                <m:sub>
                  <m:r>
                    <m:t>f</m:t>
                  </m:r>
                </m:sub>
              </m:sSub>
              <m:r>
                <m:t>​</m:t>
              </m:r>
              <m:d>
                <m:dPr>
                  <m:begChr m:val="["/>
                  <m:sepChr m:val=""/>
                  <m:endChr m:val="]"/>
                  <m:grow/>
                </m:dPr>
                <m:e>
                  <m:r>
                    <m:rPr>
                      <m:sty m:val="p"/>
                    </m:rPr>
                    <m:t>arg</m:t>
                  </m:r>
                  <m:sSub>
                    <m:e>
                      <m:r>
                        <m:t>G</m:t>
                      </m:r>
                    </m:e>
                    <m:sub>
                      <m:r>
                        <m:t>h</m:t>
                      </m:r>
                    </m:sub>
                  </m:sSub>
                  <m:r>
                    <m:rPr>
                      <m:sty m:val="p"/>
                    </m:rPr>
                    <m:t>(</m:t>
                  </m:r>
                  <m:r>
                    <m:t>f</m:t>
                  </m:r>
                  <m:r>
                    <m:rPr>
                      <m:sty m:val="p"/>
                    </m:rPr>
                    <m:t>,</m:t>
                  </m:r>
                  <m:r>
                    <m:t>s</m:t>
                  </m:r>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p>
      <w:pPr>
        <w:spacing w:before="0" w:after="0"/>
        <w:ind w:firstLine="420"/>
        <w:jc w:val="both"/>
      </w:pPr>
      <m:oMath>
        <m:sSub>
          <m:e>
            <m:r>
              <m:t>A</m:t>
            </m:r>
          </m:e>
          <m:sub>
            <m:r>
              <m:t>h</m:t>
            </m:r>
          </m:sub>
        </m:sSub>
        <m:r>
          <m:rPr>
            <m:sty m:val="p"/>
          </m:rPr>
          <m:t>&gt;</m:t>
        </m:r>
        <m:r>
          <m:t>1</m:t>
        </m:r>
      </m:oMath>
      <w:r>
        <w:rPr>
          <w:rFonts w:ascii="Times New Roman" w:hAnsi="Times New Roman" w:eastAsia="宋体" w:cs="Times New Roman" w:hint="eastAsia"/>
          <w:b w:val="0"/>
          <w:i w:val="0"/>
          <w:sz w:val="21"/>
        </w:rPr>
        <w:t xml:space="preserve"> 表示总波场相对当地相位一致自由场放大，</w:t>
      </w:r>
      <m:oMath>
        <m:sSub>
          <m:e>
            <m:r>
              <m:t>A</m:t>
            </m:r>
          </m:e>
          <m:sub>
            <m:r>
              <m:t>h</m:t>
            </m:r>
          </m:sub>
        </m:sSub>
        <m:r>
          <m:rPr>
            <m:sty m:val="p"/>
          </m:rPr>
          <m:t>&lt;</m:t>
        </m:r>
        <m:r>
          <m:t>1</m:t>
        </m:r>
      </m:oMath>
      <w:r>
        <w:rPr>
          <w:rFonts w:ascii="Times New Roman" w:hAnsi="Times New Roman" w:eastAsia="宋体" w:cs="Times New Roman" w:hint="eastAsia"/>
          <w:b w:val="0"/>
          <w:i w:val="0"/>
          <w:sz w:val="21"/>
        </w:rPr>
        <w:t xml:space="preserve"> 表示相对削弱。相位不是另一个“放大系数”，而是扣除已知水平走时后仍由散射和成层干涉产生的频率相关超前或迟滞。P061坡顶相位在0.5～10 Hz内约由 </w:t>
      </w:r>
      <m:oMath>
        <m:sSup>
          <m:e>
            <m:r>
              <m:t>6.7</m:t>
            </m:r>
          </m:e>
          <m:sup>
            <m:r>
              <m:rPr>
                <m:sty m:val="p"/>
              </m:rPr>
              <m:t>∘</m:t>
            </m:r>
          </m:sup>
        </m:sSup>
      </m:oMath>
      <w:r>
        <w:rPr>
          <w:rFonts w:ascii="Times New Roman" w:hAnsi="Times New Roman" w:eastAsia="宋体" w:cs="Times New Roman" w:hint="eastAsia"/>
          <w:b w:val="0"/>
          <w:i w:val="0"/>
          <w:sz w:val="21"/>
        </w:rPr>
        <w:t xml:space="preserve"> 演化至 </w:t>
      </w:r>
      <m:oMath>
        <m:r>
          <m:rPr>
            <m:sty m:val="p"/>
          </m:rPr>
          <m:t>−</m:t>
        </m:r>
        <m:sSup>
          <m:e>
            <m:r>
              <m:t>63.2</m:t>
            </m:r>
          </m:e>
          <m:sup>
            <m:r>
              <m:rPr>
                <m:sty m:val="p"/>
              </m:rPr>
              <m:t>∘</m:t>
            </m:r>
          </m:sup>
        </m:sSup>
      </m:oMath>
      <w:r>
        <w:rPr>
          <w:rFonts w:ascii="Times New Roman" w:hAnsi="Times New Roman" w:eastAsia="宋体" w:cs="Times New Roman" w:hint="eastAsia"/>
          <w:b w:val="0"/>
          <w:i w:val="0"/>
          <w:sz w:val="21"/>
        </w:rPr>
        <w:t>。相位只在每个连续有效频段内沿频率展开；跨越无效频段的两段相位不强行连接，也不直接对卷绕角作算术平均。</w:t>
      </w:r>
    </w:p>
    <w:p>
      <w:pPr>
        <w:spacing w:before="0" w:after="0"/>
        <w:ind w:firstLine="420"/>
        <w:jc w:val="both"/>
      </w:pPr>
      <w:r>
        <w:rPr>
          <w:rFonts w:ascii="Times New Roman" w:hAnsi="Times New Roman" w:eastAsia="宋体" w:cs="Times New Roman" w:hint="eastAsia"/>
          <w:b w:val="0"/>
          <w:i w:val="0"/>
          <w:sz w:val="21"/>
        </w:rPr>
        <w:t xml:space="preserve">幅值场在热图中采用 </w:t>
      </w:r>
      <m:oMath>
        <m:r>
          <m:rPr>
            <m:sty m:val="p"/>
          </m:rPr>
          <m:t>ln</m:t>
        </m:r>
        <m:sSub>
          <m:e>
            <m:r>
              <m:t>A</m:t>
            </m:r>
          </m:e>
          <m:sub>
            <m:r>
              <m:t>h</m:t>
            </m:r>
          </m:sub>
        </m:sSub>
      </m:oMath>
      <w:r>
        <w:rPr>
          <w:rFonts w:ascii="Times New Roman" w:hAnsi="Times New Roman" w:eastAsia="宋体" w:cs="Times New Roman" w:hint="eastAsia"/>
          <w:b w:val="0"/>
          <w:i w:val="0"/>
          <w:sz w:val="21"/>
        </w:rPr>
        <w:t xml:space="preserve"> 表示，是为了让相对放大和相对削弱以 </w:t>
      </w:r>
      <m:oMath>
        <m:sSub>
          <m:e>
            <m:r>
              <m:t>A</m:t>
            </m:r>
          </m:e>
          <m:sub>
            <m:r>
              <m:t>h</m:t>
            </m:r>
          </m:sub>
        </m:sSub>
        <m:r>
          <m:rPr>
            <m:sty m:val="p"/>
          </m:rPr>
          <m:t>=</m:t>
        </m:r>
        <m:r>
          <m:t>1</m:t>
        </m:r>
      </m:oMath>
      <w:r>
        <w:rPr>
          <w:rFonts w:ascii="Times New Roman" w:hAnsi="Times New Roman" w:eastAsia="宋体" w:cs="Times New Roman" w:hint="eastAsia"/>
          <w:b w:val="0"/>
          <w:i w:val="0"/>
          <w:sz w:val="21"/>
        </w:rPr>
        <w:t xml:space="preserve"> 为共同零点展开，而不是改变总波场响应函数的定义。直接使用线性幅值时，大幅值峰会占据大部分色阶，小于 1 的削弱区容易被压缩；取对数后，互为倒数的放大与削弱在数值上大小相同、符号相反，更适合比较成层前后的相对变化。不过，正文报告的全场峰值仍使用 </w:t>
      </w:r>
      <m:oMath>
        <m:sSub>
          <m:e>
            <m:r>
              <m:t>A</m:t>
            </m:r>
          </m:e>
          <m:sub>
            <m:r>
              <m:t>h</m:t>
            </m:r>
          </m:sub>
        </m:sSub>
      </m:oMath>
      <w:r>
        <w:rPr>
          <w:rFonts w:ascii="Times New Roman" w:hAnsi="Times New Roman" w:eastAsia="宋体" w:cs="Times New Roman" w:hint="eastAsia"/>
          <w:b w:val="0"/>
          <w:i w:val="0"/>
          <w:sz w:val="21"/>
        </w:rPr>
        <w:t xml:space="preserve"> 本身，以保留直观的倍数意义。图中颜色、峰值表和公式三者分别服务于场形识别、工程量级判断和复数运算，不能混用为同一统计量。</w:t>
      </w:r>
    </w:p>
    <w:p>
      <w:pPr>
        <w:spacing w:before="0" w:after="0"/>
        <w:ind w:firstLine="420"/>
        <w:jc w:val="both"/>
      </w:pPr>
      <w:r>
        <w:rPr>
          <w:rFonts w:ascii="Times New Roman" w:hAnsi="Times New Roman" w:eastAsia="宋体" w:cs="Times New Roman" w:hint="eastAsia"/>
          <w:b w:val="0"/>
          <w:i w:val="0"/>
          <w:sz w:val="21"/>
        </w:rPr>
        <w:t xml:space="preserve">相位展开解决的是表示分支，而不是“修正”物理相位。对一个连续频段整体加减 </w:t>
      </w:r>
      <m:oMath>
        <m:sSup>
          <m:e>
            <m:r>
              <m:t>360</m:t>
            </m:r>
          </m:e>
          <m:sup>
            <m:r>
              <m:rPr>
                <m:sty m:val="p"/>
              </m:rPr>
              <m:t>∘</m:t>
            </m:r>
          </m:sup>
        </m:sSup>
      </m:oMath>
      <w:r>
        <w:rPr>
          <w:rFonts w:ascii="Times New Roman" w:hAnsi="Times New Roman" w:eastAsia="宋体" w:cs="Times New Roman" w:hint="eastAsia"/>
          <w:b w:val="0"/>
          <w:i w:val="0"/>
          <w:sz w:val="21"/>
        </w:rPr>
        <w:t xml:space="preserve"> 不会改变该段内的群时延，因为常数分支的导数为零；真正会污染群时延的是在相邻频点间错误跳到另一分支，或跨越无效谱谷强行连接两段相位。因而，展开过程以频率方向为主，并以连续有效段为单位。空间比较时则关注同一频率下各位置的相对相位变化，不能把每个位置独立展开后的任意常数分支直接拼成空间梯度。本文将频率展开、空间分段和有效掩码按固定顺序执行，就是为了使图中的相位条带与式（15）的导数来自同一套连续关系。</w:t>
      </w:r>
    </w:p>
    <w:p>
      <w:pPr>
        <w:spacing w:before="0" w:after="0"/>
        <w:ind w:firstLine="420"/>
        <w:jc w:val="both"/>
      </w:pPr>
      <w:r>
        <w:rPr>
          <w:rFonts w:ascii="Times New Roman" w:hAnsi="Times New Roman" w:eastAsia="宋体" w:cs="Times New Roman" w:hint="eastAsia"/>
          <w:b w:val="0"/>
          <w:i w:val="0"/>
          <w:sz w:val="21"/>
        </w:rPr>
        <w:t>相位对角频率的负导数给出群时延，沿地表坐标的导数给出表观空间相位梯度：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τ</m:t>
                  </m:r>
                </m:e>
                <m:sub>
                  <m:r>
                    <m:t>g</m:t>
                  </m:r>
                </m:sub>
              </m:sSub>
              <m:r>
                <m:rPr>
                  <m:sty m:val="p"/>
                </m:rPr>
                <m:t>(</m:t>
              </m:r>
              <m:r>
                <m:t>f</m:t>
              </m:r>
              <m:r>
                <m:rPr>
                  <m:sty m:val="p"/>
                </m:rPr>
                <m:t>,</m:t>
              </m:r>
              <m:r>
                <m:t>s</m:t>
              </m:r>
              <m:r>
                <m:rPr>
                  <m:sty m:val="p"/>
                </m:rPr>
                <m:t>)</m:t>
              </m:r>
              <m:r>
                <m:rPr>
                  <m:sty m:val="p"/>
                </m:rPr>
                <m:t>=</m:t>
              </m:r>
              <m:r>
                <m:rPr>
                  <m:sty m:val="p"/>
                </m:rPr>
                <m:t>−</m:t>
              </m:r>
              <m:f>
                <m:fPr>
                  <m:type m:val="bar"/>
                </m:fPr>
                <m:num>
                  <m:r>
                    <m:t>1</m:t>
                  </m:r>
                </m:num>
                <m:den>
                  <m:r>
                    <m:t>2</m:t>
                  </m:r>
                  <m:r>
                    <m:t>π</m:t>
                  </m:r>
                </m:den>
              </m:f>
              <m:f>
                <m:fPr>
                  <m:type m:val="bar"/>
                </m:fPr>
                <m:num>
                  <m:r>
                    <m:rPr>
                      <m:sty m:val="p"/>
                    </m:rPr>
                    <m:t>∂</m:t>
                  </m:r>
                  <m:sSub>
                    <m:e>
                      <m:r>
                        <m:rPr>
                          <m:sty m:val="p"/>
                        </m:rPr>
                        <m:t>Φ</m:t>
                      </m:r>
                    </m:e>
                    <m:sub>
                      <m:r>
                        <m:t>h</m:t>
                      </m:r>
                    </m:sub>
                  </m:sSub>
                </m:num>
                <m:den>
                  <m:r>
                    <m:rPr>
                      <m:sty m:val="p"/>
                    </m:rPr>
                    <m:t>∂</m:t>
                  </m:r>
                  <m:r>
                    <m:t>f</m:t>
                  </m:r>
                </m:den>
              </m:f>
              <m:r>
                <m:rPr>
                  <m:sty m:val="p"/>
                </m:rPr>
                <m:t>,</m:t>
              </m:r>
              <m:r>
                <m:t>  </m:t>
              </m:r>
              <m:sSub>
                <m:e>
                  <m:r>
                    <m:t>k</m:t>
                  </m:r>
                </m:e>
                <m:sub>
                  <m:r>
                    <m:rPr>
                      <m:sty m:val="p"/>
                    </m:rPr>
                    <m:t>a</m:t>
                  </m:r>
                  <m:r>
                    <m:rPr>
                      <m:sty m:val="p"/>
                    </m:rPr>
                    <m:t>p</m:t>
                  </m:r>
                  <m:r>
                    <m:rPr>
                      <m:sty m:val="p"/>
                    </m:rPr>
                    <m:t>p</m:t>
                  </m:r>
                </m:sub>
              </m:sSub>
              <m:r>
                <m:rPr>
                  <m:sty m:val="p"/>
                </m:rPr>
                <m:t>(</m:t>
              </m:r>
              <m:r>
                <m:t>f</m:t>
              </m:r>
              <m:r>
                <m:rPr>
                  <m:sty m:val="p"/>
                </m:rPr>
                <m:t>,</m:t>
              </m:r>
              <m:r>
                <m:t>s</m:t>
              </m:r>
              <m:r>
                <m:rPr>
                  <m:sty m:val="p"/>
                </m:rPr>
                <m:t>)</m:t>
              </m:r>
              <m:r>
                <m:rPr>
                  <m:sty m:val="p"/>
                </m:rPr>
                <m:t>=</m:t>
              </m:r>
              <m:f>
                <m:fPr>
                  <m:type m:val="bar"/>
                </m:fPr>
                <m:num>
                  <m:r>
                    <m:rPr>
                      <m:sty m:val="p"/>
                    </m:rPr>
                    <m:t>∂</m:t>
                  </m:r>
                  <m:sSub>
                    <m:e>
                      <m:r>
                        <m:rPr>
                          <m:sty m:val="p"/>
                        </m:rPr>
                        <m:t>Φ</m:t>
                      </m:r>
                    </m:e>
                    <m:sub>
                      <m:r>
                        <m:t>h</m:t>
                      </m:r>
                    </m:sub>
                  </m:sSub>
                </m:num>
                <m:den>
                  <m:r>
                    <m:rPr>
                      <m:sty m:val="p"/>
                    </m:rPr>
                    <m:t>∂</m:t>
                  </m:r>
                  <m:r>
                    <m:t>s</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p>
      <w:pPr>
        <w:spacing w:before="0" w:after="0"/>
        <w:ind w:firstLine="420"/>
        <w:jc w:val="both"/>
      </w:pPr>
      <w:r>
        <w:rPr>
          <w:rFonts w:ascii="Times New Roman" w:hAnsi="Times New Roman" w:eastAsia="宋体" w:cs="Times New Roman" w:hint="eastAsia"/>
          <w:b w:val="0"/>
          <w:i w:val="0"/>
          <w:sz w:val="21"/>
        </w:rPr>
        <w:t xml:space="preserve">式（15）求导时 </w:t>
      </w:r>
      <m:oMath>
        <m:sSub>
          <m:e>
            <m:r>
              <m:rPr>
                <m:sty m:val="p"/>
              </m:rPr>
              <m:t>Φ</m:t>
            </m:r>
          </m:e>
          <m:sub>
            <m:r>
              <m:t>h</m:t>
            </m:r>
          </m:sub>
        </m:sSub>
      </m:oMath>
      <w:r>
        <w:rPr>
          <w:rFonts w:ascii="Times New Roman" w:hAnsi="Times New Roman" w:eastAsia="宋体" w:cs="Times New Roman" w:hint="eastAsia"/>
          <w:b w:val="0"/>
          <w:i w:val="0"/>
          <w:sz w:val="21"/>
        </w:rPr>
        <w:t xml:space="preserve"> 以弧度表示，图中相位和相位RMSE再换算为度。群时延反映窄频带包络相对于左侧一维参考的到时变化，其正负不能简单解释为波的绝对传播时间；负值可能来自干涉结构和参考场相位，并不意味着违反因果性。表观空间相位梯度用于识别相位沿平台、坡面和下平台变化的快慢。由于地表几何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处改变，空间展开和求导分别在 A、B、C 三段内进行，不跨区段用一个差分模板。第3章物理统计对每段连续有效相位采用9点、二阶Savitzky–Golay滤波；连续区间不足9点时取不超过区间长度的最大奇数窗，少于5点则不平滑，边界采用多项式外插模式。随后计算数值梯度，连续区间首、末点不纳入统计，以避免边缘导数放大噪声。</w:t>
      </w:r>
    </w:p>
    <w:p>
      <w:pPr>
        <w:spacing w:before="0" w:after="0"/>
        <w:ind w:firstLine="420"/>
        <w:jc w:val="both"/>
      </w:pPr>
      <w:r>
        <w:rPr>
          <w:rFonts w:ascii="Times New Roman" w:hAnsi="Times New Roman" w:eastAsia="宋体" w:cs="Times New Roman" w:hint="eastAsia"/>
          <w:b w:val="0"/>
          <w:i w:val="0"/>
          <w:sz w:val="21"/>
        </w:rPr>
        <w:t>群时延之所以比相位本身更敏感，是因为它刻画相位曲线的局部斜率，而不是累计转角。两条曲线即使在某个频率具有相同相位，只要邻域内斜率不同，其窄频带包络相对到时仍会不同；反之，一条相位曲线可以累计跨越数百度，但若变化平缓，群时延并不一定很大。短窗二次多项式平滑用于抑制逐频微小摆动被微分放大，而非抹去跨越若干频点的稳定条带。本文因此用群时延的分位范围比较整体复杂程度，对孤立极值保持谨慎，并将其与幅值谱谷、相位转折和频带边界共同核对。第4章代理误差评价采用5点滑动平均，因此两章导数型指标分别在各自固定算子下比较，不将其绝对值交叉混用。</w:t>
      </w:r>
    </w:p>
    <w:p>
      <w:pPr>
        <w:spacing w:before="0" w:after="0"/>
        <w:ind w:firstLine="420"/>
        <w:jc w:val="both"/>
      </w:pPr>
      <w:r>
        <w:rPr>
          <w:rFonts w:ascii="Times New Roman" w:hAnsi="Times New Roman" w:eastAsia="宋体" w:cs="Times New Roman" w:hint="eastAsia"/>
          <w:b w:val="0"/>
          <w:i w:val="0"/>
          <w:sz w:val="21"/>
        </w:rPr>
        <w:t xml:space="preserve">空间分区同样不是排版上的方便。上平台 A 段、坡面 B 段和下平台 C 段具有不同的地表切向方向与散射环境；在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处跨段差分，会把坐标方向变化和局部响应变化混在一个导数里。特别是坡面仅占 </w:t>
      </w:r>
      <m:oMath>
        <m:r>
          <m:t>0</m:t>
        </m:r>
        <m:r>
          <m:rPr>
            <m:sty m:val="p"/>
          </m:rPr>
          <m:t>&lt;</m:t>
        </m:r>
        <m:r>
          <m:t>s</m:t>
        </m:r>
        <m:r>
          <m:rPr>
            <m:sty m:val="p"/>
          </m:rPr>
          <m:t>&lt;</m:t>
        </m:r>
        <m:r>
          <m:t>1</m:t>
        </m:r>
      </m:oMath>
      <w:r>
        <w:rPr>
          <w:rFonts w:ascii="Times New Roman" w:hAnsi="Times New Roman" w:eastAsia="宋体" w:cs="Times New Roman" w:hint="eastAsia"/>
          <w:b w:val="0"/>
          <w:i w:val="0"/>
          <w:sz w:val="21"/>
        </w:rPr>
        <w:t xml:space="preserve"> 的有限弧长，若直接用全地表统计，其高梯度可能被两侧长平台的大量网格点稀释。分段计算后，空间相位梯度回答的是“各几何区段内部相位怎样变化”，全场热图则保留区段之间的整体关系。两者配合，既不会把坡顶、坡脚的物理转折误当作数值异常，也不会因平台点数较多而掩盖坡面局部效应。</w:t>
      </w:r>
    </w:p>
    <w:p>
      <w:pPr>
        <w:spacing w:before="0" w:after="0"/>
        <w:ind w:firstLine="420"/>
        <w:jc w:val="both"/>
      </w:pPr>
      <w:r>
        <w:rPr>
          <w:rFonts w:ascii="Times New Roman" w:hAnsi="Times New Roman" w:eastAsia="宋体" w:cs="Times New Roman" w:hint="eastAsia"/>
          <w:b w:val="0"/>
          <w:i w:val="0"/>
          <w:sz w:val="21"/>
        </w:rPr>
        <w:t xml:space="preserve">全部工况被重采样到相同的 96×161 网格，频率为 0.5～10.0 Hz、间隔 0.1 Hz，空间坐标为 </w:t>
      </w:r>
      <m:oMath>
        <m:r>
          <m:rPr>
            <m:sty m:val="p"/>
          </m:rPr>
          <m:t>−</m:t>
        </m:r>
        <m:r>
          <m:t>4.00</m:t>
        </m:r>
      </m:oMath>
      <w:r>
        <w:rPr>
          <w:rFonts w:ascii="Times New Roman" w:hAnsi="Times New Roman" w:eastAsia="宋体" w:cs="Times New Roman" w:hint="eastAsia"/>
          <w:b w:val="0"/>
          <w:i w:val="0"/>
          <w:sz w:val="21"/>
        </w:rPr>
        <w:t>～4.00、间隔 0.05。一个 96×161 复数场对应一个物理工况；频率点和地表点用于描述场内结构，不被当作 15 456 个彼此独立的样本。后文使用的主要指标列于表7。全场峰值能够显示最强响应，却容易被频带上界或空间端点控制，因此同时报告峰值频率、峰值位置、分区峰值和频带统计。位于 10 Hz 的峰统一标为“</w:t>
      </w:r>
      <m:oMath>
        <m:r>
          <m:rPr>
            <m:sty m:val="p"/>
          </m:rPr>
          <m:t>≥</m:t>
        </m:r>
        <m:r>
          <m:t>10</m:t>
        </m:r>
      </m:oMath>
      <w:r>
        <w:rPr>
          <w:rFonts w:ascii="Times New Roman" w:hAnsi="Times New Roman" w:eastAsia="宋体" w:cs="Times New Roman" w:hint="eastAsia"/>
          <w:b w:val="0"/>
          <w:i w:val="0"/>
          <w:sz w:val="21"/>
        </w:rPr>
        <w:t xml:space="preserve"> Hz”，位于 </w:t>
      </w:r>
      <m:oMath>
        <m:r>
          <m:t>s</m:t>
        </m:r>
        <m:r>
          <m:rPr>
            <m:sty m:val="p"/>
          </m:rPr>
          <m:t>=</m:t>
        </m:r>
        <m:r>
          <m:rPr>
            <m:sty m:val="p"/>
          </m:rPr>
          <m:t>−</m:t>
        </m:r>
        <m:r>
          <m:t>4</m:t>
        </m:r>
      </m:oMath>
      <w:r>
        <w:rPr>
          <w:rFonts w:ascii="Times New Roman" w:hAnsi="Times New Roman" w:eastAsia="宋体" w:cs="Times New Roman" w:hint="eastAsia"/>
          <w:b w:val="0"/>
          <w:i w:val="0"/>
          <w:sz w:val="21"/>
        </w:rPr>
        <w:t xml:space="preserve"> 或 </w:t>
      </w:r>
      <m:oMath>
        <m:r>
          <m:t>s</m:t>
        </m:r>
        <m:r>
          <m:rPr>
            <m:sty m:val="p"/>
          </m:rPr>
          <m:t>=</m:t>
        </m:r>
        <m:r>
          <m:t>4</m:t>
        </m:r>
      </m:oMath>
      <w:r>
        <w:rPr>
          <w:rFonts w:ascii="Times New Roman" w:hAnsi="Times New Roman" w:eastAsia="宋体" w:cs="Times New Roman" w:hint="eastAsia"/>
          <w:b w:val="0"/>
          <w:i w:val="0"/>
          <w:sz w:val="21"/>
        </w:rPr>
        <w:t xml:space="preserve"> 的峰标为搜索域端点，均不外推为已经解析的内部极值。</w:t>
      </w:r>
    </w:p>
    <w:p>
      <w:pPr>
        <w:spacing w:before="0" w:after="0"/>
        <w:ind w:firstLine="420"/>
        <w:jc w:val="both"/>
      </w:pPr>
      <w:r>
        <w:rPr>
          <w:rFonts w:ascii="Times New Roman" w:hAnsi="Times New Roman" w:eastAsia="宋体" w:cs="Times New Roman" w:hint="eastAsia"/>
          <w:b w:val="0"/>
          <w:i w:val="0"/>
          <w:sz w:val="21"/>
        </w:rPr>
        <w:t>统一网格的意义在于使场形比较具有相同坐标，而不是把插值后的网格扩充为更多独立证据。同一工况内相邻频点来自同一条时程，相邻地表点也由同一个有限元波场耦合，其相关性很强；若把 15 456 个网格值直接作为独立样本计算显著性，样本量会被严重夸大。本文以“物理工况”为参数比较的基本单位，以网格值描述每个工况内部的峰、分区和条带。这样既保留二维场的信息量，又不把空间分辨率误写成试验重复数。</w:t>
      </w:r>
    </w:p>
    <w:p>
      <w:pPr>
        <w:spacing w:before="0" w:after="0"/>
        <w:ind w:firstLine="420"/>
        <w:jc w:val="both"/>
      </w:pPr>
      <w:r>
        <w:rPr>
          <w:rFonts w:ascii="Times New Roman" w:hAnsi="Times New Roman" w:eastAsia="宋体" w:cs="Times New Roman" w:hint="eastAsia"/>
          <w:b w:val="0"/>
          <w:i w:val="0"/>
          <w:sz w:val="21"/>
        </w:rPr>
        <w:t>边界峰的标记还关系到参数规律的解释。内部峰意味着曲线在搜索区间内经历了上升和回落，峰频与峰位可以作为局部特征量；上界峰或端点峰只表明在当前观察域内最大，真正极值可能位于域外。把 10 Hz 直接写成精确主频，会使后续参数变化看起来像“频率稳定在 10 Hz”，实际上它可能只是多个尚未回落的谱支被同一上界截断。同理，远平台端点峰不能未经核查就归因于坡体局部放大。因此，本文在比较幅值大小的同时保留边界标签，参数导致的峰值升高只有在峰形、峰位和分区结果相互支持时才解释为稳定的响应增强。</w:t>
      </w:r>
    </w:p>
    <w:p>
      <w:pPr>
        <w:spacing w:before="0" w:after="0"/>
        <w:ind w:firstLine="420"/>
        <w:jc w:val="both"/>
      </w:pPr>
      <w:r>
        <w:rPr>
          <w:rFonts w:ascii="Times New Roman" w:hAnsi="Times New Roman" w:eastAsia="宋体" w:cs="Times New Roman" w:hint="eastAsia"/>
          <w:b w:val="0"/>
          <w:i w:val="0"/>
          <w:sz w:val="21"/>
        </w:rPr>
        <w:t>这里还需区分“几何分界点”和“搜索域端点”。</w:t>
      </w:r>
      <m:oMath>
        <m:r>
          <m:t>s</m:t>
        </m:r>
        <m:r>
          <m:rPr>
            <m:sty m:val="p"/>
          </m:rPr>
          <m:t>=</m:t>
        </m:r>
        <m:r>
          <m:t>0</m:t>
        </m:r>
      </m:oMath>
      <w:r>
        <w:rPr>
          <w:rFonts w:ascii="Times New Roman" w:hAnsi="Times New Roman" w:eastAsia="宋体" w:cs="Times New Roman" w:hint="eastAsia"/>
          <w:b w:val="0"/>
          <w:i w:val="0"/>
          <w:sz w:val="21"/>
        </w:rPr>
        <w:t>的坡顶与</w:t>
      </w:r>
      <m:oMath>
        <m:r>
          <m:t>s</m:t>
        </m:r>
        <m:r>
          <m:rPr>
            <m:sty m:val="p"/>
          </m:rPr>
          <m:t>=</m:t>
        </m:r>
        <m:r>
          <m:t>1</m:t>
        </m:r>
      </m:oMath>
      <w:r>
        <w:rPr>
          <w:rFonts w:ascii="Times New Roman" w:hAnsi="Times New Roman" w:eastAsia="宋体" w:cs="Times New Roman" w:hint="eastAsia"/>
          <w:b w:val="0"/>
          <w:i w:val="0"/>
          <w:sz w:val="21"/>
        </w:rPr>
        <w:t>的坡脚虽然是地表几何分段位置，却都位于</w:t>
      </w:r>
      <m:oMath>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搜索域内部；峰值落在这两处，可以精确报告其坐标，但要结合折角散射解释。真正的空间端点是</w:t>
      </w:r>
      <m:oMath>
        <m:r>
          <m:t>s</m:t>
        </m:r>
        <m:r>
          <m:rPr>
            <m:sty m:val="p"/>
          </m:rPr>
          <m:t>=</m:t>
        </m:r>
        <m:r>
          <m:rPr>
            <m:sty m:val="p"/>
          </m:rPr>
          <m:t>−</m:t>
        </m:r>
        <m:r>
          <m:t>4</m:t>
        </m:r>
      </m:oMath>
      <w:r>
        <w:rPr>
          <w:rFonts w:ascii="Times New Roman" w:hAnsi="Times New Roman" w:eastAsia="宋体" w:cs="Times New Roman" w:hint="eastAsia"/>
          <w:b w:val="0"/>
          <w:i w:val="0"/>
          <w:sz w:val="21"/>
        </w:rPr>
        <w:t>或</w:t>
      </w:r>
      <m:oMath>
        <m:r>
          <m:t>s</m:t>
        </m:r>
        <m:r>
          <m:rPr>
            <m:sty m:val="p"/>
          </m:rPr>
          <m:t>=</m:t>
        </m:r>
        <m:r>
          <m:t>4</m:t>
        </m:r>
      </m:oMath>
      <w:r>
        <w:rPr>
          <w:rFonts w:ascii="Times New Roman" w:hAnsi="Times New Roman" w:eastAsia="宋体" w:cs="Times New Roman" w:hint="eastAsia"/>
          <w:b w:val="0"/>
          <w:i w:val="0"/>
          <w:sz w:val="21"/>
        </w:rPr>
        <w:t>，在该处取最大只能说明曲线到观测边界仍未回落。频率端点同理，10 Hz是正文搜索上界，而4.0 Hz或3.2 Hz等在频带内部形成并回落的峰，其频率定位证据更完整。边界标签评价的是搜索域是否截断峰形，不是否定边界处响应本身。</w:t>
      </w:r>
    </w:p>
    <w:p>
      <w:pPr>
        <w:spacing w:before="0" w:after="0"/>
        <w:ind w:firstLine="420"/>
        <w:jc w:val="both"/>
      </w:pPr>
      <w:r>
        <w:rPr>
          <w:rFonts w:ascii="Times New Roman" w:hAnsi="Times New Roman" w:eastAsia="宋体" w:cs="Times New Roman" w:hint="eastAsia"/>
          <w:b w:val="0"/>
          <w:i w:val="0"/>
          <w:sz w:val="21"/>
        </w:rPr>
        <w:t>“全场峰”还包含频率和空间两个方向，因而需要分别检查两类边界。一个点可能在频率方向是内部峰，却位于远平台空间端点；也可能像图9的坡脚谱那样，空间位置</w:t>
      </w:r>
      <m:oMath>
        <m:r>
          <m:t>s</m:t>
        </m:r>
        <m:r>
          <m:rPr>
            <m:sty m:val="p"/>
          </m:rPr>
          <m:t>=</m:t>
        </m:r>
        <m:r>
          <m:t>1</m:t>
        </m:r>
      </m:oMath>
      <w:r>
        <w:rPr>
          <w:rFonts w:ascii="Times New Roman" w:hAnsi="Times New Roman" w:eastAsia="宋体" w:cs="Times New Roman" w:hint="eastAsia"/>
          <w:b w:val="0"/>
          <w:i w:val="0"/>
          <w:sz w:val="21"/>
        </w:rPr>
        <w:t>在模型内部，频率最大值却触及10 Hz。只有两个方向都未被截断，且相邻频点、相邻位置呈现相应回落，才适合称为已解析的内部峰。本文保留峰值幅度用于风险筛查，同时以“</w:t>
      </w:r>
      <m:oMath>
        <m:r>
          <m:rPr>
            <m:sty m:val="p"/>
          </m:rPr>
          <m:t>≥</m:t>
        </m:r>
        <m:r>
          <m:t>10</m:t>
        </m:r>
      </m:oMath>
      <w:r>
        <w:rPr>
          <w:rFonts w:ascii="Times New Roman" w:hAnsi="Times New Roman" w:eastAsia="宋体" w:cs="Times New Roman" w:hint="eastAsia"/>
          <w:b w:val="0"/>
          <w:i w:val="0"/>
          <w:sz w:val="21"/>
        </w:rPr>
        <w:t xml:space="preserve"> Hz”和端点标记降低对峰频、峰位的过度解释。</w:t>
      </w:r>
    </w:p>
    <w:p>
      <w:pPr>
        <w:spacing w:before="156" w:after="0"/>
        <w:ind w:firstLine="0"/>
        <w:jc w:val="center"/>
      </w:pPr>
      <w:r>
        <w:rPr>
          <w:rFonts w:ascii="Times New Roman" w:hAnsi="Times New Roman" w:eastAsia="宋体" w:cs="Times New Roman" w:hint="eastAsia"/>
          <w:b w:val="0"/>
          <w:i w:val="0"/>
          <w:sz w:val="18"/>
        </w:rPr>
        <w:t>表7 相位对齐总波场响应的主要描述指标及解释</w:t>
      </w:r>
    </w:p>
    <w:p>
      <w:pPr>
        <w:spacing w:before="0" w:after="40"/>
        <w:ind w:firstLine="0"/>
        <w:jc w:val="center"/>
      </w:pPr>
      <w:r>
        <w:rPr>
          <w:rFonts w:ascii="Times New Roman" w:hAnsi="Times New Roman" w:eastAsia="Times New Roman" w:cs="Times New Roman" w:hint="eastAsia"/>
          <w:b w:val="0"/>
          <w:i w:val="0"/>
          <w:sz w:val="18"/>
        </w:rPr>
        <w:t>Table 7 Main descriptors of the phase-aligned total-wavefield response</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指标</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定义或计算口径</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主要用途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使用时的限制</w:t>
            </w:r>
          </w:p>
        </w:tc>
        <w:tc>
          <w:tcPr>
            <w:tcW w:type="dxa" w:w="1928"/>
            <w:tcBorders>
              <w:bottom w:val="single" w:sz="6" w:space="0" w:color="auto"/>
            </w:tcBorders>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幅值</w:t>
            </w:r>
            <m:oMath>
              <m:sSub>
                <m:e>
                  <m:r>
                    <m:t>A</m:t>
                  </m:r>
                </m:e>
                <m:sub>
                  <m:r>
                    <m:t>h</m:t>
                  </m:r>
                </m:sub>
              </m:sSub>
            </m:oMath>
          </w:p>
        </w:tc>
        <w:tc>
          <w:tcPr>
            <w:tcW w:type="dxa" w:w="1928"/>
            <w:vAlign w:val="center"/>
          </w:tcPr>
          <w:p>
            <w:pPr>
              <w:spacing w:before="30" w:after="30"/>
              <w:ind w:firstLine="0"/>
              <w:jc w:val="center"/>
            </w:pPr>
            <m:oMath>
              <m:r>
                <m:rPr>
                  <m:sty m:val="p"/>
                </m:rPr>
                <m:t>|</m:t>
              </m:r>
              <m:sSub>
                <m:e>
                  <m:r>
                    <m:t>G</m:t>
                  </m:r>
                </m:e>
                <m:sub>
                  <m:r>
                    <m:t>h</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描述相对当地相位一致自由场的放大或削弱</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不包含到时与波形信息</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展开相位</w:t>
            </w:r>
            <m:oMath>
              <m:sSub>
                <m:e>
                  <m:r>
                    <m:rPr>
                      <m:sty m:val="p"/>
                    </m:rPr>
                    <m:t>Φ</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有效连续频段内展开</w:t>
            </w:r>
            <m:oMath>
              <m:r>
                <m:rPr>
                  <m:sty m:val="p"/>
                </m:rPr>
                <m:t>arg</m:t>
              </m:r>
              <m:sSub>
                <m:e>
                  <m:r>
                    <m:t>G</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描述频率相关超前或迟滞</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不跨无效频段拼接分支</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群时延</w:t>
            </w:r>
            <m:oMath>
              <m:sSub>
                <m:e>
                  <m:r>
                    <m:t>τ</m:t>
                  </m:r>
                </m:e>
                <m:sub>
                  <m:r>
                    <m:t>g</m:t>
                  </m:r>
                </m:sub>
              </m:sSub>
            </m:oMath>
          </w:p>
        </w:tc>
        <w:tc>
          <w:tcPr>
            <w:tcW w:type="dxa" w:w="1928"/>
            <w:vAlign w:val="center"/>
          </w:tcPr>
          <w:p>
            <w:pPr>
              <w:spacing w:before="30" w:after="30"/>
              <w:ind w:firstLine="0"/>
              <w:jc w:val="center"/>
            </w:pPr>
            <m:oMath>
              <m:r>
                <m:rPr>
                  <m:sty m:val="p"/>
                </m:rPr>
                <m:t>−</m:t>
              </m:r>
              <m:r>
                <m:rPr>
                  <m:sty m:val="p"/>
                </m:rPr>
                <m:t>(</m:t>
              </m:r>
              <m:r>
                <m:t>2</m:t>
              </m:r>
              <m:r>
                <m:t>π</m:t>
              </m:r>
              <m:sSup>
                <m:e>
                  <m:r>
                    <m:rPr>
                      <m:sty m:val="p"/>
                    </m:rPr>
                    <m:t>)</m:t>
                  </m:r>
                </m:e>
                <m:sup>
                  <m:r>
                    <m:rPr>
                      <m:sty m:val="p"/>
                    </m:rPr>
                    <m:t>−</m:t>
                  </m:r>
                  <m:r>
                    <m:t>1</m:t>
                  </m:r>
                </m:sup>
              </m:sSup>
              <m:r>
                <m:rPr>
                  <m:sty m:val="p"/>
                </m:rPr>
                <m:t>∂</m:t>
              </m:r>
              <m:sSub>
                <m:e>
                  <m:r>
                    <m:rPr>
                      <m:sty m:val="p"/>
                    </m:rPr>
                    <m:t>Φ</m:t>
                  </m:r>
                </m:e>
                <m:sub>
                  <m:r>
                    <m:t>h</m:t>
                  </m:r>
                </m:sub>
              </m:sSub>
              <m:r>
                <m:rPr>
                  <m:sty m:val="p"/>
                </m:rPr>
                <m:t>/</m:t>
              </m:r>
              <m:r>
                <m:rPr>
                  <m:sty m:val="p"/>
                </m:rPr>
                <m:t>∂</m:t>
              </m:r>
              <m:r>
                <m:t>f</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识别相位随频率快速变化的频带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导数对谱谷和频带边缘敏感</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空间相位梯度</w:t>
            </w:r>
            <m:oMath>
              <m:sSub>
                <m:e>
                  <m:r>
                    <m:t>k</m:t>
                  </m:r>
                </m:e>
                <m:sub>
                  <m:r>
                    <m:rPr>
                      <m:sty m:val="p"/>
                    </m:rPr>
                    <m:t>a</m:t>
                  </m:r>
                  <m:r>
                    <m:rPr>
                      <m:sty m:val="p"/>
                    </m:rPr>
                    <m:t>p</m:t>
                  </m:r>
                  <m:r>
                    <m:rPr>
                      <m:sty m:val="p"/>
                    </m:rPr>
                    <m:t>p</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A/B/C段内</w:t>
            </w:r>
            <m:oMath>
              <m:r>
                <m:rPr>
                  <m:sty m:val="p"/>
                </m:rPr>
                <m:t>∂</m:t>
              </m:r>
              <m:sSub>
                <m:e>
                  <m:r>
                    <m:rPr>
                      <m:sty m:val="p"/>
                    </m:rPr>
                    <m:t>Φ</m:t>
                  </m:r>
                </m:e>
                <m:sub>
                  <m:r>
                    <m:t>h</m:t>
                  </m:r>
                </m:sub>
              </m:sSub>
              <m:r>
                <m:rPr>
                  <m:sty m:val="p"/>
                </m:rPr>
                <m:t>/</m:t>
              </m:r>
              <m:r>
                <m:rPr>
                  <m:sty m:val="p"/>
                </m:rPr>
                <m:t>∂</m:t>
              </m:r>
              <m:r>
                <m:t>s</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比较平台、坡面和下平台的相位变化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不跨坡顶、坡脚差分</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全场峰值</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有效网格内</w:t>
            </w:r>
            <m:oMath>
              <m:r>
                <m:rPr>
                  <m:sty m:val="p"/>
                </m:rPr>
                <m:t>max</m:t>
              </m:r>
              <m:sSub>
                <m:e>
                  <m:r>
                    <m:t>A</m:t>
                  </m:r>
                </m:e>
                <m:sub>
                  <m:r>
                    <m:t>h</m:t>
                  </m:r>
                </m:sub>
              </m:sSub>
            </m:oMath>
            <w:r>
              <w:rPr>
                <w:rFonts w:ascii="Times New Roman" w:hAnsi="Times New Roman" w:eastAsia="宋体" w:cs="Times New Roman" w:hint="eastAsia"/>
                <w:b w:val="0"/>
                <w:i w:val="0"/>
                <w:sz w:val="18"/>
              </w:rPr>
              <w:t xml:space="preserve"> 及其 </w:t>
            </w:r>
            <m:oMath>
              <m:r>
                <m:rPr>
                  <m:sty m:val="p"/>
                </m:rPr>
                <m:t>(</m:t>
              </m:r>
              <m:sSub>
                <m:e>
                  <m:r>
                    <m:t>f</m:t>
                  </m:r>
                </m:e>
                <m:sub>
                  <m:r>
                    <m:t>p</m:t>
                  </m:r>
                </m:sub>
              </m:sSub>
              <m:r>
                <m:rPr>
                  <m:sty m:val="p"/>
                </m:rPr>
                <m:t>,</m:t>
              </m:r>
              <m:sSub>
                <m:e>
                  <m:r>
                    <m:t>s</m:t>
                  </m:r>
                </m:e>
                <m:sub>
                  <m:r>
                    <m:t>p</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定位最强响应与主控频带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需标记频带和空间端点峰</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分区、分带统计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A/B/C段及低、中、高频分别汇总</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避免全场峰值掩盖局部规律</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各区段点数不同，不作样本显著性推断</w:t>
            </w:r>
          </w:p>
        </w:tc>
        <w:tc>
          <w:tcPr>
            <w:tcW w:type="dxa" w:w="1928"/>
          </w:tcPr>
          <w:p/>
        </w:tc>
      </w:tr>
    </w:tbl>
    <w:p>
      <w:pPr>
        <w:spacing w:before="0" w:after="0"/>
        <w:ind w:firstLine="420"/>
        <w:jc w:val="both"/>
      </w:pPr>
      <w:r>
        <w:rPr>
          <w:rFonts w:ascii="Times New Roman" w:hAnsi="Times New Roman" w:eastAsia="宋体" w:cs="Times New Roman" w:hint="eastAsia"/>
          <w:b w:val="0"/>
          <w:i w:val="0"/>
          <w:sz w:val="21"/>
        </w:rPr>
        <w:t>为分离覆盖层和纯地形的作用，每个成层工况与相同坡角的均质工况配对，定义覆盖层复数修正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C</m:t>
                  </m:r>
                </m:e>
                <m:sub>
                  <m:r>
                    <m:t>G</m:t>
                  </m:r>
                </m:sub>
              </m:sSub>
              <m:r>
                <m:rPr>
                  <m:sty m:val="p"/>
                </m:rPr>
                <m:t>(</m:t>
              </m:r>
              <m:r>
                <m:t>f</m:t>
              </m:r>
              <m:r>
                <m:rPr>
                  <m:sty m:val="p"/>
                </m:rPr>
                <m:t>,</m:t>
              </m:r>
              <m:r>
                <m:t>s</m:t>
              </m:r>
              <m:r>
                <m:rPr>
                  <m:sty m:val="p"/>
                </m:rPr>
                <m:t>)</m:t>
              </m:r>
              <m:r>
                <m:rPr>
                  <m:sty m:val="p"/>
                </m:rPr>
                <m:t>=</m:t>
              </m:r>
              <m:f>
                <m:fPr>
                  <m:type m:val="bar"/>
                </m:fPr>
                <m:num>
                  <m:sSubSup>
                    <m:e>
                      <m:r>
                        <m:t>G</m:t>
                      </m:r>
                    </m:e>
                    <m:sub>
                      <m:r>
                        <m:t>h</m:t>
                      </m:r>
                    </m:sub>
                    <m:sup>
                      <m:r>
                        <m:rPr>
                          <m:sty m:val="p"/>
                        </m:rPr>
                        <m:t>l</m:t>
                      </m:r>
                      <m:r>
                        <m:rPr>
                          <m:sty m:val="p"/>
                        </m:rPr>
                        <m:t>a</m:t>
                      </m:r>
                      <m:r>
                        <m:rPr>
                          <m:sty m:val="p"/>
                        </m:rPr>
                        <m:t>y</m:t>
                      </m:r>
                      <m:r>
                        <m:rPr>
                          <m:sty m:val="p"/>
                        </m:rPr>
                        <m:t>e</m:t>
                      </m:r>
                      <m:r>
                        <m:rPr>
                          <m:sty m:val="p"/>
                        </m:rPr>
                        <m:t>r</m:t>
                      </m:r>
                    </m:sup>
                  </m:sSubSup>
                  <m:r>
                    <m:rPr>
                      <m:sty m:val="p"/>
                    </m:rPr>
                    <m:t>(</m:t>
                  </m:r>
                  <m:r>
                    <m:t>f</m:t>
                  </m:r>
                  <m:r>
                    <m:rPr>
                      <m:sty m:val="p"/>
                    </m:rPr>
                    <m:t>,</m:t>
                  </m:r>
                  <m:r>
                    <m:t>s</m:t>
                  </m:r>
                  <m:r>
                    <m:rPr>
                      <m:sty m:val="p"/>
                    </m:rPr>
                    <m:t>)</m:t>
                  </m:r>
                </m:num>
                <m:den>
                  <m:sSubSup>
                    <m:e>
                      <m:r>
                        <m:t>G</m:t>
                      </m:r>
                    </m:e>
                    <m:sub>
                      <m:r>
                        <m:t>h</m:t>
                      </m:r>
                    </m:sub>
                    <m:sup>
                      <m:r>
                        <m:rPr>
                          <m:sty m:val="p"/>
                        </m:rPr>
                        <m:t>h</m:t>
                      </m:r>
                      <m:r>
                        <m:rPr>
                          <m:sty m:val="p"/>
                        </m:rPr>
                        <m:t>o</m:t>
                      </m:r>
                      <m:r>
                        <m:rPr>
                          <m:sty m:val="p"/>
                        </m:rPr>
                        <m:t>m</m:t>
                      </m:r>
                      <m:r>
                        <m:rPr>
                          <m:sty m:val="p"/>
                        </m:rPr>
                        <m:t>o</m:t>
                      </m:r>
                    </m:sup>
                  </m:sSubSup>
                  <m:r>
                    <m:rPr>
                      <m:sty m:val="p"/>
                    </m:rPr>
                    <m:t>(</m:t>
                  </m:r>
                  <m:r>
                    <m:t>f</m:t>
                  </m:r>
                  <m:r>
                    <m:rPr>
                      <m:sty m:val="p"/>
                    </m:rPr>
                    <m:t>,</m:t>
                  </m:r>
                  <m:r>
                    <m:t>s</m:t>
                  </m:r>
                  <m:r>
                    <m:rPr>
                      <m:sty m:val="p"/>
                    </m:rPr>
                    <m:t>)</m:t>
                  </m:r>
                </m:den>
              </m:f>
              <m:r>
                <m:rPr>
                  <m:sty m:val="p"/>
                </m:rPr>
                <m:t>=</m:t>
              </m:r>
              <m:sSub>
                <m:e>
                  <m:r>
                    <m:t>C</m:t>
                  </m:r>
                </m:e>
                <m:sub>
                  <m:r>
                    <m:t>A</m:t>
                  </m:r>
                </m:sub>
              </m:sSub>
              <m:r>
                <m:rPr>
                  <m:sty m:val="p"/>
                </m:rPr>
                <m:t>(</m:t>
              </m:r>
              <m:r>
                <m:t>f</m:t>
              </m:r>
              <m:r>
                <m:rPr>
                  <m:sty m:val="p"/>
                </m:rPr>
                <m:t>,</m:t>
              </m:r>
              <m:r>
                <m:t>s</m:t>
              </m:r>
              <m:r>
                <m:rPr>
                  <m:sty m:val="p"/>
                </m:rPr>
                <m:t>)</m:t>
              </m:r>
              <m:sSup>
                <m:e>
                  <m:r>
                    <m:t>e</m:t>
                  </m:r>
                </m:e>
                <m:sup>
                  <m:r>
                    <m:rPr>
                      <m:sty m:val="p"/>
                    </m:rPr>
                    <m:t>i</m:t>
                  </m:r>
                  <m:sSub>
                    <m:e>
                      <m:r>
                        <m:rPr>
                          <m:sty m:val="p"/>
                        </m:rPr>
                        <m:t>Δ</m:t>
                      </m:r>
                    </m:e>
                    <m:sub>
                      <m:r>
                        <m:rPr>
                          <m:sty m:val="p"/>
                        </m:rPr>
                        <m:t>Φ</m:t>
                      </m:r>
                    </m:sub>
                  </m:sSub>
                  <m:r>
                    <m:rPr>
                      <m:sty m:val="p"/>
                    </m:rPr>
                    <m:t>(</m:t>
                  </m:r>
                  <m:r>
                    <m:t>f</m:t>
                  </m:r>
                  <m:r>
                    <m:rPr>
                      <m:sty m:val="p"/>
                    </m:rPr>
                    <m:t>,</m:t>
                  </m:r>
                  <m:r>
                    <m:t>s</m:t>
                  </m:r>
                  <m:r>
                    <m:rPr>
                      <m:sty m:val="p"/>
                    </m:rPr>
                    <m:t>)</m:t>
                  </m:r>
                </m:sup>
              </m:sSup>
              <m:r>
                <m:rPr>
                  <m:sty m:val="p"/>
                </m:rPr>
                <m:t>,</m:t>
              </m:r>
              <m:r>
                <m:t>  </m:t>
              </m:r>
              <m:sSub>
                <m:e>
                  <m:r>
                    <m:rPr>
                      <m:sty m:val="p"/>
                    </m:rPr>
                    <m:t>Δ</m:t>
                  </m:r>
                </m:e>
                <m:sub>
                  <m:r>
                    <m:t>A</m:t>
                  </m:r>
                </m:sub>
              </m:sSub>
              <m:r>
                <m:rPr>
                  <m:sty m:val="p"/>
                </m:rPr>
                <m:t>(</m:t>
              </m:r>
              <m:r>
                <m:t>f</m:t>
              </m:r>
              <m:r>
                <m:rPr>
                  <m:sty m:val="p"/>
                </m:rPr>
                <m:t>,</m:t>
              </m:r>
              <m:r>
                <m:t>s</m:t>
              </m:r>
              <m:r>
                <m:rPr>
                  <m:sty m:val="p"/>
                </m:rPr>
                <m:t>)</m:t>
              </m:r>
              <m:r>
                <m:rPr>
                  <m:sty m:val="p"/>
                </m:rPr>
                <m:t>=</m:t>
              </m:r>
              <m:r>
                <m:rPr>
                  <m:sty m:val="p"/>
                </m:rPr>
                <m:t>ln</m:t>
              </m:r>
              <m:sSub>
                <m:e>
                  <m:r>
                    <m:t>C</m:t>
                  </m:r>
                </m:e>
                <m:sub>
                  <m:r>
                    <m:t>A</m:t>
                  </m:r>
                </m:sub>
              </m:sSub>
              <m:r>
                <m:rPr>
                  <m:sty m:val="p"/>
                </m:rPr>
                <m:t>(</m:t>
              </m:r>
              <m:r>
                <m:t>f</m:t>
              </m:r>
              <m:r>
                <m:rPr>
                  <m:sty m:val="p"/>
                </m:rPr>
                <m:t>,</m:t>
              </m:r>
              <m:r>
                <m:t>s</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m:oMath>
        <m:sSub>
          <m:e>
            <m:r>
              <m:rPr>
                <m:sty m:val="p"/>
              </m:rPr>
              <m:t>Δ</m:t>
            </m:r>
          </m:e>
          <m:sub>
            <m:r>
              <m:t>A</m:t>
            </m:r>
          </m:sub>
        </m:sSub>
        <m:r>
          <m:rPr>
            <m:sty m:val="p"/>
          </m:rPr>
          <m:t>&gt;</m:t>
        </m:r>
        <m:r>
          <m:t>0</m:t>
        </m:r>
      </m:oMath>
      <w:r>
        <w:rPr>
          <w:rFonts w:ascii="Times New Roman" w:hAnsi="Times New Roman" w:eastAsia="宋体" w:cs="Times New Roman" w:hint="eastAsia"/>
          <w:b w:val="0"/>
          <w:i w:val="0"/>
          <w:sz w:val="21"/>
        </w:rPr>
        <w:t xml:space="preserve"> 表示覆盖层使该频率、该位置的相对幅值增大，</w:t>
      </w:r>
      <m:oMath>
        <m:sSub>
          <m:e>
            <m:r>
              <m:rPr>
                <m:sty m:val="p"/>
              </m:rPr>
              <m:t>Δ</m:t>
            </m:r>
          </m:e>
          <m:sub>
            <m:r>
              <m:t>A</m:t>
            </m:r>
          </m:sub>
        </m:sSub>
        <m:r>
          <m:rPr>
            <m:sty m:val="p"/>
          </m:rPr>
          <m:t>&lt;</m:t>
        </m:r>
        <m:r>
          <m:t>0</m:t>
        </m:r>
      </m:oMath>
      <w:r>
        <w:rPr>
          <w:rFonts w:ascii="Times New Roman" w:hAnsi="Times New Roman" w:eastAsia="宋体" w:cs="Times New Roman" w:hint="eastAsia"/>
          <w:b w:val="0"/>
          <w:i w:val="0"/>
          <w:sz w:val="21"/>
        </w:rPr>
        <w:t xml:space="preserve"> 表示削弱；</w:t>
      </w:r>
      <m:oMath>
        <m:sSub>
          <m:e>
            <m:r>
              <m:rPr>
                <m:sty m:val="p"/>
              </m:rPr>
              <m:t>Δ</m:t>
            </m:r>
          </m:e>
          <m:sub>
            <m:r>
              <m:rPr>
                <m:sty m:val="p"/>
              </m:rPr>
              <m:t>Φ</m:t>
            </m:r>
          </m:sub>
        </m:sSub>
      </m:oMath>
      <w:r>
        <w:rPr>
          <w:rFonts w:ascii="Times New Roman" w:hAnsi="Times New Roman" w:eastAsia="宋体" w:cs="Times New Roman" w:hint="eastAsia"/>
          <w:b w:val="0"/>
          <w:i w:val="0"/>
          <w:sz w:val="21"/>
        </w:rPr>
        <w:t xml:space="preserve"> 和相应的群时延差反映覆盖层引入的附加相位结构。这里的配对比值不是把“地层效应”和“地形效应”假定为可线性相加，而是以同坡角均质坡为对照，观察覆盖层加入后完整复数场怎样变化。</w:t>
      </w:r>
    </w:p>
    <w:p>
      <w:pPr>
        <w:spacing w:before="0" w:after="0"/>
        <w:ind w:firstLine="420"/>
        <w:jc w:val="both"/>
      </w:pPr>
      <w:r>
        <w:rPr>
          <w:rFonts w:ascii="Times New Roman" w:hAnsi="Times New Roman" w:eastAsia="宋体" w:cs="Times New Roman" w:hint="eastAsia"/>
          <w:b w:val="0"/>
          <w:i w:val="0"/>
          <w:sz w:val="21"/>
        </w:rPr>
        <w:t>采用复数比值而不是分别相减幅值和相位，可以保持两类信息的耦合关系。</w:t>
      </w:r>
      <m:oMath>
        <m:sSub>
          <m:e>
            <m:r>
              <m:t>C</m:t>
            </m:r>
          </m:e>
          <m:sub>
            <m:r>
              <m:t>G</m:t>
            </m:r>
          </m:sub>
        </m:sSub>
      </m:oMath>
      <w:r>
        <w:rPr>
          <w:rFonts w:ascii="Times New Roman" w:hAnsi="Times New Roman" w:eastAsia="宋体" w:cs="Times New Roman" w:hint="eastAsia"/>
          <w:b w:val="0"/>
          <w:i w:val="0"/>
          <w:sz w:val="21"/>
        </w:rPr>
        <w:t xml:space="preserve"> 先在同一频率、同一位置对成层场和均质场做复数相除，再提取 </w:t>
      </w:r>
      <m:oMath>
        <m:sSub>
          <m:e>
            <m:r>
              <m:t>C</m:t>
            </m:r>
          </m:e>
          <m:sub>
            <m:r>
              <m:t>A</m:t>
            </m:r>
          </m:sub>
        </m:sSub>
      </m:oMath>
      <w:r>
        <w:rPr>
          <w:rFonts w:ascii="Times New Roman" w:hAnsi="Times New Roman" w:eastAsia="宋体" w:cs="Times New Roman" w:hint="eastAsia"/>
          <w:b w:val="0"/>
          <w:i w:val="0"/>
          <w:sz w:val="21"/>
        </w:rPr>
        <w:t xml:space="preserve"> 与 </w:t>
      </w:r>
      <m:oMath>
        <m:sSub>
          <m:e>
            <m:r>
              <m:rPr>
                <m:sty m:val="p"/>
              </m:rPr>
              <m:t>Δ</m:t>
            </m:r>
          </m:e>
          <m:sub>
            <m:r>
              <m:rPr>
                <m:sty m:val="p"/>
              </m:rPr>
              <m:t>Φ</m:t>
            </m:r>
          </m:sub>
        </m:sSub>
      </m:oMath>
      <w:r>
        <w:rPr>
          <w:rFonts w:ascii="Times New Roman" w:hAnsi="Times New Roman" w:eastAsia="宋体" w:cs="Times New Roman" w:hint="eastAsia"/>
          <w:b w:val="0"/>
          <w:i w:val="0"/>
          <w:sz w:val="21"/>
        </w:rPr>
        <w:t xml:space="preserve">；这样，相位差天然位于同一个复数商中，避免两条独立展开相位因分支常数不同而产生虚假的整周差。对幅值取对数则把成层相对均质的增大与减小放到同一加法尺度上，便于跨频带汇总。但 </w:t>
      </w:r>
      <m:oMath>
        <m:sSub>
          <m:e>
            <m:r>
              <m:rPr>
                <m:sty m:val="p"/>
              </m:rPr>
              <m:t>Δ</m:t>
            </m:r>
          </m:e>
          <m:sub>
            <m:r>
              <m:t>A</m:t>
            </m:r>
          </m:sub>
        </m:sSub>
      </m:oMath>
      <w:r>
        <w:rPr>
          <w:rFonts w:ascii="Times New Roman" w:hAnsi="Times New Roman" w:eastAsia="宋体" w:cs="Times New Roman" w:hint="eastAsia"/>
          <w:b w:val="0"/>
          <w:i w:val="0"/>
          <w:sz w:val="21"/>
        </w:rPr>
        <w:t xml:space="preserve"> 的正负只说明覆盖层相对同坡角均质坡的净修正，不等于某位置的最终 </w:t>
      </w:r>
      <m:oMath>
        <m:sSub>
          <m:e>
            <m:r>
              <m:t>A</m:t>
            </m:r>
          </m:e>
          <m:sub>
            <m:r>
              <m:t>h</m:t>
            </m:r>
          </m:sub>
        </m:sSub>
      </m:oMath>
      <w:r>
        <w:rPr>
          <w:rFonts w:ascii="Times New Roman" w:hAnsi="Times New Roman" w:eastAsia="宋体" w:cs="Times New Roman" w:hint="eastAsia"/>
          <w:b w:val="0"/>
          <w:i w:val="0"/>
          <w:sz w:val="21"/>
        </w:rPr>
        <w:t xml:space="preserve"> 必然大于或小于 1：一个原本被地形削弱的位置，经覆盖层增强后仍可能低于一维参考，反之亦然。为检验覆盖层尺度与二维响应变化能否对应，再以覆盖层四分之一波长频率构造相对于坡高尺度频率的无量纲比值：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χ</m:t>
              </m:r>
              <m:r>
                <m:rPr>
                  <m:sty m:val="p"/>
                </m:rPr>
                <m:t>=</m:t>
              </m:r>
              <m:f>
                <m:fPr>
                  <m:type m:val="bar"/>
                </m:fPr>
                <m:num>
                  <m:sSub>
                    <m:e>
                      <m:r>
                        <m:t>f</m:t>
                      </m:r>
                    </m:e>
                    <m:sub>
                      <m:r>
                        <m:t>s</m:t>
                      </m:r>
                    </m:sub>
                  </m:sSub>
                  <m:r>
                    <m:t>h</m:t>
                  </m:r>
                </m:num>
                <m:den>
                  <m:sSub>
                    <m:e>
                      <m:r>
                        <m:t>V</m:t>
                      </m:r>
                    </m:e>
                    <m:sub>
                      <m:r>
                        <m:rPr>
                          <m:sty m:val="p"/>
                        </m:rPr>
                        <m:t>s</m:t>
                      </m:r>
                      <m:r>
                        <m:rPr>
                          <m:sty m:val="p"/>
                        </m:rPr>
                        <m:t>,</m:t>
                      </m:r>
                      <m:r>
                        <m:rPr>
                          <m:sty m:val="p"/>
                        </m:rPr>
                        <m:t>b</m:t>
                      </m:r>
                    </m:sub>
                  </m:sSub>
                </m:den>
              </m:f>
              <m:r>
                <m:rPr>
                  <m:sty m:val="p"/>
                </m:rPr>
                <m:t>=</m:t>
              </m:r>
              <m:f>
                <m:fPr>
                  <m:type m:val="bar"/>
                </m:fPr>
                <m:num>
                  <m:sSub>
                    <m:e>
                      <m:r>
                        <m:t>r</m:t>
                      </m:r>
                    </m:e>
                    <m:sub>
                      <m:r>
                        <m:t>v</m:t>
                      </m:r>
                    </m:sub>
                  </m:sSub>
                </m:num>
                <m:den>
                  <m:r>
                    <m:t>4</m:t>
                  </m:r>
                  <m:r>
                    <m:rPr>
                      <m:sty m:val="p"/>
                    </m:rPr>
                    <m:t>(</m:t>
                  </m:r>
                  <m:r>
                    <m:t>d</m:t>
                  </m:r>
                  <m:r>
                    <m:rPr>
                      <m:sty m:val="p"/>
                    </m:rPr>
                    <m:t>/</m:t>
                  </m:r>
                  <m:r>
                    <m:t>h</m:t>
                  </m:r>
                  <m:r>
                    <m:rPr>
                      <m:sty m:val="p"/>
                    </m:rPr>
                    <m:t>)</m:t>
                  </m:r>
                </m:den>
              </m:f>
              <m:r>
                <m:rPr>
                  <m:sty m:val="p"/>
                </m:rPr>
                <m:t>,</m:t>
              </m:r>
              <m:r>
                <m:t>  </m:t>
              </m:r>
              <m:sSub>
                <m:e>
                  <m:r>
                    <m:t>f</m:t>
                  </m:r>
                </m:e>
                <m:sub>
                  <m:r>
                    <m:t>s</m:t>
                  </m:r>
                </m:sub>
              </m:sSub>
              <m:r>
                <m:rPr>
                  <m:sty m:val="p"/>
                </m:rPr>
                <m:t>=</m:t>
              </m:r>
              <m:f>
                <m:fPr>
                  <m:type m:val="bar"/>
                </m:fPr>
                <m:num>
                  <m:sSub>
                    <m:e>
                      <m:r>
                        <m:t>V</m:t>
                      </m:r>
                    </m:e>
                    <m:sub>
                      <m:r>
                        <m:rPr>
                          <m:sty m:val="p"/>
                        </m:rPr>
                        <m:t>s</m:t>
                      </m:r>
                      <m:r>
                        <m:rPr>
                          <m:sty m:val="p"/>
                        </m:rPr>
                        <m:t>,</m:t>
                      </m:r>
                      <m:r>
                        <m:rPr>
                          <m:sty m:val="p"/>
                        </m:rPr>
                        <m:t>c</m:t>
                      </m:r>
                    </m:sub>
                  </m:sSub>
                </m:num>
                <m:den>
                  <m:r>
                    <m:t>4</m:t>
                  </m:r>
                  <m:r>
                    <m:t>d</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m:oMath>
        <m:r>
          <m:t>χ</m:t>
        </m:r>
      </m:oMath>
      <w:r>
        <w:rPr>
          <w:rFonts w:ascii="Times New Roman" w:hAnsi="Times New Roman" w:eastAsia="宋体" w:cs="Times New Roman" w:hint="eastAsia"/>
          <w:b w:val="0"/>
          <w:i w:val="0"/>
          <w:sz w:val="21"/>
        </w:rPr>
        <w:t xml:space="preserve"> 小表示覆盖层特征频率相对坡高尺度频率较低，可能进入本文主要分析频带；</w:t>
      </w:r>
      <m:oMath>
        <m:r>
          <m:t>χ</m:t>
        </m:r>
      </m:oMath>
      <w:r>
        <w:rPr>
          <w:rFonts w:ascii="Times New Roman" w:hAnsi="Times New Roman" w:eastAsia="宋体" w:cs="Times New Roman" w:hint="eastAsia"/>
          <w:b w:val="0"/>
          <w:i w:val="0"/>
          <w:sz w:val="21"/>
        </w:rPr>
        <w:t xml:space="preserve"> 大则表示覆盖层特征频率相对较高。式（17）只提供频率尺度，不预先规定二维坡体的主峰一定等于 </w:t>
      </w:r>
      <m:oMath>
        <m:sSub>
          <m:e>
            <m:r>
              <m:t>f</m:t>
            </m:r>
          </m:e>
          <m:sub>
            <m:r>
              <m:t>s</m:t>
            </m:r>
          </m:sub>
        </m:sSub>
      </m:oMath>
      <w:r>
        <w:rPr>
          <w:rFonts w:ascii="Times New Roman" w:hAnsi="Times New Roman" w:eastAsia="宋体" w:cs="Times New Roman" w:hint="eastAsia"/>
          <w:b w:val="0"/>
          <w:i w:val="0"/>
          <w:sz w:val="21"/>
        </w:rPr>
        <w:t xml:space="preserve">。坡角散射、平台干涉和斜入射水平相位差都会使局部主峰偏离一维四分之一波长频率。后文因此先比较完整频率—空间场，再检验各类修正指标是否随 </w:t>
      </w:r>
      <m:oMath>
        <m:r>
          <m:t>χ</m:t>
        </m:r>
      </m:oMath>
      <w:r>
        <w:rPr>
          <w:rFonts w:ascii="Times New Roman" w:hAnsi="Times New Roman" w:eastAsia="宋体" w:cs="Times New Roman" w:hint="eastAsia"/>
          <w:b w:val="0"/>
          <w:i w:val="0"/>
          <w:sz w:val="21"/>
        </w:rPr>
        <w:t xml:space="preserve"> 呈稳定变化，避免用一条一维频率公式替代二维结果。</w:t>
      </w:r>
    </w:p>
    <w:p>
      <w:pPr>
        <w:spacing w:before="156" w:after="40"/>
        <w:ind w:firstLine="0"/>
        <w:jc w:val="left"/>
      </w:pPr>
      <w:r>
        <w:rPr>
          <w:rFonts w:ascii="Times New Roman" w:hAnsi="Times New Roman" w:eastAsia="宋体" w:cs="Times New Roman" w:hint="eastAsia"/>
          <w:b/>
          <w:i w:val="0"/>
          <w:sz w:val="24"/>
        </w:rPr>
        <w:t>3.2 总波场响应函数的总体分布特征</w:t>
      </w:r>
    </w:p>
    <w:p>
      <w:pPr>
        <w:spacing w:before="0" w:after="0"/>
        <w:ind w:firstLine="420"/>
        <w:jc w:val="both"/>
      </w:pPr>
      <w:r>
        <w:rPr>
          <w:rFonts w:ascii="Times New Roman" w:hAnsi="Times New Roman" w:eastAsia="宋体" w:cs="Times New Roman" w:hint="eastAsia"/>
          <w:b w:val="0"/>
          <w:i w:val="0"/>
          <w:sz w:val="21"/>
        </w:rPr>
        <w:t xml:space="preserve">图7以均质陡坡 H004 和成层陡坡 P061 建立总体认识。两者坡角均为 </w:t>
      </w:r>
      <m:oMath>
        <m:sSup>
          <m:e>
            <m:r>
              <m:t>60</m:t>
            </m:r>
          </m:e>
          <m:sup>
            <m:r>
              <m:rPr>
                <m:sty m:val="p"/>
              </m:rPr>
              <m:t>∘</m:t>
            </m:r>
          </m:sup>
        </m:sSup>
      </m:oMath>
      <w:r>
        <w:rPr>
          <w:rFonts w:ascii="Times New Roman" w:hAnsi="Times New Roman" w:eastAsia="宋体" w:cs="Times New Roman" w:hint="eastAsia"/>
          <w:b w:val="0"/>
          <w:i w:val="0"/>
          <w:sz w:val="21"/>
        </w:rPr>
        <w:t xml:space="preserve">，区别在于 P061 含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的软厚覆盖层。H004 的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场较平滑，显著变化主要集中在坡顶和坡面附近；其全场峰值为 1.638，位于 3.2 Hz、</w:t>
      </w:r>
      <m:oMath>
        <m:r>
          <m:t>s</m:t>
        </m:r>
        <m:r>
          <m:rPr>
            <m:sty m:val="p"/>
          </m:rPr>
          <m:t>=</m:t>
        </m:r>
        <m:r>
          <m:t>0</m:t>
        </m:r>
      </m:oMath>
      <w:r>
        <w:rPr>
          <w:rFonts w:ascii="Times New Roman" w:hAnsi="Times New Roman" w:eastAsia="宋体" w:cs="Times New Roman" w:hint="eastAsia"/>
          <w:b w:val="0"/>
          <w:i w:val="0"/>
          <w:sz w:val="21"/>
        </w:rPr>
        <w:t xml:space="preserve">。扣除水平传播相位后，群时延的1%～99%范围为 </w:t>
      </w:r>
      <m:oMath>
        <m:r>
          <m:rPr>
            <m:sty m:val="p"/>
          </m:rPr>
          <m:t>−</m:t>
        </m:r>
        <m:r>
          <m:t>0.142</m:t>
        </m:r>
      </m:oMath>
      <w:r>
        <w:rPr>
          <w:rFonts w:ascii="Times New Roman" w:hAnsi="Times New Roman" w:eastAsia="宋体" w:cs="Times New Roman" w:hint="eastAsia"/>
          <w:b w:val="0"/>
          <w:i w:val="0"/>
          <w:sz w:val="21"/>
        </w:rPr>
        <w:t>～0.053 s。该结果说明，即便没有覆盖层，陡坡几何仍会产生频带选择性放大和相对时延，但不再把平面入射波的已知水平走时计入坡体响应。</w:t>
      </w:r>
    </w:p>
    <w:p>
      <w:pPr>
        <w:spacing w:before="80" w:after="40"/>
        <w:ind w:firstLine="0"/>
        <w:jc w:val="center"/>
      </w:pPr>
      <w:r>
        <w:drawing>
          <wp:inline xmlns:a="http://schemas.openxmlformats.org/drawingml/2006/main" xmlns:pic="http://schemas.openxmlformats.org/drawingml/2006/picture">
            <wp:extent cx="5669280" cy="3218678"/>
            <wp:docPr id="3" name="Picture 3"/>
            <wp:cNvGraphicFramePr>
              <a:graphicFrameLocks noChangeAspect="1"/>
            </wp:cNvGraphicFramePr>
            <a:graphic>
              <a:graphicData uri="http://schemas.openxmlformats.org/drawingml/2006/picture">
                <pic:pic>
                  <pic:nvPicPr>
                    <pic:cNvPr id="0" name="fig07_代表工况复频响联合场.png"/>
                    <pic:cNvPicPr/>
                  </pic:nvPicPr>
                  <pic:blipFill>
                    <a:blip r:embed="rId19"/>
                    <a:stretch>
                      <a:fillRect/>
                    </a:stretch>
                  </pic:blipFill>
                  <pic:spPr>
                    <a:xfrm>
                      <a:off x="0" y="0"/>
                      <a:ext cx="5669280" cy="321867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图7 扣除斜入射水平传播相位后的代表工况总波场响应：（a）～（c）H004 的对数幅值、展开相位和群时延；（d）～（f）P061 对应结果；虚线为坡顶与坡脚</w:t>
      </w:r>
    </w:p>
    <w:p>
      <w:pPr>
        <w:spacing w:before="0" w:after="60"/>
        <w:ind w:firstLine="0"/>
        <w:jc w:val="center"/>
      </w:pPr>
      <w:r>
        <w:rPr>
          <w:rFonts w:ascii="Times New Roman" w:hAnsi="Times New Roman" w:eastAsia="Times New Roman" w:cs="Times New Roman" w:hint="eastAsia"/>
          <w:b w:val="0"/>
          <w:i w:val="0"/>
          <w:sz w:val="18"/>
        </w:rPr>
        <w:t>Fig. 7 Phase-aligned total-wavefield responses of representative homogeneous and layered slopes</w:t>
      </w:r>
    </w:p>
    <w:p>
      <w:pPr>
        <w:spacing w:before="0" w:after="0"/>
        <w:ind w:firstLine="420"/>
        <w:jc w:val="both"/>
      </w:pPr>
      <w:r>
        <w:rPr>
          <w:rFonts w:ascii="Times New Roman" w:hAnsi="Times New Roman" w:eastAsia="宋体" w:cs="Times New Roman" w:hint="eastAsia"/>
          <w:b w:val="0"/>
          <w:i w:val="0"/>
          <w:sz w:val="21"/>
        </w:rPr>
        <w:t xml:space="preserve">加入软厚覆盖层后，P061 场内出现多条弯曲的高低幅值条带，相位在坡脚前后形成不同分支，群时延也出现交替的正负条带。其全场峰值为 4.012，位于 4.0 Hz、下平台 </w:t>
      </w:r>
      <m:oMath>
        <m:r>
          <m:t>s</m:t>
        </m:r>
        <m:r>
          <m:rPr>
            <m:sty m:val="p"/>
          </m:rPr>
          <m:t>=</m:t>
        </m:r>
        <m:r>
          <m:t>3.2</m:t>
        </m:r>
      </m:oMath>
      <w:r>
        <w:rPr>
          <w:rFonts w:ascii="Times New Roman" w:hAnsi="Times New Roman" w:eastAsia="宋体" w:cs="Times New Roman" w:hint="eastAsia"/>
          <w:b w:val="0"/>
          <w:i w:val="0"/>
          <w:sz w:val="21"/>
        </w:rPr>
        <w:t xml:space="preserve">，是 H004 的 2.45 倍；群时延1%～99%范围扩大为 </w:t>
      </w:r>
      <m:oMath>
        <m:r>
          <m:rPr>
            <m:sty m:val="p"/>
          </m:rPr>
          <m:t>−</m:t>
        </m:r>
        <m:r>
          <m:t>0.676</m:t>
        </m:r>
      </m:oMath>
      <w:r>
        <w:rPr>
          <w:rFonts w:ascii="Times New Roman" w:hAnsi="Times New Roman" w:eastAsia="宋体" w:cs="Times New Roman" w:hint="eastAsia"/>
          <w:b w:val="0"/>
          <w:i w:val="0"/>
          <w:sz w:val="21"/>
        </w:rPr>
        <w:t>～0.202 s，绝对极值由 H004 的 0.294 s 增至 0.781 s。峰值从坡顶移至下平台以及时延范围的显著增大共同表明，覆盖层带来的变化不只是“坡顶放大系数提高”，而是主控位置、主控频带和散射相位结构同时重组。</w:t>
      </w:r>
    </w:p>
    <w:p>
      <w:pPr>
        <w:spacing w:before="0" w:after="0"/>
        <w:ind w:firstLine="420"/>
        <w:jc w:val="both"/>
      </w:pPr>
      <w:r>
        <w:rPr>
          <w:rFonts w:ascii="Times New Roman" w:hAnsi="Times New Roman" w:eastAsia="宋体" w:cs="Times New Roman" w:hint="eastAsia"/>
          <w:b w:val="0"/>
          <w:i w:val="0"/>
          <w:sz w:val="21"/>
        </w:rPr>
        <w:t xml:space="preserve">若把两个工况放在同一坐标下比较，全场最大幅值由1.638增至4.012，峰频由3.2 Hz移至4.0 Hz，空间位置由坡顶 </w:t>
      </w:r>
      <m:oMath>
        <m:r>
          <m:t>s</m:t>
        </m:r>
        <m:r>
          <m:rPr>
            <m:sty m:val="p"/>
          </m:rPr>
          <m:t>=</m:t>
        </m:r>
        <m:r>
          <m:t>0</m:t>
        </m:r>
      </m:oMath>
      <w:r>
        <w:rPr>
          <w:rFonts w:ascii="Times New Roman" w:hAnsi="Times New Roman" w:eastAsia="宋体" w:cs="Times New Roman" w:hint="eastAsia"/>
          <w:b w:val="0"/>
          <w:i w:val="0"/>
          <w:sz w:val="21"/>
        </w:rPr>
        <w:t xml:space="preserve"> 移到下平台 </w:t>
      </w:r>
      <m:oMath>
        <m:r>
          <m:t>s</m:t>
        </m:r>
        <m:r>
          <m:rPr>
            <m:sty m:val="p"/>
          </m:rPr>
          <m:t>=</m:t>
        </m:r>
        <m:r>
          <m:t>3.2</m:t>
        </m:r>
      </m:oMath>
      <w:r>
        <w:rPr>
          <w:rFonts w:ascii="Times New Roman" w:hAnsi="Times New Roman" w:eastAsia="宋体" w:cs="Times New Roman" w:hint="eastAsia"/>
          <w:b w:val="0"/>
          <w:i w:val="0"/>
          <w:sz w:val="21"/>
        </w:rPr>
        <w:t>；群时延1%～99%覆盖宽度则由0.194 s扩大到0.879 s，约为均质坡的4.53倍。幅值、峰位和相位导数同时重组，因此不能只用“成层后放大2.45倍”概括P061。</w:t>
      </w:r>
    </w:p>
    <w:p>
      <w:pPr>
        <w:spacing w:before="0" w:after="0"/>
        <w:ind w:firstLine="420"/>
        <w:jc w:val="both"/>
      </w:pPr>
      <w:r>
        <w:rPr>
          <w:rFonts w:ascii="Times New Roman" w:hAnsi="Times New Roman" w:eastAsia="宋体" w:cs="Times New Roman" w:hint="eastAsia"/>
          <w:b w:val="0"/>
          <w:i w:val="0"/>
          <w:sz w:val="21"/>
        </w:rPr>
        <w:t xml:space="preserve">图7中 P061 在 </w:t>
      </w:r>
      <m:oMath>
        <m:r>
          <m:t>s</m:t>
        </m:r>
        <m:r>
          <m:rPr>
            <m:sty m:val="p"/>
          </m:rPr>
          <m:t>=</m:t>
        </m:r>
        <m:r>
          <m:t>1</m:t>
        </m:r>
      </m:oMath>
      <w:r>
        <w:rPr>
          <w:rFonts w:ascii="Times New Roman" w:hAnsi="Times New Roman" w:eastAsia="宋体" w:cs="Times New Roman" w:hint="eastAsia"/>
          <w:b w:val="0"/>
          <w:i w:val="0"/>
          <w:sz w:val="21"/>
        </w:rPr>
        <w:t xml:space="preserve"> 右侧具有较强梯度。1～2 Hz 的低频条带、约 4 Hz 的下平台强响应以及 5～8 Hz 的多组干涉结构以不同形态穿过坡脚，与图6展示的频率相关空间变化一致。这些局部梯度由坡脚散射和覆盖层干涉共同形成，后处理中不对 </w:t>
      </w:r>
      <m:oMath>
        <m:r>
          <m:t>s</m:t>
        </m:r>
        <m:r>
          <m:rPr>
            <m:sty m:val="p"/>
          </m:rPr>
          <m:t>=</m:t>
        </m:r>
        <m:r>
          <m:t>1</m:t>
        </m:r>
      </m:oMath>
      <w:r>
        <w:rPr>
          <w:rFonts w:ascii="Times New Roman" w:hAnsi="Times New Roman" w:eastAsia="宋体" w:cs="Times New Roman" w:hint="eastAsia"/>
          <w:b w:val="0"/>
          <w:i w:val="0"/>
          <w:sz w:val="21"/>
        </w:rPr>
        <w:t xml:space="preserve"> 邻域进行平滑，以保留真实的相位梯度和峰位迁移。</w:t>
      </w:r>
    </w:p>
    <w:p>
      <w:pPr>
        <w:spacing w:before="0" w:after="0"/>
        <w:ind w:firstLine="420"/>
        <w:jc w:val="both"/>
      </w:pPr>
      <w:r>
        <w:rPr>
          <w:rFonts w:ascii="Times New Roman" w:hAnsi="Times New Roman" w:eastAsia="宋体" w:cs="Times New Roman" w:hint="eastAsia"/>
          <w:b w:val="0"/>
          <w:i w:val="0"/>
          <w:sz w:val="21"/>
        </w:rPr>
        <w:t>从群时延分位范围还能看出，P061的复杂性主要向负时延一侧扩展。H004的1%下限和99%上限分别为</w:t>
      </w:r>
      <m:oMath>
        <m:r>
          <m:rPr>
            <m:sty m:val="p"/>
          </m:rPr>
          <m:t>−</m:t>
        </m:r>
        <m:r>
          <m:t>0.142</m:t>
        </m:r>
      </m:oMath>
      <w:r>
        <w:rPr>
          <w:rFonts w:ascii="Times New Roman" w:hAnsi="Times New Roman" w:eastAsia="宋体" w:cs="Times New Roman" w:hint="eastAsia"/>
          <w:b w:val="0"/>
          <w:i w:val="0"/>
          <w:sz w:val="21"/>
        </w:rPr>
        <w:t xml:space="preserve"> s与0.053 s，P061则为</w:t>
      </w:r>
      <m:oMath>
        <m:r>
          <m:rPr>
            <m:sty m:val="p"/>
          </m:rPr>
          <m:t>−</m:t>
        </m:r>
        <m:r>
          <m:t>0.676</m:t>
        </m:r>
      </m:oMath>
      <w:r>
        <w:rPr>
          <w:rFonts w:ascii="Times New Roman" w:hAnsi="Times New Roman" w:eastAsia="宋体" w:cs="Times New Roman" w:hint="eastAsia"/>
          <w:b w:val="0"/>
          <w:i w:val="0"/>
          <w:sz w:val="21"/>
        </w:rPr>
        <w:t xml:space="preserve"> s与0.202 s；负侧绝对范围扩大约4.78倍，正侧约3.85倍。由于确定性水平走时已被扣除，这种不对称扩展不能再解释为测点横坐标不同，而应归因于部分频带内更陡的散射相位转折和成层干涉。</w:t>
      </w:r>
    </w:p>
    <w:p>
      <w:pPr>
        <w:spacing w:before="0" w:after="0"/>
        <w:ind w:firstLine="420"/>
        <w:jc w:val="both"/>
      </w:pPr>
      <w:r>
        <w:rPr>
          <w:rFonts w:ascii="Times New Roman" w:hAnsi="Times New Roman" w:eastAsia="宋体" w:cs="Times New Roman" w:hint="eastAsia"/>
          <w:b w:val="0"/>
          <w:i w:val="0"/>
          <w:sz w:val="21"/>
        </w:rPr>
        <w:t>幅值峰的位置变化与群时延展宽应合在一起阅读。H004的1.638峰位于坡顶、3.2 Hz；P061的4.012峰位于下平台</w:t>
      </w:r>
      <m:oMath>
        <m:r>
          <m:t>s</m:t>
        </m:r>
        <m:r>
          <m:rPr>
            <m:sty m:val="p"/>
          </m:rPr>
          <m:t>=</m:t>
        </m:r>
        <m:r>
          <m:t>3.2</m:t>
        </m:r>
      </m:oMath>
      <w:r>
        <w:rPr>
          <w:rFonts w:ascii="Times New Roman" w:hAnsi="Times New Roman" w:eastAsia="宋体" w:cs="Times New Roman" w:hint="eastAsia"/>
          <w:b w:val="0"/>
          <w:i w:val="0"/>
          <w:sz w:val="21"/>
        </w:rPr>
        <w:t>、4.0 Hz。后者不是把H004坡顶峰原位放大2.45倍，而是另一组频率—位置组合成为全场最大。与此同时，群时延分位宽度扩大4.53倍，表明峰位迁移伴随更强的散射相位频散。</w:t>
      </w:r>
    </w:p>
    <w:p>
      <w:pPr>
        <w:spacing w:before="0" w:after="0"/>
        <w:ind w:firstLine="420"/>
        <w:jc w:val="both"/>
      </w:pPr>
      <w:r>
        <w:rPr>
          <w:rFonts w:ascii="Times New Roman" w:hAnsi="Times New Roman" w:eastAsia="宋体" w:cs="Times New Roman" w:hint="eastAsia"/>
          <w:b w:val="0"/>
          <w:i w:val="0"/>
          <w:sz w:val="21"/>
        </w:rPr>
        <w:t>频率—空间热图适合观察整体结构，但不易读出单一频率上各位置的相对关系。图8因而截取1、3、5、7和9 Hz的地表空间剖面。均质H004在五个频率下的幅值最大值都位于坡顶，依次为1.147、1.633、1.540、1.489和1.490。扣除水平传播相位后，其全地表相位跨度依次为13.0°、80.3°、126.7°、170.1°和201.1°；该跨度表示不同位置相对当地入射相位的散射差异，而不是入射波从左向右传播的走时。</w:t>
      </w:r>
    </w:p>
    <w:p>
      <w:pPr>
        <w:spacing w:before="80" w:after="40"/>
        <w:ind w:firstLine="0"/>
        <w:jc w:val="center"/>
      </w:pPr>
      <w:r>
        <w:drawing>
          <wp:inline xmlns:a="http://schemas.openxmlformats.org/drawingml/2006/main" xmlns:pic="http://schemas.openxmlformats.org/drawingml/2006/picture">
            <wp:extent cx="5669280" cy="3420254"/>
            <wp:docPr id="4" name="Picture 4"/>
            <wp:cNvGraphicFramePr>
              <a:graphicFrameLocks noChangeAspect="1"/>
            </wp:cNvGraphicFramePr>
            <a:graphic>
              <a:graphicData uri="http://schemas.openxmlformats.org/drawingml/2006/picture">
                <pic:pic>
                  <pic:nvPicPr>
                    <pic:cNvPr id="0" name="fig08_固定频率地表空间响应.png"/>
                    <pic:cNvPicPr/>
                  </pic:nvPicPr>
                  <pic:blipFill>
                    <a:blip r:embed="rId20"/>
                    <a:stretch>
                      <a:fillRect/>
                    </a:stretch>
                  </pic:blipFill>
                  <pic:spPr>
                    <a:xfrm>
                      <a:off x="0" y="0"/>
                      <a:ext cx="5669280" cy="342025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图8 H004 与 P061 在1、3、5、7和9 Hz固定频率下的地表空间响应：（a）、（b）幅值；（c）、（d）展开相位；灰带为坡面，虚线为坡顶和坡脚</w:t>
      </w:r>
    </w:p>
    <w:p>
      <w:pPr>
        <w:spacing w:before="0" w:after="60"/>
        <w:ind w:firstLine="0"/>
        <w:jc w:val="center"/>
      </w:pPr>
      <w:r>
        <w:rPr>
          <w:rFonts w:ascii="Times New Roman" w:hAnsi="Times New Roman" w:eastAsia="Times New Roman" w:cs="Times New Roman" w:hint="eastAsia"/>
          <w:b w:val="0"/>
          <w:i w:val="0"/>
          <w:sz w:val="18"/>
        </w:rPr>
        <w:t>Fig. 8 Surface response profiles at selected frequencies for H004 and P061</w:t>
      </w:r>
    </w:p>
    <w:p>
      <w:pPr>
        <w:spacing w:before="0" w:after="0"/>
        <w:ind w:firstLine="420"/>
        <w:jc w:val="both"/>
      </w:pPr>
      <w:r>
        <w:rPr>
          <w:rFonts w:ascii="Times New Roman" w:hAnsi="Times New Roman" w:eastAsia="宋体" w:cs="Times New Roman" w:hint="eastAsia"/>
          <w:b w:val="0"/>
          <w:i w:val="0"/>
          <w:sz w:val="21"/>
        </w:rPr>
        <w:t>P061 的空间剖面对频率更敏感。1 Hz时坡顶幅值为1.227，而下平台</w:t>
      </w:r>
      <m:oMath>
        <m:r>
          <m:t>s</m:t>
        </m:r>
        <m:r>
          <m:rPr>
            <m:sty m:val="p"/>
          </m:rPr>
          <m:t>=</m:t>
        </m:r>
        <m:r>
          <m:t>2</m:t>
        </m:r>
      </m:oMath>
      <w:r>
        <w:rPr>
          <w:rFonts w:ascii="Times New Roman" w:hAnsi="Times New Roman" w:eastAsia="宋体" w:cs="Times New Roman" w:hint="eastAsia"/>
          <w:b w:val="0"/>
          <w:i w:val="0"/>
          <w:sz w:val="21"/>
        </w:rPr>
        <w:t>仅为0.232；到5 Hz，空间最大值移至</w:t>
      </w:r>
      <m:oMath>
        <m:r>
          <m:t>s</m:t>
        </m:r>
        <m:r>
          <m:rPr>
            <m:sty m:val="p"/>
          </m:rPr>
          <m:t>=</m:t>
        </m:r>
        <m:r>
          <m:t>1.65</m:t>
        </m:r>
      </m:oMath>
      <w:r>
        <w:rPr>
          <w:rFonts w:ascii="Times New Roman" w:hAnsi="Times New Roman" w:eastAsia="宋体" w:cs="Times New Roman" w:hint="eastAsia"/>
          <w:b w:val="0"/>
          <w:i w:val="0"/>
          <w:sz w:val="21"/>
        </w:rPr>
        <w:t>并达到1.710，9 Hz时又移至</w:t>
      </w:r>
      <m:oMath>
        <m:r>
          <m:t>s</m:t>
        </m:r>
        <m:r>
          <m:rPr>
            <m:sty m:val="p"/>
          </m:rPr>
          <m:t>=</m:t>
        </m:r>
        <m:r>
          <m:t>1.20</m:t>
        </m:r>
      </m:oMath>
      <w:r>
        <w:rPr>
          <w:rFonts w:ascii="Times New Roman" w:hAnsi="Times New Roman" w:eastAsia="宋体" w:cs="Times New Roman" w:hint="eastAsia"/>
          <w:b w:val="0"/>
          <w:i w:val="0"/>
          <w:sz w:val="21"/>
        </w:rPr>
        <w:t>并增至2.079。其扣除水平传播相位后的全地表相位跨度由1 Hz的74.8°扩大到9 Hz的625.0°，明显高于H004，说明高频成层干涉主要体现在散射相位快速变化及其伴随的局部幅值重分配。</w:t>
      </w:r>
    </w:p>
    <w:p>
      <w:pPr>
        <w:spacing w:before="0" w:after="0"/>
        <w:ind w:firstLine="420"/>
        <w:jc w:val="both"/>
      </w:pPr>
      <w:r>
        <w:rPr>
          <w:rFonts w:ascii="Times New Roman" w:hAnsi="Times New Roman" w:eastAsia="宋体" w:cs="Times New Roman" w:hint="eastAsia"/>
          <w:b w:val="0"/>
          <w:i w:val="0"/>
          <w:sz w:val="21"/>
        </w:rPr>
        <w:t>五条剖面把图7中的弯曲条带转化为一组可追踪的空间迁移。P061在1、3、5、7和9 Hz的空间最大值依次为1.227、1.349、1.710、1.502和2.079，对应位置依次为</w:t>
      </w:r>
      <m:oMath>
        <m:r>
          <m:t>s</m:t>
        </m:r>
        <m:r>
          <m:rPr>
            <m:sty m:val="p"/>
          </m:rPr>
          <m:t>=</m:t>
        </m:r>
        <m:r>
          <m:t>0</m:t>
        </m:r>
      </m:oMath>
      <w:r>
        <w:rPr>
          <w:rFonts w:ascii="Times New Roman" w:hAnsi="Times New Roman" w:eastAsia="宋体" w:cs="Times New Roman" w:hint="eastAsia"/>
          <w:b w:val="0"/>
          <w:i w:val="0"/>
          <w:sz w:val="21"/>
        </w:rPr>
        <w:t>、</w:t>
      </w:r>
      <m:oMath>
        <m:r>
          <m:rPr>
            <m:sty m:val="p"/>
          </m:rPr>
          <m:t>−</m:t>
        </m:r>
        <m:r>
          <m:t>3.40</m:t>
        </m:r>
      </m:oMath>
      <w:r>
        <w:rPr>
          <w:rFonts w:ascii="Times New Roman" w:hAnsi="Times New Roman" w:eastAsia="宋体" w:cs="Times New Roman" w:hint="eastAsia"/>
          <w:b w:val="0"/>
          <w:i w:val="0"/>
          <w:sz w:val="21"/>
        </w:rPr>
        <w:t>、1.65、</w:t>
      </w:r>
      <m:oMath>
        <m:r>
          <m:rPr>
            <m:sty m:val="p"/>
          </m:rPr>
          <m:t>−</m:t>
        </m:r>
        <m:r>
          <m:t>0.65</m:t>
        </m:r>
      </m:oMath>
      <w:r>
        <w:rPr>
          <w:rFonts w:ascii="Times New Roman" w:hAnsi="Times New Roman" w:eastAsia="宋体" w:cs="Times New Roman" w:hint="eastAsia"/>
          <w:b w:val="0"/>
          <w:i w:val="0"/>
          <w:sz w:val="21"/>
        </w:rPr>
        <w:t>和1.20。控制位置由坡顶转到远上平台，再跨过坡面进入下平台，随后回到上平台并再次落到坡脚右侧，未形成“频率越高，峰值越沿同一方向移动”的简单规律。这里3 Hz的</w:t>
      </w:r>
      <m:oMath>
        <m:r>
          <m:t>s</m:t>
        </m:r>
        <m:r>
          <m:rPr>
            <m:sty m:val="p"/>
          </m:rPr>
          <m:t>=</m:t>
        </m:r>
        <m:r>
          <m:rPr>
            <m:sty m:val="p"/>
          </m:rPr>
          <m:t>−</m:t>
        </m:r>
        <m:r>
          <m:t>3.40</m:t>
        </m:r>
      </m:oMath>
      <w:r>
        <w:rPr>
          <w:rFonts w:ascii="Times New Roman" w:hAnsi="Times New Roman" w:eastAsia="宋体" w:cs="Times New Roman" w:hint="eastAsia"/>
          <w:b w:val="0"/>
          <w:i w:val="0"/>
          <w:sz w:val="21"/>
        </w:rPr>
        <w:t>仍在搜索域内部，不应标为空间端点，但它距坡体较远，解释时要与坡体邻域的分区统计区分；5 Hz和9 Hz的峰则明确位于下平台内部。</w:t>
      </w:r>
    </w:p>
    <w:p>
      <w:pPr>
        <w:spacing w:before="0" w:after="0"/>
        <w:ind w:firstLine="420"/>
        <w:jc w:val="both"/>
      </w:pPr>
      <w:r>
        <w:rPr>
          <w:rFonts w:ascii="Times New Roman" w:hAnsi="Times New Roman" w:eastAsia="宋体" w:cs="Times New Roman" w:hint="eastAsia"/>
          <w:b w:val="0"/>
          <w:i w:val="0"/>
          <w:sz w:val="21"/>
        </w:rPr>
        <w:t>相位剖面给出的迁移比幅值更连续。H004在1、3、5、7和9 Hz的相位跨度分别为13.0°、80.3°、126.7°、170.1°和201.1°，P061对应为74.8°、227.6°、299.2°、447.2°和625.0°。相位跨度增大并不要求每个位置的幅值同步上升，而意味着沿地表更容易出现相长与相消位置交替。</w:t>
      </w:r>
    </w:p>
    <w:p>
      <w:pPr>
        <w:spacing w:before="0" w:after="0"/>
        <w:ind w:firstLine="420"/>
        <w:jc w:val="both"/>
      </w:pPr>
      <w:r>
        <w:rPr>
          <w:rFonts w:ascii="Times New Roman" w:hAnsi="Times New Roman" w:eastAsia="宋体" w:cs="Times New Roman" w:hint="eastAsia"/>
          <w:b w:val="0"/>
          <w:i w:val="0"/>
          <w:sz w:val="21"/>
        </w:rPr>
        <w:t>两类坡在固定频率下的差异并非所有频率都同样显著。H004五条剖面的最大值在1.147～1.633之间，控制位置始终为坡顶；P061在5 Hz和9 Hz的空间最大值分别比H004同频最大值高11.0%和39.5%，且两次都落在坡脚右侧。相位对齐后，1 Hz时P061的全地表相位跨度为H004的5.76倍，9 Hz时为3.11倍；从1 Hz到9 Hz，H004相位跨度增至原来的15.49倍，P061增至8.36倍。这些数值只描述扣除背景走时后的相对散射相位，不再包含平面波沿水平方向的线性相位项。</w:t>
      </w:r>
    </w:p>
    <w:p>
      <w:pPr>
        <w:spacing w:before="0" w:after="0"/>
        <w:ind w:firstLine="420"/>
        <w:jc w:val="both"/>
      </w:pPr>
      <w:r>
        <w:rPr>
          <w:rFonts w:ascii="Times New Roman" w:hAnsi="Times New Roman" w:eastAsia="宋体" w:cs="Times New Roman" w:hint="eastAsia"/>
          <w:b w:val="0"/>
          <w:i w:val="0"/>
          <w:sz w:val="21"/>
        </w:rPr>
        <w:t>固定频率剖面也给出了理解工程“坡顶放大”的边界。对于 H004，坡顶作为几何突变位置在本文频带内持续控制幅值，使用坡顶谱能够概括主要趋势；对于 P061，强响应可以出现在坡顶、坡脚邻域或下平台，单独报告坡顶会漏掉 5 Hz 和 9 Hz 的空间最大值。本文后续参数统计因此同时保留全场峰值和 A/B/C 分区结果。全场峰值用于识别最不利频率—位置组合，分区统计则判断峰值是否只是远平台端点或某个局部窄带造成。</w:t>
      </w:r>
    </w:p>
    <w:p>
      <w:pPr>
        <w:spacing w:before="0" w:after="0"/>
        <w:ind w:firstLine="420"/>
        <w:jc w:val="both"/>
      </w:pPr>
      <w:r>
        <w:rPr>
          <w:rFonts w:ascii="Times New Roman" w:hAnsi="Times New Roman" w:eastAsia="宋体" w:cs="Times New Roman" w:hint="eastAsia"/>
          <w:b w:val="0"/>
          <w:i w:val="0"/>
          <w:sz w:val="21"/>
        </w:rPr>
        <w:t>H004的五个固定频率最大值全部位于</w:t>
      </w:r>
      <m:oMath>
        <m:r>
          <m:t>s</m:t>
        </m:r>
        <m:r>
          <m:rPr>
            <m:sty m:val="p"/>
          </m:rPr>
          <m:t>=</m:t>
        </m:r>
        <m:r>
          <m:t>0</m:t>
        </m:r>
      </m:oMath>
      <w:r>
        <w:rPr>
          <w:rFonts w:ascii="Times New Roman" w:hAnsi="Times New Roman" w:eastAsia="宋体" w:cs="Times New Roman" w:hint="eastAsia"/>
          <w:b w:val="0"/>
          <w:i w:val="0"/>
          <w:sz w:val="21"/>
        </w:rPr>
        <w:t>，但幅值由1 Hz的1.147升至3 Hz的1.633后，又在5～9 Hz维持于1.489～1.540，并非随频率持续增加。这说明“坡顶控制”指控制位置稳定，不等于坡顶放大系数单调随频率增大。与之相比，P061的幅值和位置同时变化，9 Hz最大值2.079虽比H004同频高39.5%，却仍低于P061完整场在4.0 Hz、</w:t>
      </w:r>
      <m:oMath>
        <m:r>
          <m:t>s</m:t>
        </m:r>
        <m:r>
          <m:rPr>
            <m:sty m:val="p"/>
          </m:rPr>
          <m:t>=</m:t>
        </m:r>
        <m:r>
          <m:t>3.2</m:t>
        </m:r>
      </m:oMath>
      <w:r>
        <w:rPr>
          <w:rFonts w:ascii="Times New Roman" w:hAnsi="Times New Roman" w:eastAsia="宋体" w:cs="Times New Roman" w:hint="eastAsia"/>
          <w:b w:val="0"/>
          <w:i w:val="0"/>
          <w:sz w:val="21"/>
        </w:rPr>
        <w:t>处的4.012。固定频率剖面只负责说明所选切片的空间格局，不能用五条切片中的最大值替代96个频率组成的全场搜索。</w:t>
      </w:r>
    </w:p>
    <w:p>
      <w:pPr>
        <w:spacing w:before="0" w:after="0"/>
        <w:ind w:firstLine="420"/>
        <w:jc w:val="both"/>
      </w:pPr>
      <w:r>
        <w:rPr>
          <w:rFonts w:ascii="Times New Roman" w:hAnsi="Times New Roman" w:eastAsia="宋体" w:cs="Times New Roman" w:hint="eastAsia"/>
          <w:b w:val="0"/>
          <w:i w:val="0"/>
          <w:sz w:val="21"/>
        </w:rPr>
        <w:t>图7和图8由此形成“全场—横切片”的对应关系。热图中的斜向或弯曲条带意味着峰位随频率移动，固定频率剖面正好给出条带与某一水平截线的交点。P061的主要结构表现为随频率迁移的弯曲条带，说明空间起伏属于频率相关的二维响应。将两种图并列，可以避免凭单幅热图色差判断局部变化，也避免凭少数剖面遗漏条带的整体走向。</w:t>
      </w:r>
    </w:p>
    <w:p>
      <w:pPr>
        <w:spacing w:before="0" w:after="0"/>
        <w:ind w:firstLine="420"/>
        <w:jc w:val="both"/>
      </w:pPr>
      <w:r>
        <w:rPr>
          <w:rFonts w:ascii="Times New Roman" w:hAnsi="Times New Roman" w:eastAsia="宋体" w:cs="Times New Roman" w:hint="eastAsia"/>
          <w:b w:val="0"/>
          <w:i w:val="0"/>
          <w:sz w:val="21"/>
        </w:rPr>
        <w:t xml:space="preserve">图9从另一方向截取 P061：固定上平台 </w:t>
      </w:r>
      <m:oMath>
        <m:r>
          <m:t>s</m:t>
        </m:r>
        <m:r>
          <m:rPr>
            <m:sty m:val="p"/>
          </m:rPr>
          <m:t>=</m:t>
        </m:r>
        <m:r>
          <m:rPr>
            <m:sty m:val="p"/>
          </m:rPr>
          <m:t>−</m:t>
        </m:r>
        <m:r>
          <m:t>2</m:t>
        </m:r>
      </m:oMath>
      <w:r>
        <w:rPr>
          <w:rFonts w:ascii="Times New Roman" w:hAnsi="Times New Roman" w:eastAsia="宋体" w:cs="Times New Roman" w:hint="eastAsia"/>
          <w:b w:val="0"/>
          <w:i w:val="0"/>
          <w:sz w:val="21"/>
        </w:rPr>
        <w:t xml:space="preserve">、坡顶 </w:t>
      </w:r>
      <m:oMath>
        <m:r>
          <m:t>s</m:t>
        </m:r>
        <m:r>
          <m:rPr>
            <m:sty m:val="p"/>
          </m:rPr>
          <m:t>=</m:t>
        </m:r>
        <m:r>
          <m:t>0</m:t>
        </m:r>
      </m:oMath>
      <w:r>
        <w:rPr>
          <w:rFonts w:ascii="Times New Roman" w:hAnsi="Times New Roman" w:eastAsia="宋体" w:cs="Times New Roman" w:hint="eastAsia"/>
          <w:b w:val="0"/>
          <w:i w:val="0"/>
          <w:sz w:val="21"/>
        </w:rPr>
        <w:t xml:space="preserve">、坡面中部 </w:t>
      </w:r>
      <m:oMath>
        <m:r>
          <m:t>s</m:t>
        </m:r>
        <m:r>
          <m:rPr>
            <m:sty m:val="p"/>
          </m:rPr>
          <m:t>=</m:t>
        </m:r>
        <m:r>
          <m:t>0.5</m:t>
        </m:r>
      </m:oMath>
      <w:r>
        <w:rPr>
          <w:rFonts w:ascii="Times New Roman" w:hAnsi="Times New Roman" w:eastAsia="宋体" w:cs="Times New Roman" w:hint="eastAsia"/>
          <w:b w:val="0"/>
          <w:i w:val="0"/>
          <w:sz w:val="21"/>
        </w:rPr>
        <w:t xml:space="preserve">、坡脚 </w:t>
      </w:r>
      <m:oMath>
        <m:r>
          <m:t>s</m:t>
        </m:r>
        <m:r>
          <m:rPr>
            <m:sty m:val="p"/>
          </m:rPr>
          <m:t>=</m:t>
        </m:r>
        <m:r>
          <m:t>1</m:t>
        </m:r>
      </m:oMath>
      <w:r>
        <w:rPr>
          <w:rFonts w:ascii="Times New Roman" w:hAnsi="Times New Roman" w:eastAsia="宋体" w:cs="Times New Roman" w:hint="eastAsia"/>
          <w:b w:val="0"/>
          <w:i w:val="0"/>
          <w:sz w:val="21"/>
        </w:rPr>
        <w:t xml:space="preserve"> 和下平台 </w:t>
      </w:r>
      <m:oMath>
        <m:r>
          <m:t>s</m:t>
        </m:r>
        <m:r>
          <m:rPr>
            <m:sty m:val="p"/>
          </m:rPr>
          <m:t>=</m:t>
        </m:r>
        <m:r>
          <m:t>2</m:t>
        </m:r>
      </m:oMath>
      <w:r>
        <w:rPr>
          <w:rFonts w:ascii="Times New Roman" w:hAnsi="Times New Roman" w:eastAsia="宋体" w:cs="Times New Roman" w:hint="eastAsia"/>
          <w:b w:val="0"/>
          <w:i w:val="0"/>
          <w:sz w:val="21"/>
        </w:rPr>
        <w:t>，比较幅值、相位和群时延随频率的变化。五个位置的幅值峰分别在4.5 Hz处达到1.595、在1.9 Hz处达到2.015、在6.5 Hz处达到1.316、在10 Hz分析上界达到1.571，以及在3.8 Hz处达到2.310。覆盖层一维四分之一波长频率为1.07 Hz，但除坡顶1.9 Hz峰相对接近外，其余位置峰频分布在3.8 Hz至不低于10 Hz，未出现全地表统一锁定于1.07 Hz的现象。这说明一维覆盖层频率只能作为耦合尺度，不能直接代替二维局部主峰。</w:t>
      </w:r>
    </w:p>
    <w:p>
      <w:pPr>
        <w:spacing w:before="0" w:after="0"/>
        <w:ind w:firstLine="420"/>
        <w:jc w:val="both"/>
      </w:pPr>
      <w:r>
        <w:rPr>
          <w:rFonts w:ascii="Times New Roman" w:hAnsi="Times New Roman" w:eastAsia="宋体" w:cs="Times New Roman" w:hint="eastAsia"/>
          <w:b w:val="0"/>
          <w:i w:val="0"/>
          <w:sz w:val="21"/>
        </w:rPr>
        <w:t xml:space="preserve">用 </w:t>
      </w:r>
      <m:oMath>
        <m:sSub>
          <m:e>
            <m:r>
              <m:t>f</m:t>
            </m:r>
          </m:e>
          <m:sub>
            <m:r>
              <m:t>s</m:t>
            </m:r>
          </m:sub>
        </m:sSub>
        <m:r>
          <m:rPr>
            <m:sty m:val="p"/>
          </m:rPr>
          <m:t>=</m:t>
        </m:r>
        <m:r>
          <m:t>1.07</m:t>
        </m:r>
      </m:oMath>
      <w:r>
        <w:rPr>
          <w:rFonts w:ascii="Times New Roman" w:hAnsi="Times New Roman" w:eastAsia="宋体" w:cs="Times New Roman" w:hint="eastAsia"/>
          <w:b w:val="0"/>
          <w:i w:val="0"/>
          <w:sz w:val="21"/>
        </w:rPr>
        <w:t xml:space="preserve"> Hz 对五个局部峰频归一化，可得到上平台、坡顶、坡面中部、坡脚和下平台的 </w:t>
      </w:r>
      <m:oMath>
        <m:sSub>
          <m:e>
            <m:r>
              <m:t>f</m:t>
            </m:r>
          </m:e>
          <m:sub>
            <m:r>
              <m:t>p</m:t>
            </m:r>
          </m:sub>
        </m:sSub>
        <m:r>
          <m:rPr>
            <m:sty m:val="p"/>
          </m:rPr>
          <m:t>/</m:t>
        </m:r>
        <m:sSub>
          <m:e>
            <m:r>
              <m:t>f</m:t>
            </m:r>
          </m:e>
          <m:sub>
            <m:r>
              <m:t>s</m:t>
            </m:r>
          </m:sub>
        </m:sSub>
      </m:oMath>
      <w:r>
        <w:rPr>
          <w:rFonts w:ascii="Times New Roman" w:hAnsi="Times New Roman" w:eastAsia="宋体" w:cs="Times New Roman" w:hint="eastAsia"/>
          <w:b w:val="0"/>
          <w:i w:val="0"/>
          <w:sz w:val="21"/>
        </w:rPr>
        <w:t xml:space="preserve"> 分别约为 4.21、1.78、6.07、</w:t>
      </w:r>
      <m:oMath>
        <m:r>
          <m:rPr>
            <m:sty m:val="p"/>
          </m:rPr>
          <m:t>≥</m:t>
        </m:r>
        <m:r>
          <m:t>9.35</m:t>
        </m:r>
      </m:oMath>
      <w:r>
        <w:rPr>
          <w:rFonts w:ascii="Times New Roman" w:hAnsi="Times New Roman" w:eastAsia="宋体" w:cs="Times New Roman" w:hint="eastAsia"/>
          <w:b w:val="0"/>
          <w:i w:val="0"/>
          <w:sz w:val="21"/>
        </w:rPr>
        <w:t xml:space="preserve"> 和 3.55。若覆盖层仅以一维驻波形式整体控制地表，这些比值应在各位置附近集中；实际结果却跨越至少 1.78～9.35，并且最大幅值 2.310 出现在 </w:t>
      </w:r>
      <m:oMath>
        <m:r>
          <m:t>s</m:t>
        </m:r>
        <m:r>
          <m:rPr>
            <m:sty m:val="p"/>
          </m:rPr>
          <m:t>=</m:t>
        </m:r>
        <m:r>
          <m:t>2</m:t>
        </m:r>
      </m:oMath>
      <w:r>
        <w:rPr>
          <w:rFonts w:ascii="Times New Roman" w:hAnsi="Times New Roman" w:eastAsia="宋体" w:cs="Times New Roman" w:hint="eastAsia"/>
          <w:b w:val="0"/>
          <w:i w:val="0"/>
          <w:sz w:val="21"/>
        </w:rPr>
        <w:t xml:space="preserve">、3.8 Hz，而不是最接近 </w:t>
      </w:r>
      <m:oMath>
        <m:sSub>
          <m:e>
            <m:r>
              <m:t>f</m:t>
            </m:r>
          </m:e>
          <m:sub>
            <m:r>
              <m:t>s</m:t>
            </m:r>
          </m:sub>
        </m:sSub>
      </m:oMath>
      <w:r>
        <w:rPr>
          <w:rFonts w:ascii="Times New Roman" w:hAnsi="Times New Roman" w:eastAsia="宋体" w:cs="Times New Roman" w:hint="eastAsia"/>
          <w:b w:val="0"/>
          <w:i w:val="0"/>
          <w:sz w:val="21"/>
        </w:rPr>
        <w:t xml:space="preserve"> 的坡顶峰。下平台峰值还比坡顶高 14.6%，坡面中部峰值仅为下平台的 57.0%。这些对比表明，同一覆盖层尺度进入二维坡体后，会因位置不同而与坡顶散射、坡脚绕射及平台传播形成不同组合。</w:t>
      </w:r>
    </w:p>
    <w:p>
      <w:pPr>
        <w:spacing w:before="0" w:after="0"/>
        <w:ind w:firstLine="420"/>
        <w:jc w:val="both"/>
      </w:pPr>
      <w:r>
        <w:rPr>
          <w:rFonts w:ascii="Times New Roman" w:hAnsi="Times New Roman" w:eastAsia="宋体" w:cs="Times New Roman" w:hint="eastAsia"/>
          <w:b w:val="0"/>
          <w:i w:val="0"/>
          <w:sz w:val="21"/>
        </w:rPr>
        <w:t>固定位置谱是图8的正交读法。图8在每个选定频率沿</w:t>
      </w:r>
      <m:oMath>
        <m:r>
          <m:t>s</m:t>
        </m:r>
      </m:oMath>
      <w:r>
        <w:rPr>
          <w:rFonts w:ascii="Times New Roman" w:hAnsi="Times New Roman" w:eastAsia="宋体" w:cs="Times New Roman" w:hint="eastAsia"/>
          <w:b w:val="0"/>
          <w:i w:val="0"/>
          <w:sz w:val="21"/>
        </w:rPr>
        <w:t>横向观察，图9则在每个选定位置沿</w:t>
      </w:r>
      <m:oMath>
        <m:r>
          <m:t>f</m:t>
        </m:r>
      </m:oMath>
      <w:r>
        <w:rPr>
          <w:rFonts w:ascii="Times New Roman" w:hAnsi="Times New Roman" w:eastAsia="宋体" w:cs="Times New Roman" w:hint="eastAsia"/>
          <w:b w:val="0"/>
          <w:i w:val="0"/>
          <w:sz w:val="21"/>
        </w:rPr>
        <w:t>纵向追踪；二者交叉处必须来自同一复数场。例如，图8显示1 Hz下平台</w:t>
      </w:r>
      <m:oMath>
        <m:r>
          <m:t>s</m:t>
        </m:r>
        <m:r>
          <m:rPr>
            <m:sty m:val="p"/>
          </m:rPr>
          <m:t>=</m:t>
        </m:r>
        <m:r>
          <m:t>2</m:t>
        </m:r>
      </m:oMath>
      <w:r>
        <w:rPr>
          <w:rFonts w:ascii="Times New Roman" w:hAnsi="Times New Roman" w:eastAsia="宋体" w:cs="Times New Roman" w:hint="eastAsia"/>
          <w:b w:val="0"/>
          <w:i w:val="0"/>
          <w:sz w:val="21"/>
        </w:rPr>
        <w:t>幅值仅0.232，图9则显示该位置随频率继续演化并在3.8 Hz形成2.310的内部峰。若只看1 Hz剖面，会把下平台概括为持续削弱；若只看3.8 Hz的局部峰，又会遗漏同一位置在低频的显著削弱。二维场的核心正在于同一位置和同一频率都不能脱离另一坐标单独概括。</w:t>
      </w:r>
    </w:p>
    <w:p>
      <w:pPr>
        <w:spacing w:before="0" w:after="0"/>
        <w:ind w:firstLine="420"/>
        <w:jc w:val="both"/>
      </w:pPr>
      <w:r>
        <w:rPr>
          <w:rFonts w:ascii="Times New Roman" w:hAnsi="Times New Roman" w:eastAsia="宋体" w:cs="Times New Roman" w:hint="eastAsia"/>
          <w:b w:val="0"/>
          <w:i w:val="0"/>
          <w:sz w:val="21"/>
        </w:rPr>
        <w:t>五个位置的展开相位跨度也没有按幅值峰值大小排序。上平台、坡顶、坡面中部、坡脚和下平台在0.5～10 Hz内的相位跨度分别约为57.0°、82.5°、270.5°、592.3°和603.2°。水平背景相位被扣除后，坡面中部、坡脚和下平台仍表现出明显更大的频率累积转角，说明其相位复杂性来自坡体散射和成层干涉，而非单纯传播距离。</w:t>
      </w:r>
    </w:p>
    <w:p>
      <w:pPr>
        <w:spacing w:before="80" w:after="40"/>
        <w:ind w:firstLine="0"/>
        <w:jc w:val="center"/>
      </w:pPr>
      <w:r>
        <w:drawing>
          <wp:inline xmlns:a="http://schemas.openxmlformats.org/drawingml/2006/main" xmlns:pic="http://schemas.openxmlformats.org/drawingml/2006/picture">
            <wp:extent cx="5669280" cy="1893715"/>
            <wp:docPr id="5" name="Picture 5"/>
            <wp:cNvGraphicFramePr>
              <a:graphicFrameLocks noChangeAspect="1"/>
            </wp:cNvGraphicFramePr>
            <a:graphic>
              <a:graphicData uri="http://schemas.openxmlformats.org/drawingml/2006/picture">
                <pic:pic>
                  <pic:nvPicPr>
                    <pic:cNvPr id="0" name="fig09_固定位置复频响谱.png"/>
                    <pic:cNvPicPr/>
                  </pic:nvPicPr>
                  <pic:blipFill>
                    <a:blip r:embed="rId21"/>
                    <a:stretch>
                      <a:fillRect/>
                    </a:stretch>
                  </pic:blipFill>
                  <pic:spPr>
                    <a:xfrm>
                      <a:off x="0" y="0"/>
                      <a:ext cx="5669280" cy="189371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图9 P061在上平台 </w:t>
      </w:r>
      <m:oMath>
        <m:r>
          <m:t>s</m:t>
        </m:r>
        <m:r>
          <m:rPr>
            <m:sty m:val="p"/>
          </m:rPr>
          <m:t>=</m:t>
        </m:r>
        <m:r>
          <m:rPr>
            <m:sty m:val="p"/>
          </m:rPr>
          <m:t>−</m:t>
        </m:r>
        <m:r>
          <m:t>2</m:t>
        </m:r>
      </m:oMath>
      <w:r>
        <w:rPr>
          <w:rFonts w:ascii="Times New Roman" w:hAnsi="Times New Roman" w:eastAsia="宋体" w:cs="Times New Roman" w:hint="eastAsia"/>
          <w:b w:val="0"/>
          <w:i w:val="0"/>
          <w:sz w:val="18"/>
        </w:rPr>
        <w:t xml:space="preserve">、坡顶 </w:t>
      </w:r>
      <m:oMath>
        <m:r>
          <m:t>s</m:t>
        </m:r>
        <m:r>
          <m:rPr>
            <m:sty m:val="p"/>
          </m:rPr>
          <m:t>=</m:t>
        </m:r>
        <m:r>
          <m:t>0</m:t>
        </m:r>
      </m:oMath>
      <w:r>
        <w:rPr>
          <w:rFonts w:ascii="Times New Roman" w:hAnsi="Times New Roman" w:eastAsia="宋体" w:cs="Times New Roman" w:hint="eastAsia"/>
          <w:b w:val="0"/>
          <w:i w:val="0"/>
          <w:sz w:val="18"/>
        </w:rPr>
        <w:t xml:space="preserve">、坡面中部 </w:t>
      </w:r>
      <m:oMath>
        <m:r>
          <m:t>s</m:t>
        </m:r>
        <m:r>
          <m:rPr>
            <m:sty m:val="p"/>
          </m:rPr>
          <m:t>=</m:t>
        </m:r>
        <m:r>
          <m:t>0.5</m:t>
        </m:r>
      </m:oMath>
      <w:r>
        <w:rPr>
          <w:rFonts w:ascii="Times New Roman" w:hAnsi="Times New Roman" w:eastAsia="宋体" w:cs="Times New Roman" w:hint="eastAsia"/>
          <w:b w:val="0"/>
          <w:i w:val="0"/>
          <w:sz w:val="18"/>
        </w:rPr>
        <w:t xml:space="preserve">、坡脚 </w:t>
      </w:r>
      <m:oMath>
        <m:r>
          <m:t>s</m:t>
        </m:r>
        <m:r>
          <m:rPr>
            <m:sty m:val="p"/>
          </m:rPr>
          <m:t>=</m:t>
        </m:r>
        <m:r>
          <m:t>1</m:t>
        </m:r>
      </m:oMath>
      <w:r>
        <w:rPr>
          <w:rFonts w:ascii="Times New Roman" w:hAnsi="Times New Roman" w:eastAsia="宋体" w:cs="Times New Roman" w:hint="eastAsia"/>
          <w:b w:val="0"/>
          <w:i w:val="0"/>
          <w:sz w:val="18"/>
        </w:rPr>
        <w:t xml:space="preserve"> 和下平台 </w:t>
      </w:r>
      <m:oMath>
        <m:r>
          <m:t>s</m:t>
        </m:r>
        <m:r>
          <m:rPr>
            <m:sty m:val="p"/>
          </m:rPr>
          <m:t>=</m:t>
        </m:r>
        <m:r>
          <m:t>2</m:t>
        </m:r>
      </m:oMath>
      <w:r>
        <w:rPr>
          <w:rFonts w:ascii="Times New Roman" w:hAnsi="Times New Roman" w:eastAsia="宋体" w:cs="Times New Roman" w:hint="eastAsia"/>
          <w:b w:val="0"/>
          <w:i w:val="0"/>
          <w:sz w:val="18"/>
        </w:rPr>
        <w:t xml:space="preserve"> 的相位对齐总波场响应谱：（a）幅值；（b）展开相位；（c）群时延；竖虚线为覆盖层一维四分之一波长频率</w:t>
      </w:r>
    </w:p>
    <w:p>
      <w:pPr>
        <w:spacing w:before="0" w:after="60"/>
        <w:ind w:firstLine="0"/>
        <w:jc w:val="center"/>
      </w:pPr>
      <w:r>
        <w:rPr>
          <w:rFonts w:ascii="Times New Roman" w:hAnsi="Times New Roman" w:eastAsia="Times New Roman" w:cs="Times New Roman" w:hint="eastAsia"/>
          <w:b w:val="0"/>
          <w:i w:val="0"/>
          <w:sz w:val="18"/>
        </w:rPr>
        <w:t>Fig. 9 Phase-aligned total-wavefield response spectra at selected surface locations of P061</w:t>
      </w:r>
    </w:p>
    <w:p>
      <w:pPr>
        <w:spacing w:before="0" w:after="0"/>
        <w:ind w:firstLine="420"/>
        <w:jc w:val="both"/>
      </w:pPr>
      <w:r>
        <w:rPr>
          <w:rFonts w:ascii="Times New Roman" w:hAnsi="Times New Roman" w:eastAsia="宋体" w:cs="Times New Roman" w:hint="eastAsia"/>
          <w:b w:val="0"/>
          <w:i w:val="0"/>
          <w:sz w:val="21"/>
        </w:rPr>
        <w:t>坡脚幅值在10 Hz分析上界仍呈上升趋势，其峰值只能写作“</w:t>
      </w:r>
      <m:oMath>
        <m:r>
          <m:rPr>
            <m:sty m:val="p"/>
          </m:rPr>
          <m:t>≥</m:t>
        </m:r>
        <m:r>
          <m:t>10</m:t>
        </m:r>
      </m:oMath>
      <w:r>
        <w:rPr>
          <w:rFonts w:ascii="Times New Roman" w:hAnsi="Times New Roman" w:eastAsia="宋体" w:cs="Times New Roman" w:hint="eastAsia"/>
          <w:b w:val="0"/>
          <w:i w:val="0"/>
          <w:sz w:val="21"/>
        </w:rPr>
        <w:t xml:space="preserve"> Hz”。坡脚和下平台的负群时延极值分别达到</w:t>
      </w:r>
      <m:oMath>
        <m:r>
          <m:rPr>
            <m:sty m:val="p"/>
          </m:rPr>
          <m:t>−</m:t>
        </m:r>
        <m:r>
          <m:t>0.693</m:t>
        </m:r>
      </m:oMath>
      <w:r>
        <w:rPr>
          <w:rFonts w:ascii="Times New Roman" w:hAnsi="Times New Roman" w:eastAsia="宋体" w:cs="Times New Roman" w:hint="eastAsia"/>
          <w:b w:val="0"/>
          <w:i w:val="0"/>
          <w:sz w:val="21"/>
        </w:rPr>
        <w:t xml:space="preserve"> s和</w:t>
      </w:r>
      <m:oMath>
        <m:r>
          <m:rPr>
            <m:sty m:val="p"/>
          </m:rPr>
          <m:t>−</m:t>
        </m:r>
        <m:r>
          <m:t>0.765</m:t>
        </m:r>
      </m:oMath>
      <w:r>
        <w:rPr>
          <w:rFonts w:ascii="Times New Roman" w:hAnsi="Times New Roman" w:eastAsia="宋体" w:cs="Times New Roman" w:hint="eastAsia"/>
          <w:b w:val="0"/>
          <w:i w:val="0"/>
          <w:sz w:val="21"/>
        </w:rPr>
        <w:t xml:space="preserve"> s，远大于坡顶的</w:t>
      </w:r>
      <m:oMath>
        <m:r>
          <m:rPr>
            <m:sty m:val="p"/>
          </m:rPr>
          <m:t>−</m:t>
        </m:r>
        <m:r>
          <m:t>0.165</m:t>
        </m:r>
      </m:oMath>
      <w:r>
        <w:rPr>
          <w:rFonts w:ascii="Times New Roman" w:hAnsi="Times New Roman" w:eastAsia="宋体" w:cs="Times New Roman" w:hint="eastAsia"/>
          <w:b w:val="0"/>
          <w:i w:val="0"/>
          <w:sz w:val="21"/>
        </w:rPr>
        <w:t xml:space="preserve"> s。这些极值集中在幅值快速变化的频带，既反映强干涉，也对相位导数和频带边缘敏感，不能解释为某条波以负时间传播。</w:t>
      </w:r>
    </w:p>
    <w:p>
      <w:pPr>
        <w:spacing w:before="0" w:after="0"/>
        <w:ind w:firstLine="420"/>
        <w:jc w:val="both"/>
      </w:pPr>
      <w:r>
        <w:rPr>
          <w:rFonts w:ascii="Times New Roman" w:hAnsi="Times New Roman" w:eastAsia="宋体" w:cs="Times New Roman" w:hint="eastAsia"/>
          <w:b w:val="0"/>
          <w:i w:val="0"/>
          <w:sz w:val="21"/>
        </w:rPr>
        <w:t>群时延极值所在频率进一步揭示幅值峰与相位转折并不重合。上平台、坡顶、坡面中部、坡脚和下平台的最小群时延分别约为</w:t>
      </w:r>
      <m:oMath>
        <m:r>
          <m:rPr>
            <m:sty m:val="p"/>
          </m:rPr>
          <m:t>−</m:t>
        </m:r>
        <m:r>
          <m:t>0.268</m:t>
        </m:r>
      </m:oMath>
      <w:r>
        <w:rPr>
          <w:rFonts w:ascii="Times New Roman" w:hAnsi="Times New Roman" w:eastAsia="宋体" w:cs="Times New Roman" w:hint="eastAsia"/>
          <w:b w:val="0"/>
          <w:i w:val="0"/>
          <w:sz w:val="21"/>
        </w:rPr>
        <w:t>、</w:t>
      </w:r>
      <m:oMath>
        <m:r>
          <m:rPr>
            <m:sty m:val="p"/>
          </m:rPr>
          <m:t>−</m:t>
        </m:r>
        <m:r>
          <m:t>0.165</m:t>
        </m:r>
      </m:oMath>
      <w:r>
        <w:rPr>
          <w:rFonts w:ascii="Times New Roman" w:hAnsi="Times New Roman" w:eastAsia="宋体" w:cs="Times New Roman" w:hint="eastAsia"/>
          <w:b w:val="0"/>
          <w:i w:val="0"/>
          <w:sz w:val="21"/>
        </w:rPr>
        <w:t>、</w:t>
      </w:r>
      <m:oMath>
        <m:r>
          <m:rPr>
            <m:sty m:val="p"/>
          </m:rPr>
          <m:t>−</m:t>
        </m:r>
        <m:r>
          <m:t>0.393</m:t>
        </m:r>
      </m:oMath>
      <w:r>
        <w:rPr>
          <w:rFonts w:ascii="Times New Roman" w:hAnsi="Times New Roman" w:eastAsia="宋体" w:cs="Times New Roman" w:hint="eastAsia"/>
          <w:b w:val="0"/>
          <w:i w:val="0"/>
          <w:sz w:val="21"/>
        </w:rPr>
        <w:t>、</w:t>
      </w:r>
      <m:oMath>
        <m:r>
          <m:rPr>
            <m:sty m:val="p"/>
          </m:rPr>
          <m:t>−</m:t>
        </m:r>
        <m:r>
          <m:t>0.693</m:t>
        </m:r>
      </m:oMath>
      <w:r>
        <w:rPr>
          <w:rFonts w:ascii="Times New Roman" w:hAnsi="Times New Roman" w:eastAsia="宋体" w:cs="Times New Roman" w:hint="eastAsia"/>
          <w:b w:val="0"/>
          <w:i w:val="0"/>
          <w:sz w:val="21"/>
        </w:rPr>
        <w:t>和</w:t>
      </w:r>
      <m:oMath>
        <m:r>
          <m:rPr>
            <m:sty m:val="p"/>
          </m:rPr>
          <m:t>−</m:t>
        </m:r>
        <m:r>
          <m:t>0.765</m:t>
        </m:r>
      </m:oMath>
      <w:r>
        <w:rPr>
          <w:rFonts w:ascii="Times New Roman" w:hAnsi="Times New Roman" w:eastAsia="宋体" w:cs="Times New Roman" w:hint="eastAsia"/>
          <w:b w:val="0"/>
          <w:i w:val="0"/>
          <w:sz w:val="21"/>
        </w:rPr>
        <w:t xml:space="preserve"> s，对应频率仍为6.2、4.7、5.0、5.3和1.1 Hz；各位置幅值峰频则为4.5、1.9、6.5、</w:t>
      </w:r>
      <m:oMath>
        <m:r>
          <m:rPr>
            <m:sty m:val="p"/>
          </m:rPr>
          <m:t>≥</m:t>
        </m:r>
        <m:r>
          <m:t>10</m:t>
        </m:r>
      </m:oMath>
      <w:r>
        <w:rPr>
          <w:rFonts w:ascii="Times New Roman" w:hAnsi="Times New Roman" w:eastAsia="宋体" w:cs="Times New Roman" w:hint="eastAsia"/>
          <w:b w:val="0"/>
          <w:i w:val="0"/>
          <w:sz w:val="21"/>
        </w:rPr>
        <w:t>和3.8 Hz。尤其下平台最负群时延出现在1.1 Hz，接近覆盖层特征频率1.07 Hz，但幅值最大值在3.8 Hz，二者不能相互替代。</w:t>
      </w:r>
    </w:p>
    <w:p>
      <w:pPr>
        <w:spacing w:before="0" w:after="0"/>
        <w:ind w:firstLine="420"/>
        <w:jc w:val="both"/>
      </w:pPr>
      <w:r>
        <w:rPr>
          <w:rFonts w:ascii="Times New Roman" w:hAnsi="Times New Roman" w:eastAsia="宋体" w:cs="Times New Roman" w:hint="eastAsia"/>
          <w:b w:val="0"/>
          <w:i w:val="0"/>
          <w:sz w:val="21"/>
        </w:rPr>
        <w:t>上述负极值也要与分位范围区分。极值只对应单个或少数频点，适合定位需要核查的相位急转；1%～99%范围舍去最外侧少量值，更适合比较一整幅场的常见变化程度。图7用分位范围说明P061总体比H004复杂，图9再用极值指出复杂性集中在哪些位置和频带。若只报告极值，可能把微分对局部起伏的放大写成全场特征；若只报告分位范围，又会看不到坡脚和下平台的局部强干涉。两种统计承担不同任务，并不相互替代。</w:t>
      </w:r>
    </w:p>
    <w:p>
      <w:pPr>
        <w:spacing w:before="0" w:after="0"/>
        <w:ind w:firstLine="420"/>
        <w:jc w:val="both"/>
      </w:pPr>
      <w:r>
        <w:rPr>
          <w:rFonts w:ascii="Times New Roman" w:hAnsi="Times New Roman" w:eastAsia="宋体" w:cs="Times New Roman" w:hint="eastAsia"/>
          <w:b w:val="0"/>
          <w:i w:val="0"/>
          <w:sz w:val="21"/>
        </w:rPr>
        <w:t>坡脚这一边界结果尤其说明“最大值”和“已识别主峰”不能等同。</w:t>
      </w:r>
      <m:oMath>
        <m:r>
          <m:t>s</m:t>
        </m:r>
        <m:r>
          <m:rPr>
            <m:sty m:val="p"/>
          </m:rPr>
          <m:t>=</m:t>
        </m:r>
        <m:r>
          <m:t>1</m:t>
        </m:r>
      </m:oMath>
      <w:r>
        <w:rPr>
          <w:rFonts w:ascii="Times New Roman" w:hAnsi="Times New Roman" w:eastAsia="宋体" w:cs="Times New Roman" w:hint="eastAsia"/>
          <w:b w:val="0"/>
          <w:i w:val="0"/>
          <w:sz w:val="21"/>
        </w:rPr>
        <w:t xml:space="preserve"> 的幅值在当前频带上界取到 1.571，只能确认截至10 Hz仍存在上升谱支；若把它与下平台3.8 Hz处2.310的内部峰按同一种精度报告，就会掩盖两者证据等级的差别。群时延亦然：坡脚和下平台的负极值绝对值分别约为坡顶的6.21倍和6.80倍，但这些数值来自相位导数，不能脱离相邻幅值与相位曲线单独排序。本文保留它们，是为了标记高干涉频带和后续参数比较的重点，而不是把负号解释成绝对到时提前。</w:t>
      </w:r>
    </w:p>
    <w:p>
      <w:pPr>
        <w:spacing w:before="0" w:after="0"/>
        <w:ind w:firstLine="420"/>
        <w:jc w:val="both"/>
      </w:pPr>
      <w:r>
        <w:rPr>
          <w:rFonts w:ascii="Times New Roman" w:hAnsi="Times New Roman" w:eastAsia="宋体" w:cs="Times New Roman" w:hint="eastAsia"/>
          <w:b w:val="0"/>
          <w:i w:val="0"/>
          <w:sz w:val="21"/>
        </w:rPr>
        <w:t>下平台3.8 Hz峰、P061全场4.0 Hz峰和图8的5 Hz空间峰可以连成一条清楚的证据链。</w:t>
      </w:r>
      <m:oMath>
        <m:r>
          <m:t>s</m:t>
        </m:r>
        <m:r>
          <m:rPr>
            <m:sty m:val="p"/>
          </m:rPr>
          <m:t>=</m:t>
        </m:r>
        <m:r>
          <m:t>2</m:t>
        </m:r>
      </m:oMath>
      <w:r>
        <w:rPr>
          <w:rFonts w:ascii="Times New Roman" w:hAnsi="Times New Roman" w:eastAsia="宋体" w:cs="Times New Roman" w:hint="eastAsia"/>
          <w:b w:val="0"/>
          <w:i w:val="0"/>
          <w:sz w:val="21"/>
        </w:rPr>
        <w:t>位置谱在3.8 Hz达到2.310，说明下平台内部确有可解析的频带峰；完整场又在邻近4.0 Hz、</w:t>
      </w:r>
      <m:oMath>
        <m:r>
          <m:t>s</m:t>
        </m:r>
        <m:r>
          <m:rPr>
            <m:sty m:val="p"/>
          </m:rPr>
          <m:t>=</m:t>
        </m:r>
        <m:r>
          <m:t>3.2</m:t>
        </m:r>
      </m:oMath>
      <w:r>
        <w:rPr>
          <w:rFonts w:ascii="Times New Roman" w:hAnsi="Times New Roman" w:eastAsia="宋体" w:cs="Times New Roman" w:hint="eastAsia"/>
          <w:b w:val="0"/>
          <w:i w:val="0"/>
          <w:sz w:val="21"/>
        </w:rPr>
        <w:t>达到4.012，说明沿下平台继续变化后出现更强局部响应；到5 Hz，空间最大值移到</w:t>
      </w:r>
      <m:oMath>
        <m:r>
          <m:t>s</m:t>
        </m:r>
        <m:r>
          <m:rPr>
            <m:sty m:val="p"/>
          </m:rPr>
          <m:t>=</m:t>
        </m:r>
        <m:r>
          <m:t>1.65</m:t>
        </m:r>
      </m:oMath>
      <w:r>
        <w:rPr>
          <w:rFonts w:ascii="Times New Roman" w:hAnsi="Times New Roman" w:eastAsia="宋体" w:cs="Times New Roman" w:hint="eastAsia"/>
          <w:b w:val="0"/>
          <w:i w:val="0"/>
          <w:sz w:val="21"/>
        </w:rPr>
        <w:t>并降为1.710，表明该强峰不是贯穿中频的整段高台，而是一组具有明确频率和空间范围的干涉结构。三幅图对同一结构的不同切片相互吻合，比单独引用4.012这一最大值更能说明其物理含义。</w:t>
      </w:r>
    </w:p>
    <w:p>
      <w:pPr>
        <w:spacing w:before="0" w:after="0"/>
        <w:ind w:firstLine="420"/>
        <w:jc w:val="both"/>
      </w:pPr>
      <w:r>
        <w:rPr>
          <w:rFonts w:ascii="Times New Roman" w:hAnsi="Times New Roman" w:eastAsia="宋体" w:cs="Times New Roman" w:hint="eastAsia"/>
          <w:b w:val="0"/>
          <w:i w:val="0"/>
          <w:sz w:val="21"/>
        </w:rPr>
        <w:t>相反，坡脚10 Hz结果目前只有“达到搜索上界”这一层证据。它的空间坐标</w:t>
      </w:r>
      <m:oMath>
        <m:r>
          <m:t>s</m:t>
        </m:r>
        <m:r>
          <m:rPr>
            <m:sty m:val="p"/>
          </m:rPr>
          <m:t>=</m:t>
        </m:r>
        <m:r>
          <m:t>1</m:t>
        </m:r>
      </m:oMath>
      <w:r>
        <w:rPr>
          <w:rFonts w:ascii="Times New Roman" w:hAnsi="Times New Roman" w:eastAsia="宋体" w:cs="Times New Roman" w:hint="eastAsia"/>
          <w:b w:val="0"/>
          <w:i w:val="0"/>
          <w:sz w:val="21"/>
        </w:rPr>
        <w:t>并非观测端点，坡脚处的响应值得关注；但频率方向尚未看到峰后回落，因此可以比较其截至10 Hz的最大幅值，却不宜用10 Hz参与内部主峰迁移的精确拟合。若后续需要判断真实坡脚峰频，应扩大可信分析频带并同步核查输入能量、网格分辨率和相位连续性，而不是只在现有曲线上外插。本文采取边界标签，正是把当前数据能回答的问题与尚不能回答的问题分开。</w:t>
      </w:r>
    </w:p>
    <w:p>
      <w:pPr>
        <w:spacing w:before="0" w:after="0"/>
        <w:ind w:firstLine="420"/>
        <w:jc w:val="both"/>
      </w:pPr>
      <w:r>
        <w:rPr>
          <w:rFonts w:ascii="Times New Roman" w:hAnsi="Times New Roman" w:eastAsia="宋体" w:cs="Times New Roman" w:hint="eastAsia"/>
          <w:b w:val="0"/>
          <w:i w:val="0"/>
          <w:sz w:val="21"/>
        </w:rPr>
        <w:t>综合图6—图9，相位对齐总波场响应的判读可以落到一条可复核的证据顺序上。首先确认输入在目标频带可识别，并保证总波场分子和全地表自由场分母采用同一复数定义；其次观察热图中的异常是否固定在参考切换位置、是否贯穿全部频带，以排除后处理标尺造成的整齐分界；然后用固定频率剖面核对响应在上平台、坡面和下平台之间怎样分配，再用固定位置谱判断峰形是否在频率方向闭合；最后才比较全场峰、相位跨度和群时延。按此顺序，H004可以概括为控制位置较稳定但幅值随频率起伏的坡顶型响应，P061则表现为频率、位置和相位结构共同迁移的成层响应。这个结论来自多种切片之间的相互印证，而不是由某一个最大值或某一条色带单独决定。</w:t>
      </w:r>
    </w:p>
    <w:p>
      <w:pPr>
        <w:spacing w:before="0" w:after="0"/>
        <w:ind w:firstLine="420"/>
        <w:jc w:val="both"/>
      </w:pPr>
      <w:r>
        <w:rPr>
          <w:rFonts w:ascii="Times New Roman" w:hAnsi="Times New Roman" w:eastAsia="宋体" w:cs="Times New Roman" w:hint="eastAsia"/>
          <w:b w:val="0"/>
          <w:i w:val="0"/>
          <w:sz w:val="21"/>
        </w:rPr>
        <w:t>三组图从互补角度给出同一结论：均质坡的主要特征是坡顶附近较稳定的频带放大，成层坡则呈现位置随频率迁移、频带随位置变化的二维响应。完整复数场保留了这种对应关系，而全场单一峰值只能给出其中一个最不利点。后续比较坡角、厚度比和波速比时，若某参数使全场峰值升高，还需同时检查峰位是否由坡顶转到下平台、主峰是否碰到10 Hz上界、相位和群时延是否同步变化；只有这些信息合并起来，才能判断参数改变的是响应强度、主控频带，还是空间干涉格局。</w:t>
      </w:r>
    </w:p>
    <w:p>
      <w:pPr>
        <w:spacing w:before="156" w:after="40"/>
        <w:ind w:firstLine="0"/>
        <w:jc w:val="left"/>
      </w:pPr>
      <w:r>
        <w:rPr>
          <w:rFonts w:ascii="Times New Roman" w:hAnsi="Times New Roman" w:eastAsia="宋体" w:cs="Times New Roman" w:hint="eastAsia"/>
          <w:b/>
          <w:i w:val="0"/>
          <w:sz w:val="24"/>
        </w:rPr>
        <w:t>3.3 坡角及覆盖层参数的影响</w:t>
      </w:r>
    </w:p>
    <w:p>
      <w:pPr>
        <w:spacing w:before="0" w:after="0"/>
        <w:ind w:firstLine="420"/>
        <w:jc w:val="both"/>
      </w:pPr>
      <w:r>
        <w:rPr>
          <w:rFonts w:ascii="Times New Roman" w:hAnsi="Times New Roman" w:eastAsia="宋体" w:cs="Times New Roman" w:hint="eastAsia"/>
          <w:b w:val="0"/>
          <w:i w:val="0"/>
          <w:sz w:val="21"/>
        </w:rPr>
        <w:t>上一节表明，成层坡地的最大响应可能在坡顶、坡面或下平台之间迁移。参数比较若只取坡顶单点，容易把“峰值减小”与“峰值移到别处”混为一谈。本节采用两种互补口径：控制变量序列用于观察完整谱形怎样改变，64 个全因子工况的边际分布用于判断该变化在其余参数组合下是否仍然存在。边际分布中的每个参数水平含16个确定性工况，图中的中位数和四分位距只用于概括离散结果，不作随机抽样意义上的显著性推断。</w:t>
      </w:r>
    </w:p>
    <w:p>
      <w:pPr>
        <w:spacing w:before="0" w:after="0"/>
        <w:ind w:firstLine="420"/>
        <w:jc w:val="both"/>
      </w:pPr>
      <w:r>
        <w:rPr>
          <w:rFonts w:ascii="Times New Roman" w:hAnsi="Times New Roman" w:eastAsia="宋体" w:cs="Times New Roman" w:hint="eastAsia"/>
          <w:b w:val="0"/>
          <w:i w:val="0"/>
          <w:sz w:val="21"/>
        </w:rPr>
        <w:t>坡角的影响先由 H001～H004 四个均质坡建立基线。图10(a)显示，随着坡角由15°增至60°，地表最大幅值包络整体抬升；全频—全空间峰值依次为1.269、1.492、1.571和1.638，增幅为29.1%，表现为单调增强。这个趋势与地形突变变陡后坡顶散射加强的认识一致，但峰频并不随坡角单调移动：四个均质坡的主峰频率依次为2.2、9.9、8.1和3.2 Hz。30°坡的控制峰靠近分析高频端，60°坡又回到3.2 Hz，说明几何变陡同时改变了多个散射模态的相对强弱，而不是把同一个峰连续推向高频或低频。</w:t>
      </w:r>
    </w:p>
    <w:p>
      <w:pPr>
        <w:spacing w:before="0" w:after="0"/>
        <w:ind w:firstLine="420"/>
        <w:jc w:val="both"/>
      </w:pPr>
      <w:r>
        <w:rPr>
          <w:rFonts w:ascii="Times New Roman" w:hAnsi="Times New Roman" w:eastAsia="宋体" w:cs="Times New Roman" w:hint="eastAsia"/>
          <w:b w:val="0"/>
          <w:i w:val="0"/>
          <w:sz w:val="21"/>
        </w:rPr>
        <w:t xml:space="preserve">峰值位置进一步说明，均质坡幅值的单调抬升并不等于同一空间峰被连续放大。H001、H002、H003和H004的峰位依次为 </w:t>
      </w:r>
      <m:oMath>
        <m:r>
          <m:t>s</m:t>
        </m:r>
        <m:r>
          <m:rPr>
            <m:sty m:val="p"/>
          </m:rPr>
          <m:t>=</m:t>
        </m:r>
        <m:r>
          <m:t>0.05</m:t>
        </m:r>
      </m:oMath>
      <w:r>
        <w:rPr>
          <w:rFonts w:ascii="Times New Roman" w:hAnsi="Times New Roman" w:eastAsia="宋体" w:cs="Times New Roman" w:hint="eastAsia"/>
          <w:b w:val="0"/>
          <w:i w:val="0"/>
          <w:sz w:val="21"/>
        </w:rPr>
        <w:t>、</w:t>
      </w:r>
      <m:oMath>
        <m:r>
          <m:rPr>
            <m:sty m:val="p"/>
          </m:rPr>
          <m:t>−</m:t>
        </m:r>
        <m:r>
          <m:t>0.05</m:t>
        </m:r>
      </m:oMath>
      <w:r>
        <w:rPr>
          <w:rFonts w:ascii="Times New Roman" w:hAnsi="Times New Roman" w:eastAsia="宋体" w:cs="Times New Roman" w:hint="eastAsia"/>
          <w:b w:val="0"/>
          <w:i w:val="0"/>
          <w:sz w:val="21"/>
        </w:rPr>
        <w:t>、3.90和0，其中45°坡的8.1 Hz控制峰落在下平台远端，而其余三例位于坡顶邻域。也就是说，均质基线中较稳定的是“最大幅值随坡角总体增大”，并非“峰频和峰位都由坡角唯一决定”。这种区别很重要：若只记录四个峰值大小，会得到清楚的单调曲线；把峰频和峰位一并保留后，看到的却是不同空间—频率峰之间的换位。后文判断覆盖层效应时，因此以同坡角均质场作复数配对，而不把某一个均质峰当作所有成层坡共同的固定模态。</w:t>
      </w:r>
    </w:p>
    <w:p>
      <w:pPr>
        <w:spacing w:before="80" w:after="40"/>
        <w:ind w:firstLine="0"/>
        <w:jc w:val="center"/>
      </w:pPr>
      <w:r>
        <w:drawing>
          <wp:inline xmlns:a="http://schemas.openxmlformats.org/drawingml/2006/main" xmlns:pic="http://schemas.openxmlformats.org/drawingml/2006/picture">
            <wp:extent cx="5669280" cy="3498879"/>
            <wp:docPr id="6" name="Picture 6"/>
            <wp:cNvGraphicFramePr>
              <a:graphicFrameLocks noChangeAspect="1"/>
            </wp:cNvGraphicFramePr>
            <a:graphic>
              <a:graphicData uri="http://schemas.openxmlformats.org/drawingml/2006/picture">
                <pic:pic>
                  <pic:nvPicPr>
                    <pic:cNvPr id="0" name="fig10_坡角影响对比.png"/>
                    <pic:cNvPicPr/>
                  </pic:nvPicPr>
                  <pic:blipFill>
                    <a:blip r:embed="rId22"/>
                    <a:stretch>
                      <a:fillRect/>
                    </a:stretch>
                  </pic:blipFill>
                  <pic:spPr>
                    <a:xfrm>
                      <a:off x="0" y="0"/>
                      <a:ext cx="5669280" cy="349887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图10 坡角对地表最大幅值包络及全场峰值的影响：（a）均质坡；（b）固定 </w:t>
      </w:r>
      <m:oMath>
        <m:r>
          <m:t>d</m:t>
        </m:r>
        <m:r>
          <m:rPr>
            <m:sty m:val="p"/>
          </m:rPr>
          <m:t>/</m:t>
        </m:r>
        <m:r>
          <m:t>h</m:t>
        </m:r>
        <m:r>
          <m:rPr>
            <m:sty m:val="p"/>
          </m:rPr>
          <m:t>=</m:t>
        </m:r>
        <m:r>
          <m:t>1.00</m:t>
        </m:r>
      </m:oMath>
      <w:r>
        <w:rPr>
          <w:rFonts w:ascii="Times New Roman" w:hAnsi="Times New Roman" w:eastAsia="宋体" w:cs="Times New Roman" w:hint="eastAsia"/>
          <w:b w:val="0"/>
          <w:i w:val="0"/>
          <w:sz w:val="18"/>
        </w:rPr>
        <w:t>、</w:t>
      </w:r>
      <m:oMath>
        <m:sSub>
          <m:e>
            <m:r>
              <m:t>r</m:t>
            </m:r>
          </m:e>
          <m:sub>
            <m:r>
              <m:t>v</m:t>
            </m:r>
          </m:sub>
        </m:sSub>
        <m:r>
          <m:rPr>
            <m:sty m:val="p"/>
          </m:rPr>
          <m:t>=</m:t>
        </m:r>
        <m:r>
          <m:t>0.45</m:t>
        </m:r>
      </m:oMath>
      <w:r>
        <w:rPr>
          <w:rFonts w:ascii="Times New Roman" w:hAnsi="Times New Roman" w:eastAsia="宋体" w:cs="Times New Roman" w:hint="eastAsia"/>
          <w:b w:val="0"/>
          <w:i w:val="0"/>
          <w:sz w:val="18"/>
        </w:rPr>
        <w:t xml:space="preserve"> 的成层坡；（c）峰值幅值；（d）主峰频率</w:t>
      </w:r>
    </w:p>
    <w:p>
      <w:pPr>
        <w:spacing w:before="0" w:after="60"/>
        <w:ind w:firstLine="0"/>
        <w:jc w:val="center"/>
      </w:pPr>
      <w:r>
        <w:rPr>
          <w:rFonts w:ascii="Times New Roman" w:hAnsi="Times New Roman" w:eastAsia="Times New Roman" w:cs="Times New Roman" w:hint="eastAsia"/>
          <w:b w:val="0"/>
          <w:i w:val="0"/>
          <w:sz w:val="18"/>
        </w:rPr>
        <w:t>Fig. 10 Effect of slope angle on the surface-envelope spectrum and global peak response</w:t>
      </w:r>
    </w:p>
    <w:p>
      <w:pPr>
        <w:spacing w:before="0" w:after="0"/>
        <w:ind w:firstLine="420"/>
        <w:jc w:val="both"/>
      </w:pPr>
      <w:r>
        <w:rPr>
          <w:rFonts w:ascii="Times New Roman" w:hAnsi="Times New Roman" w:eastAsia="宋体" w:cs="Times New Roman" w:hint="eastAsia"/>
          <w:b w:val="0"/>
          <w:i w:val="0"/>
          <w:sz w:val="21"/>
        </w:rPr>
        <w:t xml:space="preserve">加入固定覆盖层后，坡角趋势发生改变。在 </w:t>
      </w:r>
      <m:oMath>
        <m:r>
          <m:t>d</m:t>
        </m:r>
        <m:r>
          <m:rPr>
            <m:sty m:val="p"/>
          </m:rPr>
          <m:t>/</m:t>
        </m:r>
        <m:r>
          <m:t>h</m:t>
        </m:r>
        <m:r>
          <m:rPr>
            <m:sty m:val="p"/>
          </m:rPr>
          <m:t>=</m:t>
        </m:r>
        <m:r>
          <m:t>1.00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 xml:space="preserve"> 条件下，15°、30°、45°和60°坡的峰值分别为1.734、1.898、1.669和1.651，最大值出现在30°而非最陡的60°，主峰频率则为9.3、8.8、9.3和2.1 Hz。15°至30°时幅值提高9.5%，继续增至60°反而较30°降低13.0%。均质结果和成层结果并不矛盾：均质坡只包含几何散射，成层坡还叠加了覆盖层频带与坡角模态的相对位置；坡角改变后，覆盖层共振附近的增强带可能与地形强响应重合，也可能错开。图10因此给出一个重要限制——“坡越陡放大越强”在本文均质基线的峰值幅值上成立，却不能直接推广到任意成层组合。</w:t>
      </w:r>
    </w:p>
    <w:p>
      <w:pPr>
        <w:spacing w:before="0" w:after="0"/>
        <w:ind w:firstLine="420"/>
        <w:jc w:val="both"/>
      </w:pPr>
      <w:r>
        <w:rPr>
          <w:rFonts w:ascii="Times New Roman" w:hAnsi="Times New Roman" w:eastAsia="宋体" w:cs="Times New Roman" w:hint="eastAsia"/>
          <w:b w:val="0"/>
          <w:i w:val="0"/>
          <w:sz w:val="21"/>
        </w:rPr>
        <w:t>均质坡幅值随坡角总体抬升，与既有均质岩坡及斜入射参数研究中“坡形和入射方向共同改变放大水平”的趋势一致</w:t>
      </w:r>
      <w:r>
        <w:rPr>
          <w:rFonts w:ascii="Times New Roman" w:hAnsi="Times New Roman" w:eastAsia="宋体" w:cs="Times New Roman" w:hint="eastAsia"/>
          <w:b w:val="0"/>
          <w:i w:val="0"/>
          <w:sz w:val="21"/>
          <w:vertAlign w:val="superscript"/>
        </w:rPr>
        <w:t>[7-8,24]</w:t>
      </w:r>
      <w:r>
        <w:rPr>
          <w:rFonts w:ascii="Times New Roman" w:hAnsi="Times New Roman" w:eastAsia="宋体" w:cs="Times New Roman" w:hint="eastAsia"/>
          <w:b w:val="0"/>
          <w:i w:val="0"/>
          <w:sz w:val="21"/>
        </w:rPr>
        <w:t xml:space="preserve">；但这些研究多以PGA或若干频率处的谱比评价，本文的 </w:t>
      </w:r>
      <m:oMath>
        <m:sSub>
          <m:e>
            <m:r>
              <m:t>G</m:t>
            </m:r>
          </m:e>
          <m:sub>
            <m:r>
              <m:t>h</m:t>
            </m:r>
          </m:sub>
        </m:sSub>
      </m:oMath>
      <w:r>
        <w:rPr>
          <w:rFonts w:ascii="Times New Roman" w:hAnsi="Times New Roman" w:eastAsia="宋体" w:cs="Times New Roman" w:hint="eastAsia"/>
          <w:b w:val="0"/>
          <w:i w:val="0"/>
          <w:sz w:val="21"/>
        </w:rPr>
        <w:t xml:space="preserve"> 又以统一左侧一维自由场为复数分母，数值大小不宜直接横向比较。加入覆盖层后出现的非单调坡角序列，则与已有研究关于地形—地层耦合不能由两个独立系数简单叠加的认识相符</w:t>
      </w:r>
      <w:r>
        <w:rPr>
          <w:rFonts w:ascii="Times New Roman" w:hAnsi="Times New Roman" w:eastAsia="宋体" w:cs="Times New Roman" w:hint="eastAsia"/>
          <w:b w:val="0"/>
          <w:i w:val="0"/>
          <w:sz w:val="21"/>
          <w:vertAlign w:val="superscript"/>
        </w:rPr>
        <w:t>[16-20]</w:t>
      </w:r>
      <w:r>
        <w:rPr>
          <w:rFonts w:ascii="Times New Roman" w:hAnsi="Times New Roman" w:eastAsia="宋体" w:cs="Times New Roman" w:hint="eastAsia"/>
          <w:b w:val="0"/>
          <w:i w:val="0"/>
          <w:sz w:val="21"/>
        </w:rPr>
        <w:t>。本文在这一趋势基础上进一步指出，非单调变化同时伴随峰频和控制位置换位，而不仅是峰值系数改变。</w:t>
      </w:r>
    </w:p>
    <w:p>
      <w:pPr>
        <w:spacing w:before="0" w:after="0"/>
        <w:ind w:firstLine="420"/>
        <w:jc w:val="both"/>
      </w:pPr>
      <w:r>
        <w:rPr>
          <w:rFonts w:ascii="Times New Roman" w:hAnsi="Times New Roman" w:eastAsia="宋体" w:cs="Times New Roman" w:hint="eastAsia"/>
          <w:b w:val="0"/>
          <w:i w:val="0"/>
          <w:sz w:val="21"/>
        </w:rPr>
        <w:t xml:space="preserve">同坡角逐一相除可以看出这条限制从何而来。上述四个成层坡相对对应均质坡的峰值比分别为1.366、1.273、1.062和1.008，即固定覆盖层使15°坡的全场峰值提高36.6%，对60°坡却只提高0.8%；同时，成层峰位依次位于 </w:t>
      </w:r>
      <m:oMath>
        <m:r>
          <m:t>s</m:t>
        </m:r>
        <m:r>
          <m:rPr>
            <m:sty m:val="p"/>
          </m:rPr>
          <m:t>=</m:t>
        </m:r>
        <m:r>
          <m:t>0.75</m:t>
        </m:r>
      </m:oMath>
      <w:r>
        <w:rPr>
          <w:rFonts w:ascii="Times New Roman" w:hAnsi="Times New Roman" w:eastAsia="宋体" w:cs="Times New Roman" w:hint="eastAsia"/>
          <w:b w:val="0"/>
          <w:i w:val="0"/>
          <w:sz w:val="21"/>
        </w:rPr>
        <w:t>、</w:t>
      </w:r>
      <m:oMath>
        <m:r>
          <m:rPr>
            <m:sty m:val="p"/>
          </m:rPr>
          <m:t>−</m:t>
        </m:r>
        <m:r>
          <m:t>0.10</m:t>
        </m:r>
      </m:oMath>
      <w:r>
        <w:rPr>
          <w:rFonts w:ascii="Times New Roman" w:hAnsi="Times New Roman" w:eastAsia="宋体" w:cs="Times New Roman" w:hint="eastAsia"/>
          <w:b w:val="0"/>
          <w:i w:val="0"/>
          <w:sz w:val="21"/>
        </w:rPr>
        <w:t>、</w:t>
      </w:r>
      <m:oMath>
        <m:r>
          <m:rPr>
            <m:sty m:val="p"/>
          </m:rPr>
          <m:t>−</m:t>
        </m:r>
        <m:r>
          <m:t>0.45</m:t>
        </m:r>
      </m:oMath>
      <w:r>
        <w:rPr>
          <w:rFonts w:ascii="Times New Roman" w:hAnsi="Times New Roman" w:eastAsia="宋体" w:cs="Times New Roman" w:hint="eastAsia"/>
          <w:b w:val="0"/>
          <w:i w:val="0"/>
          <w:sz w:val="21"/>
        </w:rPr>
        <w:t xml:space="preserve"> 和0。15°组的控制点由均质坡坡顶邻域移到坡面，45°组则由均质坡下平台远端回到上平台，而60°组峰位保持在坡顶、峰频由3.2 Hz降至2.1 Hz。因而，固定覆盖层并不是在四条均质曲线上施加相同倍数的修正，而是对每个坡角已有的频率—空间结构作不同重排。这里的比值只服务于这条控制变量序列，不能据此推断覆盖层在陡坡中普遍无效；软厚组合中的P061恰好给出相反情形。</w:t>
      </w:r>
    </w:p>
    <w:p>
      <w:pPr>
        <w:spacing w:before="0" w:after="0"/>
        <w:ind w:firstLine="420"/>
        <w:jc w:val="both"/>
      </w:pPr>
      <w:r>
        <w:rPr>
          <w:rFonts w:ascii="Times New Roman" w:hAnsi="Times New Roman" w:eastAsia="宋体" w:cs="Times New Roman" w:hint="eastAsia"/>
          <w:b w:val="0"/>
          <w:i w:val="0"/>
          <w:sz w:val="21"/>
        </w:rPr>
        <w:t>64 个成层工况的坡角边际分布进一步限定了这一结论。图13(a)中四个坡角水平的峰值中位数为1.665、1.694、1.688和1.718，最大差仅3.15%；而各水平的最大值由3.539逐步增至4.012。坡角对典型工况的中位响应影响较弱，却会抬高分布上尾。换言之，坡角更像是困难组合的放大器：覆盖层参数不利时，陡坡能达到更高的极端响应；覆盖层参数取其他水平时，这种几何增强可能被频带错开所抵消。主峰频率中位数随坡角为6.40、8.85、6.85和4.35 Hz，仍呈显著非单调，且60°组整体偏低频。</w:t>
      </w:r>
    </w:p>
    <w:p>
      <w:pPr>
        <w:spacing w:before="0" w:after="0"/>
        <w:ind w:firstLine="420"/>
        <w:jc w:val="both"/>
      </w:pPr>
      <w:r>
        <w:rPr>
          <w:rFonts w:ascii="Times New Roman" w:hAnsi="Times New Roman" w:eastAsia="宋体" w:cs="Times New Roman" w:hint="eastAsia"/>
          <w:b w:val="0"/>
          <w:i w:val="0"/>
          <w:sz w:val="21"/>
        </w:rPr>
        <w:t xml:space="preserve">边际分布的离散宽度也支持“中位影响弱、组合影响强”的判断。15°、30°、45°和60°组峰值的四分位区间分别为1.447～2.101、1.520～2.067、1.538～1.996和1.629～2.103，四组高度重叠；但全距上限随坡角由3.539增至4.012，下限也由1.249增至1.590。把64例按固定 </w:t>
      </w:r>
      <m:oMath>
        <m:r>
          <m:t>d</m:t>
        </m:r>
        <m:r>
          <m:rPr>
            <m:sty m:val="p"/>
          </m:rPr>
          <m:t>/</m:t>
        </m:r>
        <m:r>
          <m:t>h</m:t>
        </m:r>
      </m:oMath>
      <w:r>
        <w:rPr>
          <w:rFonts w:ascii="Times New Roman" w:hAnsi="Times New Roman" w:eastAsia="宋体" w:cs="Times New Roman" w:hint="eastAsia"/>
          <w:b w:val="0"/>
          <w:i w:val="0"/>
          <w:sz w:val="21"/>
        </w:rPr>
        <w:t xml:space="preserve"> 和 </w:t>
      </w:r>
      <m:oMath>
        <m:sSub>
          <m:e>
            <m:r>
              <m:t>r</m:t>
            </m:r>
          </m:e>
          <m:sub>
            <m:r>
              <m:t>v</m:t>
            </m:r>
          </m:sub>
        </m:sSub>
      </m:oMath>
      <w:r>
        <w:rPr>
          <w:rFonts w:ascii="Times New Roman" w:hAnsi="Times New Roman" w:eastAsia="宋体" w:cs="Times New Roman" w:hint="eastAsia"/>
          <w:b w:val="0"/>
          <w:i w:val="0"/>
          <w:sz w:val="21"/>
        </w:rPr>
        <w:t xml:space="preserve"> 划成16条坡角序列，其中仅7条峰值单调增加，1条单调降低，另外8条至少出现一次方向反转；主峰频率更有14条为非单调，只有各1条单调升高或降低。这组计数说明，坡角对最不利软厚组合的增强是清晰的，而把它写成覆盖整个参数域的一维单调函数则不成立。图10给出物理基线，图13给出跨组合的适用范围，两者缺一不可。</w:t>
      </w:r>
    </w:p>
    <w:p>
      <w:pPr>
        <w:spacing w:before="0" w:after="0"/>
        <w:ind w:firstLine="420"/>
        <w:jc w:val="both"/>
      </w:pPr>
      <w:r>
        <w:rPr>
          <w:rFonts w:ascii="Times New Roman" w:hAnsi="Times New Roman" w:eastAsia="宋体" w:cs="Times New Roman" w:hint="eastAsia"/>
          <w:b w:val="0"/>
          <w:i w:val="0"/>
          <w:sz w:val="21"/>
        </w:rPr>
        <w:t>四组全距的变化还揭示了坡角作用的另一面。坡角从15°增至60°时，峰值下限由1.249提高到1.590，增幅为27.3%，而中位数只提高3.15%；这说明陡坡并非只把少数极端值向上拉长，也在一定程度上抬高了最弱组合的响应底部。然而，30°和45°组的中位数、四分位区间及上四分位数互有交叉，参数排序在分布中部并不稳定。对设计比较而言，坡角的影响因所问指标而异：若关注同一类软厚覆盖层的最不利峰值，四种坡角给出连续增大的序列；若关注覆盖全部厚度和波速比后的典型工况，四组差异远小于组内离散；若关注主峰频率，则连总体方向也会因候选峰换位而改变。把这三种口径分开，能避免用一个“坡角效应”同时代替基线、典型值和上尾风险。</w:t>
      </w:r>
    </w:p>
    <w:p>
      <w:pPr>
        <w:spacing w:before="0" w:after="0"/>
        <w:ind w:firstLine="420"/>
        <w:jc w:val="both"/>
      </w:pPr>
      <w:r>
        <w:rPr>
          <w:rFonts w:ascii="Times New Roman" w:hAnsi="Times New Roman" w:eastAsia="宋体" w:cs="Times New Roman" w:hint="eastAsia"/>
          <w:b w:val="0"/>
          <w:i w:val="0"/>
          <w:sz w:val="21"/>
        </w:rPr>
        <w:t>空间—频带分层进一步解释了中位数为何接近。上平台低频区域的幅值中位数随坡角由1.078、1.105、1.118增至1.132，呈温和而稳定的增加；但同一区域的中频序列为1.014、1.046、1.005和0.977，高频序列为1.021、1.078、1.046和1.002，均在30°达到局部最大后回落。坡面则出现更明确的频带分化：低频由0.981增至1.047，随坡角升高而上升，中频由0.935降至0.794，高频由1.043降至0.780，后两者均随坡角升高而降低。下平台的坡角跨度只有1.01～1.10倍，远小于坡面高频的1.34倍。由此可见，陡坡提高全场上尾并不要求所有地表区段、所有频带同步提高；它可以在坡顶附近形成更局部的尖峰，同时使坡面中高频的区域典型值降低。这种空间压缩和局部集中，正是全场最大值与区域中位数方向不同的直接原因。</w:t>
      </w:r>
    </w:p>
    <w:p>
      <w:pPr>
        <w:spacing w:before="0" w:after="0"/>
        <w:ind w:firstLine="420"/>
        <w:jc w:val="both"/>
      </w:pPr>
      <w:r>
        <w:rPr>
          <w:rFonts w:ascii="Times New Roman" w:hAnsi="Times New Roman" w:eastAsia="宋体" w:cs="Times New Roman" w:hint="eastAsia"/>
          <w:b w:val="0"/>
          <w:i w:val="0"/>
          <w:sz w:val="21"/>
        </w:rPr>
        <w:t xml:space="preserve">覆盖层厚度的控制变量结果见图11。固定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时，</w:t>
      </w:r>
      <m:oMath>
        <m:r>
          <m:t>d</m:t>
        </m:r>
        <m:r>
          <m:rPr>
            <m:sty m:val="p"/>
          </m:rPr>
          <m:t>/</m:t>
        </m:r>
        <m:r>
          <m:t>h</m:t>
        </m:r>
        <m:r>
          <m:rPr>
            <m:sty m:val="p"/>
          </m:rPr>
          <m:t>=</m:t>
        </m:r>
        <m:r>
          <m:t>0.20</m:t>
        </m:r>
      </m:oMath>
      <w:r>
        <w:rPr>
          <w:rFonts w:ascii="Times New Roman" w:hAnsi="Times New Roman" w:eastAsia="宋体" w:cs="Times New Roman" w:hint="eastAsia"/>
          <w:b w:val="0"/>
          <w:i w:val="0"/>
          <w:sz w:val="21"/>
        </w:rPr>
        <w:t>、0.60、1.00和1.40的全场峰值为1.861、2.148、1.958和3.904，顺序为“升高—降低—再显著升高”；最厚层相对最薄层提高109.8%。相应主峰频率为9.3、4.3、8.8和4.0 Hz，同样发生两次方向反转。厚度增加并非只是使峰值沿一条曲线平滑左移，而是在约4 Hz和约9 Hz两组响应之间改变控制权。</w:t>
      </w:r>
    </w:p>
    <w:p>
      <w:pPr>
        <w:spacing w:before="80" w:after="40"/>
        <w:ind w:firstLine="0"/>
        <w:jc w:val="center"/>
      </w:pPr>
      <w:r>
        <w:drawing>
          <wp:inline xmlns:a="http://schemas.openxmlformats.org/drawingml/2006/main" xmlns:pic="http://schemas.openxmlformats.org/drawingml/2006/picture">
            <wp:extent cx="5669280" cy="3192629"/>
            <wp:docPr id="7" name="Picture 7"/>
            <wp:cNvGraphicFramePr>
              <a:graphicFrameLocks noChangeAspect="1"/>
            </wp:cNvGraphicFramePr>
            <a:graphic>
              <a:graphicData uri="http://schemas.openxmlformats.org/drawingml/2006/picture">
                <pic:pic>
                  <pic:nvPicPr>
                    <pic:cNvPr id="0" name="fig11_覆盖层厚度影响对比.png"/>
                    <pic:cNvPicPr/>
                  </pic:nvPicPr>
                  <pic:blipFill>
                    <a:blip r:embed="rId23"/>
                    <a:stretch>
                      <a:fillRect/>
                    </a:stretch>
                  </pic:blipFill>
                  <pic:spPr>
                    <a:xfrm>
                      <a:off x="0" y="0"/>
                      <a:ext cx="5669280" cy="319262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图11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时覆盖层厚度比的单因素对比：（a）～（d）频率—空间幅值场；（e）全频带空间峰值包络；星号为全场峰值</w:t>
      </w:r>
    </w:p>
    <w:p>
      <w:pPr>
        <w:spacing w:before="0" w:after="60"/>
        <w:ind w:firstLine="0"/>
        <w:jc w:val="center"/>
      </w:pPr>
      <w:r>
        <w:rPr>
          <w:rFonts w:ascii="Times New Roman" w:hAnsi="Times New Roman" w:eastAsia="Times New Roman" w:cs="Times New Roman" w:hint="eastAsia"/>
          <w:b w:val="0"/>
          <w:i w:val="0"/>
          <w:sz w:val="18"/>
        </w:rPr>
        <w:t>Fig. 11 Single-factor comparison of cover-layer thickness ratio at fixed slope angle and velocity ratio</w:t>
      </w:r>
    </w:p>
    <w:p>
      <w:pPr>
        <w:spacing w:before="0" w:after="0"/>
        <w:ind w:firstLine="420"/>
        <w:jc w:val="both"/>
      </w:pPr>
      <w:r>
        <w:rPr>
          <w:rFonts w:ascii="Times New Roman" w:hAnsi="Times New Roman" w:eastAsia="宋体" w:cs="Times New Roman" w:hint="eastAsia"/>
          <w:b w:val="0"/>
          <w:i w:val="0"/>
          <w:sz w:val="21"/>
        </w:rPr>
        <w:t xml:space="preserve">图11还显示峰值位置随厚度改变。前三个厚度的峰位分别为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rPr>
            <m:sty m:val="p"/>
          </m:rPr>
          <m:t>−</m:t>
        </m:r>
        <m:r>
          <m:t>0.35</m:t>
        </m:r>
      </m:oMath>
      <w:r>
        <w:rPr>
          <w:rFonts w:ascii="Times New Roman" w:hAnsi="Times New Roman" w:eastAsia="宋体" w:cs="Times New Roman" w:hint="eastAsia"/>
          <w:b w:val="0"/>
          <w:i w:val="0"/>
          <w:sz w:val="21"/>
        </w:rPr>
        <w:t>，仍由坡顶邻域或上平台控制；</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时峰位跃迁至下平台 </w:t>
      </w:r>
      <m:oMath>
        <m:r>
          <m:t>s</m:t>
        </m:r>
        <m:r>
          <m:rPr>
            <m:sty m:val="p"/>
          </m:rPr>
          <m:t>=</m:t>
        </m:r>
        <m:r>
          <m:t>3.15</m:t>
        </m:r>
      </m:oMath>
      <w:r>
        <w:rPr>
          <w:rFonts w:ascii="Times New Roman" w:hAnsi="Times New Roman" w:eastAsia="宋体" w:cs="Times New Roman" w:hint="eastAsia"/>
          <w:b w:val="0"/>
          <w:i w:val="0"/>
          <w:sz w:val="21"/>
        </w:rPr>
        <w:t xml:space="preserve">。若只读取坡顶曲线，最厚层的全场峰值会被漏掉，并可能得到完全不同的厚度趋势。图11(e)中的空间包络表明，最厚层在上平台并未处处显著高于其他曲线，其主要增量集中于下平台约 </w:t>
      </w:r>
      <m:oMath>
        <m:r>
          <m:t>s</m:t>
        </m:r>
        <m:r>
          <m:rPr>
            <m:sty m:val="p"/>
          </m:rPr>
          <m:t>=</m:t>
        </m:r>
        <m:r>
          <m:t>2</m:t>
        </m:r>
      </m:oMath>
      <w:r>
        <w:rPr>
          <w:rFonts w:ascii="Times New Roman" w:hAnsi="Times New Roman" w:eastAsia="宋体" w:cs="Times New Roman" w:hint="eastAsia"/>
          <w:b w:val="0"/>
          <w:i w:val="0"/>
          <w:sz w:val="21"/>
        </w:rPr>
        <w:t>～4。厚度既改变局部一维传播，也改变上下平台之间的相位关系，因此“厚层更强”需要同时说明强在哪里、出现在哪个频带。</w:t>
      </w:r>
    </w:p>
    <w:p>
      <w:pPr>
        <w:spacing w:before="0" w:after="0"/>
        <w:ind w:firstLine="420"/>
        <w:jc w:val="both"/>
      </w:pPr>
      <w:r>
        <w:rPr>
          <w:rFonts w:ascii="Times New Roman" w:hAnsi="Times New Roman" w:eastAsia="宋体" w:cs="Times New Roman" w:hint="eastAsia"/>
          <w:b w:val="0"/>
          <w:i w:val="0"/>
          <w:sz w:val="21"/>
        </w:rPr>
        <w:t>把其他坡角和波速比纳入后，16条“坡角×波速比”厚度序列中有9条至少发生一次相邻差分变号，表现为非单调；另外7条在四个离散厚度水平上单调递增。该统计说明非单调不是图11特选序列的孤例，也不是全参数域唯一规律。图13(b)的厚度边际中位数分别为1.517、1.754、1.647和2.245：</w:t>
      </w:r>
      <m:oMath>
        <m:r>
          <m:t>d</m:t>
        </m:r>
        <m:r>
          <m:rPr>
            <m:sty m:val="p"/>
          </m:rPr>
          <m:t>/</m:t>
        </m:r>
        <m:r>
          <m:t>h</m:t>
        </m:r>
        <m:r>
          <m:rPr>
            <m:sty m:val="p"/>
          </m:rPr>
          <m:t>=</m:t>
        </m:r>
        <m:r>
          <m:t>0.60</m:t>
        </m:r>
      </m:oMath>
      <w:r>
        <w:rPr>
          <w:rFonts w:ascii="Times New Roman" w:hAnsi="Times New Roman" w:eastAsia="宋体" w:cs="Times New Roman" w:hint="eastAsia"/>
          <w:b w:val="0"/>
          <w:i w:val="0"/>
          <w:sz w:val="21"/>
        </w:rPr>
        <w:t>高于1.00，1.40又达到最高，保留了与代表序列相同的转折。最厚组相对最薄组的中位峰值提高47.96%，但这一净增量不能被解释为线性厚度效应。</w:t>
      </w:r>
    </w:p>
    <w:p>
      <w:pPr>
        <w:spacing w:before="0" w:after="0"/>
        <w:ind w:firstLine="420"/>
        <w:jc w:val="both"/>
      </w:pPr>
      <w:r>
        <w:rPr>
          <w:rFonts w:ascii="Times New Roman" w:hAnsi="Times New Roman" w:eastAsia="宋体" w:cs="Times New Roman" w:hint="eastAsia"/>
          <w:b w:val="0"/>
          <w:i w:val="0"/>
          <w:sz w:val="21"/>
        </w:rPr>
        <w:t>厚度对控制位置的作用比其对中位峰值的作用更具分段性。</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和0.60的32个工况全部由上平台控制；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时有13例由上平台控制、3例转到坡面；</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有15例转由下平台控制，仅P064仍在坡顶取得全场峰值。由此可见，最厚组的高边际中位数不是各区段同步按同一比例抬升，而主要来自下平台响应成为新的控制量。与幅值序列的“7条递增、9条非单调”相比，16条厚度—峰频序列无一在四个水平上保持单调，说明厚度对频率的影响更适合描述为候选频带换位，而不是连续的频移率。这个结论在离散的四水平网格内成立；它揭示了转折存在，却不能确定两相邻厚度水平之间的精确转折点。</w:t>
      </w:r>
    </w:p>
    <w:p>
      <w:pPr>
        <w:spacing w:before="0" w:after="0"/>
        <w:ind w:firstLine="420"/>
        <w:jc w:val="both"/>
      </w:pPr>
      <w:r>
        <w:rPr>
          <w:rFonts w:ascii="Times New Roman" w:hAnsi="Times New Roman" w:eastAsia="宋体" w:cs="Times New Roman" w:hint="eastAsia"/>
          <w:b w:val="0"/>
          <w:i w:val="0"/>
          <w:sz w:val="21"/>
        </w:rPr>
        <w:t>按低、中、高三个频带统计控制峰，可看到位置迁移与频带迁移并非同一步骤。</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的16例中，低、中、高频控制峰分别有3、5和8例；</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时变为0、6和10例；</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时为3、3和10例；</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时则为1、4和11例。最厚组虽然有4个最软工况在约4 Hz形成显著下平台峰，但其余较硬工况多由6～10 Hz控制，所以该组主峰频率中位数仍为6.70 Hz。换言之，“最厚层出现4 Hz强响应”与“最厚层多数工况的控制峰位于高频”可以同时成立：前者描述幅值最大的软厚分支，后者描述16例的数量构成。若仅报告峰频中位数，软厚分支的工程重要性会被多数中等响应的高频工况掩盖；若只展示P061，又会误以为最厚层必然由4 Hz控制。</w:t>
      </w:r>
    </w:p>
    <w:p>
      <w:pPr>
        <w:spacing w:before="0" w:after="0"/>
        <w:ind w:firstLine="420"/>
        <w:jc w:val="both"/>
      </w:pPr>
      <w:r>
        <w:rPr>
          <w:rFonts w:ascii="Times New Roman" w:hAnsi="Times New Roman" w:eastAsia="宋体" w:cs="Times New Roman" w:hint="eastAsia"/>
          <w:b w:val="0"/>
          <w:i w:val="0"/>
          <w:sz w:val="21"/>
        </w:rPr>
        <w:t xml:space="preserve">四个坡角下的软厚序列为这一分支提供了重复证据。固定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，P013、P029、P045和P061的峰值由3.539、3.714、3.904增至4.012，峰频为4.0、4.1、4.0和4.0 Hz，峰位集中在 </w:t>
      </w:r>
      <m:oMath>
        <m:r>
          <m:t>s</m:t>
        </m:r>
        <m:r>
          <m:rPr>
            <m:sty m:val="p"/>
          </m:rPr>
          <m:t>=</m:t>
        </m:r>
        <m:r>
          <m:t>3.15</m:t>
        </m:r>
      </m:oMath>
      <w:r>
        <w:rPr>
          <w:rFonts w:ascii="Times New Roman" w:hAnsi="Times New Roman" w:eastAsia="宋体" w:cs="Times New Roman" w:hint="eastAsia"/>
          <w:b w:val="0"/>
          <w:i w:val="0"/>
          <w:sz w:val="21"/>
        </w:rPr>
        <w:t>～3.25。这里稳定的是控制频带、控制区段及随坡角抬升的幅值次序，而不是所有厚层工况都共享同一峰。当波速比提高到0.75时，同一厚度下四坡角峰值降至1.572、1.547、1.557和1.610，峰频分别为9.4、9.7、6.8和2.6 Hz，60°组甚至重新由坡顶控制。覆盖层厚度决定了下平台分支出现的可能性，足够低的波速比才使该分支在全场竞争中取得控制；二者必须同时满足，单独用“厚层”概括会扩大结论的适用范围。</w:t>
      </w:r>
    </w:p>
    <w:p>
      <w:pPr>
        <w:spacing w:before="0" w:after="0"/>
        <w:ind w:firstLine="420"/>
        <w:jc w:val="both"/>
      </w:pPr>
      <w:r>
        <w:rPr>
          <w:rFonts w:ascii="Times New Roman" w:hAnsi="Times New Roman" w:eastAsia="宋体" w:cs="Times New Roman" w:hint="eastAsia"/>
          <w:b w:val="0"/>
          <w:i w:val="0"/>
          <w:sz w:val="21"/>
        </w:rPr>
        <w:t xml:space="preserve">波速比序列提供了更稳定的方向性。固定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从0.30增至0.75，峰值由2.148依次降至1.860、1.707和1.572，首尾下降26.8%；主峰频率则由4.3 Hz依次升至5.4、7.7和8.2 Hz，净上移3.9 Hz。四个峰都位于坡顶 </w:t>
      </w:r>
      <m:oMath>
        <m:r>
          <m:t>s</m:t>
        </m:r>
        <m:r>
          <m:rPr>
            <m:sty m:val="p"/>
          </m:rPr>
          <m:t>=</m:t>
        </m:r>
        <m:r>
          <m:t>0</m:t>
        </m:r>
      </m:oMath>
      <w:r>
        <w:rPr>
          <w:rFonts w:ascii="Times New Roman" w:hAnsi="Times New Roman" w:eastAsia="宋体" w:cs="Times New Roman" w:hint="eastAsia"/>
          <w:b w:val="0"/>
          <w:i w:val="0"/>
          <w:sz w:val="21"/>
        </w:rPr>
        <w:t>，说明这条序列主要改变响应强度和主控频带，没有触发控制位置迁移。</w:t>
      </w:r>
    </w:p>
    <w:p>
      <w:pPr>
        <w:spacing w:before="80" w:after="40"/>
        <w:ind w:firstLine="0"/>
        <w:jc w:val="center"/>
      </w:pPr>
      <w:r>
        <w:drawing>
          <wp:inline xmlns:a="http://schemas.openxmlformats.org/drawingml/2006/main" xmlns:pic="http://schemas.openxmlformats.org/drawingml/2006/picture">
            <wp:extent cx="5669280" cy="3178323"/>
            <wp:docPr id="8" name="Picture 8"/>
            <wp:cNvGraphicFramePr>
              <a:graphicFrameLocks noChangeAspect="1"/>
            </wp:cNvGraphicFramePr>
            <a:graphic>
              <a:graphicData uri="http://schemas.openxmlformats.org/drawingml/2006/picture">
                <pic:pic>
                  <pic:nvPicPr>
                    <pic:cNvPr id="0" name="fig12_波速比影响对比.png"/>
                    <pic:cNvPicPr/>
                  </pic:nvPicPr>
                  <pic:blipFill>
                    <a:blip r:embed="rId24"/>
                    <a:stretch>
                      <a:fillRect/>
                    </a:stretch>
                  </pic:blipFill>
                  <pic:spPr>
                    <a:xfrm>
                      <a:off x="0" y="0"/>
                      <a:ext cx="5669280" cy="31783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图12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0.60</m:t>
        </m:r>
      </m:oMath>
      <w:r>
        <w:rPr>
          <w:rFonts w:ascii="Times New Roman" w:hAnsi="Times New Roman" w:eastAsia="宋体" w:cs="Times New Roman" w:hint="eastAsia"/>
          <w:b w:val="0"/>
          <w:i w:val="0"/>
          <w:sz w:val="18"/>
        </w:rPr>
        <w:t xml:space="preserve"> 时覆盖层波速比的单因素对比：（a）～（d）频率—空间幅值场；（e）全频带空间峰值包络</w:t>
      </w:r>
    </w:p>
    <w:p>
      <w:pPr>
        <w:spacing w:before="0" w:after="60"/>
        <w:ind w:firstLine="0"/>
        <w:jc w:val="center"/>
      </w:pPr>
      <w:r>
        <w:rPr>
          <w:rFonts w:ascii="Times New Roman" w:hAnsi="Times New Roman" w:eastAsia="Times New Roman" w:cs="Times New Roman" w:hint="eastAsia"/>
          <w:b w:val="0"/>
          <w:i w:val="0"/>
          <w:sz w:val="18"/>
        </w:rPr>
        <w:t>Fig. 12 Single-factor comparison of cover-layer velocity ratio at fixed slope angle and thickness ratio</w:t>
      </w:r>
    </w:p>
    <w:p>
      <w:pPr>
        <w:spacing w:before="0" w:after="0"/>
        <w:ind w:firstLine="420"/>
        <w:jc w:val="both"/>
      </w:pPr>
      <w:r>
        <w:rPr>
          <w:rFonts w:ascii="Times New Roman" w:hAnsi="Times New Roman" w:eastAsia="宋体" w:cs="Times New Roman" w:hint="eastAsia"/>
          <w:b w:val="0"/>
          <w:i w:val="0"/>
          <w:sz w:val="21"/>
        </w:rPr>
        <w:t xml:space="preserve">随着 </w:t>
      </w:r>
      <m:oMath>
        <m:sSub>
          <m:e>
            <m:r>
              <m:t>r</m:t>
            </m:r>
          </m:e>
          <m:sub>
            <m:r>
              <m:t>v</m:t>
            </m:r>
          </m:sub>
        </m:sSub>
      </m:oMath>
      <w:r>
        <w:rPr>
          <w:rFonts w:ascii="Times New Roman" w:hAnsi="Times New Roman" w:eastAsia="宋体" w:cs="Times New Roman" w:hint="eastAsia"/>
          <w:b w:val="0"/>
          <w:i w:val="0"/>
          <w:sz w:val="21"/>
        </w:rPr>
        <w:t xml:space="preserve"> 增大，覆盖层与基岩的波阻抗和波速差减小，图12中的低频强条带逐渐减弱并向高频移动。这里的“软覆盖层更强”是指本文固定密度比、线性阻尼和给定厚度下的相对结果，不能直接推广到密度、阻尼或非线性同步改变的天然土层。就64例边际结果而言，</w:t>
      </w:r>
      <m:oMath>
        <m:sSub>
          <m:e>
            <m:r>
              <m:t>r</m:t>
            </m:r>
          </m:e>
          <m:sub>
            <m:r>
              <m:t>v</m:t>
            </m:r>
          </m:sub>
        </m:sSub>
        <m:r>
          <m:rPr>
            <m:sty m:val="p"/>
          </m:rPr>
          <m:t>=</m:t>
        </m:r>
        <m:r>
          <m:t>0.30</m:t>
        </m:r>
      </m:oMath>
      <w:r>
        <w:rPr>
          <w:rFonts w:ascii="Times New Roman" w:hAnsi="Times New Roman" w:eastAsia="宋体" w:cs="Times New Roman" w:hint="eastAsia"/>
          <w:b w:val="0"/>
          <w:i w:val="0"/>
          <w:sz w:val="21"/>
        </w:rPr>
        <w:t>、0.45、0.60和0.75的峰值中位数为2.152、1.767、1.628和1.541，首尾下降28.39%，与代表序列一致；主峰频率中位数则为4.75、6.50、7.75和7.05 Hz，在最高波速比处略有回落。幅值的总体方向比峰频更稳定，峰频仍受厚度和坡角交互影响。</w:t>
      </w:r>
    </w:p>
    <w:p>
      <w:pPr>
        <w:spacing w:before="0" w:after="0"/>
        <w:ind w:firstLine="420"/>
        <w:jc w:val="both"/>
      </w:pPr>
      <w:r>
        <w:rPr>
          <w:rFonts w:ascii="Times New Roman" w:hAnsi="Times New Roman" w:eastAsia="宋体" w:cs="Times New Roman" w:hint="eastAsia"/>
          <w:b w:val="0"/>
          <w:i w:val="0"/>
          <w:sz w:val="21"/>
        </w:rPr>
        <w:t xml:space="preserve">逐组合检查给出了这种“更稳定”究竟稳定到什么程度。固定坡角和厚度形成的16条波速比序列中，有13条峰值随 </w:t>
      </w:r>
      <m:oMath>
        <m:sSub>
          <m:e>
            <m:r>
              <m:t>r</m:t>
            </m:r>
          </m:e>
          <m:sub>
            <m:r>
              <m:t>v</m:t>
            </m:r>
          </m:sub>
        </m:sSub>
      </m:oMath>
      <w:r>
        <w:rPr>
          <w:rFonts w:ascii="Times New Roman" w:hAnsi="Times New Roman" w:eastAsia="宋体" w:cs="Times New Roman" w:hint="eastAsia"/>
          <w:b w:val="0"/>
          <w:i w:val="0"/>
          <w:sz w:val="21"/>
        </w:rPr>
        <w:t xml:space="preserve"> 单调降低，另3条存在局部反转，没有一条单调升高；相应峰频只有5条单调升高，10条非单调，另1条单调降低。峰值分布也随 </w:t>
      </w:r>
      <m:oMath>
        <m:sSub>
          <m:e>
            <m:r>
              <m:t>r</m:t>
            </m:r>
          </m:e>
          <m:sub>
            <m:r>
              <m:t>v</m:t>
            </m:r>
          </m:sub>
        </m:sSub>
      </m:oMath>
      <w:r>
        <w:rPr>
          <w:rFonts w:ascii="Times New Roman" w:hAnsi="Times New Roman" w:eastAsia="宋体" w:cs="Times New Roman" w:hint="eastAsia"/>
          <w:b w:val="0"/>
          <w:i w:val="0"/>
          <w:sz w:val="21"/>
        </w:rPr>
        <w:t xml:space="preserve"> 增大而明显收缩：</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组的四分位区间为1.920～2.636、最大值为4.012，</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缩小为1.454～1.576、最大值仅1.696。因而，波速比提高不仅降低了典型峰值，也压低了极端上尾，这一幅值方向可视为当前参数域内最稳健的单参数结论。至于主峰向高频移动，只能作为多数代表序列和边际中位数的总体倾向，不能保证每一个厚度—坡角组合均按此顺序变化。</w:t>
      </w:r>
    </w:p>
    <w:p>
      <w:pPr>
        <w:spacing w:before="0" w:after="0"/>
        <w:ind w:firstLine="420"/>
        <w:jc w:val="both"/>
      </w:pPr>
      <w:r>
        <w:rPr>
          <w:rFonts w:ascii="Times New Roman" w:hAnsi="Times New Roman" w:eastAsia="宋体" w:cs="Times New Roman" w:hint="eastAsia"/>
          <w:b w:val="0"/>
          <w:i w:val="0"/>
          <w:sz w:val="21"/>
        </w:rPr>
        <w:t>波速比作用的稳定性还体现在其对分布不同位置的同步压低。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组的峰值最小值、中位数和最大值分别为1.739、2.152和4.012；到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时分别降为1.257、1.541和1.696。极差由2.273收缩到0.439，说明材料反差减小时，软厚角点形成的长上尾基本消失，64例之间的幅值差异也更接近几何差异本身。相反，峰频四分位区间没有按相同方式收缩：四个波速比水平的中位数由4.75升至6.50、7.75后回落至7.05 Hz，最低与最高频率在多数水平仍跨越多个频带。幅值分布的收缩来自强峰被压低，不意味着谱形随波速比变得单峰或峰频变得容易预测。</w:t>
      </w:r>
    </w:p>
    <w:p>
      <w:pPr>
        <w:spacing w:before="0" w:after="0"/>
        <w:ind w:firstLine="420"/>
        <w:jc w:val="both"/>
      </w:pPr>
      <w:r>
        <w:rPr>
          <w:rFonts w:ascii="Times New Roman" w:hAnsi="Times New Roman" w:eastAsia="宋体" w:cs="Times New Roman" w:hint="eastAsia"/>
          <w:b w:val="0"/>
          <w:i w:val="0"/>
          <w:sz w:val="21"/>
        </w:rPr>
        <w:t xml:space="preserve">代表序列中峰位固定在 </w:t>
      </w:r>
      <m:oMath>
        <m:r>
          <m:t>s</m:t>
        </m:r>
        <m:r>
          <m:rPr>
            <m:sty m:val="p"/>
          </m:rPr>
          <m:t>=</m:t>
        </m:r>
        <m:r>
          <m:t>0</m:t>
        </m:r>
      </m:oMath>
      <w:r>
        <w:rPr>
          <w:rFonts w:ascii="Times New Roman" w:hAnsi="Times New Roman" w:eastAsia="宋体" w:cs="Times New Roman" w:hint="eastAsia"/>
          <w:b w:val="0"/>
          <w:i w:val="0"/>
          <w:sz w:val="21"/>
        </w:rPr>
        <w:t>，使图12清楚呈现波速比对频带和幅值的作用，但全域结果仍包含空间换位。最厚层四个坡角下，</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的峰都落在下平台；当 </w:t>
      </w:r>
      <m:oMath>
        <m:sSub>
          <m:e>
            <m:r>
              <m:t>r</m:t>
            </m:r>
          </m:e>
          <m:sub>
            <m:r>
              <m:t>v</m:t>
            </m:r>
          </m:sub>
        </m:sSub>
      </m:oMath>
      <w:r>
        <w:rPr>
          <w:rFonts w:ascii="Times New Roman" w:hAnsi="Times New Roman" w:eastAsia="宋体" w:cs="Times New Roman" w:hint="eastAsia"/>
          <w:b w:val="0"/>
          <w:i w:val="0"/>
          <w:sz w:val="21"/>
        </w:rPr>
        <w:t xml:space="preserve"> 增至0.75后，15°、30°和45°组仍在下平台远端取得峰值，60°组却回到坡顶。也就是说，波速比提高通常削弱下平台强峰，却不必在同一阈值上触发所有坡角的区段切换。波速比主效应的“稳定”只针对全场峰值大小的下降方向；峰位是否保持、主峰越过哪个频带以及区段内典型响应怎样变化，仍受厚度和坡角共同控制。把这一限定写清，能够避免从图12单条坡顶序列误推到全部64例。</w:t>
      </w:r>
    </w:p>
    <w:p>
      <w:pPr>
        <w:spacing w:before="80" w:after="40"/>
        <w:ind w:firstLine="0"/>
        <w:jc w:val="center"/>
      </w:pPr>
      <w:r>
        <w:drawing>
          <wp:inline xmlns:a="http://schemas.openxmlformats.org/drawingml/2006/main" xmlns:pic="http://schemas.openxmlformats.org/drawingml/2006/picture">
            <wp:extent cx="5669280" cy="3145671"/>
            <wp:docPr id="9" name="Picture 9"/>
            <wp:cNvGraphicFramePr>
              <a:graphicFrameLocks noChangeAspect="1"/>
            </wp:cNvGraphicFramePr>
            <a:graphic>
              <a:graphicData uri="http://schemas.openxmlformats.org/drawingml/2006/picture">
                <pic:pic>
                  <pic:nvPicPr>
                    <pic:cNvPr id="0" name="fig13_三参数主效应.png"/>
                    <pic:cNvPicPr/>
                  </pic:nvPicPr>
                  <pic:blipFill>
                    <a:blip r:embed="rId25"/>
                    <a:stretch>
                      <a:fillRect/>
                    </a:stretch>
                  </pic:blipFill>
                  <pic:spPr>
                    <a:xfrm>
                      <a:off x="0" y="0"/>
                      <a:ext cx="5669280" cy="314567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图13 64 个全因子成层工况按参数水平汇总的全场峰值幅值和主峰频率：（a）～（c）峰值幅值；（d）～（f）主峰频率；黄色菱形为中位数，粗线为四分位距，空心三角为10 Hz上界峰</w:t>
      </w:r>
    </w:p>
    <w:p>
      <w:pPr>
        <w:spacing w:before="0" w:after="60"/>
        <w:ind w:firstLine="0"/>
        <w:jc w:val="center"/>
      </w:pPr>
      <w:r>
        <w:rPr>
          <w:rFonts w:ascii="Times New Roman" w:hAnsi="Times New Roman" w:eastAsia="Times New Roman" w:cs="Times New Roman" w:hint="eastAsia"/>
          <w:b w:val="0"/>
          <w:i w:val="0"/>
          <w:sz w:val="18"/>
        </w:rPr>
        <w:t>Fig. 13 Marginal distributions of peak amplitude and dominant frequency for the three parameters</w:t>
      </w:r>
    </w:p>
    <w:p>
      <w:pPr>
        <w:spacing w:before="0" w:after="0"/>
        <w:ind w:firstLine="420"/>
        <w:jc w:val="both"/>
      </w:pPr>
      <w:r>
        <w:rPr>
          <w:rFonts w:ascii="Times New Roman" w:hAnsi="Times New Roman" w:eastAsia="宋体" w:cs="Times New Roman" w:hint="eastAsia"/>
          <w:b w:val="0"/>
          <w:i w:val="0"/>
          <w:sz w:val="21"/>
        </w:rPr>
        <w:t>表8汇总了三参数水平的边际中位数。坡角四水平的峰值中位数相近，不能据此说坡角“没有作用”，因为图10的均质序列和图13的上尾都显示几何影响存在；它只说明在覆盖层参数跨越全域后，坡角主效应被更强的厚度、波速比及交互变化遮蔽。厚度比的中位数非单调，波速比的幅值中位数近似单调下降，也不能把中位数趋势套到每个单独组合。边际统计的作用是给出全域方向，控制变量图则负责展示具体响应怎样转折。</w:t>
      </w:r>
    </w:p>
    <w:p>
      <w:pPr>
        <w:spacing w:before="0" w:after="0"/>
        <w:ind w:firstLine="420"/>
        <w:jc w:val="both"/>
      </w:pPr>
      <w:r>
        <w:rPr>
          <w:rFonts w:ascii="Times New Roman" w:hAnsi="Times New Roman" w:eastAsia="宋体" w:cs="Times New Roman" w:hint="eastAsia"/>
          <w:b w:val="0"/>
          <w:i w:val="0"/>
          <w:sz w:val="21"/>
        </w:rPr>
        <w:t xml:space="preserve">频率分布尤其需要结合四分位区间阅读。四个厚度水平的峰频四分位区间依次为3.00～9.70、5.18～8.28、5.38～9.30和4.08～8.43 Hz，区间大幅重叠，且各自跨度都明显大于相邻中位数差；4个10 Hz上界峰中，3例出现在 </w:t>
      </w:r>
      <m:oMath>
        <m:r>
          <m:t>d</m:t>
        </m:r>
        <m:r>
          <m:rPr>
            <m:sty m:val="p"/>
          </m:rPr>
          <m:t>/</m:t>
        </m:r>
        <m:r>
          <m:t>h</m:t>
        </m:r>
        <m:r>
          <m:rPr>
            <m:sty m:val="p"/>
          </m:rPr>
          <m:t>=</m:t>
        </m:r>
        <m:r>
          <m:t>0.20</m:t>
        </m:r>
      </m:oMath>
      <w:r>
        <w:rPr>
          <w:rFonts w:ascii="Times New Roman" w:hAnsi="Times New Roman" w:eastAsia="宋体" w:cs="Times New Roman" w:hint="eastAsia"/>
          <w:b w:val="0"/>
          <w:i w:val="0"/>
          <w:sz w:val="21"/>
        </w:rPr>
        <w:t>，另1例出现在1.00。薄层组5.30 Hz的峰频中位数因此不能解释为稳定的“薄层主频”，它只是低频内部峰与高频截断峰共同形成的排序中心。幅值边际更容易形成可读方向，是因为峰值大小在换位前后仍为连续量；峰频由取最大值操作返回某一个离散频点，对候选峰的强弱次序更敏感。表8保留两类指标，正是为了避免把幅值趋势误写成峰频趋势。</w:t>
      </w:r>
    </w:p>
    <w:p>
      <w:pPr>
        <w:spacing w:before="156" w:after="0"/>
        <w:ind w:firstLine="0"/>
        <w:jc w:val="center"/>
      </w:pPr>
      <w:r>
        <w:rPr>
          <w:rFonts w:ascii="Times New Roman" w:hAnsi="Times New Roman" w:eastAsia="宋体" w:cs="Times New Roman" w:hint="eastAsia"/>
          <w:b w:val="0"/>
          <w:i w:val="0"/>
          <w:sz w:val="18"/>
        </w:rPr>
        <w:t>表8 三参数各水平的全场峰值与主峰频率中位数</w:t>
      </w:r>
    </w:p>
    <w:p>
      <w:pPr>
        <w:spacing w:before="0" w:after="40"/>
        <w:ind w:firstLine="0"/>
        <w:jc w:val="center"/>
      </w:pPr>
      <w:r>
        <w:rPr>
          <w:rFonts w:ascii="Times New Roman" w:hAnsi="Times New Roman" w:eastAsia="Times New Roman" w:cs="Times New Roman" w:hint="eastAsia"/>
          <w:b w:val="0"/>
          <w:i w:val="0"/>
          <w:sz w:val="18"/>
        </w:rPr>
        <w:t>Table 8 Median global peak amplitude and dominant frequency at each parameter level</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2409"/>
        <w:gridCol w:w="2409"/>
        <w:gridCol w:w="2409"/>
        <w:gridCol w:w="2409"/>
      </w:tblGrid>
      <w:tr>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水平</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峰值幅值中位数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主峰频率中位数/Hz</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坡角</w:t>
            </w:r>
            <m:oMath>
              <m:r>
                <m:t>i</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 / 30° / 45° / 60°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1.665 / 1.694 / 1.688 / 1.718</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6.40 / 8.85 / 6.85 / 4.35</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厚度比</w:t>
            </w:r>
            <m:oMath>
              <m:r>
                <m:t>d</m:t>
              </m:r>
              <m:r>
                <m:rPr>
                  <m:sty m:val="p"/>
                </m:rPr>
                <m:t>/</m:t>
              </m:r>
              <m:r>
                <m:t>h</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0.20 / 0.60 / 1.00 / 1.40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1.517 / 1.754 / 1.647 / 2.245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5.30 / 7.30 / 7.45 / 6.70</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波速比</w:t>
            </w:r>
            <m:oMath>
              <m:sSub>
                <m:e>
                  <m:r>
                    <m:t>r</m:t>
                  </m:r>
                </m:e>
                <m:sub>
                  <m:r>
                    <m:t>v</m:t>
                  </m:r>
                </m:sub>
              </m:sSub>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0.30 / 0.45 / 0.60 / 0.75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2.152 / 1.767 / 1.628 / 1.541</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4.75 / 6.50 / 7.75 / 7.05</w:t>
            </w:r>
          </w:p>
        </w:tc>
      </w:tr>
    </w:tbl>
    <w:p>
      <w:pPr>
        <w:spacing w:before="0" w:after="0"/>
        <w:ind w:firstLine="420"/>
        <w:jc w:val="both"/>
      </w:pPr>
      <w:r>
        <w:rPr>
          <w:rFonts w:ascii="Times New Roman" w:hAnsi="Times New Roman" w:eastAsia="宋体" w:cs="Times New Roman" w:hint="eastAsia"/>
          <w:b w:val="0"/>
          <w:i w:val="0"/>
          <w:sz w:val="21"/>
        </w:rPr>
        <w:t>厚度—波速比响应矩阵把边际趋势还原到具体组合。图14上排为峰值幅值，下排为主峰频率，每一列坡角对应完整的4×4厚度—波速比网格。64例中的最大值为 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）的4.012，最小值为 P002（</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）的1.249，前者为后者的3.21倍。高响应集中在“厚层—低波速比”一角，但并非每一行、每一列都严格单调。</w:t>
      </w:r>
    </w:p>
    <w:p>
      <w:pPr>
        <w:spacing w:before="0" w:after="0"/>
        <w:ind w:firstLine="420"/>
        <w:jc w:val="both"/>
      </w:pPr>
      <w:r>
        <w:rPr>
          <w:rFonts w:ascii="Times New Roman" w:hAnsi="Times New Roman" w:eastAsia="宋体" w:cs="Times New Roman" w:hint="eastAsia"/>
          <w:b w:val="0"/>
          <w:i w:val="0"/>
          <w:sz w:val="21"/>
        </w:rPr>
        <w:t xml:space="preserve">矩阵中的极端高响应具有比边际中位数更明确的参数指纹。64例中有19例峰值不低于2.0，但只有4例超过3.0；这4例恰好都是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，对应15°、30°、45°和60°坡的P013、P029、P045和P061。其峰值依次为3.539、3.714、3.904和4.012，峰频集中在4.0～4.1 Hz，峰位集中在下平台 </w:t>
      </w:r>
      <m:oMath>
        <m:r>
          <m:t>s</m:t>
        </m:r>
        <m:r>
          <m:rPr>
            <m:sty m:val="p"/>
          </m:rPr>
          <m:t>=</m:t>
        </m:r>
        <m:r>
          <m:t>3.15</m:t>
        </m:r>
      </m:oMath>
      <w:r>
        <w:rPr>
          <w:rFonts w:ascii="Times New Roman" w:hAnsi="Times New Roman" w:eastAsia="宋体" w:cs="Times New Roman" w:hint="eastAsia"/>
          <w:b w:val="0"/>
          <w:i w:val="0"/>
          <w:sz w:val="21"/>
        </w:rPr>
        <w:t xml:space="preserve">～3.25。换言之，软厚组合先把主控频带和位置锁定在约4 Hz的下平台区域，坡角再对该高响应状态作近似单调增幅。这个局部规律跨四个坡角重复出现，可以作为稳定的困难组合描述；它并不否定其他区域的非单调性，因为一旦离开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这个角点，控制峰就可能重新回到坡顶或高频带。</w:t>
      </w:r>
    </w:p>
    <w:p>
      <w:pPr>
        <w:spacing w:before="80" w:after="40"/>
        <w:ind w:firstLine="0"/>
        <w:jc w:val="center"/>
      </w:pPr>
      <w:r>
        <w:drawing>
          <wp:inline xmlns:a="http://schemas.openxmlformats.org/drawingml/2006/main" xmlns:pic="http://schemas.openxmlformats.org/drawingml/2006/picture">
            <wp:extent cx="5669280" cy="2973085"/>
            <wp:docPr id="10" name="Picture 10"/>
            <wp:cNvGraphicFramePr>
              <a:graphicFrameLocks noChangeAspect="1"/>
            </wp:cNvGraphicFramePr>
            <a:graphic>
              <a:graphicData uri="http://schemas.openxmlformats.org/drawingml/2006/picture">
                <pic:pic>
                  <pic:nvPicPr>
                    <pic:cNvPr id="0" name="fig14_厚度波速比响应矩阵.png"/>
                    <pic:cNvPicPr/>
                  </pic:nvPicPr>
                  <pic:blipFill>
                    <a:blip r:embed="rId26"/>
                    <a:stretch>
                      <a:fillRect/>
                    </a:stretch>
                  </pic:blipFill>
                  <pic:spPr>
                    <a:xfrm>
                      <a:off x="0" y="0"/>
                      <a:ext cx="5669280" cy="297308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图14 四种坡角下厚度比—波速比响应矩阵：（a）～（d）全场峰值幅值；（e）～（h）主峰频率；“</w:t>
      </w:r>
      <m:oMath>
        <m:r>
          <m:rPr>
            <m:sty m:val="p"/>
          </m:rPr>
          <m:t>≥</m:t>
        </m:r>
        <m:r>
          <m:t>10.0</m:t>
        </m:r>
      </m:oMath>
      <w:r>
        <w:rPr>
          <w:rFonts w:ascii="Times New Roman" w:hAnsi="Times New Roman" w:eastAsia="宋体" w:cs="Times New Roman" w:hint="eastAsia"/>
          <w:b w:val="0"/>
          <w:i w:val="0"/>
          <w:sz w:val="18"/>
        </w:rPr>
        <w:t>”表示分析频带上界峰</w:t>
      </w:r>
    </w:p>
    <w:p>
      <w:pPr>
        <w:spacing w:before="0" w:after="60"/>
        <w:ind w:firstLine="0"/>
        <w:jc w:val="center"/>
      </w:pPr>
      <w:r>
        <w:rPr>
          <w:rFonts w:ascii="Times New Roman" w:hAnsi="Times New Roman" w:eastAsia="Times New Roman" w:cs="Times New Roman" w:hint="eastAsia"/>
          <w:b w:val="0"/>
          <w:i w:val="0"/>
          <w:sz w:val="18"/>
        </w:rPr>
        <w:t>Fig. 14 Thickness-ratio–velocity-ratio response matrices at four slope angles</w:t>
      </w:r>
    </w:p>
    <w:p>
      <w:pPr>
        <w:spacing w:before="0" w:after="0"/>
        <w:ind w:firstLine="420"/>
        <w:jc w:val="both"/>
      </w:pPr>
      <w:r>
        <w:rPr>
          <w:rFonts w:ascii="Times New Roman" w:hAnsi="Times New Roman" w:eastAsia="宋体" w:cs="Times New Roman" w:hint="eastAsia"/>
          <w:b w:val="0"/>
          <w:i w:val="0"/>
          <w:sz w:val="21"/>
        </w:rPr>
        <w:t>厚层条件下波速比的控制最清楚。</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从0.30增至0.75使15°、30°、45°和60°坡的峰值分别降低55.6%、58.4%、60.1%和59.9%，四种坡角给出相近降幅。薄层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时，部分行在 </w:t>
      </w:r>
      <m:oMath>
        <m:sSub>
          <m:e>
            <m:r>
              <m:t>r</m:t>
            </m:r>
          </m:e>
          <m:sub>
            <m:r>
              <m:t>v</m:t>
            </m:r>
          </m:sub>
        </m:sSub>
        <m:r>
          <m:rPr>
            <m:sty m:val="p"/>
          </m:rPr>
          <m:t>=</m:t>
        </m:r>
        <m:r>
          <m:t>0.45</m:t>
        </m:r>
      </m:oMath>
      <w:r>
        <w:rPr>
          <w:rFonts w:ascii="Times New Roman" w:hAnsi="Times New Roman" w:eastAsia="宋体" w:cs="Times New Roman" w:hint="eastAsia"/>
          <w:b w:val="0"/>
          <w:i w:val="0"/>
          <w:sz w:val="21"/>
        </w:rPr>
        <w:t>～0.75间变化很小，说明覆盖层过薄或特征频率移出主要频带后，继续增大波速比的边际影响有限。主峰频率矩阵比幅值矩阵更零散：P001、P017、P018和P027的峰位落在10 Hz上界，图中以“</w:t>
      </w:r>
      <m:oMath>
        <m:r>
          <m:rPr>
            <m:sty m:val="p"/>
          </m:rPr>
          <m:t>≥</m:t>
        </m:r>
        <m:r>
          <m:t>10.0</m:t>
        </m:r>
      </m:oMath>
      <w:r>
        <w:rPr>
          <w:rFonts w:ascii="Times New Roman" w:hAnsi="Times New Roman" w:eastAsia="宋体" w:cs="Times New Roman" w:hint="eastAsia"/>
          <w:b w:val="0"/>
          <w:i w:val="0"/>
          <w:sz w:val="21"/>
        </w:rPr>
        <w:t>”和空心三角表示；这些工况的真实峰频可能更高，不能参与内部峰迁移的线性拟合。</w:t>
      </w:r>
    </w:p>
    <w:p>
      <w:pPr>
        <w:spacing w:before="0" w:after="0"/>
        <w:ind w:firstLine="420"/>
        <w:jc w:val="both"/>
      </w:pPr>
      <w:r>
        <w:rPr>
          <w:rFonts w:ascii="Times New Roman" w:hAnsi="Times New Roman" w:eastAsia="宋体" w:cs="Times New Roman" w:hint="eastAsia"/>
          <w:b w:val="0"/>
          <w:i w:val="0"/>
          <w:sz w:val="21"/>
        </w:rPr>
        <w:t xml:space="preserve">把每个厚度水平下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与0.75的首尾降幅在四个坡角间取中位数，可得到22.85%、29.86%、25.12%和59.11%。前三个厚度的波速比效应虽有差别，但均远小于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时约59%的降幅，这正是“厚度改变了波速比作用强度”的直接证据。反过来看，在最软的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列，厚度增加也不是平滑放大：不同坡角下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或1.00可能出现局部回落，直到1.40才共同跃入下平台4 Hz强响应。图14因而比三条边际曲线多回答了一层问题：厚度和波速比不仅各自改变峰值，它们还共同决定某个强响应分支是否进入当前0.5～10 Hz观察窗。</w:t>
      </w:r>
    </w:p>
    <w:p>
      <w:pPr>
        <w:spacing w:before="0" w:after="0"/>
        <w:ind w:firstLine="420"/>
        <w:jc w:val="both"/>
      </w:pPr>
      <w:r>
        <w:rPr>
          <w:rFonts w:ascii="Times New Roman" w:hAnsi="Times New Roman" w:eastAsia="宋体" w:cs="Times New Roman" w:hint="eastAsia"/>
          <w:b w:val="0"/>
          <w:i w:val="0"/>
          <w:sz w:val="21"/>
        </w:rPr>
        <w:t xml:space="preserve">矩阵的行列比较还能区分“强度交互”和“频率交互”。在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行，四个坡角的峰值随 </w:t>
      </w:r>
      <m:oMath>
        <m:sSub>
          <m:e>
            <m:r>
              <m:t>r</m:t>
            </m:r>
          </m:e>
          <m:sub>
            <m:r>
              <m:t>v</m:t>
            </m:r>
          </m:sub>
        </m:sSub>
      </m:oMath>
      <w:r>
        <w:rPr>
          <w:rFonts w:ascii="Times New Roman" w:hAnsi="Times New Roman" w:eastAsia="宋体" w:cs="Times New Roman" w:hint="eastAsia"/>
          <w:b w:val="0"/>
          <w:i w:val="0"/>
          <w:sz w:val="21"/>
        </w:rPr>
        <w:t xml:space="preserve"> 增大都大幅下降，方向高度一致，说明该角点的强度交互具有跨坡角可重复性；但对应峰频由约4 Hz逐步转向6～10 Hz后，60°、</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又回落到2.6 Hz，频率序列并不共享统一方向。在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行，15°坡从P001的1.911、10 Hz变为P002的1.249、2.1 Hz，波速比仅从0.30增至0.45便发生高、低频控制峰换位；随后P003和P004的幅值只由1.253增至1.257，峰频保持2.1 Hz附近。这里首个相邻步长包含“分支切换”，后两个步长则是在同一低频分支上的小幅变化。若把四点强行拟合成一条平滑响应曲线，既会把峰频突跳写成连续漂移，也会高估高波速比区间的幅值斜率。</w:t>
      </w:r>
    </w:p>
    <w:p>
      <w:pPr>
        <w:spacing w:before="0" w:after="0"/>
        <w:ind w:firstLine="420"/>
        <w:jc w:val="both"/>
      </w:pPr>
      <w:r>
        <w:rPr>
          <w:rFonts w:ascii="Times New Roman" w:hAnsi="Times New Roman" w:eastAsia="宋体" w:cs="Times New Roman" w:hint="eastAsia"/>
          <w:b w:val="0"/>
          <w:i w:val="0"/>
          <w:sz w:val="21"/>
        </w:rPr>
        <w:t>全场峰值仍可能被某一空间区段主导。图15将地表分为上平台、坡面和下平台，并将频率分为0.5～3、3～6和6～10 Hz。每个格先求单工况在该区段、该频带的对数幅值中位数，再用四个参数水平中最大与最小中位数之比表示效应跨度。上平台的三参数跨度仅为1.01～1.10倍，说明远离坡体突变后，各参数对区域中位响应的影响相对有限；显著差异主要出现在坡面和下平台。</w:t>
      </w:r>
    </w:p>
    <w:p>
      <w:pPr>
        <w:spacing w:before="80" w:after="40"/>
        <w:ind w:firstLine="0"/>
        <w:jc w:val="center"/>
      </w:pPr>
      <w:r>
        <w:drawing>
          <wp:inline xmlns:a="http://schemas.openxmlformats.org/drawingml/2006/main" xmlns:pic="http://schemas.openxmlformats.org/drawingml/2006/picture">
            <wp:extent cx="5669280" cy="2000064"/>
            <wp:docPr id="11" name="Picture 11"/>
            <wp:cNvGraphicFramePr>
              <a:graphicFrameLocks noChangeAspect="1"/>
            </wp:cNvGraphicFramePr>
            <a:graphic>
              <a:graphicData uri="http://schemas.openxmlformats.org/drawingml/2006/picture">
                <pic:pic>
                  <pic:nvPicPr>
                    <pic:cNvPr id="0" name="fig15_分空间区段与分频带参数效应.png"/>
                    <pic:cNvPicPr/>
                  </pic:nvPicPr>
                  <pic:blipFill>
                    <a:blip r:embed="rId27"/>
                    <a:stretch>
                      <a:fillRect/>
                    </a:stretch>
                  </pic:blipFill>
                  <pic:spPr>
                    <a:xfrm>
                      <a:off x="0" y="0"/>
                      <a:ext cx="5669280" cy="200006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图15 不同空间区段和频带内的参数效应跨度及方向：（a）坡角；（b）厚度比；（c）波速比。每格先求单工况区域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18"/>
        </w:rPr>
        <w:t xml:space="preserve"> 中位数，再对其余两参数边际化；颜色为四参数水平中最大与最小中位幅值之比，文字给出最大响应所在水平。“总体升高/降低”表示四水平秩相关系数不小于0.8/不大于</w:t>
      </w:r>
      <m:oMath>
        <m:r>
          <m:rPr>
            <m:sty m:val="p"/>
          </m:rPr>
          <m:t>−</m:t>
        </m:r>
        <m:r>
          <m:t>0.8</m:t>
        </m:r>
      </m:oMath>
      <w:r>
        <w:rPr>
          <w:rFonts w:ascii="Times New Roman" w:hAnsi="Times New Roman" w:eastAsia="宋体" w:cs="Times New Roman" w:hint="eastAsia"/>
          <w:b w:val="0"/>
          <w:i w:val="0"/>
          <w:sz w:val="18"/>
        </w:rPr>
        <w:t>，其余标为非单调</w:t>
      </w:r>
    </w:p>
    <w:p>
      <w:pPr>
        <w:spacing w:before="0" w:after="60"/>
        <w:ind w:firstLine="0"/>
        <w:jc w:val="center"/>
      </w:pPr>
      <w:r>
        <w:rPr>
          <w:rFonts w:ascii="Times New Roman" w:hAnsi="Times New Roman" w:eastAsia="Times New Roman" w:cs="Times New Roman" w:hint="eastAsia"/>
          <w:b w:val="0"/>
          <w:i w:val="0"/>
          <w:sz w:val="18"/>
        </w:rPr>
        <w:t>Fig. 15 Parameter-effect strength stratified by surface segment and frequency band</w:t>
      </w:r>
    </w:p>
    <w:p>
      <w:pPr>
        <w:spacing w:before="0" w:after="0"/>
        <w:ind w:firstLine="420"/>
        <w:jc w:val="both"/>
      </w:pPr>
      <w:r>
        <w:rPr>
          <w:rFonts w:ascii="Times New Roman" w:hAnsi="Times New Roman" w:eastAsia="宋体" w:cs="Times New Roman" w:hint="eastAsia"/>
          <w:b w:val="0"/>
          <w:i w:val="0"/>
          <w:sz w:val="21"/>
        </w:rPr>
        <w:t xml:space="preserve">厚度比在下平台作用最强，低、中、高频的效应跨度分别为1.33、1.96和2.02倍，中高频最大响应均对应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；在坡面6～10 Hz，厚度效应仍达1.74倍。相比之下，坡角在坡面高频的最大跨度为1.34倍，且区域中位响应总体随坡角降低，最大值出现在15°，这与全场极值上尾随坡角升高并不冲突：缓坡可能在较长坡面上形成较高的区域平均值，陡坡则在更局部的位置形成更高尖峰。波速比在坡面低频的跨度为1.25倍，区域中位值随 </w:t>
      </w:r>
      <m:oMath>
        <m:sSub>
          <m:e>
            <m:r>
              <m:t>r</m:t>
            </m:r>
          </m:e>
          <m:sub>
            <m:r>
              <m:t>v</m:t>
            </m:r>
          </m:sub>
        </m:sSub>
      </m:oMath>
      <w:r>
        <w:rPr>
          <w:rFonts w:ascii="Times New Roman" w:hAnsi="Times New Roman" w:eastAsia="宋体" w:cs="Times New Roman" w:hint="eastAsia"/>
          <w:b w:val="0"/>
          <w:i w:val="0"/>
          <w:sz w:val="21"/>
        </w:rPr>
        <w:t xml:space="preserve"> 升高；这一方向也不同于全场峰值随 </w:t>
      </w:r>
      <m:oMath>
        <m:sSub>
          <m:e>
            <m:r>
              <m:t>r</m:t>
            </m:r>
          </m:e>
          <m:sub>
            <m:r>
              <m:t>v</m:t>
            </m:r>
          </m:sub>
        </m:sSub>
      </m:oMath>
      <w:r>
        <w:rPr>
          <w:rFonts w:ascii="Times New Roman" w:hAnsi="Times New Roman" w:eastAsia="宋体" w:cs="Times New Roman" w:hint="eastAsia"/>
          <w:b w:val="0"/>
          <w:i w:val="0"/>
          <w:sz w:val="21"/>
        </w:rPr>
        <w:t xml:space="preserve"> 升高而降低，表明“局部平均抬升”和“最大峰减弱”可以同时发生。</w:t>
      </w:r>
    </w:p>
    <w:p>
      <w:pPr>
        <w:spacing w:before="0" w:after="0"/>
        <w:ind w:firstLine="420"/>
        <w:jc w:val="both"/>
      </w:pPr>
      <w:r>
        <w:rPr>
          <w:rFonts w:ascii="Times New Roman" w:hAnsi="Times New Roman" w:eastAsia="宋体" w:cs="Times New Roman" w:hint="eastAsia"/>
          <w:b w:val="0"/>
          <w:i w:val="0"/>
          <w:sz w:val="21"/>
        </w:rPr>
        <w:t>分区矩阵还揭示了效应随频带转移的过程。厚度比在坡面低、中、高频的跨度依次为1.14、1.30和1.74倍，在下平台则由1.33增至1.96和2.02倍，表现为越接近中高频、越靠近下平台，厚度差异越容易被放大。坡角在坡面低频仅相差1.07倍，到中频和高频扩大为1.18和1.34倍，而下平台三个频带均不超过1.10倍。波速比的最大分区效应出现在坡面低频，为1.25倍；坡面中、高频降至1.16和1.11倍，下平台三个频带为1.12～1.17倍。由这些完整格值可以看出，图13中波速比对全场峰值最强，并不意味着它对任意区域中位响应也最强；区域中高频差异反而更多由厚度控制。</w:t>
      </w:r>
    </w:p>
    <w:p>
      <w:pPr>
        <w:spacing w:before="0" w:after="0"/>
        <w:ind w:firstLine="420"/>
        <w:jc w:val="both"/>
      </w:pPr>
      <w:r>
        <w:rPr>
          <w:rFonts w:ascii="Times New Roman" w:hAnsi="Times New Roman" w:eastAsia="宋体" w:cs="Times New Roman" w:hint="eastAsia"/>
          <w:b w:val="0"/>
          <w:i w:val="0"/>
          <w:sz w:val="21"/>
        </w:rPr>
        <w:t>每格对应的最大响应水平使方向差异更容易理解。坡面高频对坡角表现为总体降低，15°水平的区域中位值最高；对厚度则总体升高，</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最高；对波速比则总体降低，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最高。坡面低频的波速比方向恰好相反，</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的区域中位值最高。下平台中频对厚度虽有1.96倍跨度，但四级序列为先降、再升并在1.40达到最大，仍属非单调。这样的符号变化不是统计口径冲突，而是频率—空间场被压缩成不同指标后的必然结果：全场峰值追踪随参数移动的最强点，分区中位数则固定观察区域和频带，能够显示原控制点之外的整体抬升或降低。</w:t>
      </w:r>
    </w:p>
    <w:p>
      <w:pPr>
        <w:spacing w:before="0" w:after="0"/>
        <w:ind w:firstLine="420"/>
        <w:jc w:val="both"/>
      </w:pPr>
      <w:r>
        <w:rPr>
          <w:rFonts w:ascii="Times New Roman" w:hAnsi="Times New Roman" w:eastAsia="宋体" w:cs="Times New Roman" w:hint="eastAsia"/>
          <w:b w:val="0"/>
          <w:i w:val="0"/>
          <w:sz w:val="21"/>
        </w:rPr>
        <w:t>将图15中的对数中位数还原为幅值比，可以更直观地看到这种分层。上平台对三参数总体不敏感，但频带方向并不完全相同：厚度增加时，中频区域中位值由0.942升至1.034，跨度1.10倍，而低频由1.133降至1.095后在最厚层回到1.106；波速比提高时，上平台低频由1.096缓慢升至1.123，中频由1.025降至0.970，高频始终维持在1.030～1.037。这里所有变化都不超过10%，却已经包含升高、降低和非单调三种形态。因而，“上平台影响小”应理解为效应幅度小，而不能理解为三个参数在该区段没有频带选择性。</w:t>
      </w:r>
    </w:p>
    <w:p>
      <w:pPr>
        <w:spacing w:before="0" w:after="0"/>
        <w:ind w:firstLine="420"/>
        <w:jc w:val="both"/>
      </w:pPr>
      <w:r>
        <w:rPr>
          <w:rFonts w:ascii="Times New Roman" w:hAnsi="Times New Roman" w:eastAsia="宋体" w:cs="Times New Roman" w:hint="eastAsia"/>
          <w:b w:val="0"/>
          <w:i w:val="0"/>
          <w:sz w:val="21"/>
        </w:rPr>
        <w:t>坡面上的方向反转更强。厚度四水平的低频区域中位值为1.083、0.986、0.950和0.980，总体降低但末级略有回升；中频为0.940、0.723、0.810和0.871，先降后升；高频则由0.543、0.845、0.891增至0.942，最厚与最薄之比达到1.74。波速比四水平在坡面低频由0.847升至1.057，在高频却由0.871降至0.783；一个参数在同一空间区段内即可同时抬高低频背景、压低高频响应。坡角也呈相似分裂，低频随坡角由0.981升至1.047，中高频则持续下降。以上数值说明，频带合并后的单一“坡面放大系数”会把方向相反的变化互相抵消，难以反映参数改变后的谱形重排。</w:t>
      </w:r>
    </w:p>
    <w:p>
      <w:pPr>
        <w:spacing w:before="0" w:after="0"/>
        <w:ind w:firstLine="420"/>
        <w:jc w:val="both"/>
      </w:pPr>
      <w:r>
        <w:rPr>
          <w:rFonts w:ascii="Times New Roman" w:hAnsi="Times New Roman" w:eastAsia="宋体" w:cs="Times New Roman" w:hint="eastAsia"/>
          <w:b w:val="0"/>
          <w:i w:val="0"/>
          <w:sz w:val="21"/>
        </w:rPr>
        <w:t>下平台的突出特点是厚度效应集中在中高频。厚度四水平的高频区域中位值由0.683、0.746、0.873升至1.378，呈连续上升；中频则为0.787、0.649、0.720和1.270，先降低再显著上升。最厚层对中、高频的抬升不仅改变区段中位数，也为全场控制点转移到下平台创造条件。低频序列0.837、0.716、0.627和0.695反而总体下降，说明P013、P029、P045和P061约4 Hz的强峰不能概括为整个0.5～3 Hz低频区段同步增强。它们属于中频窄带内的局部强响应，而不是下平台全频背景的均匀抬升。这样的分带结果把“强峰出现”与“区域整体增强”区分开来，也为图14中软厚角点为何集中在约4 Hz提供了更具体的空间证据。</w:t>
      </w:r>
    </w:p>
    <w:p>
      <w:pPr>
        <w:spacing w:before="0" w:after="0"/>
        <w:ind w:firstLine="420"/>
        <w:jc w:val="both"/>
      </w:pPr>
      <w:r>
        <w:rPr>
          <w:rFonts w:ascii="Times New Roman" w:hAnsi="Times New Roman" w:eastAsia="宋体" w:cs="Times New Roman" w:hint="eastAsia"/>
          <w:b w:val="0"/>
          <w:i w:val="0"/>
          <w:sz w:val="21"/>
        </w:rPr>
        <w:t>比较三个空间区段还可看出参数信息沿地表的传递方式。上平台保留较平缓的基线，三参数最大跨度均不超过1.10；坡面是方向变化最频繁的过渡区，坡角和波速比在低频与高频给出相反符号；下平台对坡角不敏感，却对最厚覆盖层的中高频响应最敏感。这不是从左到右逐级放大的简单传播图景，而是不同区段对频率和参数的选择性不同。对沿线工程，使用坡顶一个测点代表整条地表会同时漏掉坡面高频的参数效应和下平台软厚组合的控制峰；反过来，只用下平台最不利峰代表上平台，也会高估大多数薄层工况的典型响应。</w:t>
      </w:r>
    </w:p>
    <w:p>
      <w:pPr>
        <w:spacing w:before="0" w:after="0"/>
        <w:ind w:firstLine="420"/>
        <w:jc w:val="both"/>
      </w:pPr>
      <w:r>
        <w:rPr>
          <w:rFonts w:ascii="Times New Roman" w:hAnsi="Times New Roman" w:eastAsia="宋体" w:cs="Times New Roman" w:hint="eastAsia"/>
          <w:b w:val="0"/>
          <w:i w:val="0"/>
          <w:sz w:val="21"/>
        </w:rPr>
        <w:t>表9把控制变量、边际分布和分区结果放在一起。可见，三个参数并不对应三条简单的一维规律。坡角主要抬高均质基线和极端响应上尾；厚度比最容易引起频带与位置跳转，非单调最明显；波速比对全场峰值的方向最稳定，但对不同区段的中位响应仍可能相反。后续的交互分解不再试图用一条经验曲线概括全部工况，而是判断哪些参数组合控制峰值强度，哪些组合控制主峰频率和峰位迁移。</w:t>
      </w:r>
    </w:p>
    <w:p>
      <w:pPr>
        <w:spacing w:before="0" w:after="0"/>
        <w:ind w:firstLine="420"/>
        <w:jc w:val="both"/>
      </w:pPr>
      <w:r>
        <w:rPr>
          <w:rFonts w:ascii="Times New Roman" w:hAnsi="Times New Roman" w:eastAsia="宋体" w:cs="Times New Roman" w:hint="eastAsia"/>
          <w:b w:val="0"/>
          <w:i w:val="0"/>
          <w:sz w:val="21"/>
        </w:rPr>
        <w:t>三类证据相互对照后，可以把结论分成稳定规律与条件规律。稳定规律包括：均质峰值随坡角提高而增大；波速比提高时绝大多数成层组合的全场峰值降低；</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在四种坡角下都形成约4 Hz的下平台强响应；厚度增至1.40后全场控制位置几乎统一转到下平台。条件规律则包括：成层坡峰值随坡角变化的方向、厚度增加造成的峰频迁移方向、以及波速比对坡面低频区域中位值的影响符号。控制变量序列负责展示这些转折的具体过程，边际分布判断其在全域中是否占主导，分区分带统计解释全场峰值以外的空间差异。将三者合并，才不会把一个特定切片写成普遍规律，也不会因全域中位数接近而忽略工程上最不利的局部组合。</w:t>
      </w:r>
    </w:p>
    <w:p>
      <w:pPr>
        <w:spacing w:before="0" w:after="0"/>
        <w:ind w:firstLine="420"/>
        <w:jc w:val="both"/>
      </w:pPr>
      <w:r>
        <w:rPr>
          <w:rFonts w:ascii="Times New Roman" w:hAnsi="Times New Roman" w:eastAsia="宋体" w:cs="Times New Roman" w:hint="eastAsia"/>
          <w:b w:val="0"/>
          <w:i w:val="0"/>
          <w:sz w:val="21"/>
        </w:rPr>
        <w:t>从响应强度看，三参数并非处在同一层级。坡角先决定均质地形的散射基线，对成层工况分布中部的改变量较小，却能继续抬高软厚角点的上尾；厚度决定控制响应是否有条件从上平台转到下平台；波速比决定这一潜在分支能否发展为显著强峰。因而，图10中的坡角基线、图11和图12中的两个材料切片以及图14中的二维矩阵并不是彼此独立的参数展示，而是从基线到分支出现、再到分支强弱的连续证据链。</w:t>
      </w:r>
    </w:p>
    <w:p>
      <w:pPr>
        <w:spacing w:before="0" w:after="0"/>
        <w:ind w:firstLine="420"/>
        <w:jc w:val="both"/>
      </w:pPr>
      <w:r>
        <w:rPr>
          <w:rFonts w:ascii="Times New Roman" w:hAnsi="Times New Roman" w:eastAsia="宋体" w:cs="Times New Roman" w:hint="eastAsia"/>
          <w:b w:val="0"/>
          <w:i w:val="0"/>
          <w:sz w:val="21"/>
        </w:rPr>
        <w:t>从频率和空间看，参数作用又呈另一种层级。厚度最容易改变控制区段，波速比在部分固定切片内能使峰频顺序上移，但全域峰频主要由交互决定；坡角则通过改变坡面长度和地形折点附近的空间分布，使同一覆盖层组合在不同频带获得不同竞争优势。图15显示的频带符号反转表明，峰值换位并非只从图11～14的少数极值中推测出来，在固定区段的区域统计中也有对应变化。全场、分区和频带三个尺度给出的结论由此能够相互约束。</w:t>
      </w:r>
    </w:p>
    <w:p>
      <w:pPr>
        <w:spacing w:before="0" w:after="0"/>
        <w:ind w:firstLine="420"/>
        <w:jc w:val="both"/>
      </w:pPr>
      <w:r>
        <w:rPr>
          <w:rFonts w:ascii="Times New Roman" w:hAnsi="Times New Roman" w:eastAsia="宋体" w:cs="Times New Roman" w:hint="eastAsia"/>
          <w:b w:val="0"/>
          <w:i w:val="0"/>
          <w:sz w:val="21"/>
        </w:rPr>
        <w:t xml:space="preserve">这些结果也限定了参数排序的使用方式。进行绝对峰值初筛时，可优先关注低 </w:t>
      </w:r>
      <m:oMath>
        <m:sSub>
          <m:e>
            <m:r>
              <m:t>r</m:t>
            </m:r>
          </m:e>
          <m:sub>
            <m:r>
              <m:t>v</m:t>
            </m:r>
          </m:sub>
        </m:sSub>
      </m:oMath>
      <w:r>
        <w:rPr>
          <w:rFonts w:ascii="Times New Roman" w:hAnsi="Times New Roman" w:eastAsia="宋体" w:cs="Times New Roman" w:hint="eastAsia"/>
          <w:b w:val="0"/>
          <w:i w:val="0"/>
          <w:sz w:val="21"/>
        </w:rPr>
        <w:t xml:space="preserve"> 与大 </w:t>
      </w:r>
      <m:oMath>
        <m:r>
          <m:t>d</m:t>
        </m:r>
        <m:r>
          <m:rPr>
            <m:sty m:val="p"/>
          </m:rPr>
          <m:t>/</m:t>
        </m:r>
        <m:r>
          <m:t>h</m:t>
        </m:r>
      </m:oMath>
      <w:r>
        <w:rPr>
          <w:rFonts w:ascii="Times New Roman" w:hAnsi="Times New Roman" w:eastAsia="宋体" w:cs="Times New Roman" w:hint="eastAsia"/>
          <w:b w:val="0"/>
          <w:i w:val="0"/>
          <w:sz w:val="21"/>
        </w:rPr>
        <w:t xml:space="preserve"> 的组合，再用坡角区分上尾；需要确定设施所在区段的输入时，则必须回到对应的空间—频带场，因为上平台、坡面和下平台的参数方向可能不同。尤其在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条件下，把下平台控制峰写成全坡同步放大会高估上平台，而在薄层条件下沿用同一判断又会把实际由上平台控制的多数工况错分。参数效应只有附带空间位置和频带才具备明确工程含义。</w:t>
      </w:r>
    </w:p>
    <w:p>
      <w:pPr>
        <w:spacing w:before="156" w:after="0"/>
        <w:ind w:firstLine="0"/>
        <w:jc w:val="center"/>
      </w:pPr>
      <w:r>
        <w:rPr>
          <w:rFonts w:ascii="Times New Roman" w:hAnsi="Times New Roman" w:eastAsia="宋体" w:cs="Times New Roman" w:hint="eastAsia"/>
          <w:b w:val="0"/>
          <w:i w:val="0"/>
          <w:sz w:val="18"/>
        </w:rPr>
        <w:t>表9 代表性参数序列和分区效应的定量对比</w:t>
      </w:r>
    </w:p>
    <w:p>
      <w:pPr>
        <w:spacing w:before="0" w:after="40"/>
        <w:ind w:firstLine="0"/>
        <w:jc w:val="center"/>
      </w:pPr>
      <w:r>
        <w:rPr>
          <w:rFonts w:ascii="Times New Roman" w:hAnsi="Times New Roman" w:eastAsia="Times New Roman" w:cs="Times New Roman" w:hint="eastAsia"/>
          <w:b w:val="0"/>
          <w:i w:val="0"/>
          <w:sz w:val="18"/>
        </w:rPr>
        <w:t>Table 9 Quantitative comparison of representative parameter sequences and segment-wise effects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964"/>
        <w:gridCol w:w="964"/>
        <w:gridCol w:w="964"/>
        <w:gridCol w:w="964"/>
        <w:gridCol w:w="964"/>
        <w:gridCol w:w="964"/>
        <w:gridCol w:w="964"/>
        <w:gridCol w:w="964"/>
        <w:gridCol w:w="964"/>
        <w:gridCol w:w="964"/>
      </w:tblGrid>
      <w:tr>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比较对象</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固定条件</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参数变化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主峰频率变化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主要空间特征</w:t>
            </w: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坡角—均质</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无覆盖层</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1.269→1.638</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2.2→9.9→8.1→3.2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峰位发生换位，45°组位于下平台</w:t>
            </w:r>
            <m:oMath>
              <m:r>
                <m:t>s</m:t>
              </m:r>
              <m:r>
                <m:rPr>
                  <m:sty m:val="p"/>
                </m:rPr>
                <m:t>=</m:t>
              </m:r>
              <m:r>
                <m:t>3.90</m:t>
              </m:r>
            </m:oMath>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坡角—成层</w:t>
            </w:r>
          </w:p>
        </w:tc>
        <w:tc>
          <w:tcPr>
            <w:tcW w:type="dxa" w:w="964"/>
            <w:vAlign w:val="center"/>
          </w:tcPr>
          <w:p>
            <w:pPr>
              <w:spacing w:before="30" w:after="30"/>
              <w:ind w:firstLine="0"/>
              <w:jc w:val="center"/>
            </w:pPr>
            <m:oMath>
              <m:r>
                <m:t>d</m:t>
              </m:r>
              <m:r>
                <m:rPr>
                  <m:sty m:val="p"/>
                </m:rPr>
                <m:t>/</m:t>
              </m:r>
              <m:r>
                <m:t>h</m:t>
              </m:r>
              <m:r>
                <m:rPr>
                  <m:sty m:val="p"/>
                </m:rPr>
                <m:t>=</m:t>
              </m:r>
              <m:r>
                <m:t>1.00</m:t>
              </m:r>
              <m:r>
                <m:rPr>
                  <m:sty m:val="p"/>
                </m:rPr>
                <m:t>,</m:t>
              </m:r>
              <m:sSub>
                <m:e>
                  <m:r>
                    <m:t>r</m:t>
                  </m:r>
                </m:e>
                <m:sub>
                  <m:r>
                    <m:t>v</m:t>
                  </m:r>
                </m:sub>
              </m:sSub>
              <m:r>
                <m:rPr>
                  <m:sty m:val="p"/>
                </m:rPr>
                <m:t>=</m:t>
              </m:r>
              <m:r>
                <m:t>0.45</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1.734→1.898→1.669→1.651</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9.3→8.8→9.3→2.1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30°幅值最大，趋势非单调</w:t>
            </w:r>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sSub>
                <m:e>
                  <m:r>
                    <m:t>r</m:t>
                  </m:r>
                </m:e>
                <m:sub>
                  <m:r>
                    <m:t>v</m:t>
                  </m:r>
                </m:sub>
              </m:sSub>
              <m:r>
                <m:rPr>
                  <m:sty m:val="p"/>
                </m:rPr>
                <m:t>=</m:t>
              </m:r>
              <m:r>
                <m:t>0.30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0.20→1.40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1.861→2.148→1.958→3.904</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9.3→4.3→8.8→4.0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最厚层峰位迁至下平台</w:t>
            </w:r>
            <m:oMath>
              <m:r>
                <m:t>s</m:t>
              </m:r>
              <m:r>
                <m:rPr>
                  <m:sty m:val="p"/>
                </m:rPr>
                <m:t>=</m:t>
              </m:r>
              <m:r>
                <m:t>3.15</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波速比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r>
                <m:t>d</m:t>
              </m:r>
              <m:r>
                <m:rPr>
                  <m:sty m:val="p"/>
                </m:rPr>
                <m:t>/</m:t>
              </m:r>
              <m:r>
                <m:t>h</m:t>
              </m:r>
              <m:r>
                <m:rPr>
                  <m:sty m:val="p"/>
                </m:rPr>
                <m:t>=</m:t>
              </m:r>
              <m:r>
                <m:t>0.60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0.30→0.75</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2.148→1.572</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4.3→8.2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四例峰位均为坡顶</w:t>
            </w:r>
            <m:oMath>
              <m:r>
                <m:t>s</m:t>
              </m:r>
              <m:r>
                <m:rPr>
                  <m:sty m:val="p"/>
                </m:rPr>
                <m:t>=</m:t>
              </m:r>
              <m:r>
                <m:t>0</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厚度比分区</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64例边际</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四水平</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下平台中高频跨度1.96～2.02倍</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影响集中于坡面高频和下平台</w:t>
            </w:r>
          </w:p>
        </w:tc>
        <w:tc>
          <w:tcPr>
            <w:tcW w:type="dxa" w:w="964"/>
          </w:tcPr>
          <w:p/>
        </w:tc>
        <w:tc>
          <w:tcPr>
            <w:tcW w:type="dxa" w:w="964"/>
          </w:tcPr>
          <w:p/>
        </w:tc>
        <w:tc>
          <w:tcPr>
            <w:tcW w:type="dxa" w:w="964"/>
          </w:tcPr>
          <w:p/>
        </w:tc>
        <w:tc>
          <w:tcPr>
            <w:tcW w:type="dxa" w:w="964"/>
          </w:tcPr>
          <w:p/>
        </w:tc>
      </w:tr>
    </w:tbl>
    <w:p>
      <w:pPr>
        <w:spacing w:before="156" w:after="40"/>
        <w:ind w:firstLine="0"/>
        <w:jc w:val="left"/>
      </w:pPr>
      <w:r>
        <w:rPr>
          <w:rFonts w:ascii="Times New Roman" w:hAnsi="Times New Roman" w:eastAsia="宋体" w:cs="Times New Roman" w:hint="eastAsia"/>
          <w:b/>
          <w:i w:val="0"/>
          <w:sz w:val="24"/>
        </w:rPr>
        <w:t>3.4 参数耦合与响应机制</w:t>
      </w:r>
    </w:p>
    <w:p>
      <w:pPr>
        <w:spacing w:before="80" w:after="20"/>
        <w:ind w:firstLine="0"/>
        <w:jc w:val="left"/>
      </w:pPr>
      <w:r>
        <w:rPr>
          <w:rFonts w:ascii="Times New Roman" w:hAnsi="Times New Roman" w:eastAsia="宋体" w:cs="Times New Roman" w:hint="eastAsia"/>
          <w:b/>
          <w:i w:val="0"/>
          <w:sz w:val="21"/>
        </w:rPr>
        <w:t>3.4.1 交互作用、非单调变化与主峰迁移</w:t>
      </w:r>
    </w:p>
    <w:p>
      <w:pPr>
        <w:spacing w:before="0" w:after="0"/>
        <w:ind w:firstLine="420"/>
        <w:jc w:val="both"/>
      </w:pPr>
      <w:r>
        <w:rPr>
          <w:rFonts w:ascii="Times New Roman" w:hAnsi="Times New Roman" w:eastAsia="宋体" w:cs="Times New Roman" w:hint="eastAsia"/>
          <w:b w:val="0"/>
          <w:i w:val="0"/>
          <w:sz w:val="21"/>
        </w:rPr>
        <w:t xml:space="preserve">控制变量曲线能够说明一个参数变化时响应怎样演化，却不能量化三个参数对全域差异的相对贡献。本文利用4×4×4平衡全因子网格作确定性平方和分解。对峰值幅值和主峰频率分别计算总体均值、三个主效应、三个二阶交互和一个三阶交互；各项效应在64个组合上的平方和占总平方和的比例作为贡献率。该分解穷举了当前离散参数网格，不依赖随机误差项，因此只能描述本文数值结果中的确定性变异构成，不能套用随机试验的 </w:t>
      </w:r>
      <m:oMath>
        <m:r>
          <m:t>p</m:t>
        </m:r>
      </m:oMath>
      <w:r>
        <w:rPr>
          <w:rFonts w:ascii="Times New Roman" w:hAnsi="Times New Roman" w:eastAsia="宋体" w:cs="Times New Roman" w:hint="eastAsia"/>
          <w:b w:val="0"/>
          <w:i w:val="0"/>
          <w:sz w:val="21"/>
        </w:rPr>
        <w:t xml:space="preserve"> 值或“显著性”表述。</w:t>
      </w:r>
    </w:p>
    <w:p>
      <w:pPr>
        <w:spacing w:before="0" w:after="0"/>
        <w:ind w:firstLine="420"/>
        <w:jc w:val="both"/>
      </w:pPr>
      <w:r>
        <w:rPr>
          <w:rFonts w:ascii="Times New Roman" w:hAnsi="Times New Roman" w:eastAsia="宋体" w:cs="Times New Roman" w:hint="eastAsia"/>
          <w:b w:val="0"/>
          <w:i w:val="0"/>
          <w:sz w:val="21"/>
        </w:rPr>
        <w:t>平衡网格使各主效应和交互项在当前四水平设计上可以正交分开，但“正交”不等于物理过程彼此独立。这里被分解的响应量已经经过全频—全空间取最大值，峰值所在的频率和位置会随参数改变。某一参数水平上的效应均值，可能由多个不同控制分支共同构成；二阶交互既包含同一分支幅值对参数的非加性变化，也包含控制权从一个分支移到另一个分支造成的突变。平方和分解的价值在于比较这些变化在64例总变异中的相对份额，而不是把每一项直接对应为一种可单独观测的波动机制。</w:t>
      </w:r>
    </w:p>
    <w:p>
      <w:pPr>
        <w:spacing w:before="0" w:after="0"/>
        <w:ind w:firstLine="420"/>
        <w:jc w:val="both"/>
      </w:pPr>
      <w:r>
        <w:rPr>
          <w:rFonts w:ascii="Times New Roman" w:hAnsi="Times New Roman" w:eastAsia="宋体" w:cs="Times New Roman" w:hint="eastAsia"/>
          <w:b w:val="0"/>
          <w:i w:val="0"/>
          <w:sz w:val="21"/>
        </w:rPr>
        <w:t>峰值幅值与主峰频率使用同一组工况，却是两种性质不同的统计量。峰值幅值在两个候选峰换位时通常仍连续：一个候选峰减弱、另一个候选峰增强，两者相等处的最大值不会出现很大跳跃；主峰频率返回的却是获胜峰所在横坐标，一旦强弱次序交换便可能跨越数赫兹。因而，幅值贡献率更接近各参数对响应强度的综合作用，峰频贡献率则同时记录谱峰竞争的分区结果。后者出现较高交互贡献，并不表示频率数值本身比幅值更“非线性”，而是取最大值后的峰标识对细小强弱变化更敏感。</w:t>
      </w:r>
    </w:p>
    <w:p>
      <w:pPr>
        <w:spacing w:before="0" w:after="0"/>
        <w:ind w:firstLine="420"/>
        <w:jc w:val="both"/>
      </w:pPr>
      <w:r>
        <w:rPr>
          <w:rFonts w:ascii="Times New Roman" w:hAnsi="Times New Roman" w:eastAsia="宋体" w:cs="Times New Roman" w:hint="eastAsia"/>
          <w:b w:val="0"/>
          <w:i w:val="0"/>
          <w:sz w:val="21"/>
        </w:rPr>
        <w:t xml:space="preserve">图16(a)显示，峰值幅值的差异主要由波速比、厚度比及二者交互控制，贡献率分别为39.65%、34.21%和21.72%，三项合计95.58%。坡角主效应仅占0.88%，其余含坡角交互和三阶项也较小。这与图13并不冲突：坡角能改变均质坡放大并抬高成层结果上尾，但在覆盖层参数跨越较宽范围时，软硬程度、厚度及其组合产生的幅值差异更大。特别是图14中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行随 </w:t>
      </w:r>
      <m:oMath>
        <m:sSub>
          <m:e>
            <m:r>
              <m:t>r</m:t>
            </m:r>
          </m:e>
          <m:sub>
            <m:r>
              <m:t>v</m:t>
            </m:r>
          </m:sub>
        </m:sSub>
      </m:oMath>
      <w:r>
        <w:rPr>
          <w:rFonts w:ascii="Times New Roman" w:hAnsi="Times New Roman" w:eastAsia="宋体" w:cs="Times New Roman" w:hint="eastAsia"/>
          <w:b w:val="0"/>
          <w:i w:val="0"/>
          <w:sz w:val="21"/>
        </w:rPr>
        <w:t xml:space="preserve"> 的大幅下降，正是 </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交互贡献达到21.72%的直接表现。</w:t>
      </w:r>
    </w:p>
    <w:p>
      <w:pPr>
        <w:spacing w:before="0" w:after="0"/>
        <w:ind w:firstLine="420"/>
        <w:jc w:val="both"/>
      </w:pPr>
      <w:r>
        <w:rPr>
          <w:rFonts w:ascii="Times New Roman" w:hAnsi="Times New Roman" w:eastAsia="宋体" w:cs="Times New Roman" w:hint="eastAsia"/>
          <w:b w:val="0"/>
          <w:i w:val="0"/>
          <w:sz w:val="21"/>
        </w:rPr>
        <w:t xml:space="preserve">其余幅值贡献率分别为 </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的1.59%、</w:t>
      </w:r>
      <m:oMath>
        <m:r>
          <m:t>i</m:t>
        </m:r>
        <m:r>
          <m:rPr>
            <m:sty m:val="p"/>
          </m:rPr>
          <m:t>×</m:t>
        </m:r>
        <m:sSub>
          <m:e>
            <m:r>
              <m:t>r</m:t>
            </m:r>
          </m:e>
          <m:sub>
            <m:r>
              <m:t>v</m:t>
            </m:r>
          </m:sub>
        </m:sSub>
      </m:oMath>
      <w:r>
        <w:rPr>
          <w:rFonts w:ascii="Times New Roman" w:hAnsi="Times New Roman" w:eastAsia="宋体" w:cs="Times New Roman" w:hint="eastAsia"/>
          <w:b w:val="0"/>
          <w:i w:val="0"/>
          <w:sz w:val="21"/>
        </w:rPr>
        <w:t xml:space="preserve"> 的0.43%和三阶交互的1.51%，连同坡角主效应合计仅4.42%。因此，在当前网格内概括全场峰值大小时，优先保留厚度、波速比及二者交互已经能够解释绝大部分确定性差异；但这并不授权删除坡角。P013、P029、P045和P061在同一软厚角点仍随坡角由3.539升至4.012，说明坡角对最不利组合的工程排序有实际影响，只是相对于整个64例的巨大覆盖层差异，其平方和占比较小。贡献率回答的是“全参数域总变异由谁主导”，而不是“某参数在任意切片上能否改变结果”。</w:t>
      </w:r>
    </w:p>
    <w:p>
      <w:pPr>
        <w:spacing w:before="0" w:after="0"/>
        <w:ind w:firstLine="420"/>
        <w:jc w:val="both"/>
      </w:pP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的幅值贡献可以由图14的首尾降幅直接验证。四个厚度水平下，波速比从0.30增至0.75造成的峰值降幅中位数分别为22.85%、29.86%、25.12%和59.11%，最厚层的敏感性约为前三组的两倍。若厚度和波速比只以相互独立的加性方式作用，这四个降幅应大致相近；实际结果却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行突然扩大。相同的交互也可从厚度方向观察：在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列，最厚层四坡角均进入约4 Hz下平台强峰，而在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列，厚度变化只产生1.25～1.70量级的峰值。两种读法指向同一事实——软化程度决定厚层分支能否显著增强，厚度又决定软化作用能否在下平台积累为控制峰。</w:t>
      </w:r>
    </w:p>
    <w:p>
      <w:pPr>
        <w:spacing w:before="0" w:after="0"/>
        <w:ind w:firstLine="420"/>
        <w:jc w:val="both"/>
      </w:pPr>
      <w:r>
        <w:rPr>
          <w:rFonts w:ascii="Times New Roman" w:hAnsi="Times New Roman" w:eastAsia="宋体" w:cs="Times New Roman" w:hint="eastAsia"/>
          <w:b w:val="0"/>
          <w:i w:val="0"/>
          <w:sz w:val="21"/>
        </w:rPr>
        <w:t>坡角相关项占比较小的原因也可以从分区结果理解。坡角对下平台三个频带的区域中位跨度均不超过1.10倍，对上平台也不超过1.08倍，主要变化集中在坡面中高频；而全场最大值在多数薄、中厚工况由上平台控制，在最厚工况又多由下平台控制。坡面虽对坡角较敏感，却只在3例中成为全场控制区，因此其区域变化对全场峰值总平方和的贡献有限。软厚角点中坡角仍能使下平台局部峰连续提高，表现为明确但覆盖范围较窄的条件效应。这样的空间分布说明，小贡献率并非数值上“没有坡角效应”，而是坡角的强作用没有像厚度和波速比那样覆盖多数控制区段。</w:t>
      </w:r>
    </w:p>
    <w:p>
      <w:pPr>
        <w:spacing w:before="80" w:after="40"/>
        <w:ind w:firstLine="0"/>
        <w:jc w:val="center"/>
      </w:pPr>
      <w:r>
        <w:drawing>
          <wp:inline xmlns:a="http://schemas.openxmlformats.org/drawingml/2006/main" xmlns:pic="http://schemas.openxmlformats.org/drawingml/2006/picture">
            <wp:extent cx="5669280" cy="3242710"/>
            <wp:docPr id="12" name="Picture 12"/>
            <wp:cNvGraphicFramePr>
              <a:graphicFrameLocks noChangeAspect="1"/>
            </wp:cNvGraphicFramePr>
            <a:graphic>
              <a:graphicData uri="http://schemas.openxmlformats.org/drawingml/2006/picture">
                <pic:pic>
                  <pic:nvPicPr>
                    <pic:cNvPr id="0" name="fig16_参数交互与主峰迁移.png"/>
                    <pic:cNvPicPr/>
                  </pic:nvPicPr>
                  <pic:blipFill>
                    <a:blip r:embed="rId28"/>
                    <a:stretch>
                      <a:fillRect/>
                    </a:stretch>
                  </pic:blipFill>
                  <pic:spPr>
                    <a:xfrm>
                      <a:off x="0" y="0"/>
                      <a:ext cx="5669280" cy="3242710"/>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图16 参数交互和分区主峰迁移：（a）峰值幅值与主峰频率的确定性平方和分解；（b）上平台、（c）坡面和（d）下平台的分区主峰位置—频率分布；黑线为固定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的厚度序列</w:t>
      </w:r>
    </w:p>
    <w:p>
      <w:pPr>
        <w:spacing w:before="0" w:after="60"/>
        <w:ind w:firstLine="0"/>
        <w:jc w:val="center"/>
      </w:pPr>
      <w:r>
        <w:rPr>
          <w:rFonts w:ascii="Times New Roman" w:hAnsi="Times New Roman" w:eastAsia="Times New Roman" w:cs="Times New Roman" w:hint="eastAsia"/>
          <w:b w:val="0"/>
          <w:i w:val="0"/>
          <w:sz w:val="18"/>
        </w:rPr>
        <w:t>Fig. 16 Deterministic interaction decomposition and migration of segment-wise dominant peaks</w:t>
      </w:r>
    </w:p>
    <w:p>
      <w:pPr>
        <w:spacing w:before="0" w:after="0"/>
        <w:ind w:firstLine="420"/>
        <w:jc w:val="both"/>
      </w:pPr>
      <w:r>
        <w:rPr>
          <w:rFonts w:ascii="Times New Roman" w:hAnsi="Times New Roman" w:eastAsia="宋体" w:cs="Times New Roman" w:hint="eastAsia"/>
          <w:b w:val="0"/>
          <w:i w:val="0"/>
          <w:sz w:val="21"/>
        </w:rPr>
        <w:t>主峰频率的变异构成完全不同。</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和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三个二阶交互的贡献率分别为39.28%、20.00%和6.91%，合计66.19%；三阶交互占16.01%，坡角主效应占15.97%，厚度比和波速比单独主效应都很小。主峰频率不是任一参数的单值函数，而是多个候选峰竞争后的离散结果。当两个相近峰的幅值次序发生很小变化，最大值搜索就可能从一个频带跳到另一个频带，因此峰频对交互比峰值幅值更敏感。图11中9.3→4.3→8.8→4.0 Hz的往复迁移，以及图10中60°成层坡突然转到2.1 Hz，都是这种“控制峰换位”，不宜用连续单调回归线解释。</w:t>
      </w:r>
    </w:p>
    <w:p>
      <w:pPr>
        <w:spacing w:before="0" w:after="0"/>
        <w:ind w:firstLine="420"/>
        <w:jc w:val="both"/>
      </w:pPr>
      <w:r>
        <w:rPr>
          <w:rFonts w:ascii="Times New Roman" w:hAnsi="Times New Roman" w:eastAsia="宋体" w:cs="Times New Roman" w:hint="eastAsia"/>
          <w:b w:val="0"/>
          <w:i w:val="0"/>
          <w:sz w:val="21"/>
        </w:rPr>
        <w:t xml:space="preserve">这里所称峰频跨度，是固定坡角和波速比后，四个厚度水平主峰频率的最大值与最小值之差。16条厚度序列中，最大跨度出现在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0.75</m:t>
        </m:r>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、0.60、1.00和1.40时主峰依次为2.1、9.4、6.1和9.4 Hz，跨度为7.3 Hz。该序列既给出了摘要中最大迁移量的直接数据，也说明“迁移”并非一个峰连续平移7.3 Hz，而是低频与高频候选峰多次交换控制权。</w:t>
      </w:r>
    </w:p>
    <w:p>
      <w:pPr>
        <w:spacing w:before="0" w:after="0"/>
        <w:ind w:firstLine="420"/>
        <w:jc w:val="both"/>
      </w:pPr>
      <w:r>
        <w:rPr>
          <w:rFonts w:ascii="Times New Roman" w:hAnsi="Times New Roman" w:eastAsia="宋体" w:cs="Times New Roman" w:hint="eastAsia"/>
          <w:b w:val="0"/>
          <w:i w:val="0"/>
          <w:sz w:val="21"/>
        </w:rPr>
        <w:t xml:space="preserve">厚度比和波速比的峰频主效应分别只有1.51%和0.32%，二者相加甚至低于任一主要二阶交互。这与图12代表序列中4.3→8.2 Hz的顺序上移并不矛盾：该序列只固定在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，属于16条波速比切片中的一条；一旦把其他厚度和坡角合并，峰频上移会被高低频峰换位所打断。64个全场峰中，7例位于0.5～3 Hz，18例位于3～6 Hz，39例位于6～10 Hz，其中4例恰在10 Hz上界。高频控制的工况数量最多，但低、中、高三个频带均有峰值，进一步表明用全域统一的连续峰频公式会掩盖频带之间的离散迁移。</w:t>
      </w:r>
    </w:p>
    <w:p>
      <w:pPr>
        <w:spacing w:before="0" w:after="0"/>
        <w:ind w:firstLine="420"/>
        <w:jc w:val="both"/>
      </w:pPr>
      <w:r>
        <w:rPr>
          <w:rFonts w:ascii="Times New Roman" w:hAnsi="Times New Roman" w:eastAsia="宋体" w:cs="Times New Roman" w:hint="eastAsia"/>
          <w:b w:val="0"/>
          <w:i w:val="0"/>
          <w:sz w:val="21"/>
        </w:rPr>
        <w:t>薄层序列给出了峰频交互最直观的例子。15°、</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的P001在10 Hz上界、</w:t>
      </w:r>
      <m:oMath>
        <m:r>
          <m:t>s</m:t>
        </m:r>
        <m:r>
          <m:rPr>
            <m:sty m:val="p"/>
          </m:rPr>
          <m:t>=</m:t>
        </m:r>
        <m:r>
          <m:rPr>
            <m:sty m:val="p"/>
          </m:rPr>
          <m:t>−</m:t>
        </m:r>
        <m:r>
          <m:t>1.30</m:t>
        </m:r>
      </m:oMath>
      <w:r>
        <w:rPr>
          <w:rFonts w:ascii="Times New Roman" w:hAnsi="Times New Roman" w:eastAsia="宋体" w:cs="Times New Roman" w:hint="eastAsia"/>
          <w:b w:val="0"/>
          <w:i w:val="0"/>
          <w:sz w:val="21"/>
        </w:rPr>
        <w:t>取得1.911；波速比增至0.45后，P002的控制峰改在2.1 Hz、</w:t>
      </w:r>
      <m:oMath>
        <m:r>
          <m:t>s</m:t>
        </m:r>
        <m:r>
          <m:rPr>
            <m:sty m:val="p"/>
          </m:rPr>
          <m:t>=</m:t>
        </m:r>
        <m:r>
          <m:rPr>
            <m:sty m:val="p"/>
          </m:rPr>
          <m:t>−</m:t>
        </m:r>
        <m:r>
          <m:t>0.10</m:t>
        </m:r>
      </m:oMath>
      <w:r>
        <w:rPr>
          <w:rFonts w:ascii="Times New Roman" w:hAnsi="Times New Roman" w:eastAsia="宋体" w:cs="Times New Roman" w:hint="eastAsia"/>
          <w:b w:val="0"/>
          <w:i w:val="0"/>
          <w:sz w:val="21"/>
        </w:rPr>
        <w:t xml:space="preserve">，幅值降至1.249；继续增至0.60和0.75，P003、P004仍在约2.1 Hz控制，幅值仅变化到1.253和1.257。同一波速比步长在第一段触发近8 Hz的峰频换位，在后两段却几乎不改变峰频。换成30°坡，P017和P018在前两个波速比水平都落于10 Hz上界，P019、P020再回到7.4和9.7 Hz。坡角改变了分支切换发生在哪个波速比区间，正对应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和更高阶交互，而不是一个全域固定的波速比频移率。</w:t>
      </w:r>
    </w:p>
    <w:p>
      <w:pPr>
        <w:spacing w:before="0" w:after="0"/>
        <w:ind w:firstLine="420"/>
        <w:jc w:val="both"/>
      </w:pPr>
      <w:r>
        <w:rPr>
          <w:rFonts w:ascii="Times New Roman" w:hAnsi="Times New Roman" w:eastAsia="宋体" w:cs="Times New Roman" w:hint="eastAsia"/>
          <w:b w:val="0"/>
          <w:i w:val="0"/>
          <w:sz w:val="21"/>
        </w:rPr>
        <w:t>中等厚度同样存在“幅值平缓、峰频跳变”的情况。60°、</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时，四个波速比水平的峰值仅由1.739依次降至1.651、1.626和1.590，首尾相差8.6%，控制位置均在坡顶；主峰频率却为2.7、2.1、5.4和2.9 Hz，先降、再升、再降。由于空间控制点未换区，这一序列说明频率突变不一定伴随峰位迁移，也不要求幅值发生同等级变化，而可由同一坡顶附近多个谱峰的强弱次序改变造成。相反，45°、</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序列的幅值和频率均平稳按相反方向变化，代表在该切片内控制分支连续。两种行为并存，解释了波速比幅值主效应很强而峰频主效应很弱的组合。</w:t>
      </w:r>
    </w:p>
    <w:p>
      <w:pPr>
        <w:spacing w:before="0" w:after="0"/>
        <w:ind w:firstLine="420"/>
        <w:jc w:val="both"/>
      </w:pPr>
      <w:r>
        <w:rPr>
          <w:rFonts w:ascii="Times New Roman" w:hAnsi="Times New Roman" w:eastAsia="宋体" w:cs="Times New Roman" w:hint="eastAsia"/>
          <w:b w:val="0"/>
          <w:i w:val="0"/>
          <w:sz w:val="21"/>
        </w:rPr>
        <w:t>按厚度统计频带数量也能看到交互而非单参数平移。</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的16例没有低频控制峰，主要分布在中、高频；增加到1.00后重新出现3例低频峰；增至1.40后仍有11例位于高频，同时最软的4例在约4 Hz形成数据集中最强的中频峰。厚度并未把所有峰从高频整齐推向低频，而是改变不同分支的占比和幅值排序。峰频边际中位数5.30、7.30、7.45和6.70 Hz只是这种混合分布的排序中心，不能画成某个连续模态随厚度的运动轨迹。</w:t>
      </w:r>
    </w:p>
    <w:p>
      <w:pPr>
        <w:spacing w:before="0" w:after="0"/>
        <w:ind w:firstLine="420"/>
        <w:jc w:val="both"/>
      </w:pPr>
      <w:r>
        <w:rPr>
          <w:rFonts w:ascii="Times New Roman" w:hAnsi="Times New Roman" w:eastAsia="宋体" w:cs="Times New Roman" w:hint="eastAsia"/>
          <w:b w:val="0"/>
          <w:i w:val="0"/>
          <w:sz w:val="21"/>
        </w:rPr>
        <w:t xml:space="preserve">全场峰值还混合了三个空间区段。图16(b)～(d)分别在上平台、坡面和下平台内搜索峰值，并显式标记频带上界与空间端点。64个工况中，上平台、坡面和下平台分别有5、4和3例峰频落在10 Hz上界；相应的空间端点峰为37、55和15例。坡面端点峰最多，是因为该区段只有 </w:t>
      </w:r>
      <m:oMath>
        <m:r>
          <m:t>s</m:t>
        </m:r>
        <m:r>
          <m:rPr>
            <m:sty m:val="p"/>
          </m:rPr>
          <m:t>=</m:t>
        </m:r>
        <m:r>
          <m:t>0.05</m:t>
        </m:r>
      </m:oMath>
      <w:r>
        <w:rPr>
          <w:rFonts w:ascii="Times New Roman" w:hAnsi="Times New Roman" w:eastAsia="宋体" w:cs="Times New Roman" w:hint="eastAsia"/>
          <w:b w:val="0"/>
          <w:i w:val="0"/>
          <w:sz w:val="21"/>
        </w:rPr>
        <w:t>～1.00，局部响应常在坡顶或坡脚邻近达到最大；此时端点并非计算错误，而是提示真正极值可能位于相邻区段或地形折点。本文不把区段端点峰当作区段内部已经解析的驻点，也不根据这些点外推峰位移动速度。</w:t>
      </w:r>
    </w:p>
    <w:p>
      <w:pPr>
        <w:spacing w:before="0" w:after="0"/>
        <w:ind w:firstLine="420"/>
        <w:jc w:val="both"/>
      </w:pPr>
      <w:r>
        <w:rPr>
          <w:rFonts w:ascii="Times New Roman" w:hAnsi="Times New Roman" w:eastAsia="宋体" w:cs="Times New Roman" w:hint="eastAsia"/>
          <w:b w:val="0"/>
          <w:i w:val="0"/>
          <w:sz w:val="21"/>
        </w:rPr>
        <w:t>若按全场控制点而非分区独立峰分类，64例中有46例由上平台控制、3例由坡面控制、15例由下平台控制。这个比例看似以上平台为主，实际上受厚度强烈分层：</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和0.60的32例全部由上平台控制，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的16例中有3例转到坡面，而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16例中有15例转到下平台。坡面只在少数过渡组合中成为全场控制区，更多时候充当上、下平台控制状态之间的连接带。这个统计与图11的单条轨迹、图14的厚度—波速比矩阵以及图15的下平台中高频厚度效应彼此吻合，使“厚层导致控制位置向下平台重组”的判断不再依赖某一个代表工况。</w:t>
      </w:r>
    </w:p>
    <w:p>
      <w:pPr>
        <w:spacing w:before="0" w:after="0"/>
        <w:ind w:firstLine="420"/>
        <w:jc w:val="both"/>
      </w:pPr>
      <w:r>
        <w:rPr>
          <w:rFonts w:ascii="Times New Roman" w:hAnsi="Times New Roman" w:eastAsia="宋体" w:cs="Times New Roman" w:hint="eastAsia"/>
          <w:b w:val="0"/>
          <w:i w:val="0"/>
          <w:sz w:val="21"/>
        </w:rPr>
        <w:t>这里的“迁移”是对离散控制状态变化的概括，不意味着峰值沿地表连续行走。</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和0.60时，全场峰虽都归入上平台，其坐标可以位于坡顶 </w:t>
      </w:r>
      <m:oMath>
        <m:r>
          <m:t>s</m:t>
        </m:r>
        <m:r>
          <m:rPr>
            <m:sty m:val="p"/>
          </m:rPr>
          <m:t>=</m:t>
        </m:r>
        <m:r>
          <m:t>0</m:t>
        </m:r>
      </m:oMath>
      <w:r>
        <w:rPr>
          <w:rFonts w:ascii="Times New Roman" w:hAnsi="Times New Roman" w:eastAsia="宋体" w:cs="Times New Roman" w:hint="eastAsia"/>
          <w:b w:val="0"/>
          <w:i w:val="0"/>
          <w:sz w:val="21"/>
        </w:rPr>
        <w:t>，也可以在上平台远处达到最大；</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出现的3个坡面控制峰标志着过渡状态，但并不是每条厚度序列都必须依次经历“上平台—坡面—下平台”。图11所示45°、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序列从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rPr>
            <m:sty m:val="p"/>
          </m:rPr>
          <m:t>−</m:t>
        </m:r>
        <m:r>
          <m:t>0.35</m:t>
        </m:r>
      </m:oMath>
      <w:r>
        <w:rPr>
          <w:rFonts w:ascii="Times New Roman" w:hAnsi="Times New Roman" w:eastAsia="宋体" w:cs="Times New Roman" w:hint="eastAsia"/>
          <w:b w:val="0"/>
          <w:i w:val="0"/>
          <w:sz w:val="21"/>
        </w:rPr>
        <w:t xml:space="preserve"> 直接跳到 </w:t>
      </w:r>
      <m:oMath>
        <m:r>
          <m:t>s</m:t>
        </m:r>
        <m:r>
          <m:rPr>
            <m:sty m:val="p"/>
          </m:rPr>
          <m:t>=</m:t>
        </m:r>
        <m:r>
          <m:t>3.15</m:t>
        </m:r>
      </m:oMath>
      <w:r>
        <w:rPr>
          <w:rFonts w:ascii="Times New Roman" w:hAnsi="Times New Roman" w:eastAsia="宋体" w:cs="Times New Roman" w:hint="eastAsia"/>
          <w:b w:val="0"/>
          <w:i w:val="0"/>
          <w:sz w:val="21"/>
        </w:rPr>
        <w:t>，就跨过了坡面控制状态。故峰位图应作为不同候选分支的分类结果阅读，不宜对四个离散点计算连续迁移速度。</w:t>
      </w:r>
    </w:p>
    <w:p>
      <w:pPr>
        <w:spacing w:before="0" w:after="0"/>
        <w:ind w:firstLine="420"/>
        <w:jc w:val="both"/>
      </w:pPr>
      <w:r>
        <w:rPr>
          <w:rFonts w:ascii="Times New Roman" w:hAnsi="Times New Roman" w:eastAsia="宋体" w:cs="Times New Roman" w:hint="eastAsia"/>
          <w:b w:val="0"/>
          <w:i w:val="0"/>
          <w:sz w:val="21"/>
        </w:rPr>
        <w:t xml:space="preserve">区段边界的定义也会影响“由谁控制”的标签，却不会改变原始场。坡顶和坡脚正是几何与材料传播条件发生变化的位置，分区搜索时大量峰落在空间端点并不意外。本文把坡顶归入上平台、坡面从 </w:t>
      </w:r>
      <m:oMath>
        <m:r>
          <m:t>s</m:t>
        </m:r>
        <m:r>
          <m:rPr>
            <m:sty m:val="p"/>
          </m:rPr>
          <m:t>=</m:t>
        </m:r>
        <m:r>
          <m:t>0.05</m:t>
        </m:r>
      </m:oMath>
      <w:r>
        <w:rPr>
          <w:rFonts w:ascii="Times New Roman" w:hAnsi="Times New Roman" w:eastAsia="宋体" w:cs="Times New Roman" w:hint="eastAsia"/>
          <w:b w:val="0"/>
          <w:i w:val="0"/>
          <w:sz w:val="21"/>
        </w:rPr>
        <w:t xml:space="preserve"> 开始、下平台从 </w:t>
      </w:r>
      <m:oMath>
        <m:r>
          <m:t>s</m:t>
        </m:r>
        <m:r>
          <m:rPr>
            <m:sty m:val="p"/>
          </m:rPr>
          <m:t>=</m:t>
        </m:r>
        <m:r>
          <m:t>1.05</m:t>
        </m:r>
      </m:oMath>
      <w:r>
        <w:rPr>
          <w:rFonts w:ascii="Times New Roman" w:hAnsi="Times New Roman" w:eastAsia="宋体" w:cs="Times New Roman" w:hint="eastAsia"/>
          <w:b w:val="0"/>
          <w:i w:val="0"/>
          <w:sz w:val="21"/>
        </w:rPr>
        <w:t xml:space="preserve"> 开始，使全场控制分类具有唯一口径；与此同时，图16用端点符号提示某一分区峰可能实质上由相邻折点控制。这样处理避免了同一节点在两个区段重复计数，也提醒读者不要把“坡面端点峰”误解为坡面内部新出现了一个已经充分解析的极值。</w:t>
      </w:r>
    </w:p>
    <w:p>
      <w:pPr>
        <w:spacing w:before="0" w:after="0"/>
        <w:ind w:firstLine="420"/>
        <w:jc w:val="both"/>
      </w:pPr>
      <w:r>
        <w:rPr>
          <w:rFonts w:ascii="Times New Roman" w:hAnsi="Times New Roman" w:eastAsia="宋体" w:cs="Times New Roman" w:hint="eastAsia"/>
          <w:b w:val="0"/>
          <w:i w:val="0"/>
          <w:sz w:val="21"/>
        </w:rPr>
        <w:t>三个区段自身的峰值分布又提醒我们，不应把“控制次数”理解为整个区段始终较强。上平台、坡面和下平台的分区峰值中位数分别为1.639、1.573和1.235，分区峰频中位数分别为5.40、5.35和8.00 Hz；上平台的典型峰幅最大，下平台的典型峰频更高。可是，下平台峰值范围为0.982～4.012，上限远高于上平台的2.315和坡面的2.334。也就是说，下平台在大多数薄层工况中响应并不突出，一旦软厚组合形成相干增强，却会产生全数据集最高峰。这种“多数温和、少数极强”的分布特征正是只看平均值或控制次数容易漏掉的风险信息。</w:t>
      </w:r>
    </w:p>
    <w:p>
      <w:pPr>
        <w:spacing w:before="0" w:after="0"/>
        <w:ind w:firstLine="420"/>
        <w:jc w:val="both"/>
      </w:pPr>
      <w:r>
        <w:rPr>
          <w:rFonts w:ascii="Times New Roman" w:hAnsi="Times New Roman" w:eastAsia="宋体" w:cs="Times New Roman" w:hint="eastAsia"/>
          <w:b w:val="0"/>
          <w:i w:val="0"/>
          <w:sz w:val="21"/>
        </w:rPr>
        <w:t xml:space="preserve">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的厚度轨迹进一步展示空间峰和频率峰可不同步。上平台主峰频率随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、0.60、1.00和1.40依次为9.3、4.3、8.8和1.8 Hz，峰位大多靠近坡顶端；坡面主峰在相同序列中也发生高低频切换。下平台则从最薄层的 </w:t>
      </w:r>
      <m:oMath>
        <m:r>
          <m:rPr>
            <m:sty m:val="p"/>
          </m:rPr>
          <m:t>(</m:t>
        </m:r>
        <m:sSub>
          <m:e>
            <m:r>
              <m:t>s</m:t>
            </m:r>
          </m:e>
          <m:sub>
            <m:r>
              <m:t>p</m:t>
            </m:r>
          </m:sub>
        </m:sSub>
        <m:r>
          <m:rPr>
            <m:sty m:val="p"/>
          </m:rPr>
          <m:t>,</m:t>
        </m:r>
        <m:sSub>
          <m:e>
            <m:r>
              <m:t>f</m:t>
            </m:r>
          </m:e>
          <m:sub>
            <m:r>
              <m:t>p</m:t>
            </m:r>
          </m:sub>
        </m:sSub>
        <m:r>
          <m:rPr>
            <m:sty m:val="p"/>
          </m:rPr>
          <m:t>)</m:t>
        </m:r>
        <m:r>
          <m:rPr>
            <m:sty m:val="p"/>
          </m:rPr>
          <m:t>=</m:t>
        </m:r>
        <m:r>
          <m:rPr>
            <m:sty m:val="p"/>
          </m:rPr>
          <m:t>(</m:t>
        </m:r>
        <m:r>
          <m:t>1.05</m:t>
        </m:r>
        <m:r>
          <m:rPr>
            <m:sty m:val="p"/>
          </m:rPr>
          <m:t>,</m:t>
        </m:r>
        <m:r>
          <m:t>0.5</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，迁至 </w:t>
      </w:r>
      <m:oMath>
        <m:r>
          <m:rPr>
            <m:sty m:val="p"/>
          </m:rPr>
          <m:t>(</m:t>
        </m:r>
        <m:r>
          <m:t>3.80</m:t>
        </m:r>
        <m:r>
          <m:rPr>
            <m:sty m:val="p"/>
          </m:rPr>
          <m:t>,</m:t>
        </m:r>
        <m:r>
          <m:t>9.9</m:t>
        </m:r>
        <m:r>
          <m:t> </m:t>
        </m:r>
        <m:r>
          <m:rPr>
            <m:sty m:val="p"/>
          </m:rPr>
          <m:t>H</m:t>
        </m:r>
        <m:r>
          <m:rPr>
            <m:sty m:val="p"/>
          </m:rPr>
          <m:t>z</m:t>
        </m:r>
        <m:r>
          <m:rPr>
            <m:sty m:val="p"/>
          </m:rPr>
          <m:t>)</m:t>
        </m:r>
      </m:oMath>
      <w:r>
        <w:rPr>
          <w:rFonts w:ascii="Times New Roman" w:hAnsi="Times New Roman" w:eastAsia="宋体" w:cs="Times New Roman" w:hint="eastAsia"/>
          <w:b w:val="0"/>
          <w:i w:val="0"/>
          <w:sz w:val="21"/>
        </w:rPr>
        <w:t>、</w:t>
      </w:r>
      <m:oMath>
        <m:r>
          <m:rPr>
            <m:sty m:val="p"/>
          </m:rPr>
          <m:t>(</m:t>
        </m:r>
        <m:r>
          <m:t>3.80</m:t>
        </m:r>
        <m:r>
          <m:rPr>
            <m:sty m:val="p"/>
          </m:rPr>
          <m:t>,</m:t>
        </m:r>
        <m:r>
          <m:t>9.2</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，最终到最厚层的 </w:t>
      </w:r>
      <m:oMath>
        <m:r>
          <m:rPr>
            <m:sty m:val="p"/>
          </m:rPr>
          <m:t>(</m:t>
        </m:r>
        <m:r>
          <m:t>3.15</m:t>
        </m:r>
        <m:r>
          <m:rPr>
            <m:sty m:val="p"/>
          </m:rPr>
          <m:t>,</m:t>
        </m:r>
        <m:r>
          <m:t>4.0</m:t>
        </m:r>
        <m:r>
          <m:t> </m:t>
        </m:r>
        <m:r>
          <m:rPr>
            <m:sty m:val="p"/>
          </m:rPr>
          <m:t>H</m:t>
        </m:r>
        <m:r>
          <m:rPr>
            <m:sty m:val="p"/>
          </m:rPr>
          <m:t>z</m:t>
        </m:r>
        <m:r>
          <m:rPr>
            <m:sty m:val="p"/>
          </m:rPr>
          <m:t>)</m:t>
        </m:r>
      </m:oMath>
      <w:r>
        <w:rPr>
          <w:rFonts w:ascii="Times New Roman" w:hAnsi="Times New Roman" w:eastAsia="宋体" w:cs="Times New Roman" w:hint="eastAsia"/>
          <w:b w:val="0"/>
          <w:i w:val="0"/>
          <w:sz w:val="21"/>
        </w:rPr>
        <w:t>。这条路径说明，厚度增加会同时改变覆盖层相位积累和平台间干涉条件，峰位不是沿坡面连续向下移动，而可能在不同平台模态之间跃迁。</w:t>
      </w:r>
    </w:p>
    <w:p>
      <w:pPr>
        <w:spacing w:before="0" w:after="0"/>
        <w:ind w:firstLine="420"/>
        <w:jc w:val="both"/>
      </w:pPr>
      <w:r>
        <w:rPr>
          <w:rFonts w:ascii="Times New Roman" w:hAnsi="Times New Roman" w:eastAsia="宋体" w:cs="Times New Roman" w:hint="eastAsia"/>
          <w:b w:val="0"/>
          <w:i w:val="0"/>
          <w:sz w:val="21"/>
        </w:rPr>
        <w:t>把幅值同时放回这条轨迹，换位过程更为清楚。四个厚度下，上平台分区峰值为1.861、2.148、1.958和1.846，最厚层并未继续增大；坡面分区峰值为1.419、1.996、1.768和1.823，同样没有形成单调上升；下平台则由1.000、1.555、1.378跃升至3.904。</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全场增量几乎全部来自下平台新峰取得控制权，而不是原坡顶峰持续长大。由此也能解释为什么图13的厚度中位数在1.00处回落、到1.40又显著升高：不同厚度水平汇总的不是同一个响应分支，最后一级的统计量已经由另一空间区段主导。</w:t>
      </w:r>
    </w:p>
    <w:p>
      <w:pPr>
        <w:spacing w:before="0" w:after="0"/>
        <w:ind w:firstLine="420"/>
        <w:jc w:val="both"/>
      </w:pPr>
      <w:r>
        <w:rPr>
          <w:rFonts w:ascii="Times New Roman" w:hAnsi="Times New Roman" w:eastAsia="宋体" w:cs="Times New Roman" w:hint="eastAsia"/>
          <w:b w:val="0"/>
          <w:i w:val="0"/>
          <w:sz w:val="21"/>
        </w:rPr>
        <w:t xml:space="preserve">三个区段在最厚层并非同步增强，构成判断分支换位的关键证据。相对于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上平台峰由2.148降至1.846，坡面峰由1.996降至1.823，只有下平台由1.555增至3.904。如果全场峰值增加来自整个地表等比例放大，三个区段应给出同方向、近比例变化；实际结果恰好相反。控制峰换位伴随上平台和坡面响应减弱，说明非单调主要来自能量在频率和空间上的重新分配，而不是单一峰无界增长。</w:t>
      </w:r>
    </w:p>
    <w:p>
      <w:pPr>
        <w:spacing w:before="0" w:after="0"/>
        <w:ind w:firstLine="420"/>
        <w:jc w:val="both"/>
      </w:pPr>
      <w:r>
        <w:rPr>
          <w:rFonts w:ascii="Times New Roman" w:hAnsi="Times New Roman" w:eastAsia="宋体" w:cs="Times New Roman" w:hint="eastAsia"/>
          <w:b w:val="0"/>
          <w:i w:val="0"/>
          <w:sz w:val="21"/>
        </w:rPr>
        <w:t>从应用角度看，控制峰换位意味着参数敏感性必须依附于观测对象。对坡顶设施，45°、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序列的上平台峰在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最大，继续增厚反而降低；对下平台设施，同一序列在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才出现决定性增加；对全场最不利指标，最终由下平台分支接管而呈现最厚层最大。三种结论都来自同一组相位对齐总波场响应，区别只在空间功能区。若将全场结论直接用于坡顶，会把下平台强峰误当作坡顶输入；若只分析坡顶，又会漏掉整条地表真正的最不利位置。</w:t>
      </w:r>
    </w:p>
    <w:p>
      <w:pPr>
        <w:spacing w:before="0" w:after="0"/>
        <w:ind w:firstLine="420"/>
        <w:jc w:val="both"/>
      </w:pPr>
      <w:r>
        <w:rPr>
          <w:rFonts w:ascii="Times New Roman" w:hAnsi="Times New Roman" w:eastAsia="宋体" w:cs="Times New Roman" w:hint="eastAsia"/>
          <w:b w:val="0"/>
          <w:i w:val="0"/>
          <w:sz w:val="21"/>
        </w:rPr>
        <w:t>从波动角度看，非单调性至少涉及三类频率尺度：覆盖层厚度控制的竖向往返尺度、坡高和坡面长度控制的地形散射尺度，以及斜入射造成的水平传播相位尺度。当这些尺度接近时，某一位置可能由相长干涉转为相消干涉，局部峰值减弱而另一位置的新峰增强；当尺度错开时，响应又可能接近均质坡的宽缓模式。现有全因子结果支持“频带交叠与控制峰换位”这一解释，但没有独立的模态分解或能流计算来唯一证明每条亮带的波型来源。因此，本文把它作为与数值现象一致的物理解释，而不把每个峰都命名为某一确定阶次的共振模态。</w:t>
      </w:r>
    </w:p>
    <w:p>
      <w:pPr>
        <w:spacing w:before="0" w:after="0"/>
        <w:ind w:firstLine="420"/>
        <w:jc w:val="both"/>
      </w:pPr>
      <w:r>
        <w:rPr>
          <w:rFonts w:ascii="Times New Roman" w:hAnsi="Times New Roman" w:eastAsia="宋体" w:cs="Times New Roman" w:hint="eastAsia"/>
          <w:b w:val="0"/>
          <w:i w:val="0"/>
          <w:sz w:val="21"/>
        </w:rPr>
        <w:t>这种交互结构也解释了为何参数边际规律有时方向相反。波速比提高使全场峰值中位数下降，但坡面低频区域中位响应可能升高；坡角提高使均质峰值和成层上尾增大，但坡面高频区域中位响应反而降低。全场最大值关注一个最不利网格点，区域中位数关注一片地表的典型水平，两者本来就回答不同问题。工程使用中，若关心局部设施或坡顶建筑，应查看相应位置的频谱；若关心沿线设施或大范围地表输入，应使用分区包络或区域统计，不能用一个全场峰值替代所有空间位置。</w:t>
      </w:r>
    </w:p>
    <w:p>
      <w:pPr>
        <w:spacing w:before="0" w:after="0"/>
        <w:ind w:firstLine="420"/>
        <w:jc w:val="both"/>
      </w:pPr>
      <w:r>
        <w:rPr>
          <w:rFonts w:ascii="Times New Roman" w:hAnsi="Times New Roman" w:eastAsia="宋体" w:cs="Times New Roman" w:hint="eastAsia"/>
          <w:b w:val="0"/>
          <w:i w:val="0"/>
          <w:sz w:val="21"/>
        </w:rPr>
        <w:t>从数据形态看，这些转折也不能简单归为数值离散造成的随机波动。每条控制序列采用相同频率网格、空间网格和归一化参考，非单调峰频往往伴随热图中一条亮带减弱、另一条亮带取得控制，而不是单个孤立网格点无规律跳动；软厚角点的约4 Hz下平台强响应又在四种坡角下重复出现。需要保持谨慎的是，0.1 Hz频率间隔只能把峰频定位到当前采样精度，4个全场上界峰也尚未闭合到频带外。因而，本文将“存在频带换位”和“软厚组合形成下平台强响应”视为已有数据支持的稳定现象，却不对相邻频点间的精确共振频率或10 Hz以外的峰形作推断。</w:t>
      </w:r>
    </w:p>
    <w:p>
      <w:pPr>
        <w:spacing w:before="0" w:after="0"/>
        <w:ind w:firstLine="420"/>
        <w:jc w:val="both"/>
      </w:pPr>
      <w:r>
        <w:rPr>
          <w:rFonts w:ascii="Times New Roman" w:hAnsi="Times New Roman" w:eastAsia="宋体" w:cs="Times New Roman" w:hint="eastAsia"/>
          <w:b w:val="0"/>
          <w:i w:val="0"/>
          <w:sz w:val="21"/>
        </w:rPr>
        <w:t>4个10 Hz上界峰的处理体现了这种证据边界。P001、P017、P018和P027在当前频带内只能判定为“峰频不低于10 Hz附近的搜索上界”，不能与内部峰一样用于讨论导数、插值或连续迁移。它们仍可参与峰值幅值比较，因为0.5～10 Hz内的最大幅值是已观测量；但其峰频数值10 Hz是截断标记，不是已闭合的真实局部最大。图13和图14用空心符号单独标出，图16的贡献分解保留原搜索结果并在解释中剔除频带外推，避免把数据边界误写成参数规律。</w:t>
      </w:r>
    </w:p>
    <w:p>
      <w:pPr>
        <w:spacing w:before="80" w:after="20"/>
        <w:ind w:firstLine="0"/>
        <w:jc w:val="left"/>
      </w:pPr>
      <w:r>
        <w:rPr>
          <w:rFonts w:ascii="Times New Roman" w:hAnsi="Times New Roman" w:eastAsia="宋体" w:cs="Times New Roman" w:hint="eastAsia"/>
          <w:b/>
          <w:i w:val="0"/>
          <w:sz w:val="21"/>
        </w:rPr>
        <w:t>3.4.2 覆盖层特征频率与相位—时延修正</w:t>
      </w:r>
    </w:p>
    <w:p>
      <w:pPr>
        <w:spacing w:before="0" w:after="0"/>
        <w:ind w:firstLine="420"/>
        <w:jc w:val="both"/>
      </w:pPr>
      <w:r>
        <w:rPr>
          <w:rFonts w:ascii="Times New Roman" w:hAnsi="Times New Roman" w:eastAsia="宋体" w:cs="Times New Roman" w:hint="eastAsia"/>
          <w:b w:val="0"/>
          <w:i w:val="0"/>
          <w:sz w:val="21"/>
        </w:rPr>
        <w:t>图17以 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）展示覆盖层相对同坡角均质坡 H003 的复数修正。幅值修正场 </w:t>
      </w:r>
      <m:oMath>
        <m:r>
          <m:rPr>
            <m:sty m:val="p"/>
          </m:rPr>
          <m:t>ln</m:t>
        </m:r>
        <m:r>
          <m:rPr>
            <m:sty m:val="p"/>
          </m:rPr>
          <m:t>|</m:t>
        </m:r>
        <m:sSub>
          <m:e>
            <m:r>
              <m:t>C</m:t>
            </m:r>
          </m:e>
          <m:sub>
            <m:r>
              <m:t>G</m:t>
            </m:r>
          </m:sub>
        </m:sSub>
        <m:r>
          <m:rPr>
            <m:sty m:val="p"/>
          </m:rPr>
          <m:t>|</m:t>
        </m:r>
      </m:oMath>
      <w:r>
        <w:rPr>
          <w:rFonts w:ascii="Times New Roman" w:hAnsi="Times New Roman" w:eastAsia="宋体" w:cs="Times New Roman" w:hint="eastAsia"/>
          <w:b w:val="0"/>
          <w:i w:val="0"/>
          <w:sz w:val="21"/>
        </w:rPr>
        <w:t xml:space="preserve"> 同时存在红、蓝区域，说明覆盖层在不同频率和位置上既可增强也可削弱。最大绝对对数幅值修正位于5.1 Hz、</w:t>
      </w:r>
      <m:oMath>
        <m:r>
          <m:t>s</m:t>
        </m:r>
        <m:r>
          <m:rPr>
            <m:sty m:val="p"/>
          </m:rPr>
          <m:t>=</m:t>
        </m:r>
        <m:r>
          <m:t>0.60</m:t>
        </m:r>
      </m:oMath>
      <w:r>
        <w:rPr>
          <w:rFonts w:ascii="Times New Roman" w:hAnsi="Times New Roman" w:eastAsia="宋体" w:cs="Times New Roman" w:hint="eastAsia"/>
          <w:b w:val="0"/>
          <w:i w:val="0"/>
          <w:sz w:val="21"/>
        </w:rPr>
        <w:t xml:space="preserve">，其值为 </w:t>
      </w:r>
      <m:oMath>
        <m:r>
          <m:rPr>
            <m:sty m:val="p"/>
          </m:rPr>
          <m:t>−</m:t>
        </m:r>
        <m:r>
          <m:t>1.627</m:t>
        </m:r>
      </m:oMath>
      <w:r>
        <w:rPr>
          <w:rFonts w:ascii="Times New Roman" w:hAnsi="Times New Roman" w:eastAsia="宋体" w:cs="Times New Roman" w:hint="eastAsia"/>
          <w:b w:val="0"/>
          <w:i w:val="0"/>
          <w:sz w:val="21"/>
        </w:rPr>
        <w:t>，对应局部幅值比约0.197，即该位置该频率被显著削弱。相位修正在相近的坡面频带形成强梯度，并向下平台扩展；这说明局部幅值谷与相位快速变化共同出现，而不是两个互不相关的后处理量。</w:t>
      </w:r>
    </w:p>
    <w:p>
      <w:pPr>
        <w:spacing w:before="80" w:after="40"/>
        <w:ind w:firstLine="0"/>
        <w:jc w:val="center"/>
      </w:pPr>
      <w:r>
        <w:drawing>
          <wp:inline xmlns:a="http://schemas.openxmlformats.org/drawingml/2006/main" xmlns:pic="http://schemas.openxmlformats.org/drawingml/2006/picture">
            <wp:extent cx="5669280" cy="3224563"/>
            <wp:docPr id="13" name="Picture 13"/>
            <wp:cNvGraphicFramePr>
              <a:graphicFrameLocks noChangeAspect="1"/>
            </wp:cNvGraphicFramePr>
            <a:graphic>
              <a:graphicData uri="http://schemas.openxmlformats.org/drawingml/2006/picture">
                <pic:pic>
                  <pic:nvPicPr>
                    <pic:cNvPr id="0" name="fig17_覆盖层复数修正与特征频率.png"/>
                    <pic:cNvPicPr/>
                  </pic:nvPicPr>
                  <pic:blipFill>
                    <a:blip r:embed="rId29"/>
                    <a:stretch>
                      <a:fillRect/>
                    </a:stretch>
                  </pic:blipFill>
                  <pic:spPr>
                    <a:xfrm>
                      <a:off x="0" y="0"/>
                      <a:ext cx="5669280" cy="322456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图17 覆盖层复数修正及其与无量纲特征频率的关系：（a）、（b）P039 的对数幅值和相位修正场；（c）64例净幅值修正幅度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18"/>
        </w:rPr>
        <w:t xml:space="preserve">；（d）中位绝对相位修正；（e）中位绝对群时延修正。彩色散点为64个P工况，颜色区分坡角，黑线连接相同 </w:t>
      </w:r>
      <m:oMath>
        <m:r>
          <m:t>χ</m:t>
        </m:r>
      </m:oMath>
      <w:r>
        <w:rPr>
          <w:rFonts w:ascii="Times New Roman" w:hAnsi="Times New Roman" w:eastAsia="宋体" w:cs="Times New Roman" w:hint="eastAsia"/>
          <w:b w:val="0"/>
          <w:i w:val="0"/>
          <w:sz w:val="18"/>
        </w:rPr>
        <w:t xml:space="preserve"> 组的中位数；多数 </w:t>
      </w:r>
      <m:oMath>
        <m:r>
          <m:t>χ</m:t>
        </m:r>
      </m:oMath>
      <w:r>
        <w:rPr>
          <w:rFonts w:ascii="Times New Roman" w:hAnsi="Times New Roman" w:eastAsia="宋体" w:cs="Times New Roman" w:hint="eastAsia"/>
          <w:b w:val="0"/>
          <w:i w:val="0"/>
          <w:sz w:val="18"/>
        </w:rPr>
        <w:t xml:space="preserve"> 组含4个坡角工况，</w:t>
      </w:r>
      <m:oMath>
        <m:r>
          <m:t>χ</m:t>
        </m:r>
        <m:r>
          <m:rPr>
            <m:sty m:val="p"/>
          </m:rPr>
          <m:t>=</m:t>
        </m:r>
        <m:r>
          <m:t>0.1875</m:t>
        </m:r>
      </m:oMath>
      <w:r>
        <w:rPr>
          <w:rFonts w:ascii="Times New Roman" w:hAnsi="Times New Roman" w:eastAsia="宋体" w:cs="Times New Roman" w:hint="eastAsia"/>
          <w:b w:val="0"/>
          <w:i w:val="0"/>
          <w:sz w:val="18"/>
        </w:rPr>
        <w:t xml:space="preserve"> 组含两套厚度—波速比组合共8例</w:t>
      </w:r>
    </w:p>
    <w:p>
      <w:pPr>
        <w:spacing w:before="0" w:after="60"/>
        <w:ind w:firstLine="0"/>
        <w:jc w:val="center"/>
      </w:pPr>
      <w:r>
        <w:rPr>
          <w:rFonts w:ascii="Times New Roman" w:hAnsi="Times New Roman" w:eastAsia="Times New Roman" w:cs="Times New Roman" w:hint="eastAsia"/>
          <w:b w:val="0"/>
          <w:i w:val="0"/>
          <w:sz w:val="18"/>
        </w:rPr>
        <w:t>Fig. 17 Cover-layer complex correction and its relation to the dimensionless characteristic frequency</w:t>
      </w:r>
    </w:p>
    <w:p>
      <w:pPr>
        <w:spacing w:before="0" w:after="0"/>
        <w:ind w:firstLine="420"/>
        <w:jc w:val="both"/>
      </w:pPr>
      <w:r>
        <w:rPr>
          <w:rFonts w:ascii="Times New Roman" w:hAnsi="Times New Roman" w:eastAsia="宋体" w:cs="Times New Roman" w:hint="eastAsia"/>
          <w:b w:val="0"/>
          <w:i w:val="0"/>
          <w:sz w:val="21"/>
        </w:rPr>
        <w:t xml:space="preserve">P039 全场的 </w:t>
      </w:r>
      <m:oMath>
        <m:sSub>
          <m:e>
            <m:r>
              <m:rPr>
                <m:sty m:val="p"/>
              </m:rPr>
              <m:t>Δ</m:t>
            </m:r>
          </m:e>
          <m:sub>
            <m:r>
              <m:t>A</m:t>
            </m:r>
          </m:sub>
        </m:sSub>
      </m:oMath>
      <w:r>
        <w:rPr>
          <w:rFonts w:ascii="Times New Roman" w:hAnsi="Times New Roman" w:eastAsia="宋体" w:cs="Times New Roman" w:hint="eastAsia"/>
          <w:b w:val="0"/>
          <w:i w:val="0"/>
          <w:sz w:val="21"/>
        </w:rPr>
        <w:t xml:space="preserve"> 中位数为 </w:t>
      </w:r>
      <m:oMath>
        <m:r>
          <m:rPr>
            <m:sty m:val="p"/>
          </m:rPr>
          <m:t>−</m:t>
        </m:r>
        <m:r>
          <m:t>0.0783</m:t>
        </m:r>
      </m:oMath>
      <w:r>
        <w:rPr>
          <w:rFonts w:ascii="Times New Roman" w:hAnsi="Times New Roman" w:eastAsia="宋体" w:cs="Times New Roman" w:hint="eastAsia"/>
          <w:b w:val="0"/>
          <w:i w:val="0"/>
          <w:sz w:val="21"/>
        </w:rPr>
        <w:t xml:space="preserve">，对应净幅值比0.925；中位绝对相位修正为7.43°，中位绝对群时延修正为18.69 ms。净幅值只有约7.5%的下降，并不意味着场内幅值修正处处很小，因为正负局部修正会在中位统计中部分抵消。为回答“覆盖层是否使全场典型幅值产生一致的净偏移”，图17(c)采用逐工况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；它与逐像素修正强度的 </w:t>
      </w:r>
      <m:oMath>
        <m:r>
          <m:rPr>
            <m:sty m:val="p"/>
          </m:rPr>
          <m:t>median</m:t>
        </m:r>
        <m:r>
          <m:rPr>
            <m:sty m:val="p"/>
          </m:rPr>
          <m:t>(</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 不是同一个量。前者关注净增强或净削弱，后者会把空间重分配中的正负变化都计为强修正。本文沿用预定的净修正口径，避免在看到结果后改变研究问题。</w:t>
      </w:r>
    </w:p>
    <w:p>
      <w:pPr>
        <w:spacing w:before="0" w:after="0"/>
        <w:ind w:firstLine="420"/>
        <w:jc w:val="both"/>
      </w:pPr>
      <w:r>
        <w:rPr>
          <w:rFonts w:ascii="Times New Roman" w:hAnsi="Times New Roman" w:eastAsia="宋体" w:cs="Times New Roman" w:hint="eastAsia"/>
          <w:b w:val="0"/>
          <w:i w:val="0"/>
          <w:sz w:val="21"/>
        </w:rPr>
        <w:t xml:space="preserve">对数幅值使局部增强和削弱具有对称解释。P039最强局部修正 </w:t>
      </w:r>
      <m:oMath>
        <m:r>
          <m:rPr>
            <m:sty m:val="p"/>
          </m:rPr>
          <m:t>−</m:t>
        </m:r>
        <m:r>
          <m:t>1.627</m:t>
        </m:r>
      </m:oMath>
      <w:r>
        <w:rPr>
          <w:rFonts w:ascii="Times New Roman" w:hAnsi="Times New Roman" w:eastAsia="宋体" w:cs="Times New Roman" w:hint="eastAsia"/>
          <w:b w:val="0"/>
          <w:i w:val="0"/>
          <w:sz w:val="21"/>
        </w:rPr>
        <w:t xml:space="preserve"> 对应幅值比约0.197；若另一位置出现 </w:t>
      </w:r>
      <m:oMath>
        <m:r>
          <m:rPr>
            <m:sty m:val="p"/>
          </m:rPr>
          <m:t>+</m:t>
        </m:r>
        <m:r>
          <m:t>1.627</m:t>
        </m:r>
      </m:oMath>
      <w:r>
        <w:rPr>
          <w:rFonts w:ascii="Times New Roman" w:hAnsi="Times New Roman" w:eastAsia="宋体" w:cs="Times New Roman" w:hint="eastAsia"/>
          <w:b w:val="0"/>
          <w:i w:val="0"/>
          <w:sz w:val="21"/>
        </w:rPr>
        <w:t xml:space="preserve">，则对应约5.09倍增强，两者在对数尺度上的绝对强度相同。中位数 </w:t>
      </w:r>
      <m:oMath>
        <m:r>
          <m:rPr>
            <m:sty m:val="p"/>
          </m:rPr>
          <m:t>−</m:t>
        </m:r>
        <m:r>
          <m:t>0.0783</m:t>
        </m:r>
      </m:oMath>
      <w:r>
        <w:rPr>
          <w:rFonts w:ascii="Times New Roman" w:hAnsi="Times New Roman" w:eastAsia="宋体" w:cs="Times New Roman" w:hint="eastAsia"/>
          <w:b w:val="0"/>
          <w:i w:val="0"/>
          <w:sz w:val="21"/>
        </w:rPr>
        <w:t xml:space="preserve"> 位于这类局部极值之间，描述的是有效频率—空间网格中一半以上位置所处的整体偏移，而不是全场能量守恒量或峰值变化率。因此，局部幅值比0.197和净幅值比0.925并不矛盾：前者说明某个坡面频点发生强相消，后者说明这种强削弱没有覆盖大部分地表与频带。</w:t>
      </w:r>
    </w:p>
    <w:p>
      <w:pPr>
        <w:spacing w:before="0" w:after="0"/>
        <w:ind w:firstLine="420"/>
        <w:jc w:val="both"/>
      </w:pPr>
      <w:r>
        <w:rPr>
          <w:rFonts w:ascii="Times New Roman" w:hAnsi="Times New Roman" w:eastAsia="宋体" w:cs="Times New Roman" w:hint="eastAsia"/>
          <w:b w:val="0"/>
          <w:i w:val="0"/>
          <w:sz w:val="21"/>
        </w:rPr>
        <w:t xml:space="preserve">P039被选作修正场示例，也正因为它不是全域极端角点。其参数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 位于设计域中部，主峰为1.707、7.7 Hz且位于坡顶；即便在这样一个全场峰值并不突出的工况中，坡面5.1 Hz仍出现强局部削弱和相位梯度。由此可知，是否存在明显局部复数修正不能只由全场峰值大小判断。图14负责识别最不利幅值组合，图17的代表场则说明中等峰值工况也可能包含对时程重构重要的局部幅相变化。</w:t>
      </w:r>
    </w:p>
    <w:p>
      <w:pPr>
        <w:spacing w:before="0" w:after="0"/>
        <w:ind w:firstLine="420"/>
        <w:jc w:val="both"/>
      </w:pPr>
      <w:r>
        <w:rPr>
          <w:rFonts w:ascii="Times New Roman" w:hAnsi="Times New Roman" w:eastAsia="宋体" w:cs="Times New Roman" w:hint="eastAsia"/>
          <w:b w:val="0"/>
          <w:i w:val="0"/>
          <w:sz w:val="21"/>
        </w:rPr>
        <w:t xml:space="preserve">64例的有符号统计为这一口径提供了直观参照：53例的 </w:t>
      </w:r>
      <m:oMath>
        <m:r>
          <m:rPr>
            <m:sty m:val="p"/>
          </m:rPr>
          <m:t>median</m:t>
        </m:r>
        <m:r>
          <m:rPr>
            <m:sty m:val="p"/>
          </m:rPr>
          <m:t>(</m:t>
        </m:r>
        <m:sSub>
          <m:e>
            <m:r>
              <m:rPr>
                <m:sty m:val="p"/>
              </m:rPr>
              <m:t>Δ</m:t>
            </m:r>
          </m:e>
          <m:sub>
            <m:r>
              <m:t>A</m:t>
            </m:r>
          </m:sub>
        </m:sSub>
        <m:r>
          <m:rPr>
            <m:sty m:val="p"/>
          </m:rPr>
          <m:t>)</m:t>
        </m:r>
      </m:oMath>
      <w:r>
        <w:rPr>
          <w:rFonts w:ascii="Times New Roman" w:hAnsi="Times New Roman" w:eastAsia="宋体" w:cs="Times New Roman" w:hint="eastAsia"/>
          <w:b w:val="0"/>
          <w:i w:val="0"/>
          <w:sz w:val="21"/>
        </w:rPr>
        <w:t xml:space="preserve"> 为负，11例为正，说明在“全场典型位置”的意义下，覆盖层净削弱比净增强更常见；但其绝对值中位数仅0.0549，四分位区间为0.0380～0.0841。相位修正的中位数为10.16°、四分位区间3.75°～19.95°，群时延修正的中位数为25.14 ms、四分位区间11.03～43.50 ms。幅值净偏移较小而相位、时延仍有可观变化，再次说明“总波场响应接近”不能只凭幅值中位数判断。P013在三项统计中均达到全域最大，净幅值修正幅度为0.1260，相位和群时延修正分别为127.55°和105.10 ms；它也正是图14中软厚组合的一员，极端幅值与强相位重组在该工况中同时出现。</w:t>
      </w:r>
    </w:p>
    <w:p>
      <w:pPr>
        <w:spacing w:before="0" w:after="0"/>
        <w:ind w:firstLine="420"/>
        <w:jc w:val="both"/>
      </w:pPr>
      <w:r>
        <w:rPr>
          <w:rFonts w:ascii="Times New Roman" w:hAnsi="Times New Roman" w:eastAsia="宋体" w:cs="Times New Roman" w:hint="eastAsia"/>
          <w:b w:val="0"/>
          <w:i w:val="0"/>
          <w:sz w:val="21"/>
        </w:rPr>
        <w:t xml:space="preserve">按坡角汇总时，有符号净幅值中位数从15°组的 </w:t>
      </w:r>
      <m:oMath>
        <m:r>
          <m:rPr>
            <m:sty m:val="p"/>
          </m:rPr>
          <m:t>−</m:t>
        </m:r>
        <m:r>
          <m:t>0.0396</m:t>
        </m:r>
      </m:oMath>
      <w:r>
        <w:rPr>
          <w:rFonts w:ascii="Times New Roman" w:hAnsi="Times New Roman" w:eastAsia="宋体" w:cs="Times New Roman" w:hint="eastAsia"/>
          <w:b w:val="0"/>
          <w:i w:val="0"/>
          <w:sz w:val="21"/>
        </w:rPr>
        <w:t xml:space="preserve"> 依次变为30°组的 </w:t>
      </w:r>
      <m:oMath>
        <m:r>
          <m:rPr>
            <m:sty m:val="p"/>
          </m:rPr>
          <m:t>−</m:t>
        </m:r>
        <m:r>
          <m:t>0.0440</m:t>
        </m:r>
      </m:oMath>
      <w:r>
        <w:rPr>
          <w:rFonts w:ascii="Times New Roman" w:hAnsi="Times New Roman" w:eastAsia="宋体" w:cs="Times New Roman" w:hint="eastAsia"/>
          <w:b w:val="0"/>
          <w:i w:val="0"/>
          <w:sz w:val="21"/>
        </w:rPr>
        <w:t xml:space="preserve">、45°组的 </w:t>
      </w:r>
      <m:oMath>
        <m:r>
          <m:rPr>
            <m:sty m:val="p"/>
          </m:rPr>
          <m:t>−</m:t>
        </m:r>
        <m:r>
          <m:t>0.0473</m:t>
        </m:r>
      </m:oMath>
      <w:r>
        <w:rPr>
          <w:rFonts w:ascii="Times New Roman" w:hAnsi="Times New Roman" w:eastAsia="宋体" w:cs="Times New Roman" w:hint="eastAsia"/>
          <w:b w:val="0"/>
          <w:i w:val="0"/>
          <w:sz w:val="21"/>
        </w:rPr>
        <w:t xml:space="preserve"> 和60°组的 </w:t>
      </w:r>
      <m:oMath>
        <m:r>
          <m:rPr>
            <m:sty m:val="p"/>
          </m:rPr>
          <m:t>−</m:t>
        </m:r>
        <m:r>
          <m:t>0.0557</m:t>
        </m:r>
      </m:oMath>
      <w:r>
        <w:rPr>
          <w:rFonts w:ascii="Times New Roman" w:hAnsi="Times New Roman" w:eastAsia="宋体" w:cs="Times New Roman" w:hint="eastAsia"/>
          <w:b w:val="0"/>
          <w:i w:val="0"/>
          <w:sz w:val="21"/>
        </w:rPr>
        <w:t xml:space="preserve">，只呈温和增加；相位修正组中位数为11.14°、11.62°、9.31°和10.85°，群时延为28.66、22.74、22.96和26.03 ms，均未随坡角单调变化。坡角对绝对全场峰值上尾的作用清晰，却不是复数修正典型强度的首要排序变量。原因在于 </w:t>
      </w:r>
      <m:oMath>
        <m:sSub>
          <m:e>
            <m:r>
              <m:t>C</m:t>
            </m:r>
          </m:e>
          <m:sub>
            <m:r>
              <m:t>G</m:t>
            </m:r>
          </m:sub>
        </m:sSub>
      </m:oMath>
      <w:r>
        <w:rPr>
          <w:rFonts w:ascii="Times New Roman" w:hAnsi="Times New Roman" w:eastAsia="宋体" w:cs="Times New Roman" w:hint="eastAsia"/>
          <w:b w:val="0"/>
          <w:i w:val="0"/>
          <w:sz w:val="21"/>
        </w:rPr>
        <w:t xml:space="preserve"> 已用同坡角均质坡作配对基线，纯几何差异在相除时被部分消去，留下的主要是覆盖层相对该几何基线引入的变化及其耦合。</w:t>
      </w:r>
    </w:p>
    <w:p>
      <w:pPr>
        <w:spacing w:before="0" w:after="0"/>
        <w:ind w:firstLine="420"/>
        <w:jc w:val="both"/>
      </w:pPr>
      <w:r>
        <w:rPr>
          <w:rFonts w:ascii="Times New Roman" w:hAnsi="Times New Roman" w:eastAsia="宋体" w:cs="Times New Roman" w:hint="eastAsia"/>
          <w:b w:val="0"/>
          <w:i w:val="0"/>
          <w:sz w:val="21"/>
        </w:rPr>
        <w:t>P013与P061的差别也说明“绝对响应最大”和“相对修正最大”不是同一问题。P061在64例中取得最高全场峰值4.012，而P013的峰值为3.539；P013却在净幅值、相位和群时延三项修正统计中达到最大。前者含有60°坡本身较高的几何基线，后者比较成层坡与同角度均质坡之间的复数差异。工程上若关心最终地表输入，应读取相位对齐总波场响应；若关心覆盖层相对于裸岩坡改变了多少，则应读取复数修正。不能用P061的绝对峰值排序替代修正强度排序，也不能把P013的最大修正直接写成最大绝对放大。</w:t>
      </w:r>
    </w:p>
    <w:p>
      <w:pPr>
        <w:spacing w:before="0" w:after="0"/>
        <w:ind w:firstLine="420"/>
        <w:jc w:val="both"/>
      </w:pPr>
      <w:r>
        <w:rPr>
          <w:rFonts w:ascii="Times New Roman" w:hAnsi="Times New Roman" w:eastAsia="宋体" w:cs="Times New Roman" w:hint="eastAsia"/>
          <w:b w:val="0"/>
          <w:i w:val="0"/>
          <w:sz w:val="21"/>
        </w:rPr>
        <w:t xml:space="preserve">有符号幅值的两个端点也表明取绝对值的必要性。P013的净修正为 </w:t>
      </w:r>
      <m:oMath>
        <m:r>
          <m:rPr>
            <m:sty m:val="p"/>
          </m:rPr>
          <m:t>+</m:t>
        </m:r>
        <m:r>
          <m:t>0.1260</m:t>
        </m:r>
      </m:oMath>
      <w:r>
        <w:rPr>
          <w:rFonts w:ascii="Times New Roman" w:hAnsi="Times New Roman" w:eastAsia="宋体" w:cs="Times New Roman" w:hint="eastAsia"/>
          <w:b w:val="0"/>
          <w:i w:val="0"/>
          <w:sz w:val="21"/>
        </w:rPr>
        <w:t xml:space="preserve">，而P037为 </w:t>
      </w:r>
      <m:oMath>
        <m:r>
          <m:rPr>
            <m:sty m:val="p"/>
          </m:rPr>
          <m:t>−</m:t>
        </m:r>
        <m:r>
          <m:t>0.1199</m:t>
        </m:r>
      </m:oMath>
      <w:r>
        <w:rPr>
          <w:rFonts w:ascii="Times New Roman" w:hAnsi="Times New Roman" w:eastAsia="宋体" w:cs="Times New Roman" w:hint="eastAsia"/>
          <w:b w:val="0"/>
          <w:i w:val="0"/>
          <w:sz w:val="21"/>
        </w:rPr>
        <w:t xml:space="preserve">，二者方向相反、绝对强度却接近；若直接对有符号中位数与 </w:t>
      </w:r>
      <m:oMath>
        <m:r>
          <m:t>χ</m:t>
        </m:r>
      </m:oMath>
      <w:r>
        <w:rPr>
          <w:rFonts w:ascii="Times New Roman" w:hAnsi="Times New Roman" w:eastAsia="宋体" w:cs="Times New Roman" w:hint="eastAsia"/>
          <w:b w:val="0"/>
          <w:i w:val="0"/>
          <w:sz w:val="21"/>
        </w:rPr>
        <w:t xml:space="preserve"> 求相关，增强和削弱会相互抵消，若只报告绝对值又会丢失方向。本文因此在代表场中保留 </w:t>
      </w:r>
      <m:oMath>
        <m:sSub>
          <m:e>
            <m:r>
              <m:rPr>
                <m:sty m:val="p"/>
              </m:rPr>
              <m:t>Δ</m:t>
            </m:r>
          </m:e>
          <m:sub>
            <m:r>
              <m:t>A</m:t>
            </m:r>
          </m:sub>
        </m:sSub>
      </m:oMath>
      <w:r>
        <w:rPr>
          <w:rFonts w:ascii="Times New Roman" w:hAnsi="Times New Roman" w:eastAsia="宋体" w:cs="Times New Roman" w:hint="eastAsia"/>
          <w:b w:val="0"/>
          <w:i w:val="0"/>
          <w:sz w:val="21"/>
        </w:rPr>
        <w:t xml:space="preserve"> 的正负颜色，在跨工况统计中使用净修正幅度，并在文字中另行说明53例净削弱、11例净增强。三种信息分别回答修正发生在哪里、整体偏移有多强、偏移方向是否一致，不能由其中任一项完全替代。</w:t>
      </w:r>
    </w:p>
    <w:p>
      <w:pPr>
        <w:spacing w:before="0" w:after="0"/>
        <w:ind w:firstLine="420"/>
        <w:jc w:val="both"/>
      </w:pPr>
      <w:r>
        <w:rPr>
          <w:rFonts w:ascii="Times New Roman" w:hAnsi="Times New Roman" w:eastAsia="宋体" w:cs="Times New Roman" w:hint="eastAsia"/>
          <w:b w:val="0"/>
          <w:i w:val="0"/>
          <w:sz w:val="21"/>
        </w:rPr>
        <w:t>两个端点还处在不同的控制状态。P013属于15°、最厚、最软组合，其约4 Hz下平台峰相对于H001表现为净增强；P037属于45°、</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虽然全场峰值达到2.148，其全场典型网格相对于H003却以净削弱为主。全场峰值关注少数最强点，有符号中位修正关注多数网格的方向，所以“峰值增大”可以与“典型位置净削弱”同时发生。正是这种局部增强和广域削弱并存，使幅值净修正与特征频率的排序比相位、时延更离散。</w:t>
      </w:r>
    </w:p>
    <w:p>
      <w:pPr>
        <w:spacing w:before="0" w:after="0"/>
        <w:ind w:firstLine="420"/>
        <w:jc w:val="both"/>
      </w:pPr>
      <w:r>
        <w:rPr>
          <w:rFonts w:ascii="Times New Roman" w:hAnsi="Times New Roman" w:eastAsia="宋体" w:cs="Times New Roman" w:hint="eastAsia"/>
          <w:b w:val="0"/>
          <w:i w:val="0"/>
          <w:sz w:val="21"/>
        </w:rPr>
        <w:t xml:space="preserve">64个成层工况中，净幅值修正幅度与 </w:t>
      </w:r>
      <m:oMath>
        <m:r>
          <m:t>χ</m:t>
        </m:r>
      </m:oMath>
      <w:r>
        <w:rPr>
          <w:rFonts w:ascii="Times New Roman" w:hAnsi="Times New Roman" w:eastAsia="宋体" w:cs="Times New Roman" w:hint="eastAsia"/>
          <w:b w:val="0"/>
          <w:i w:val="0"/>
          <w:sz w:val="21"/>
        </w:rPr>
        <w:t xml:space="preserve"> 的 Spearman 相关系数为 </w:t>
      </w:r>
      <m:oMath>
        <m:r>
          <m:rPr>
            <m:sty m:val="p"/>
          </m:rPr>
          <m:t>−</m:t>
        </m:r>
        <m:r>
          <m:t>0.3005</m:t>
        </m:r>
      </m:oMath>
      <w:r>
        <w:rPr>
          <w:rFonts w:ascii="Times New Roman" w:hAnsi="Times New Roman" w:eastAsia="宋体" w:cs="Times New Roman" w:hint="eastAsia"/>
          <w:b w:val="0"/>
          <w:i w:val="0"/>
          <w:sz w:val="21"/>
        </w:rPr>
        <w:t xml:space="preserve">，只表现为弱负相关；中位绝对相位和群时延修正与 </w:t>
      </w:r>
      <m:oMath>
        <m:r>
          <m:t>χ</m:t>
        </m:r>
      </m:oMath>
      <w:r>
        <w:rPr>
          <w:rFonts w:ascii="Times New Roman" w:hAnsi="Times New Roman" w:eastAsia="宋体" w:cs="Times New Roman" w:hint="eastAsia"/>
          <w:b w:val="0"/>
          <w:i w:val="0"/>
          <w:sz w:val="21"/>
        </w:rPr>
        <w:t xml:space="preserve"> 的相关系数分别为 </w:t>
      </w:r>
      <m:oMath>
        <m:r>
          <m:rPr>
            <m:sty m:val="p"/>
          </m:rPr>
          <m:t>−</m:t>
        </m:r>
        <m:r>
          <m:t>0.9403</m:t>
        </m:r>
      </m:oMath>
      <w:r>
        <w:rPr>
          <w:rFonts w:ascii="Times New Roman" w:hAnsi="Times New Roman" w:eastAsia="宋体" w:cs="Times New Roman" w:hint="eastAsia"/>
          <w:b w:val="0"/>
          <w:i w:val="0"/>
          <w:sz w:val="21"/>
        </w:rPr>
        <w:t xml:space="preserve"> 和 </w:t>
      </w:r>
      <m:oMath>
        <m:r>
          <m:rPr>
            <m:sty m:val="p"/>
          </m:rPr>
          <m:t>−</m:t>
        </m:r>
        <m:r>
          <m:t>0.9223</m:t>
        </m:r>
      </m:oMath>
      <w:r>
        <w:rPr>
          <w:rFonts w:ascii="Times New Roman" w:hAnsi="Times New Roman" w:eastAsia="宋体" w:cs="Times New Roman" w:hint="eastAsia"/>
          <w:b w:val="0"/>
          <w:i w:val="0"/>
          <w:sz w:val="21"/>
        </w:rPr>
        <w:t xml:space="preserve">，呈稳定强负相关。按相同 </w:t>
      </w:r>
      <m:oMath>
        <m:r>
          <m:t>χ</m:t>
        </m:r>
      </m:oMath>
      <w:r>
        <w:rPr>
          <w:rFonts w:ascii="Times New Roman" w:hAnsi="Times New Roman" w:eastAsia="宋体" w:cs="Times New Roman" w:hint="eastAsia"/>
          <w:b w:val="0"/>
          <w:i w:val="0"/>
          <w:sz w:val="21"/>
        </w:rPr>
        <w:t xml:space="preserve"> 分组，</w:t>
      </w:r>
      <m:oMath>
        <m:r>
          <m:t>χ</m:t>
        </m:r>
      </m:oMath>
      <w:r>
        <w:rPr>
          <w:rFonts w:ascii="Times New Roman" w:hAnsi="Times New Roman" w:eastAsia="宋体" w:cs="Times New Roman" w:hint="eastAsia"/>
          <w:b w:val="0"/>
          <w:i w:val="0"/>
          <w:sz w:val="21"/>
        </w:rPr>
        <w:t xml:space="preserve"> 从0.0536增至0.9375时，净幅值修正幅度的组中位数由0.0993降至0.0160，相位修正由33.97°降至0.60°，群时延修正由91.62 ms降至1.76 ms。三个通道都随覆盖层特征频率升高而减弱，但幅值点云离散大、局部反转多，</w:t>
      </w:r>
      <m:oMath>
        <m:r>
          <m:t>χ</m:t>
        </m:r>
      </m:oMath>
      <w:r>
        <w:rPr>
          <w:rFonts w:ascii="Times New Roman" w:hAnsi="Times New Roman" w:eastAsia="宋体" w:cs="Times New Roman" w:hint="eastAsia"/>
          <w:b w:val="0"/>
          <w:i w:val="0"/>
          <w:sz w:val="21"/>
        </w:rPr>
        <w:t xml:space="preserve"> 对其净效应的排序能力明显弱于相位和时延。</w:t>
      </w:r>
    </w:p>
    <w:p>
      <w:pPr>
        <w:spacing w:before="0" w:after="0"/>
        <w:ind w:firstLine="420"/>
        <w:jc w:val="both"/>
      </w:pPr>
      <w:r>
        <w:rPr>
          <w:rFonts w:ascii="Times New Roman" w:hAnsi="Times New Roman" w:eastAsia="宋体" w:cs="Times New Roman" w:hint="eastAsia"/>
          <w:b w:val="0"/>
          <w:i w:val="0"/>
          <w:sz w:val="21"/>
        </w:rPr>
        <w:t>相位与群时延之间也存在很强的一致排序，两项跨64例的Spearman相关系数为0.9834。相位修正衡量给定频点上的相位偏离，群时延修正反映展开相位随频率变化的局部斜率，二者并非重复指标；但当覆盖层使相位随频率积累得更快时，绝对相位偏离和时延偏离通常会同时增大。其Pearson相关系数为0.7935，低于秩相关，说明总体大小次序稳定而数值比例并不恒定。因而，图17(d)、(e)共同支持的是相位积累与特征频率尺度显著关联，而不是相位角与群时延之间存在固定线性换算。</w:t>
      </w:r>
    </w:p>
    <w:p>
      <w:pPr>
        <w:spacing w:before="0" w:after="0"/>
        <w:ind w:firstLine="420"/>
        <w:jc w:val="both"/>
      </w:pPr>
      <w:r>
        <w:rPr>
          <w:rFonts w:ascii="Times New Roman" w:hAnsi="Times New Roman" w:eastAsia="宋体" w:cs="Times New Roman" w:hint="eastAsia"/>
          <w:b w:val="0"/>
          <w:i w:val="0"/>
          <w:sz w:val="21"/>
        </w:rPr>
        <w:t xml:space="preserve">有符号净幅值与相位、群时延的Spearman相关系数分别仅为 </w:t>
      </w:r>
      <m:oMath>
        <m:r>
          <m:rPr>
            <m:sty m:val="p"/>
          </m:rPr>
          <m:t>−</m:t>
        </m:r>
        <m:r>
          <m:t>0.0433</m:t>
        </m:r>
      </m:oMath>
      <w:r>
        <w:rPr>
          <w:rFonts w:ascii="Times New Roman" w:hAnsi="Times New Roman" w:eastAsia="宋体" w:cs="Times New Roman" w:hint="eastAsia"/>
          <w:b w:val="0"/>
          <w:i w:val="0"/>
          <w:sz w:val="21"/>
        </w:rPr>
        <w:t xml:space="preserve"> 和 </w:t>
      </w:r>
      <m:oMath>
        <m:r>
          <m:rPr>
            <m:sty m:val="p"/>
          </m:rPr>
          <m:t>−</m:t>
        </m:r>
        <m:r>
          <m:t>0.0625</m:t>
        </m:r>
      </m:oMath>
      <w:r>
        <w:rPr>
          <w:rFonts w:ascii="Times New Roman" w:hAnsi="Times New Roman" w:eastAsia="宋体" w:cs="Times New Roman" w:hint="eastAsia"/>
          <w:b w:val="0"/>
          <w:i w:val="0"/>
          <w:sz w:val="21"/>
        </w:rPr>
        <w:t xml:space="preserve">，接近无秩相关。这个结果补充了幅值与 </w:t>
      </w:r>
      <m:oMath>
        <m:r>
          <m:t>χ</m:t>
        </m:r>
      </m:oMath>
      <w:r>
        <w:rPr>
          <w:rFonts w:ascii="Times New Roman" w:hAnsi="Times New Roman" w:eastAsia="宋体" w:cs="Times New Roman" w:hint="eastAsia"/>
          <w:b w:val="0"/>
          <w:i w:val="0"/>
          <w:sz w:val="21"/>
        </w:rPr>
        <w:t xml:space="preserve"> 的弱相关：相位扰动很强的工况，净幅值可能增强也可能削弱，方向取决于各位置的相长和相消分布；相位扰动较弱的工况，也不保证每个局部幅值都接近均质基线。因此，三个复数通道不应被压缩成一个共同修正系数。幅值用于描述响应强弱，相位和时延用于描述传播与波形时序，它们共享同一复数频响来源，却保留不同的参数信息。</w:t>
      </w:r>
    </w:p>
    <w:p>
      <w:pPr>
        <w:spacing w:before="0" w:after="0"/>
        <w:ind w:firstLine="420"/>
        <w:jc w:val="both"/>
      </w:pPr>
      <w:r>
        <w:rPr>
          <w:rFonts w:ascii="Times New Roman" w:hAnsi="Times New Roman" w:eastAsia="宋体" w:cs="Times New Roman" w:hint="eastAsia"/>
          <w:b w:val="0"/>
          <w:i w:val="0"/>
          <w:sz w:val="21"/>
        </w:rPr>
        <w:t xml:space="preserve">按坡角分别计算后，这种差别仍然存在。15°、30°、45°和60°组内，净幅值修正幅度与 </w:t>
      </w:r>
      <m:oMath>
        <m:r>
          <m:t>χ</m:t>
        </m:r>
      </m:oMath>
      <w:r>
        <w:rPr>
          <w:rFonts w:ascii="Times New Roman" w:hAnsi="Times New Roman" w:eastAsia="宋体" w:cs="Times New Roman" w:hint="eastAsia"/>
          <w:b w:val="0"/>
          <w:i w:val="0"/>
          <w:sz w:val="21"/>
        </w:rPr>
        <w:t xml:space="preserve"> 的相关系数依次为 </w:t>
      </w:r>
      <m:oMath>
        <m:r>
          <m:rPr>
            <m:sty m:val="p"/>
          </m:rPr>
          <m:t>−</m:t>
        </m:r>
        <m:r>
          <m:t>0.424</m:t>
        </m:r>
      </m:oMath>
      <w:r>
        <w:rPr>
          <w:rFonts w:ascii="Times New Roman" w:hAnsi="Times New Roman" w:eastAsia="宋体" w:cs="Times New Roman" w:hint="eastAsia"/>
          <w:b w:val="0"/>
          <w:i w:val="0"/>
          <w:sz w:val="21"/>
        </w:rPr>
        <w:t>、</w:t>
      </w:r>
      <m:oMath>
        <m:r>
          <m:rPr>
            <m:sty m:val="p"/>
          </m:rPr>
          <m:t>−</m:t>
        </m:r>
        <m:r>
          <m:t>0.313</m:t>
        </m:r>
      </m:oMath>
      <w:r>
        <w:rPr>
          <w:rFonts w:ascii="Times New Roman" w:hAnsi="Times New Roman" w:eastAsia="宋体" w:cs="Times New Roman" w:hint="eastAsia"/>
          <w:b w:val="0"/>
          <w:i w:val="0"/>
          <w:sz w:val="21"/>
        </w:rPr>
        <w:t>、</w:t>
      </w:r>
      <m:oMath>
        <m:r>
          <m:rPr>
            <m:sty m:val="p"/>
          </m:rPr>
          <m:t>−</m:t>
        </m:r>
        <m:r>
          <m:t>0.196</m:t>
        </m:r>
      </m:oMath>
      <w:r>
        <w:rPr>
          <w:rFonts w:ascii="Times New Roman" w:hAnsi="Times New Roman" w:eastAsia="宋体" w:cs="Times New Roman" w:hint="eastAsia"/>
          <w:b w:val="0"/>
          <w:i w:val="0"/>
          <w:sz w:val="21"/>
        </w:rPr>
        <w:t xml:space="preserve"> 和 </w:t>
      </w:r>
      <m:oMath>
        <m:r>
          <m:rPr>
            <m:sty m:val="p"/>
          </m:rPr>
          <m:t>−</m:t>
        </m:r>
        <m:r>
          <m:t>0.187</m:t>
        </m:r>
      </m:oMath>
      <w:r>
        <w:rPr>
          <w:rFonts w:ascii="Times New Roman" w:hAnsi="Times New Roman" w:eastAsia="宋体" w:cs="Times New Roman" w:hint="eastAsia"/>
          <w:b w:val="0"/>
          <w:i w:val="0"/>
          <w:sz w:val="21"/>
        </w:rPr>
        <w:t xml:space="preserve">，且随坡角增大总体变弱；相位修正的组内相关系数位于 </w:t>
      </w:r>
      <m:oMath>
        <m:r>
          <m:rPr>
            <m:sty m:val="p"/>
          </m:rPr>
          <m:t>−</m:t>
        </m:r>
        <m:r>
          <m:t>0.929</m:t>
        </m:r>
      </m:oMath>
      <w:r>
        <w:rPr>
          <w:rFonts w:ascii="Times New Roman" w:hAnsi="Times New Roman" w:eastAsia="宋体" w:cs="Times New Roman" w:hint="eastAsia"/>
          <w:b w:val="0"/>
          <w:i w:val="0"/>
          <w:sz w:val="21"/>
        </w:rPr>
        <w:t>～</w:t>
      </w:r>
      <m:oMath>
        <m:r>
          <m:rPr>
            <m:sty m:val="p"/>
          </m:rPr>
          <m:t>−</m:t>
        </m:r>
        <m:r>
          <m:t>0.970</m:t>
        </m:r>
      </m:oMath>
      <w:r>
        <w:rPr>
          <w:rFonts w:ascii="Times New Roman" w:hAnsi="Times New Roman" w:eastAsia="宋体" w:cs="Times New Roman" w:hint="eastAsia"/>
          <w:b w:val="0"/>
          <w:i w:val="0"/>
          <w:sz w:val="21"/>
        </w:rPr>
        <w:t xml:space="preserve">，群时延位于 </w:t>
      </w:r>
      <m:oMath>
        <m:r>
          <m:rPr>
            <m:sty m:val="p"/>
          </m:rPr>
          <m:t>−</m:t>
        </m:r>
        <m:r>
          <m:t>0.904</m:t>
        </m:r>
      </m:oMath>
      <w:r>
        <w:rPr>
          <w:rFonts w:ascii="Times New Roman" w:hAnsi="Times New Roman" w:eastAsia="宋体" w:cs="Times New Roman" w:hint="eastAsia"/>
          <w:b w:val="0"/>
          <w:i w:val="0"/>
          <w:sz w:val="21"/>
        </w:rPr>
        <w:t>～</w:t>
      </w:r>
      <m:oMath>
        <m:r>
          <m:rPr>
            <m:sty m:val="p"/>
          </m:rPr>
          <m:t>−</m:t>
        </m:r>
        <m:r>
          <m:t>0.965</m:t>
        </m:r>
      </m:oMath>
      <w:r>
        <w:rPr>
          <w:rFonts w:ascii="Times New Roman" w:hAnsi="Times New Roman" w:eastAsia="宋体" w:cs="Times New Roman" w:hint="eastAsia"/>
          <w:b w:val="0"/>
          <w:i w:val="0"/>
          <w:sz w:val="21"/>
        </w:rPr>
        <w:t xml:space="preserve">，四个坡角下均保持强负相关。因此，相位—时延关系不是由某一个坡角组偶然拉出来的总体趋势。与此同时，相同 </w:t>
      </w:r>
      <m:oMath>
        <m:r>
          <m:t>χ</m:t>
        </m:r>
      </m:oMath>
      <w:r>
        <w:rPr>
          <w:rFonts w:ascii="Times New Roman" w:hAnsi="Times New Roman" w:eastAsia="宋体" w:cs="Times New Roman" w:hint="eastAsia"/>
          <w:b w:val="0"/>
          <w:i w:val="0"/>
          <w:sz w:val="21"/>
        </w:rPr>
        <w:t xml:space="preserve"> 的组中位数并非逐级严格下降，例如 </w:t>
      </w:r>
      <m:oMath>
        <m:r>
          <m:t>χ</m:t>
        </m:r>
        <m:r>
          <m:rPr>
            <m:sty m:val="p"/>
          </m:rPr>
          <m:t>=</m:t>
        </m:r>
        <m:r>
          <m:t>0.1071</m:t>
        </m:r>
      </m:oMath>
      <w:r>
        <w:rPr>
          <w:rFonts w:ascii="Times New Roman" w:hAnsi="Times New Roman" w:eastAsia="宋体" w:cs="Times New Roman" w:hint="eastAsia"/>
          <w:b w:val="0"/>
          <w:i w:val="0"/>
          <w:sz w:val="21"/>
        </w:rPr>
        <w:t>、0.1125和0.1250时相位修正中位数依次为15.71°、19.64°和28.55°。Spearman系数描述的是跨64例的总体排序，不应被误读为一条没有反转、没有坡角离散的确定曲线。</w:t>
      </w:r>
    </w:p>
    <w:p>
      <w:pPr>
        <w:spacing w:before="0" w:after="0"/>
        <w:ind w:firstLine="420"/>
        <w:jc w:val="both"/>
      </w:pPr>
      <w:r>
        <w:rPr>
          <w:rFonts w:ascii="Times New Roman" w:hAnsi="Times New Roman" w:eastAsia="宋体" w:cs="Times New Roman" w:hint="eastAsia"/>
          <w:b w:val="0"/>
          <w:i w:val="0"/>
          <w:sz w:val="21"/>
        </w:rPr>
        <w:t xml:space="preserve">同一 </w:t>
      </w:r>
      <m:oMath>
        <m:r>
          <m:t>χ</m:t>
        </m:r>
      </m:oMath>
      <w:r>
        <w:rPr>
          <w:rFonts w:ascii="Times New Roman" w:hAnsi="Times New Roman" w:eastAsia="宋体" w:cs="Times New Roman" w:hint="eastAsia"/>
          <w:b w:val="0"/>
          <w:i w:val="0"/>
          <w:sz w:val="21"/>
        </w:rPr>
        <w:t xml:space="preserve"> 内的全距显示了坡角与具体参数组合留下的差异。在最低的 </w:t>
      </w:r>
      <m:oMath>
        <m:r>
          <m:t>χ</m:t>
        </m:r>
        <m:r>
          <m:rPr>
            <m:sty m:val="p"/>
          </m:rPr>
          <m:t>=</m:t>
        </m:r>
        <m:r>
          <m:t>0.0536</m:t>
        </m:r>
      </m:oMath>
      <w:r>
        <w:rPr>
          <w:rFonts w:ascii="Times New Roman" w:hAnsi="Times New Roman" w:eastAsia="宋体" w:cs="Times New Roman" w:hint="eastAsia"/>
          <w:b w:val="0"/>
          <w:i w:val="0"/>
          <w:sz w:val="21"/>
        </w:rPr>
        <w:t xml:space="preserve"> 组，相位修正为27.71°～127.55°，群时延为84.44～105.10 ms；到最高的 </w:t>
      </w:r>
      <m:oMath>
        <m:r>
          <m:t>χ</m:t>
        </m:r>
        <m:r>
          <m:rPr>
            <m:sty m:val="p"/>
          </m:rPr>
          <m:t>=</m:t>
        </m:r>
        <m:r>
          <m:t>0.9375</m:t>
        </m:r>
      </m:oMath>
      <w:r>
        <w:rPr>
          <w:rFonts w:ascii="Times New Roman" w:hAnsi="Times New Roman" w:eastAsia="宋体" w:cs="Times New Roman" w:hint="eastAsia"/>
          <w:b w:val="0"/>
          <w:i w:val="0"/>
          <w:sz w:val="21"/>
        </w:rPr>
        <w:t xml:space="preserve"> 组，相应范围收缩为0.54°～0.69°和1.39～2.46 ms。低 </w:t>
      </w:r>
      <m:oMath>
        <m:r>
          <m:t>χ</m:t>
        </m:r>
      </m:oMath>
      <w:r>
        <w:rPr>
          <w:rFonts w:ascii="Times New Roman" w:hAnsi="Times New Roman" w:eastAsia="宋体" w:cs="Times New Roman" w:hint="eastAsia"/>
          <w:b w:val="0"/>
          <w:i w:val="0"/>
          <w:sz w:val="21"/>
        </w:rPr>
        <w:t xml:space="preserve"> 端不仅修正中位数更大，坡角间离散也更明显；高 </w:t>
      </w:r>
      <m:oMath>
        <m:r>
          <m:t>χ</m:t>
        </m:r>
      </m:oMath>
      <w:r>
        <w:rPr>
          <w:rFonts w:ascii="Times New Roman" w:hAnsi="Times New Roman" w:eastAsia="宋体" w:cs="Times New Roman" w:hint="eastAsia"/>
          <w:b w:val="0"/>
          <w:i w:val="0"/>
          <w:sz w:val="21"/>
        </w:rPr>
        <w:t xml:space="preserve"> 端则四种坡角都接近均质基线。这个现象支持把 </w:t>
      </w:r>
      <m:oMath>
        <m:r>
          <m:t>χ</m:t>
        </m:r>
      </m:oMath>
      <w:r>
        <w:rPr>
          <w:rFonts w:ascii="Times New Roman" w:hAnsi="Times New Roman" w:eastAsia="宋体" w:cs="Times New Roman" w:hint="eastAsia"/>
          <w:b w:val="0"/>
          <w:i w:val="0"/>
          <w:sz w:val="21"/>
        </w:rPr>
        <w:t xml:space="preserve"> 用作“修正强弱尺度”，同时也指出软厚覆盖层下坡角耦合更不能忽略。图17的黑色中位线表达总体尺度，彩色散点和同组全距保留了不能被一维尺度解释的剩余结构。</w:t>
      </w:r>
    </w:p>
    <w:p>
      <w:pPr>
        <w:spacing w:before="0" w:after="0"/>
        <w:ind w:firstLine="420"/>
        <w:jc w:val="both"/>
      </w:pPr>
      <w:r>
        <w:rPr>
          <w:rFonts w:ascii="Times New Roman" w:hAnsi="Times New Roman" w:eastAsia="宋体" w:cs="Times New Roman" w:hint="eastAsia"/>
          <w:b w:val="0"/>
          <w:i w:val="0"/>
          <w:sz w:val="21"/>
        </w:rPr>
        <w:t xml:space="preserve">图中的15个不同 </w:t>
      </w:r>
      <m:oMath>
        <m:r>
          <m:t>χ</m:t>
        </m:r>
      </m:oMath>
      <w:r>
        <w:rPr>
          <w:rFonts w:ascii="Times New Roman" w:hAnsi="Times New Roman" w:eastAsia="宋体" w:cs="Times New Roman" w:hint="eastAsia"/>
          <w:b w:val="0"/>
          <w:i w:val="0"/>
          <w:sz w:val="21"/>
        </w:rPr>
        <w:t xml:space="preserve"> 水平通常各含4个坡角工况，只有 </w:t>
      </w:r>
      <m:oMath>
        <m:r>
          <m:t>χ</m:t>
        </m:r>
        <m:r>
          <m:rPr>
            <m:sty m:val="p"/>
          </m:rPr>
          <m:t>=</m:t>
        </m:r>
        <m:r>
          <m:t>0.1875</m:t>
        </m:r>
      </m:oMath>
      <w:r>
        <w:rPr>
          <w:rFonts w:ascii="Times New Roman" w:hAnsi="Times New Roman" w:eastAsia="宋体" w:cs="Times New Roman" w:hint="eastAsia"/>
          <w:b w:val="0"/>
          <w:i w:val="0"/>
          <w:sz w:val="21"/>
        </w:rPr>
        <w:t xml:space="preserve"> 同时由两组厚度—波速比组合构成，共含8例。因此，黑色组中位线不是等间距参数扫描的连续响应曲线，各横坐标的物理组成也不完全相同。最低和最高 </w:t>
      </w:r>
      <m:oMath>
        <m:r>
          <m:t>χ</m:t>
        </m:r>
      </m:oMath>
      <w:r>
        <w:rPr>
          <w:rFonts w:ascii="Times New Roman" w:hAnsi="Times New Roman" w:eastAsia="宋体" w:cs="Times New Roman" w:hint="eastAsia"/>
          <w:b w:val="0"/>
          <w:i w:val="0"/>
          <w:sz w:val="21"/>
        </w:rPr>
        <w:t xml:space="preserve"> 组的全距主要反映坡角差异，而0.1875组还同时包含不同阻抗反差与厚度组合的差异。读取黑线时应看整体数量级和排序，不宜把相邻组中位数差直接解释为对 </w:t>
      </w:r>
      <m:oMath>
        <m:r>
          <m:t>χ</m:t>
        </m:r>
      </m:oMath>
      <w:r>
        <w:rPr>
          <w:rFonts w:ascii="Times New Roman" w:hAnsi="Times New Roman" w:eastAsia="宋体" w:cs="Times New Roman" w:hint="eastAsia"/>
          <w:b w:val="0"/>
          <w:i w:val="0"/>
          <w:sz w:val="21"/>
        </w:rPr>
        <w:t xml:space="preserve"> 的局部导数。</w:t>
      </w:r>
    </w:p>
    <w:p>
      <w:pPr>
        <w:spacing w:before="0" w:after="0"/>
        <w:ind w:firstLine="420"/>
        <w:jc w:val="both"/>
      </w:pPr>
      <m:oMath>
        <m:r>
          <m:t>χ</m:t>
        </m:r>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 xml:space="preserve"> 把厚度与波速比压缩为无量纲频率比：在其他量不变时，增厚覆盖层使 </w:t>
      </w:r>
      <m:oMath>
        <m:r>
          <m:t>χ</m:t>
        </m:r>
      </m:oMath>
      <w:r>
        <w:rPr>
          <w:rFonts w:ascii="Times New Roman" w:hAnsi="Times New Roman" w:eastAsia="宋体" w:cs="Times New Roman" w:hint="eastAsia"/>
          <w:b w:val="0"/>
          <w:i w:val="0"/>
          <w:sz w:val="21"/>
        </w:rPr>
        <w:t xml:space="preserve"> 反比降低，提高波速比则使其正比升高。对相位和群时延，两个参数沿等 </w:t>
      </w:r>
      <m:oMath>
        <m:r>
          <m:t>χ</m:t>
        </m:r>
      </m:oMath>
      <w:r>
        <w:rPr>
          <w:rFonts w:ascii="Times New Roman" w:hAnsi="Times New Roman" w:eastAsia="宋体" w:cs="Times New Roman" w:hint="eastAsia"/>
          <w:b w:val="0"/>
          <w:i w:val="0"/>
          <w:sz w:val="21"/>
        </w:rPr>
        <w:t xml:space="preserve"> 方向的组合能够较好归并总体修正强度；对幅值，等 </w:t>
      </w:r>
      <m:oMath>
        <m:r>
          <m:t>χ</m:t>
        </m:r>
      </m:oMath>
      <w:r>
        <w:rPr>
          <w:rFonts w:ascii="Times New Roman" w:hAnsi="Times New Roman" w:eastAsia="宋体" w:cs="Times New Roman" w:hint="eastAsia"/>
          <w:b w:val="0"/>
          <w:i w:val="0"/>
          <w:sz w:val="21"/>
        </w:rPr>
        <w:t xml:space="preserve"> 组合仍可能因波阻抗反差、坡角和峰位不同而给出相反净符号。这种差异说明特征频率尺度抓住了相位积累的主要次序，却没有消除材料界面反射和二维散射造成的幅值重分配。</w:t>
      </w:r>
    </w:p>
    <w:p>
      <w:pPr>
        <w:spacing w:before="0" w:after="0"/>
        <w:ind w:firstLine="420"/>
        <w:jc w:val="both"/>
      </w:pPr>
      <w:r>
        <w:rPr>
          <w:rFonts w:ascii="Times New Roman" w:hAnsi="Times New Roman" w:eastAsia="宋体" w:cs="Times New Roman" w:hint="eastAsia"/>
          <w:b w:val="0"/>
          <w:i w:val="0"/>
          <w:sz w:val="21"/>
        </w:rPr>
        <w:t>这里的“相位—时延通道更稳定”不能简化为“覆盖层不影响幅值”。图11和图14已显示软厚覆盖层能使峰值超过4，图17(a)也存在幅值比降至约0.197的局部区域。更准确的表述是：</w:t>
      </w:r>
      <m:oMath>
        <m:r>
          <m:t>χ</m:t>
        </m:r>
      </m:oMath>
      <w:r>
        <w:rPr>
          <w:rFonts w:ascii="Times New Roman" w:hAnsi="Times New Roman" w:eastAsia="宋体" w:cs="Times New Roman" w:hint="eastAsia"/>
          <w:b w:val="0"/>
          <w:i w:val="0"/>
          <w:sz w:val="21"/>
        </w:rPr>
        <w:t xml:space="preserve"> 对覆盖层引入的典型相位和时延扰动强弱具有较好的排序能力，却不能单独决定幅值修正在全地表上是净增强还是净削弱。幅值受局部相长、相消干涉和峰位迁移影响，正负效应容易抵消；相位积累与传播尺度的关系更具一致性。只报告幅值峰值会漏掉这一稳定关系，也无法为后续同一线性条件和适用频带内的不同输入提供完整复数乘子。</w:t>
      </w:r>
    </w:p>
    <w:p>
      <w:pPr>
        <w:spacing w:before="0" w:after="0"/>
        <w:ind w:firstLine="420"/>
        <w:jc w:val="both"/>
      </w:pPr>
      <w:r>
        <w:rPr>
          <w:rFonts w:ascii="Times New Roman" w:hAnsi="Times New Roman" w:eastAsia="宋体" w:cs="Times New Roman" w:hint="eastAsia"/>
          <w:b w:val="0"/>
          <w:i w:val="0"/>
          <w:sz w:val="21"/>
        </w:rPr>
        <w:t>相位修正采用圆周相位差，群时延则由连续相位随频率的变化获得，两者的统计都依赖有效频点和相位连续性。本文在相同有效掩码内比较成层与对应均质场，并以中位绝对值降低局部相位突变对全场概括的支配；即便如此，低幅值附近的相位仍可能比幅值更敏感。因此，相关系数用于说明64例总体排序，不用于认定每个频率—空间网格的相位均可同等精度解释。图17(a)、(b)把幅值谷和相位梯度并列展示，正是为了让统计关系始终与原始场的有效区域相互核对。</w:t>
      </w:r>
    </w:p>
    <w:p>
      <w:pPr>
        <w:spacing w:before="0" w:after="0"/>
        <w:ind w:firstLine="420"/>
        <w:jc w:val="both"/>
      </w:pPr>
      <w:r>
        <w:rPr>
          <w:rFonts w:ascii="Times New Roman" w:hAnsi="Times New Roman" w:eastAsia="宋体" w:cs="Times New Roman" w:hint="eastAsia"/>
          <w:b w:val="0"/>
          <w:i w:val="0"/>
          <w:sz w:val="21"/>
        </w:rPr>
        <w:t xml:space="preserve">将图17与主峰迁移结果对照，可以形成更完整的因果边界。低 </w:t>
      </w:r>
      <m:oMath>
        <m:r>
          <m:t>χ</m:t>
        </m:r>
      </m:oMath>
      <w:r>
        <w:rPr>
          <w:rFonts w:ascii="Times New Roman" w:hAnsi="Times New Roman" w:eastAsia="宋体" w:cs="Times New Roman" w:hint="eastAsia"/>
          <w:b w:val="0"/>
          <w:i w:val="0"/>
          <w:sz w:val="21"/>
        </w:rPr>
        <w:t xml:space="preserve"> 工况通常具有较大的相位和时延修正，也更容易在软厚角点出现下平台强峰，但相关并不证明相位修正单独“造成”了峰值换位。峰值竞争还取决于均质坡基线、局部幅值反射和不同空间路径的叠加。现有数据能够支持“低特征频率比伴随更强相位积累，并与部分强峰组合共同出现”，却不能把相关关系反演为唯一传播路径或能量转移机制。保持这一层限制，有助于避免把图17的统计尺度写成超出数值证据的机理定律。</w:t>
      </w:r>
    </w:p>
    <w:p>
      <w:pPr>
        <w:spacing w:before="0" w:after="0"/>
        <w:ind w:firstLine="420"/>
        <w:jc w:val="both"/>
      </w:pPr>
      <m:oMath>
        <m:r>
          <m:t>χ</m:t>
        </m:r>
      </m:oMath>
      <w:r>
        <w:rPr>
          <w:rFonts w:ascii="Times New Roman" w:hAnsi="Times New Roman" w:eastAsia="宋体" w:cs="Times New Roman" w:hint="eastAsia"/>
          <w:b w:val="0"/>
          <w:i w:val="0"/>
          <w:sz w:val="21"/>
        </w:rPr>
        <w:t xml:space="preserve"> 将厚度比和波速比压缩为一个频率尺度，有助于解释图11、图12的共同趋势。增大 </w:t>
      </w:r>
      <m:oMath>
        <m:r>
          <m:t>d</m:t>
        </m:r>
        <m:r>
          <m:rPr>
            <m:sty m:val="p"/>
          </m:rPr>
          <m:t>/</m:t>
        </m:r>
        <m:r>
          <m:t>h</m:t>
        </m:r>
      </m:oMath>
      <w:r>
        <w:rPr>
          <w:rFonts w:ascii="Times New Roman" w:hAnsi="Times New Roman" w:eastAsia="宋体" w:cs="Times New Roman" w:hint="eastAsia"/>
          <w:b w:val="0"/>
          <w:i w:val="0"/>
          <w:sz w:val="21"/>
        </w:rPr>
        <w:t xml:space="preserve"> 或减小 </w:t>
      </w:r>
      <m:oMath>
        <m:sSub>
          <m:e>
            <m:r>
              <m:t>r</m:t>
            </m:r>
          </m:e>
          <m:sub>
            <m:r>
              <m:t>v</m:t>
            </m:r>
          </m:sub>
        </m:sSub>
      </m:oMath>
      <w:r>
        <w:rPr>
          <w:rFonts w:ascii="Times New Roman" w:hAnsi="Times New Roman" w:eastAsia="宋体" w:cs="Times New Roman" w:hint="eastAsia"/>
          <w:b w:val="0"/>
          <w:i w:val="0"/>
          <w:sz w:val="21"/>
        </w:rPr>
        <w:t xml:space="preserve"> 都会降低 </w:t>
      </w:r>
      <m:oMath>
        <m:r>
          <m:t>χ</m:t>
        </m:r>
      </m:oMath>
      <w:r>
        <w:rPr>
          <w:rFonts w:ascii="Times New Roman" w:hAnsi="Times New Roman" w:eastAsia="宋体" w:cs="Times New Roman" w:hint="eastAsia"/>
          <w:b w:val="0"/>
          <w:i w:val="0"/>
          <w:sz w:val="21"/>
        </w:rPr>
        <w:t xml:space="preserve">，使覆盖层特征频率进入较低频段，相位和时延修正随之增大；但相同 </w:t>
      </w:r>
      <m:oMath>
        <m:r>
          <m:t>χ</m:t>
        </m:r>
      </m:oMath>
      <w:r>
        <w:rPr>
          <w:rFonts w:ascii="Times New Roman" w:hAnsi="Times New Roman" w:eastAsia="宋体" w:cs="Times New Roman" w:hint="eastAsia"/>
          <w:b w:val="0"/>
          <w:i w:val="0"/>
          <w:sz w:val="21"/>
        </w:rPr>
        <w:t xml:space="preserve"> 可来自不同的厚度—波速比组合，坡角和阻抗差也未包含在式（17）中。例如，</w:t>
      </w:r>
      <m:oMath>
        <m:r>
          <m:t>d</m:t>
        </m:r>
        <m:r>
          <m:rPr>
            <m:sty m:val="p"/>
          </m:rPr>
          <m:t>/</m:t>
        </m:r>
        <m:r>
          <m:t>h</m:t>
        </m:r>
        <m:r>
          <m:rPr>
            <m:sty m:val="p"/>
          </m:rPr>
          <m:t>=</m:t>
        </m:r>
        <m:r>
          <m:t>0.60</m:t>
        </m:r>
        <m:r>
          <m:rPr>
            <m:sty m:val="p"/>
          </m:rPr>
          <m:t>,</m:t>
        </m:r>
        <m:sSub>
          <m:e>
            <m:r>
              <m:t>r</m:t>
            </m:r>
          </m:e>
          <m:sub>
            <m:r>
              <m:t>v</m:t>
            </m:r>
          </m:sub>
        </m:sSub>
        <m:r>
          <m:rPr>
            <m:sty m:val="p"/>
          </m:rPr>
          <m:t>=</m:t>
        </m:r>
        <m:r>
          <m:t>0.45</m:t>
        </m:r>
      </m:oMath>
      <w:r>
        <w:rPr>
          <w:rFonts w:ascii="Times New Roman" w:hAnsi="Times New Roman" w:eastAsia="宋体" w:cs="Times New Roman" w:hint="eastAsia"/>
          <w:b w:val="0"/>
          <w:i w:val="0"/>
          <w:sz w:val="21"/>
        </w:rPr>
        <w:t xml:space="preserve"> 与 </w:t>
      </w:r>
      <m:oMath>
        <m:r>
          <m:t>d</m:t>
        </m:r>
        <m:r>
          <m:rPr>
            <m:sty m:val="p"/>
          </m:rPr>
          <m:t>/</m:t>
        </m:r>
        <m:r>
          <m:t>h</m:t>
        </m:r>
        <m:r>
          <m:rPr>
            <m:sty m:val="p"/>
          </m:rPr>
          <m:t>=</m:t>
        </m:r>
        <m:r>
          <m:t>1.00</m:t>
        </m:r>
        <m:r>
          <m:rPr>
            <m:sty m:val="p"/>
          </m:rPr>
          <m:t>,</m:t>
        </m:r>
        <m:sSub>
          <m:e>
            <m:r>
              <m:t>r</m:t>
            </m:r>
          </m:e>
          <m:sub>
            <m:r>
              <m:t>v</m:t>
            </m:r>
          </m:sub>
        </m:sSub>
        <m:r>
          <m:rPr>
            <m:sty m:val="p"/>
          </m:rPr>
          <m:t>=</m:t>
        </m:r>
        <m:r>
          <m:t>0.75</m:t>
        </m:r>
      </m:oMath>
      <w:r>
        <w:rPr>
          <w:rFonts w:ascii="Times New Roman" w:hAnsi="Times New Roman" w:eastAsia="宋体" w:cs="Times New Roman" w:hint="eastAsia"/>
          <w:b w:val="0"/>
          <w:i w:val="0"/>
          <w:sz w:val="21"/>
        </w:rPr>
        <w:t xml:space="preserve"> 均给出 </w:t>
      </w:r>
      <m:oMath>
        <m:r>
          <m:t>χ</m:t>
        </m:r>
        <m:r>
          <m:rPr>
            <m:sty m:val="p"/>
          </m:rPr>
          <m:t>=</m:t>
        </m:r>
        <m:r>
          <m:t>0.1875</m:t>
        </m:r>
      </m:oMath>
      <w:r>
        <w:rPr>
          <w:rFonts w:ascii="Times New Roman" w:hAnsi="Times New Roman" w:eastAsia="宋体" w:cs="Times New Roman" w:hint="eastAsia"/>
          <w:b w:val="0"/>
          <w:i w:val="0"/>
          <w:sz w:val="21"/>
        </w:rPr>
        <w:t xml:space="preserve">，加上四个坡角后同一横坐标包含8个物理工况，而它们的相位和群时延修正仍有可见全距。因此，图17同一 </w:t>
      </w:r>
      <m:oMath>
        <m:r>
          <m:t>χ</m:t>
        </m:r>
      </m:oMath>
      <w:r>
        <w:rPr>
          <w:rFonts w:ascii="Times New Roman" w:hAnsi="Times New Roman" w:eastAsia="宋体" w:cs="Times New Roman" w:hint="eastAsia"/>
          <w:b w:val="0"/>
          <w:i w:val="0"/>
          <w:sz w:val="21"/>
        </w:rPr>
        <w:t xml:space="preserve"> 的竖向离散不能被当作噪声删去，也不能把相关曲线当作三参数响应的替代模型。它是一条机制尺度，用于归纳相位修正强弱，不是预测完整场的单参数经验公式。</w:t>
      </w:r>
    </w:p>
    <w:p>
      <w:pPr>
        <w:spacing w:before="0" w:after="0"/>
        <w:ind w:firstLine="420"/>
        <w:jc w:val="both"/>
      </w:pPr>
      <w:r>
        <w:rPr>
          <w:rFonts w:ascii="Times New Roman" w:hAnsi="Times New Roman" w:eastAsia="宋体" w:cs="Times New Roman" w:hint="eastAsia"/>
          <w:b w:val="0"/>
          <w:i w:val="0"/>
          <w:sz w:val="21"/>
        </w:rPr>
        <w:t xml:space="preserve">综合图10～17，坡角、厚度比和波速比对总波场响应的作用可按“基线—频带—耦合”理解。坡角改变纯地形散射基线并影响极端响应上尾；厚度和波速比确定覆盖层频率尺度及阻抗反差；三者的交互决定哪个空间—频率峰取得控制权。峰值幅值主要受厚度、波速比及其交互控制，主峰频率和峰位则更依赖多参数交互。覆盖层对幅值的局部重分配很强，但其全场净幅值修正不随 </w:t>
      </w:r>
      <m:oMath>
        <m:r>
          <m:t>χ</m:t>
        </m:r>
      </m:oMath>
      <w:r>
        <w:rPr>
          <w:rFonts w:ascii="Times New Roman" w:hAnsi="Times New Roman" w:eastAsia="宋体" w:cs="Times New Roman" w:hint="eastAsia"/>
          <w:b w:val="0"/>
          <w:i w:val="0"/>
          <w:sz w:val="21"/>
        </w:rPr>
        <w:t xml:space="preserve"> 稳定排序；相位和群时延修正随 </w:t>
      </w:r>
      <m:oMath>
        <m:r>
          <m:t>χ</m:t>
        </m:r>
      </m:oMath>
      <w:r>
        <w:rPr>
          <w:rFonts w:ascii="Times New Roman" w:hAnsi="Times New Roman" w:eastAsia="宋体" w:cs="Times New Roman" w:hint="eastAsia"/>
          <w:b w:val="0"/>
          <w:i w:val="0"/>
          <w:sz w:val="21"/>
        </w:rPr>
        <w:t xml:space="preserve"> 的变化更一致。由此，对成层坡响应的概括不能停留在单一峰值，还应同时保留控制峰换位和连续相位场。</w:t>
      </w:r>
    </w:p>
    <w:p>
      <w:pPr>
        <w:spacing w:before="0" w:after="0"/>
        <w:ind w:firstLine="420"/>
        <w:jc w:val="both"/>
      </w:pPr>
      <w:r>
        <w:rPr>
          <w:rFonts w:ascii="Times New Roman" w:hAnsi="Times New Roman" w:eastAsia="宋体" w:cs="Times New Roman" w:hint="eastAsia"/>
          <w:b w:val="0"/>
          <w:i w:val="0"/>
          <w:sz w:val="21"/>
        </w:rPr>
        <w:t>这一归纳同时保留了“典型响应”和“最不利响应”的差别。边际中位数描述参数跨域后的常见水平，软厚角点及全场峰值描述局部最不利状态，复数修正则描述相对于同坡角均质基线的改变。三类指标数值排序不同并非相互冲突，而是观测对象不同；只有把幅值、频率、位置和相位放回同一频率—空间场，才能说明参数究竟改变了响应大小，还是改变了控制峰的身份。</w:t>
      </w:r>
    </w:p>
    <w:p>
      <w:pPr>
        <w:spacing w:before="0" w:after="0"/>
        <w:ind w:firstLine="420"/>
        <w:jc w:val="both"/>
      </w:pPr>
      <w:r>
        <w:rPr>
          <w:rFonts w:ascii="Times New Roman" w:hAnsi="Times New Roman" w:eastAsia="宋体" w:cs="Times New Roman" w:hint="eastAsia"/>
          <w:b w:val="0"/>
          <w:i w:val="0"/>
          <w:sz w:val="21"/>
        </w:rPr>
        <w:t>上述规律的证据边界与数值模型的设计范围一致。它们适用于二维平面应变、线性两层坡、坡高100 m、15° SV斜入射、固定密度比0.85以及本文给定阻尼与0.5～10 Hz频带。4个频带上界峰、较多分区空间端点峰已经明确标记，不能用于频带外或空间域外的峰值外推。本文没有改变入射角、密度比、地层数、材料非线性或三维地形，因而图中的交互贡献率也不应被当作天然坡地的一般常数。它们给出的是当前参数域内可复核的相对排序，以及完整复数场相较单一放大系数所揭示的额外信息。</w:t>
      </w:r>
    </w:p>
    <w:p>
      <w:pPr>
        <w:spacing w:before="312" w:after="60"/>
        <w:ind w:firstLine="0"/>
        <w:jc w:val="left"/>
      </w:pPr>
      <w:r>
        <w:rPr>
          <w:rFonts w:ascii="Times New Roman" w:hAnsi="Times New Roman" w:eastAsia="宋体" w:cs="Times New Roman" w:hint="eastAsia"/>
          <w:b/>
          <w:i w:val="0"/>
          <w:sz w:val="28"/>
        </w:rPr>
        <w:t>4 机器学习代理模型的构建与验证</w:t>
      </w:r>
    </w:p>
    <w:p>
      <w:pPr>
        <w:spacing w:before="0" w:after="0"/>
        <w:ind w:firstLine="420"/>
        <w:jc w:val="both"/>
      </w:pPr>
      <w:r>
        <w:rPr>
          <w:rFonts w:ascii="Times New Roman" w:hAnsi="Times New Roman" w:eastAsia="宋体" w:cs="Times New Roman" w:hint="eastAsia"/>
          <w:b w:val="0"/>
          <w:i w:val="0"/>
          <w:sz w:val="21"/>
        </w:rPr>
        <w:t>前述参数分析表明，成层坡地的总波场响应随坡角、覆盖层厚度和波速比变化时，会在频率—空间平面上同时出现幅值峰谷迁移、相位条带转折和坡脚附近的局部陡梯度，单一标量难以概括这些变化。因此，本章将式（13）定义的相位对齐总波场响应作为机器学习目标，建立由坡角、厚度比和波速比到复数场的代理映射。代理模型用于在现有参数域内压缩并恢复主要幅相结构，其误差和适用范围依次通过交叉验证、训练外组合和时域闭环检验。</w:t>
      </w:r>
    </w:p>
    <w:p>
      <w:pPr>
        <w:spacing w:before="0" w:after="0"/>
        <w:ind w:firstLine="420"/>
        <w:jc w:val="both"/>
      </w:pPr>
      <w:r>
        <w:rPr>
          <w:rFonts w:ascii="Times New Roman" w:hAnsi="Times New Roman" w:eastAsia="宋体" w:cs="Times New Roman" w:hint="eastAsia"/>
          <w:b w:val="0"/>
          <w:i w:val="0"/>
          <w:sz w:val="21"/>
        </w:rPr>
        <w:t>这里选择预测完整场，而不是只预测全局峰值、坡顶放大系数或若干固定频点，直接服务于本文的研究目标。第3章已经表明，同一参数变化可能使峰值在频率轴和空间轴上同时迁移；如果只把“最大值”作为标签，两个形态差异很大的相位对齐总波场响应可能得到相近的标量标签，而峰值发生位置之外的相位和次峰信息将全部丢失。完整场目标虽然显著增加了输出维数，却保留了从宽频系统识别到输入时程重构所需的信息。代理模型在本章中的作用因此不是给有限元结果附加一条经验拟合曲线，而是在统一物理定义下建立一个可重复调用的降阶输入—输出关系。其是否可用，既取决于整体场误差，也取决于误差是否集中在工程关注的频带、坡面区段和极值附近。</w:t>
      </w:r>
    </w:p>
    <w:p>
      <w:pPr>
        <w:spacing w:before="156" w:after="40"/>
        <w:ind w:firstLine="0"/>
        <w:jc w:val="left"/>
      </w:pPr>
      <w:r>
        <w:rPr>
          <w:rFonts w:ascii="Times New Roman" w:hAnsi="Times New Roman" w:eastAsia="宋体" w:cs="Times New Roman" w:hint="eastAsia"/>
          <w:b/>
          <w:i w:val="0"/>
          <w:sz w:val="24"/>
        </w:rPr>
        <w:t>4.1 样本构建与代理方法</w:t>
      </w:r>
    </w:p>
    <w:p>
      <w:pPr>
        <w:spacing w:before="0" w:after="0"/>
        <w:ind w:firstLine="420"/>
        <w:jc w:val="both"/>
      </w:pPr>
      <w:r>
        <w:rPr>
          <w:rFonts w:ascii="Times New Roman" w:hAnsi="Times New Roman" w:eastAsia="宋体" w:cs="Times New Roman" w:hint="eastAsia"/>
          <w:b w:val="0"/>
          <w:i w:val="0"/>
          <w:sz w:val="21"/>
        </w:rPr>
        <w:t xml:space="preserve">代理输入写为 </w:t>
      </w:r>
      <m:oMath>
        <m:r>
          <m:rPr>
            <m:sty m:val="bi"/>
          </m:rPr>
          <m:t>x</m:t>
        </m:r>
        <m:r>
          <m:rPr>
            <m:sty m:val="p"/>
          </m:rPr>
          <m:t>=</m:t>
        </m:r>
        <m:r>
          <m:rPr>
            <m:sty m:val="p"/>
          </m:rPr>
          <m:t>[</m:t>
        </m:r>
        <m:r>
          <m:t>i</m:t>
        </m:r>
        <m:r>
          <m:rPr>
            <m:sty m:val="p"/>
          </m:rPr>
          <m:t>,</m:t>
        </m:r>
        <m:r>
          <m:t>d</m:t>
        </m:r>
        <m:r>
          <m:rPr>
            <m:sty m:val="p"/>
          </m:rPr>
          <m:t>/</m:t>
        </m:r>
        <m:r>
          <m:t>h</m:t>
        </m:r>
        <m:r>
          <m:rPr>
            <m:sty m:val="p"/>
          </m:rPr>
          <m:t>,</m:t>
        </m:r>
        <m:sSub>
          <m:e>
            <m:r>
              <m:t>r</m:t>
            </m:r>
          </m:e>
          <m:sub>
            <m:r>
              <m:t>v</m:t>
            </m:r>
          </m:sub>
        </m:sSub>
        <m:sSup>
          <m:e>
            <m:r>
              <m:rPr>
                <m:sty m:val="p"/>
              </m:rPr>
              <m:t>]</m:t>
            </m:r>
          </m:e>
          <m:sup>
            <m:r>
              <m:rPr>
                <m:sty m:val="p"/>
              </m:rPr>
              <m:t>T</m:t>
            </m:r>
          </m:sup>
        </m:sSup>
      </m:oMath>
      <w:r>
        <w:rPr>
          <w:rFonts w:ascii="Times New Roman" w:hAnsi="Times New Roman" w:eastAsia="宋体" w:cs="Times New Roman" w:hint="eastAsia"/>
          <w:b w:val="0"/>
          <w:i w:val="0"/>
          <w:sz w:val="21"/>
        </w:rPr>
        <w:t>。其中，</w:t>
      </w:r>
      <m:oMath>
        <m:r>
          <m:t>i</m:t>
        </m:r>
      </m:oMath>
      <w:r>
        <w:rPr>
          <w:rFonts w:ascii="Times New Roman" w:hAnsi="Times New Roman" w:eastAsia="宋体" w:cs="Times New Roman" w:hint="eastAsia"/>
          <w:b w:val="0"/>
          <w:i w:val="0"/>
          <w:sz w:val="21"/>
        </w:rPr>
        <w:t xml:space="preserve"> 为坡角，</w:t>
      </w:r>
      <m:oMath>
        <m:r>
          <m:t>d</m:t>
        </m:r>
        <m:r>
          <m:rPr>
            <m:sty m:val="p"/>
          </m:rPr>
          <m:t>/</m:t>
        </m:r>
        <m:r>
          <m:t>h</m:t>
        </m:r>
      </m:oMath>
      <w:r>
        <w:rPr>
          <w:rFonts w:ascii="Times New Roman" w:hAnsi="Times New Roman" w:eastAsia="宋体" w:cs="Times New Roman" w:hint="eastAsia"/>
          <w:b w:val="0"/>
          <w:i w:val="0"/>
          <w:sz w:val="21"/>
        </w:rPr>
        <w:t xml:space="preserve"> 为覆盖层厚度与坡高之比，</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为覆盖层与基岩剪切波速之比。样本按研究问题预先分为不同功能池。P组由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p>
          <m:e>
            <m:r>
              <m:t>30</m:t>
            </m:r>
          </m:e>
          <m:sup>
            <m:r>
              <m:rPr>
                <m:sty m:val="p"/>
              </m:rPr>
              <m:t>∘</m:t>
            </m:r>
          </m:sup>
        </m:sSup>
      </m:oMath>
      <w:r>
        <w:rPr>
          <w:rFonts w:ascii="Times New Roman" w:hAnsi="Times New Roman" w:eastAsia="宋体" w:cs="Times New Roman" w:hint="eastAsia"/>
          <w:b w:val="0"/>
          <w:i w:val="0"/>
          <w:sz w:val="21"/>
        </w:rPr>
        <w:t>、</w:t>
      </w:r>
      <m:oMath>
        <m:sSup>
          <m:e>
            <m:r>
              <m:t>45</m:t>
            </m:r>
          </m:e>
          <m:sup>
            <m:r>
              <m:rPr>
                <m:sty m:val="p"/>
              </m:rPr>
              <m:t>∘</m:t>
            </m:r>
          </m:sup>
        </m:sSup>
      </m:oMath>
      <w:r>
        <w:rPr>
          <w:rFonts w:ascii="Times New Roman" w:hAnsi="Times New Roman" w:eastAsia="宋体" w:cs="Times New Roman" w:hint="eastAsia"/>
          <w:b w:val="0"/>
          <w:i w:val="0"/>
          <w:sz w:val="21"/>
        </w:rPr>
        <w:t>、</w:t>
      </w:r>
      <m:oMath>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、0.60、1.00、1.40，以及 </w:t>
      </w:r>
      <m:oMath>
        <m:sSub>
          <m:e>
            <m:r>
              <m:t>r</m:t>
            </m:r>
          </m:e>
          <m:sub>
            <m:r>
              <m:t>v</m:t>
            </m:r>
          </m:sub>
        </m:sSub>
        <m:r>
          <m:rPr>
            <m:sty m:val="p"/>
          </m:rPr>
          <m:t>=</m:t>
        </m:r>
        <m:r>
          <m:t>0.30</m:t>
        </m:r>
      </m:oMath>
      <w:r>
        <w:rPr>
          <w:rFonts w:ascii="Times New Roman" w:hAnsi="Times New Roman" w:eastAsia="宋体" w:cs="Times New Roman" w:hint="eastAsia"/>
          <w:b w:val="0"/>
          <w:i w:val="0"/>
          <w:sz w:val="21"/>
        </w:rPr>
        <w:t>、0.45、0.60、0.75 的全因子组合构成，共64例，用于候选模型训练和整工况五折交叉验证。B组包含12个训练网格之间的中间水平组合，坡角取22.5°、37.5°和52.5°，厚度比取0.40、0.80和1.20，波速比取0.375、0.525和0.675；这些工况不参与标准化、POD、回归器拟合或模型选择，仅用于检查模型在参数范围内部但离开训练节点后的泛化。B组位于P组参数包络内部，检验的是“网格间预测”，不属于超出取值范围的外推。H组4个均质坡用于第3章的地形基准与覆盖层复数修正，不进入代理训练；C组10个体系—地震记录组合则用于第4.3节由频域预测到时域响应的闭环检验。各样本池的功能见表10。</w:t>
      </w:r>
    </w:p>
    <w:p>
      <w:pPr>
        <w:spacing w:before="156" w:after="0"/>
        <w:ind w:firstLine="0"/>
        <w:jc w:val="center"/>
      </w:pPr>
      <w:r>
        <w:rPr>
          <w:rFonts w:ascii="Times New Roman" w:hAnsi="Times New Roman" w:eastAsia="宋体" w:cs="Times New Roman" w:hint="eastAsia"/>
          <w:b w:val="0"/>
          <w:i w:val="0"/>
          <w:sz w:val="18"/>
        </w:rPr>
        <w:t>表10 代理研究中各样本池的组成与用途</w:t>
      </w:r>
    </w:p>
    <w:p>
      <w:pPr>
        <w:spacing w:before="0" w:after="40"/>
        <w:ind w:firstLine="0"/>
        <w:jc w:val="center"/>
      </w:pPr>
      <w:r>
        <w:rPr>
          <w:rFonts w:ascii="Times New Roman" w:hAnsi="Times New Roman" w:eastAsia="Times New Roman" w:cs="Times New Roman" w:hint="eastAsia"/>
          <w:b w:val="0"/>
          <w:i w:val="0"/>
          <w:sz w:val="18"/>
        </w:rPr>
        <w:t>Table 10 Composition and purpose of each sample pool in the surrogate study</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样本池</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工况数</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参数或记录组成</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在本章中的用途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是否参与选模</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H组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w:t>
            </w:r>
          </w:p>
        </w:tc>
        <w:tc>
          <w:tcPr>
            <w:tcW w:type="dxa" w:w="1928"/>
            <w:vAlign w:val="center"/>
          </w:tcPr>
          <w:p>
            <w:pPr>
              <w:spacing w:before="30" w:after="30"/>
              <w:ind w:firstLine="0"/>
              <w:jc w:val="center"/>
            </w:pPr>
            <m:oMath>
              <m:r>
                <m:t>i</m:t>
              </m:r>
              <m:r>
                <m:rPr>
                  <m:sty m:val="p"/>
                </m:rPr>
                <m:t>=</m:t>
              </m:r>
              <m:sSup>
                <m:e>
                  <m:r>
                    <m:t>15</m:t>
                  </m:r>
                </m:e>
                <m:sup>
                  <m:r>
                    <m:rPr>
                      <m:sty m:val="p"/>
                    </m:rPr>
                    <m:t>∘</m:t>
                  </m:r>
                </m:sup>
              </m:sSup>
            </m:oMath>
            <w:r>
              <w:rPr>
                <w:rFonts w:ascii="Times New Roman" w:hAnsi="Times New Roman" w:eastAsia="宋体" w:cs="Times New Roman" w:hint="eastAsia"/>
                <w:b w:val="0"/>
                <w:i w:val="0"/>
                <w:sz w:val="18"/>
              </w:rPr>
              <w:t>、30°、45°、60°的均质坡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提供地形基准和覆盖层修正参照</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P组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64</w:t>
            </w:r>
          </w:p>
        </w:tc>
        <w:tc>
          <w:tcPr>
            <w:tcW w:type="dxa" w:w="1928"/>
            <w:vAlign w:val="center"/>
          </w:tcPr>
          <w:p>
            <w:pPr>
              <w:spacing w:before="30" w:after="30"/>
              <w:ind w:firstLine="0"/>
              <w:jc w:val="center"/>
            </w:pPr>
            <m:oMath>
              <m:r>
                <m:t>4</m:t>
              </m:r>
              <m:r>
                <m:rPr>
                  <m:sty m:val="p"/>
                </m:rPr>
                <m:t>×</m:t>
              </m:r>
              <m:r>
                <m:t>4</m:t>
              </m:r>
              <m:r>
                <m:rPr>
                  <m:sty m:val="p"/>
                </m:rPr>
                <m:t>×</m:t>
              </m:r>
              <m:r>
                <m:t>4</m:t>
              </m:r>
            </m:oMath>
            <w:r>
              <w:rPr>
                <w:rFonts w:ascii="Times New Roman" w:hAnsi="Times New Roman" w:eastAsia="宋体" w:cs="Times New Roman" w:hint="eastAsia"/>
                <w:b w:val="0"/>
                <w:i w:val="0"/>
                <w:sz w:val="18"/>
              </w:rPr>
              <w:t>全因子成层坡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训练、整工况五折交叉验证及最终重拟合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是</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B组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参数域内部的中间水平组合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检查训练网格之间的组合泛化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C组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4个体系与3条真实记录的不平衡组合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频域预测—时域重构—直接有限元闭环</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bl>
    <w:p>
      <w:pPr>
        <w:spacing w:before="0" w:after="0"/>
        <w:ind w:firstLine="420"/>
        <w:jc w:val="both"/>
      </w:pPr>
      <w:r>
        <w:rPr>
          <w:rFonts w:ascii="Times New Roman" w:hAnsi="Times New Roman" w:eastAsia="宋体" w:cs="Times New Roman" w:hint="eastAsia"/>
          <w:b w:val="0"/>
          <w:i w:val="0"/>
          <w:sz w:val="21"/>
        </w:rPr>
        <w:t>这种分池方式把“参数域覆盖”“模型选择”和“最终用途检验”分开处理。P组的规则全因子设计保证每个单因素水平都与另外两项参数完整组合，便于模型同时学习主效应和交互变化；B组则故意落在相邻训练水平之间，使评价对象从已见节点的复现变为三维参数空间内的插值。B组不是从P组随机抽出的12例，因此它比普通随机留出更能暴露规则网格中间的弯曲响应，但仍不能代表参数包络之外的外推能力。C组进一步更换输入地震记录并比较时域量，回答的是代理误差经过特定输入频谱加权以后会产生多大响应偏差。三个层次不能互相替代：交叉验证适合选模型，B组适合检查网格间组合，C组只检验已选模型的端到端重构表现。</w:t>
      </w:r>
    </w:p>
    <w:p>
      <w:pPr>
        <w:spacing w:before="0" w:after="0"/>
        <w:ind w:firstLine="420"/>
        <w:jc w:val="both"/>
      </w:pPr>
      <w:r>
        <w:rPr>
          <w:rFonts w:ascii="Times New Roman" w:hAnsi="Times New Roman" w:eastAsia="宋体" w:cs="Times New Roman" w:hint="eastAsia"/>
          <w:b w:val="0"/>
          <w:i w:val="0"/>
          <w:sz w:val="21"/>
        </w:rPr>
        <w:t>数据隔离的边界以“物理工况”为单位，而不是以频率点或空间点为单位。一个工况中的30 912个实数输出来自同一次数值计算，频率相邻点共享同一条时程，空间相邻点也受同一波场控制；若把这些点随机分到训练集和验证集，模型实际上可以从同一工况的其余网格点间接识别待验证点，所得误差会严重偏低。更隐蔽的泄漏还可能来自全样本标准化和全样本POD：即使回归器没有读取验证标签，只要验证工况参与了输出均值、方差或模态基底的计算，其场形态就已经进入训练流程。本文因此把有效掩码、缺失值填补量、输入输出尺度和POD基底都限定在各折训练工况内计算，验证折只执行既定变换。最终重拟合可以使用全部P组，是因为模型选择已经结束；B组和C组仍保持在这一过程之外。</w:t>
      </w:r>
    </w:p>
    <w:p>
      <w:pPr>
        <w:spacing w:before="0" w:after="0"/>
        <w:ind w:firstLine="420"/>
        <w:jc w:val="both"/>
      </w:pPr>
      <w:r>
        <w:rPr>
          <w:rFonts w:ascii="Times New Roman" w:hAnsi="Times New Roman" w:eastAsia="宋体" w:cs="Times New Roman" w:hint="eastAsia"/>
          <w:b w:val="0"/>
          <w:i w:val="0"/>
          <w:sz w:val="21"/>
        </w:rPr>
        <w:t>每个工况的目标为公共网格上扣除斜入射水平传播相位后的水平总波场响应</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bi"/>
                </m:rPr>
                <m:t>x</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rPr>
                      <m:sty m:val="bi"/>
                    </m:rPr>
                    <m:t>x</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bi"/>
                    </m:rPr>
                    <m:t>x</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(18)</w:t>
            </w:r>
          </w:p>
        </w:tc>
      </w:tr>
    </w:tbl>
    <w:p>
      <w:pPr>
        <w:spacing w:before="0" w:after="0"/>
        <w:ind w:firstLine="420"/>
        <w:jc w:val="both"/>
      </w:pPr>
      <w:r>
        <w:rPr>
          <w:rFonts w:ascii="Times New Roman" w:hAnsi="Times New Roman" w:eastAsia="宋体" w:cs="Times New Roman" w:hint="eastAsia"/>
          <w:b w:val="0"/>
          <w:i w:val="0"/>
          <w:sz w:val="21"/>
        </w:rPr>
        <w:t>其中，全地表的幅值均以同一左侧上平台自由场为参考，相位则进一步扣除斜入射平面波从</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传播到</w:t>
      </w:r>
      <m:oMath>
        <m:r>
          <m:t>x</m:t>
        </m:r>
        <m:r>
          <m:rPr>
            <m:sty m:val="p"/>
          </m:rPr>
          <m:t>(</m:t>
        </m:r>
        <m:r>
          <m:t>s</m:t>
        </m:r>
        <m:r>
          <m:rPr>
            <m:sty m:val="p"/>
          </m:rPr>
          <m:t>)</m:t>
        </m:r>
      </m:oMath>
      <w:r>
        <w:rPr>
          <w:rFonts w:ascii="Times New Roman" w:hAnsi="Times New Roman" w:eastAsia="宋体" w:cs="Times New Roman" w:hint="eastAsia"/>
          <w:b w:val="0"/>
          <w:i w:val="0"/>
          <w:sz w:val="21"/>
        </w:rPr>
        <w:t>的确定性水平项。频率范围为0.5～10.0 Hz、间隔0.1 Hz，共96个频点；归一化地表坐标范围为</w:t>
      </w:r>
      <m:oMath>
        <m:r>
          <m:rPr>
            <m:sty m:val="p"/>
          </m:rPr>
          <m:t>−</m:t>
        </m:r>
        <m:r>
          <m:t>4</m:t>
        </m:r>
        <m:r>
          <m:rPr>
            <m:sty m:val="p"/>
          </m:rPr>
          <m:t>≤</m:t>
        </m:r>
        <m:r>
          <m:t>s</m:t>
        </m:r>
        <m:r>
          <m:rPr>
            <m:sty m:val="p"/>
          </m:rPr>
          <m:t>≤</m:t>
        </m:r>
        <m:r>
          <m:t>4</m:t>
        </m:r>
      </m:oMath>
      <w:r>
        <w:rPr>
          <w:rFonts w:ascii="Times New Roman" w:hAnsi="Times New Roman" w:eastAsia="宋体" w:cs="Times New Roman" w:hint="eastAsia"/>
          <w:b w:val="0"/>
          <w:i w:val="0"/>
          <w:sz w:val="21"/>
        </w:rPr>
        <w:t>、间隔0.05，共161个空间点。因此，一个工况包含</w:t>
      </w:r>
      <m:oMath>
        <m:r>
          <m:t>96</m:t>
        </m:r>
        <m:r>
          <m:rPr>
            <m:sty m:val="p"/>
          </m:rPr>
          <m:t>×</m:t>
        </m:r>
        <m:r>
          <m:t>161</m:t>
        </m:r>
        <m:r>
          <m:rPr>
            <m:sty m:val="p"/>
          </m:rPr>
          <m:t>=</m:t>
        </m:r>
        <m:r>
          <m:t>15</m:t>
        </m:r>
        <m:r>
          <m:t> </m:t>
        </m:r>
        <m:r>
          <m:t>456</m:t>
        </m:r>
      </m:oMath>
      <w:r>
        <w:rPr>
          <w:rFonts w:ascii="Times New Roman" w:hAnsi="Times New Roman" w:eastAsia="宋体" w:cs="Times New Roman" w:hint="eastAsia"/>
          <w:b w:val="0"/>
          <w:i w:val="0"/>
          <w:sz w:val="21"/>
        </w:rPr>
        <w:t>个复数输出。该目标保留散射和成层干涉产生的幅相结构，同时减轻代理模型学习已知线性相位斜坡的负担。真实波重构时必须按式（22）把该相位乘回。</w:t>
      </w:r>
    </w:p>
    <w:p>
      <w:pPr>
        <w:spacing w:before="0" w:after="0"/>
        <w:ind w:firstLine="420"/>
        <w:jc w:val="both"/>
      </w:pPr>
      <w:r>
        <w:rPr>
          <w:rFonts w:ascii="Times New Roman" w:hAnsi="Times New Roman" w:eastAsia="宋体" w:cs="Times New Roman" w:hint="eastAsia"/>
          <w:b w:val="0"/>
          <w:i w:val="0"/>
          <w:sz w:val="21"/>
        </w:rPr>
        <w:t>公共网格不仅便于组成矩阵，也保证每一输出维度在不同工况间具有相同的物理含义。例如，固定列对应同一归一化位置和同一频率，而不是某个工况的“第若干个表面节点”。所有区段共用左侧自由场幅值基准，并以各位置的当地入射相位为相位参考，因此</w:t>
      </w:r>
      <m:oMath>
        <m:r>
          <m:t>s</m:t>
        </m:r>
        <m:r>
          <m:rPr>
            <m:sty m:val="p"/>
          </m:rPr>
          <m:t>=</m:t>
        </m:r>
        <m:r>
          <m:t>1</m:t>
        </m:r>
      </m:oMath>
      <w:r>
        <w:rPr>
          <w:rFonts w:ascii="Times New Roman" w:hAnsi="Times New Roman" w:eastAsia="宋体" w:cs="Times New Roman" w:hint="eastAsia"/>
          <w:b w:val="0"/>
          <w:i w:val="0"/>
          <w:sz w:val="21"/>
        </w:rPr>
        <w:t>两侧的输出差别表征坡体散射和成层干涉。坡脚附近的快速变化是模型需要学习的物理结构。本章预测的是总波场相对于当地相位一致自由场参考的完整空间响应。</w:t>
      </w:r>
    </w:p>
    <w:p>
      <w:pPr>
        <w:spacing w:before="0" w:after="0"/>
        <w:ind w:firstLine="420"/>
        <w:jc w:val="both"/>
      </w:pPr>
      <w:r>
        <w:rPr>
          <w:rFonts w:ascii="Times New Roman" w:hAnsi="Times New Roman" w:eastAsia="宋体" w:cs="Times New Roman" w:hint="eastAsia"/>
          <w:b w:val="0"/>
          <w:i w:val="0"/>
          <w:sz w:val="21"/>
        </w:rPr>
        <w:t xml:space="preserve">为避免复数相位在 </w:t>
      </w:r>
      <m:oMath>
        <m:r>
          <m:rPr>
            <m:sty m:val="p"/>
          </m:rPr>
          <m:t>−</m:t>
        </m:r>
        <m:r>
          <m:t>π</m:t>
        </m:r>
      </m:oMath>
      <w:r>
        <w:rPr>
          <w:rFonts w:ascii="Times New Roman" w:hAnsi="Times New Roman" w:eastAsia="宋体" w:cs="Times New Roman" w:hint="eastAsia"/>
          <w:b w:val="0"/>
          <w:i w:val="0"/>
          <w:sz w:val="21"/>
        </w:rPr>
        <w:t xml:space="preserve"> 与 </w:t>
      </w:r>
      <m:oMath>
        <m:r>
          <m:t>π</m:t>
        </m:r>
      </m:oMath>
      <w:r>
        <w:rPr>
          <w:rFonts w:ascii="Times New Roman" w:hAnsi="Times New Roman" w:eastAsia="宋体" w:cs="Times New Roman" w:hint="eastAsia"/>
          <w:b w:val="0"/>
          <w:i w:val="0"/>
          <w:sz w:val="21"/>
        </w:rPr>
        <w:t xml:space="preserve"> 处跳变，模型不直接回归幅值和相位，而是将有效网格点的实部、虚部依次拼接为输出向量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rPr>
                      <m:sty m:val="bi"/>
                    </m:rPr>
                    <m:t>y</m:t>
                  </m:r>
                </m:e>
                <m:sub>
                  <m:r>
                    <m:t>n</m:t>
                  </m:r>
                </m:sub>
              </m:sSub>
              <m:r>
                <m:rPr>
                  <m:sty m:val="p"/>
                </m:rPr>
                <m:t>=</m:t>
              </m:r>
              <m:r>
                <m:rPr>
                  <m:sty m:val="p"/>
                </m:rPr>
                <m:t>[</m:t>
              </m:r>
              <m:r>
                <m:rPr>
                  <m:sty m:val="p"/>
                </m:rPr>
                <m:t>Re</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Re</m:t>
              </m:r>
              <m:r>
                <m:rPr>
                  <m:sty m:val="p"/>
                </m:rPr>
                <m:t>(</m:t>
              </m:r>
              <m:sSub>
                <m:e>
                  <m:r>
                    <m:t>G</m:t>
                  </m:r>
                </m:e>
                <m:sub>
                  <m:r>
                    <m:t>h</m:t>
                  </m:r>
                  <m:r>
                    <m:rPr>
                      <m:sty m:val="p"/>
                    </m:rPr>
                    <m:t>,</m:t>
                  </m:r>
                  <m:r>
                    <m:t>n</m:t>
                  </m:r>
                  <m:r>
                    <m:rPr>
                      <m:sty m:val="p"/>
                    </m:rPr>
                    <m:t>,</m:t>
                  </m:r>
                  <m:r>
                    <m:t>m</m:t>
                  </m:r>
                </m:sub>
              </m:sSub>
              <m:r>
                <m:rPr>
                  <m:sty m:val="p"/>
                </m:rPr>
                <m:t>)</m:t>
              </m:r>
              <m:r>
                <m:rPr>
                  <m:sty m:val="p"/>
                </m:rPr>
                <m:t>,</m:t>
              </m:r>
              <m:r>
                <m:rPr>
                  <m:sty m:val="p"/>
                </m:rPr>
                <m:t>Im</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Im</m:t>
              </m:r>
              <m:r>
                <m:rPr>
                  <m:sty m:val="p"/>
                </m:rPr>
                <m:t>(</m:t>
              </m:r>
              <m:sSub>
                <m:e>
                  <m:r>
                    <m:t>G</m:t>
                  </m:r>
                </m:e>
                <m:sub>
                  <m:r>
                    <m:t>h</m:t>
                  </m:r>
                  <m:r>
                    <m:rPr>
                      <m:sty m:val="p"/>
                    </m:rPr>
                    <m:t>,</m:t>
                  </m:r>
                  <m:r>
                    <m:t>n</m:t>
                  </m:r>
                  <m:r>
                    <m:rPr>
                      <m:sty m:val="p"/>
                    </m:rPr>
                    <m:t>,</m:t>
                  </m:r>
                  <m:r>
                    <m:t>m</m:t>
                  </m:r>
                </m:sub>
              </m:sSub>
              <m:r>
                <m:rPr>
                  <m:sty m:val="p"/>
                </m:rPr>
                <m:t>)</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式中 </w:t>
      </w:r>
      <m:oMath>
        <m:r>
          <m:t>m</m:t>
        </m:r>
        <m:r>
          <m:rPr>
            <m:sty m:val="p"/>
          </m:rPr>
          <m:t>=</m:t>
        </m:r>
        <m:r>
          <m:t>15</m:t>
        </m:r>
        <m:r>
          <m:t> </m:t>
        </m:r>
        <m:r>
          <m:t>456</m:t>
        </m:r>
      </m:oMath>
      <w:r>
        <w:rPr>
          <w:rFonts w:ascii="Times New Roman" w:hAnsi="Times New Roman" w:eastAsia="宋体" w:cs="Times New Roman" w:hint="eastAsia"/>
          <w:b w:val="0"/>
          <w:i w:val="0"/>
          <w:sz w:val="21"/>
        </w:rPr>
        <w:t>。在每个外层训练折内部，先根据训练样本计算共同有效像素；某像素在不少于95%的训练工况中有效时才进入模型，偶发非有限值仅用该训练折相应输出维度的均值填补。随后分别以训练折均值和标准差对每个实、虚输出维度进行中心化和尺度化，输入的三个参数同样只用该训练折的均值和标准差标准化。最终64个P工况重拟合时，15 456个复数网格点全部满足有效率要求。上述处理均在折内重新计算，没有使用验证折或B组的信息，因而避免了将待评价工况的均值、尺度或空间基底泄漏给模型。</w:t>
      </w:r>
    </w:p>
    <w:p>
      <w:pPr>
        <w:spacing w:before="0" w:after="0"/>
        <w:ind w:firstLine="420"/>
        <w:jc w:val="both"/>
      </w:pPr>
      <w:r>
        <w:rPr>
          <w:rFonts w:ascii="Times New Roman" w:hAnsi="Times New Roman" w:eastAsia="宋体" w:cs="Times New Roman" w:hint="eastAsia"/>
          <w:b w:val="0"/>
          <w:i w:val="0"/>
          <w:sz w:val="21"/>
        </w:rPr>
        <w:t xml:space="preserve">实部—虚部表示的主要好处是消除相位主值的人为断点。若直接回归相位，真实相位从 </w:t>
      </w:r>
      <m:oMath>
        <m:sSup>
          <m:e>
            <m:r>
              <m:t>179</m:t>
            </m:r>
          </m:e>
          <m:sup>
            <m:r>
              <m:rPr>
                <m:sty m:val="p"/>
              </m:rPr>
              <m:t>∘</m:t>
            </m:r>
          </m:sup>
        </m:sSup>
      </m:oMath>
      <w:r>
        <w:rPr>
          <w:rFonts w:ascii="Times New Roman" w:hAnsi="Times New Roman" w:eastAsia="宋体" w:cs="Times New Roman" w:hint="eastAsia"/>
          <w:b w:val="0"/>
          <w:i w:val="0"/>
          <w:sz w:val="21"/>
        </w:rPr>
        <w:t xml:space="preserve"> 连续变化到 </w:t>
      </w:r>
      <m:oMath>
        <m:sSup>
          <m:e>
            <m:r>
              <m:t>181</m:t>
            </m:r>
          </m:e>
          <m:sup>
            <m:r>
              <m:rPr>
                <m:sty m:val="p"/>
              </m:rPr>
              <m:t>∘</m:t>
            </m:r>
          </m:sup>
        </m:sSup>
      </m:oMath>
      <w:r>
        <w:rPr>
          <w:rFonts w:ascii="Times New Roman" w:hAnsi="Times New Roman" w:eastAsia="宋体" w:cs="Times New Roman" w:hint="eastAsia"/>
          <w:b w:val="0"/>
          <w:i w:val="0"/>
          <w:sz w:val="21"/>
        </w:rPr>
        <w:t xml:space="preserve"> 时，保存为主值后会从 </w:t>
      </w:r>
      <m:oMath>
        <m:sSup>
          <m:e>
            <m:r>
              <m:t>179</m:t>
            </m:r>
          </m:e>
          <m:sup>
            <m:r>
              <m:rPr>
                <m:sty m:val="p"/>
              </m:rPr>
              <m:t>∘</m:t>
            </m:r>
          </m:sup>
        </m:sSup>
      </m:oMath>
      <w:r>
        <w:rPr>
          <w:rFonts w:ascii="Times New Roman" w:hAnsi="Times New Roman" w:eastAsia="宋体" w:cs="Times New Roman" w:hint="eastAsia"/>
          <w:b w:val="0"/>
          <w:i w:val="0"/>
          <w:sz w:val="21"/>
        </w:rPr>
        <w:t xml:space="preserve"> 跳到 </w:t>
      </w:r>
      <m:oMath>
        <m:r>
          <m:rPr>
            <m:sty m:val="p"/>
          </m:rPr>
          <m:t>−</m:t>
        </m:r>
        <m:sSup>
          <m:e>
            <m:r>
              <m:t>179</m:t>
            </m:r>
          </m:e>
          <m:sup>
            <m:r>
              <m:rPr>
                <m:sty m:val="p"/>
              </m:rPr>
              <m:t>∘</m:t>
            </m:r>
          </m:sup>
        </m:sSup>
      </m:oMath>
      <w:r>
        <w:rPr>
          <w:rFonts w:ascii="Times New Roman" w:hAnsi="Times New Roman" w:eastAsia="宋体" w:cs="Times New Roman" w:hint="eastAsia"/>
          <w:b w:val="0"/>
          <w:i w:val="0"/>
          <w:sz w:val="21"/>
        </w:rPr>
        <w:t>，普通回归损失会把本来只有2°的差别看成358°。把复数写成直角坐标后，这一变化在输出空间仍然连续，幅值与相位也通过同一对分量共同决定。直接回归对数幅值和解缠相位虽然也可避免部分问题，但二维频率—空间场的相位解缠路径并不唯一，低幅值区的相位还会对微小数值扰动异常敏感。实虚表示不要求先人为指定解缠方向，更适合在所有工况上执行一致的机械处理。</w:t>
      </w:r>
    </w:p>
    <w:p>
      <w:pPr>
        <w:spacing w:before="0" w:after="0"/>
        <w:ind w:firstLine="420"/>
        <w:jc w:val="both"/>
      </w:pPr>
      <w:r>
        <w:rPr>
          <w:rFonts w:ascii="Times New Roman" w:hAnsi="Times New Roman" w:eastAsia="宋体" w:cs="Times New Roman" w:hint="eastAsia"/>
          <w:b w:val="0"/>
          <w:i w:val="0"/>
          <w:sz w:val="21"/>
        </w:rPr>
        <w:t>按输出维度标准化同样是必要的。未经标准化时，少数高幅值频率—空间点会主导平方损失，POD首先追踪的是绝对幅值最大的区域，小幅但稳定的相位结构容易被忽略；标准化后，各网格维度先按P组内部变异尺度进入分解，使模态反映“随参数改变的相对变化”。这种处理并不意味着每个物理区域在最终评价中权重相同，因为预测还要逆变换回原始复数场，并按输入频率能量计算式（21）。因此，POD累计能量描述的是标准化训练输出的方差压缩程度，而不是地震输入能量或工程误差的直接占比。区分这三种“能量”是解释后续12、24和36阶结果的前提。</w:t>
      </w:r>
    </w:p>
    <w:p>
      <w:pPr>
        <w:spacing w:before="0" w:after="0"/>
        <w:ind w:firstLine="420"/>
        <w:jc w:val="both"/>
      </w:pPr>
      <w:r>
        <w:rPr>
          <w:rFonts w:ascii="Times New Roman" w:hAnsi="Times New Roman" w:eastAsia="宋体" w:cs="Times New Roman" w:hint="eastAsia"/>
          <w:b w:val="0"/>
          <w:i w:val="0"/>
          <w:sz w:val="21"/>
        </w:rPr>
        <w:t xml:space="preserve">标准化后的输出矩阵记为 </w:t>
      </w:r>
      <m:oMath>
        <m:r>
          <m:rPr>
            <m:sty m:val="bi"/>
          </m:rPr>
          <m:t>Y</m:t>
        </m:r>
      </m:oMath>
      <w:r>
        <w:rPr>
          <w:rFonts w:ascii="Times New Roman" w:hAnsi="Times New Roman" w:eastAsia="宋体" w:cs="Times New Roman" w:hint="eastAsia"/>
          <w:b w:val="0"/>
          <w:i w:val="0"/>
          <w:sz w:val="21"/>
        </w:rPr>
        <w:t>，采用奇异值分解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Y</m:t>
              </m:r>
              <m:r>
                <m:rPr>
                  <m:sty m:val="p"/>
                </m:rPr>
                <m:t>=</m:t>
              </m:r>
              <m:r>
                <m:rPr>
                  <m:sty m:val="bi"/>
                </m:rPr>
                <m:t>U</m:t>
              </m:r>
              <m:r>
                <m:rPr>
                  <m:sty m:val="b"/>
                </m:rPr>
                <m:t>Σ</m:t>
              </m:r>
              <m:sSup>
                <m:e>
                  <m:r>
                    <m:rPr>
                      <m:sty m:val="bi"/>
                    </m:rPr>
                    <m:t>V</m:t>
                  </m:r>
                </m:e>
                <m:sup>
                  <m:r>
                    <m:rPr>
                      <m:sty m:val="p"/>
                    </m:rPr>
                    <m:t>T</m:t>
                  </m:r>
                </m:sup>
              </m:sSup>
              <m:r>
                <m:rPr>
                  <m:sty m:val="p"/>
                </m:rPr>
                <m:t>,</m:t>
              </m:r>
              <m:r>
                <m:t>  </m:t>
              </m:r>
              <m:sSub>
                <m:e>
                  <m:r>
                    <m:t>η</m:t>
                  </m:r>
                </m:e>
                <m:sub>
                  <m:r>
                    <m:t>K</m:t>
                  </m:r>
                </m:sub>
              </m:sSub>
              <m:r>
                <m:rPr>
                  <m:sty m:val="p"/>
                </m:rPr>
                <m:t>=</m:t>
              </m:r>
              <m:f>
                <m:fPr>
                  <m:type m:val="bar"/>
                </m:fPr>
                <m:num>
                  <m:nary>
                    <m:naryPr>
                      <m:chr m:val="∑"/>
                      <m:limLoc m:val="undOvr"/>
                      <m:subHide m:val="off"/>
                      <m:supHide m:val="off"/>
                    </m:naryPr>
                    <m:sub>
                      <m:r>
                        <m:t>k</m:t>
                      </m:r>
                      <m:r>
                        <m:rPr>
                          <m:sty m:val="p"/>
                        </m:rPr>
                        <m:t>=</m:t>
                      </m:r>
                      <m:r>
                        <m:t>1</m:t>
                      </m:r>
                    </m:sub>
                    <m:sup>
                      <m:r>
                        <m:t>K</m:t>
                      </m:r>
                    </m:sup>
                    <m:e>
                      <m:sSubSup>
                        <m:e>
                          <m:r>
                            <m:t>σ</m:t>
                          </m:r>
                        </m:e>
                        <m:sub>
                          <m:r>
                            <m:t>k</m:t>
                          </m:r>
                        </m:sub>
                        <m:sup>
                          <m:r>
                            <m:t>2</m:t>
                          </m:r>
                        </m:sup>
                      </m:sSubSup>
                    </m:e>
                  </m:nary>
                </m:num>
                <m:den>
                  <m:nary>
                    <m:naryPr>
                      <m:chr m:val="∑"/>
                      <m:limLoc m:val="undOvr"/>
                      <m:subHide m:val="off"/>
                      <m:supHide m:val="off"/>
                    </m:naryPr>
                    <m:sub>
                      <m:r>
                        <m:t>k</m:t>
                      </m:r>
                      <m:r>
                        <m:rPr>
                          <m:sty m:val="p"/>
                        </m:rPr>
                        <m:t>=</m:t>
                      </m:r>
                      <m:r>
                        <m:t>1</m:t>
                      </m:r>
                    </m:sub>
                    <m:sup>
                      <m:r>
                        <m:t>r</m:t>
                      </m:r>
                    </m:sup>
                    <m:e>
                      <m:sSubSup>
                        <m:e>
                          <m:r>
                            <m:t>σ</m:t>
                          </m:r>
                        </m:e>
                        <m:sub>
                          <m:r>
                            <m:t>k</m:t>
                          </m:r>
                        </m:sub>
                        <m:sup>
                          <m:r>
                            <m:t>2</m:t>
                          </m:r>
                        </m:sup>
                      </m:sSubSup>
                    </m:e>
                  </m:nary>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(19)</w:t>
            </w:r>
          </w:p>
        </w:tc>
      </w:tr>
    </w:tbl>
    <w:p>
      <w:pPr>
        <w:spacing w:before="0" w:after="0"/>
        <w:ind w:firstLine="420"/>
        <w:jc w:val="both"/>
      </w:pPr>
      <w:r>
        <w:rPr>
          <w:rFonts w:ascii="Times New Roman" w:hAnsi="Times New Roman" w:eastAsia="宋体" w:cs="Times New Roman" w:hint="eastAsia"/>
          <w:b w:val="0"/>
          <w:i w:val="0"/>
          <w:sz w:val="21"/>
        </w:rPr>
        <w:t>式（19）中，</w:t>
      </w:r>
      <m:oMath>
        <m:sSub>
          <m:e>
            <m:r>
              <m:t>σ</m:t>
            </m:r>
          </m:e>
          <m:sub>
            <m:r>
              <m:t>k</m:t>
            </m:r>
          </m:sub>
        </m:sSub>
      </m:oMath>
      <w:r>
        <w:rPr>
          <w:rFonts w:ascii="Times New Roman" w:hAnsi="Times New Roman" w:eastAsia="宋体" w:cs="Times New Roman" w:hint="eastAsia"/>
          <w:b w:val="0"/>
          <w:i w:val="0"/>
          <w:sz w:val="21"/>
        </w:rPr>
        <w:t xml:space="preserve"> 为第 </w:t>
      </w:r>
      <m:oMath>
        <m:r>
          <m:t>k</m:t>
        </m:r>
      </m:oMath>
      <w:r>
        <w:rPr>
          <w:rFonts w:ascii="Times New Roman" w:hAnsi="Times New Roman" w:eastAsia="宋体" w:cs="Times New Roman" w:hint="eastAsia"/>
          <w:b w:val="0"/>
          <w:i w:val="0"/>
          <w:sz w:val="21"/>
        </w:rPr>
        <w:t xml:space="preserve"> 个奇异值，</w:t>
      </w:r>
      <m:oMath>
        <m:r>
          <m:t>r</m:t>
        </m:r>
        <m:r>
          <m:rPr>
            <m:sty m:val="p"/>
          </m:rPr>
          <m:t>=</m:t>
        </m:r>
        <m:r>
          <m:rPr>
            <m:sty m:val="p"/>
          </m:rPr>
          <m:t>rank</m:t>
        </m:r>
        <m:r>
          <m:rPr>
            <m:sty m:val="p"/>
          </m:rPr>
          <m:t>(</m:t>
        </m:r>
        <m:r>
          <m:rPr>
            <m:sty m:val="bi"/>
          </m:rPr>
          <m:t>Y</m:t>
        </m:r>
        <m:r>
          <m:rPr>
            <m:sty m:val="p"/>
          </m:rPr>
          <m:t>)</m:t>
        </m:r>
      </m:oMath>
      <w:r>
        <w:rPr>
          <w:rFonts w:ascii="Times New Roman" w:hAnsi="Times New Roman" w:eastAsia="宋体" w:cs="Times New Roman" w:hint="eastAsia"/>
          <w:b w:val="0"/>
          <w:i w:val="0"/>
          <w:sz w:val="21"/>
        </w:rPr>
        <w:t xml:space="preserve">。将完整场投影到前 </w:t>
      </w:r>
      <m:oMath>
        <m:r>
          <m:t>K</m:t>
        </m:r>
      </m:oMath>
      <w:r>
        <w:rPr>
          <w:rFonts w:ascii="Times New Roman" w:hAnsi="Times New Roman" w:eastAsia="宋体" w:cs="Times New Roman" w:hint="eastAsia"/>
          <w:b w:val="0"/>
          <w:i w:val="0"/>
          <w:sz w:val="21"/>
        </w:rPr>
        <w:t xml:space="preserve"> 个POD模态，得到每个工况的低维系数 </w:t>
      </w:r>
      <m:oMath>
        <m:r>
          <m:rPr>
            <m:sty m:val="bi"/>
          </m:rPr>
          <m:t>z</m:t>
        </m:r>
        <m:r>
          <m:rPr>
            <m:sty m:val="p"/>
          </m:rPr>
          <m:t>=</m:t>
        </m:r>
        <m:r>
          <m:rPr>
            <m:sty m:val="bi"/>
          </m:rPr>
          <m:t>Y</m:t>
        </m:r>
        <m:sSub>
          <m:e>
            <m:r>
              <m:rPr>
                <m:sty m:val="bi"/>
              </m:rPr>
              <m:t>V</m:t>
            </m:r>
          </m:e>
          <m:sub>
            <m:r>
              <m:t>K</m:t>
            </m:r>
          </m:sub>
        </m:sSub>
      </m:oMath>
      <w:r>
        <w:rPr>
          <w:rFonts w:ascii="Times New Roman" w:hAnsi="Times New Roman" w:eastAsia="宋体" w:cs="Times New Roman" w:hint="eastAsia"/>
          <w:b w:val="0"/>
          <w:i w:val="0"/>
          <w:sz w:val="21"/>
        </w:rPr>
        <w:t>。图18(a)表明，B组参数点分布在P组规则网格之间，能够检验模型是否只会复现最近训练节点；图18(c)～(e)给出的前三阶复数模态同时编码了坡面邻域的窄带结构、下平台的中高频响应及跨区段连续条带，而非某一位置的单个峰值。前三阶累计能量为49.96%，说明场变化不由一两个模态支配。</w:t>
      </w:r>
    </w:p>
    <w:p>
      <w:pPr>
        <w:spacing w:before="0" w:after="0"/>
        <w:ind w:firstLine="420"/>
        <w:jc w:val="both"/>
      </w:pPr>
      <w:r>
        <w:rPr>
          <w:rFonts w:ascii="Times New Roman" w:hAnsi="Times New Roman" w:eastAsia="宋体" w:cs="Times New Roman" w:hint="eastAsia"/>
          <w:b w:val="0"/>
          <w:i w:val="0"/>
          <w:sz w:val="21"/>
        </w:rPr>
        <w:t>POD适用于这里的根本原因，是64个工况虽然各有30 912维输出，但这些输出并非彼此独立。相邻频点和相邻地表位置由同一传播、反射和干涉过程联系起来，参数改变时常表现为整条峰谷带的平移、增强或减弱，因此高维场可以由较少的协同变化方向近似表示。经过中心化后，64个样本构成的矩阵秩至多为63，POD先把可学习对象从数万个网格量降到至多63个样本方向，再由回归器预测其中前若干个系数。这种降维并没有预设某一频率或位置最重要，模态也不对应单独的物理振型；它只是从P组观测到的参数变化中提取正交统计基底。图18的前三阶模态跨越多个空间段，正说明“一个模态等于一个峰”并不成立。</w:t>
      </w:r>
    </w:p>
    <w:p>
      <w:pPr>
        <w:spacing w:before="80" w:after="40"/>
        <w:ind w:firstLine="0"/>
        <w:jc w:val="center"/>
      </w:pPr>
      <w:r>
        <w:drawing>
          <wp:inline xmlns:a="http://schemas.openxmlformats.org/drawingml/2006/main" xmlns:pic="http://schemas.openxmlformats.org/drawingml/2006/picture">
            <wp:extent cx="5669280" cy="3587299"/>
            <wp:docPr id="14" name="Picture 14"/>
            <wp:cNvGraphicFramePr>
              <a:graphicFrameLocks noChangeAspect="1"/>
            </wp:cNvGraphicFramePr>
            <a:graphic>
              <a:graphicData uri="http://schemas.openxmlformats.org/drawingml/2006/picture">
                <pic:pic>
                  <pic:nvPicPr>
                    <pic:cNvPr id="0" name="fig18_参数样本空间与POD能量模态.png"/>
                    <pic:cNvPicPr/>
                  </pic:nvPicPr>
                  <pic:blipFill>
                    <a:blip r:embed="rId30"/>
                    <a:stretch>
                      <a:fillRect/>
                    </a:stretch>
                  </pic:blipFill>
                  <pic:spPr>
                    <a:xfrm>
                      <a:off x="0" y="0"/>
                      <a:ext cx="5669280" cy="358729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图18 训练与训练外参数样本、POD累计能量及前三阶复数模态：（a）64个P组训练参数点与12个B组训练外参数点；（b）64个P工况相位对齐输出矩阵的累计能量，12、24和36阶分别为86.906%、97.282%和99.523%；（c）～（e）按输出标准差还原后的前三阶复数模态幅值</w:t>
      </w:r>
    </w:p>
    <w:p>
      <w:pPr>
        <w:spacing w:before="0" w:after="60"/>
        <w:ind w:firstLine="0"/>
        <w:jc w:val="center"/>
      </w:pPr>
      <w:r>
        <w:rPr>
          <w:rFonts w:ascii="Times New Roman" w:hAnsi="Times New Roman" w:eastAsia="Times New Roman" w:cs="Times New Roman" w:hint="eastAsia"/>
          <w:b w:val="0"/>
          <w:i w:val="0"/>
          <w:sz w:val="18"/>
        </w:rPr>
        <w:t>Fig. 18 Training and training-excluded parameter samples, cumulative POD energy, and the first three complex modes</w:t>
      </w:r>
    </w:p>
    <w:p>
      <w:pPr>
        <w:spacing w:before="0" w:after="0"/>
        <w:ind w:firstLine="420"/>
        <w:jc w:val="both"/>
      </w:pPr>
      <w:r>
        <w:rPr>
          <w:rFonts w:ascii="Times New Roman" w:hAnsi="Times New Roman" w:eastAsia="宋体" w:cs="Times New Roman" w:hint="eastAsia"/>
          <w:b w:val="0"/>
          <w:i w:val="0"/>
          <w:sz w:val="21"/>
        </w:rPr>
        <w:t>训练配置把累计能量目标设为0.995，同时把最多保留阶数限制为12。按完整P组重新分解后，12阶保留86.906%的标准化输出能量；达到99.5%需要36阶，此时实际累计能量为99.523%。因此，主模型不能写成“12阶保留99.5%能量”。在标准化实—虚空间中，12阶之后仍有13.094%的平方能量被截去。</w:t>
      </w:r>
    </w:p>
    <w:p>
      <w:pPr>
        <w:spacing w:before="0" w:after="0"/>
        <w:ind w:firstLine="420"/>
        <w:jc w:val="both"/>
      </w:pPr>
      <w:r>
        <w:rPr>
          <w:rFonts w:ascii="Times New Roman" w:hAnsi="Times New Roman" w:eastAsia="宋体" w:cs="Times New Roman" w:hint="eastAsia"/>
          <w:b w:val="0"/>
          <w:i w:val="0"/>
          <w:sz w:val="21"/>
        </w:rPr>
        <w:t>能量目标与阶数上限共同决定模型容量。12、24和36阶未保留的标准化方差分别为13.094%、2.718%和0.477%。累计能量是训练矩阵上的重构量，而式（21）是在验证工况、原始复数尺度和输入谱权重下计算，两者的损失空间不同，不能把未保留能量直接解释为预测误差，也不能用能量接近100%推出训练外预测必然准确。</w:t>
      </w:r>
    </w:p>
    <w:p>
      <w:pPr>
        <w:spacing w:before="0" w:after="0"/>
        <w:ind w:firstLine="420"/>
        <w:jc w:val="both"/>
      </w:pPr>
      <w:r>
        <w:rPr>
          <w:rFonts w:ascii="Times New Roman" w:hAnsi="Times New Roman" w:eastAsia="宋体" w:cs="Times New Roman" w:hint="eastAsia"/>
          <w:b w:val="0"/>
          <w:i w:val="0"/>
          <w:sz w:val="21"/>
        </w:rPr>
        <w:t xml:space="preserve">POD系数分别交由三种候选方法预测。最近邻方法在标准化参数空间中寻找欧氏距离最近的P组样本，并直接复制其完整相位对齐总波场响应，用于衡量稀疏规则网格下最简单的局部基线。POD-Ridge以岭回归建立三个输入与POD系数之间的线性映射，正则化系数从 </w:t>
      </w:r>
      <m:oMath>
        <m:sSup>
          <m:e>
            <m:r>
              <m:t>10</m:t>
            </m:r>
          </m:e>
          <m:sup>
            <m:r>
              <m:rPr>
                <m:sty m:val="p"/>
              </m:rPr>
              <m:t>−</m:t>
            </m:r>
            <m:r>
              <m:t>5</m:t>
            </m:r>
          </m:sup>
        </m:sSup>
      </m:oMath>
      <w:r>
        <w:rPr>
          <w:rFonts w:ascii="Times New Roman" w:hAnsi="Times New Roman" w:eastAsia="宋体" w:cs="Times New Roman" w:hint="eastAsia"/>
          <w:b w:val="0"/>
          <w:i w:val="0"/>
          <w:sz w:val="21"/>
        </w:rPr>
        <w:t>～</w:t>
      </w:r>
      <m:oMath>
        <m:sSup>
          <m:e>
            <m:r>
              <m:t>10</m:t>
            </m:r>
          </m:e>
          <m:sup>
            <m:r>
              <m:t>5</m:t>
            </m:r>
          </m:sup>
        </m:sSup>
      </m:oMath>
      <w:r>
        <w:rPr>
          <w:rFonts w:ascii="Times New Roman" w:hAnsi="Times New Roman" w:eastAsia="宋体" w:cs="Times New Roman" w:hint="eastAsia"/>
          <w:b w:val="0"/>
          <w:i w:val="0"/>
          <w:sz w:val="21"/>
        </w:rPr>
        <w:t xml:space="preserve"> 的21个对数等距候选值中经训练折内部交叉验证确定。POD-GPR则对每一个POD系数独立建立高斯过程，核函数采用各向异性的Matérn-5/2核与白噪声核之和：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k</m:t>
              </m:r>
              <m:r>
                <m:rPr>
                  <m:sty m:val="p"/>
                </m:rPr>
                <m:t>(</m:t>
              </m:r>
              <m:r>
                <m:rPr>
                  <m:sty m:val="bi"/>
                </m:rPr>
                <m:t>x</m:t>
              </m:r>
              <m:r>
                <m:rPr>
                  <m:sty m:val="p"/>
                </m:rPr>
                <m:t>,</m:t>
              </m:r>
              <m:sSup>
                <m:e>
                  <m:r>
                    <m:rPr>
                      <m:sty m:val="bi"/>
                    </m:rPr>
                    <m:t>x</m:t>
                  </m:r>
                </m:e>
                <m:sup>
                  <m:r>
                    <m:rPr>
                      <m:sty m:val="p"/>
                    </m:rPr>
                    <m:t>′</m:t>
                  </m:r>
                </m:sup>
              </m:sSup>
              <m:r>
                <m:rPr>
                  <m:sty m:val="p"/>
                </m:rPr>
                <m:t>)</m:t>
              </m:r>
              <m:r>
                <m:rPr>
                  <m:sty m:val="p"/>
                </m:rPr>
                <m:t>=</m:t>
              </m:r>
              <m:sSubSup>
                <m:e>
                  <m:r>
                    <m:t>σ</m:t>
                  </m:r>
                </m:e>
                <m:sub>
                  <m:r>
                    <m:t>f</m:t>
                  </m:r>
                </m:sub>
                <m:sup>
                  <m:r>
                    <m:t>2</m:t>
                  </m:r>
                </m:sup>
              </m:sSubSup>
              <m:sSub>
                <m:e>
                  <m:r>
                    <m:t>k</m:t>
                  </m:r>
                </m:e>
                <m:sub>
                  <m:r>
                    <m:rPr>
                      <m:sty m:val="p"/>
                    </m:rPr>
                    <m:t>M</m:t>
                  </m:r>
                  <m:r>
                    <m:rPr>
                      <m:sty m:val="p"/>
                    </m:rPr>
                    <m:t>a</m:t>
                  </m:r>
                  <m:r>
                    <m:rPr>
                      <m:sty m:val="p"/>
                    </m:rPr>
                    <m:t>t</m:t>
                  </m:r>
                  <m:acc>
                    <m:accPr>
                      <m:chr m:val="́"/>
                    </m:accPr>
                    <m:e>
                      <m:r>
                        <m:rPr>
                          <m:sty m:val="p"/>
                        </m:rPr>
                        <m:t>e</m:t>
                      </m:r>
                    </m:e>
                  </m:acc>
                  <m:r>
                    <m:rPr>
                      <m:sty m:val="p"/>
                    </m:rPr>
                    <m:t>r</m:t>
                  </m:r>
                  <m:r>
                    <m:rPr>
                      <m:sty m:val="p"/>
                    </m:rPr>
                    <m:t>n</m:t>
                  </m:r>
                  <m:r>
                    <m:rPr>
                      <m:sty m:val="p"/>
                    </m:rPr>
                    <m:t>,</m:t>
                  </m:r>
                  <m:r>
                    <m:t>ν</m:t>
                  </m:r>
                  <m:r>
                    <m:rPr>
                      <m:sty m:val="p"/>
                    </m:rPr>
                    <m:t>=</m:t>
                  </m:r>
                  <m:r>
                    <m:t>5</m:t>
                  </m:r>
                  <m:r>
                    <m:rPr>
                      <m:sty m:val="p"/>
                    </m:rPr>
                    <m:t>/</m:t>
                  </m:r>
                  <m:r>
                    <m:t>2</m:t>
                  </m:r>
                </m:sub>
              </m:sSub>
              <m:r>
                <m:rPr>
                  <m:sty m:val="p"/>
                </m:rPr>
                <m:t>(</m:t>
              </m:r>
              <m:r>
                <m:rPr>
                  <m:sty m:val="bi"/>
                </m:rPr>
                <m:t>x</m:t>
              </m:r>
              <m:r>
                <m:rPr>
                  <m:sty m:val="p"/>
                </m:rPr>
                <m:t>,</m:t>
              </m:r>
              <m:sSup>
                <m:e>
                  <m:r>
                    <m:rPr>
                      <m:sty m:val="bi"/>
                    </m:rPr>
                    <m:t>x</m:t>
                  </m:r>
                </m:e>
                <m:sup>
                  <m:r>
                    <m:rPr>
                      <m:sty m:val="p"/>
                    </m:rPr>
                    <m:t>′</m:t>
                  </m:r>
                </m:sup>
              </m:sSup>
              <m:r>
                <m:rPr>
                  <m:sty m:val="p"/>
                </m:rPr>
                <m:t>;</m:t>
              </m:r>
              <m:sSub>
                <m:e>
                  <m:r>
                    <m:t>ℓ</m:t>
                  </m:r>
                </m:e>
                <m:sub>
                  <m:r>
                    <m:t>i</m:t>
                  </m:r>
                </m:sub>
              </m:sSub>
              <m:r>
                <m:rPr>
                  <m:sty m:val="p"/>
                </m:rPr>
                <m:t>,</m:t>
              </m:r>
              <m:sSub>
                <m:e>
                  <m:r>
                    <m:t>ℓ</m:t>
                  </m:r>
                </m:e>
                <m:sub>
                  <m:r>
                    <m:t>d</m:t>
                  </m:r>
                  <m:r>
                    <m:rPr>
                      <m:sty m:val="p"/>
                    </m:rPr>
                    <m:t>/</m:t>
                  </m:r>
                  <m:r>
                    <m:t>h</m:t>
                  </m:r>
                </m:sub>
              </m:sSub>
              <m:r>
                <m:rPr>
                  <m:sty m:val="p"/>
                </m:rPr>
                <m:t>,</m:t>
              </m:r>
              <m:sSub>
                <m:e>
                  <m:r>
                    <m:t>ℓ</m:t>
                  </m:r>
                </m:e>
                <m:sub>
                  <m:sSub>
                    <m:e>
                      <m:r>
                        <m:t>r</m:t>
                      </m:r>
                    </m:e>
                    <m:sub>
                      <m:r>
                        <m:t>v</m:t>
                      </m:r>
                    </m:sub>
                  </m:sSub>
                </m:sub>
              </m:sSub>
              <m:r>
                <m:rPr>
                  <m:sty m:val="p"/>
                </m:rPr>
                <m:t>)</m:t>
              </m:r>
              <m:r>
                <m:rPr>
                  <m:sty m:val="p"/>
                </m:rPr>
                <m:t>+</m:t>
              </m:r>
              <m:sSubSup>
                <m:e>
                  <m:r>
                    <m:t>σ</m:t>
                  </m:r>
                </m:e>
                <m:sub>
                  <m:r>
                    <m:t>n</m:t>
                  </m:r>
                </m:sub>
                <m:sup>
                  <m:r>
                    <m:t>2</m:t>
                  </m:r>
                </m:sup>
              </m:sSubSup>
              <m:sSub>
                <m:e>
                  <m:r>
                    <m:t>δ</m:t>
                  </m:r>
                </m:e>
                <m:sub>
                  <m:r>
                    <m:rPr>
                      <m:sty m:val="bi"/>
                    </m:rPr>
                    <m:t>x</m:t>
                  </m:r>
                  <m:r>
                    <m:rPr>
                      <m:sty m:val="p"/>
                    </m:rPr>
                    <m:t>,</m:t>
                  </m:r>
                  <m:sSup>
                    <m:e>
                      <m:r>
                        <m:rPr>
                          <m:sty m:val="bi"/>
                        </m:rPr>
                        <m:t>x</m:t>
                      </m:r>
                    </m:e>
                    <m:sup>
                      <m:r>
                        <m:rPr>
                          <m:sty m:val="p"/>
                        </m:rPr>
                        <m:t>′</m:t>
                      </m:r>
                    </m:sup>
                  </m:sSup>
                </m:sub>
              </m:sSub>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(20)</w:t>
            </w:r>
          </w:p>
        </w:tc>
      </w:tr>
    </w:tbl>
    <w:p>
      <w:pPr>
        <w:spacing w:before="0" w:after="0"/>
        <w:ind w:firstLine="420"/>
        <w:jc w:val="both"/>
      </w:pPr>
      <w:r>
        <w:rPr>
          <w:rFonts w:ascii="Times New Roman" w:hAnsi="Times New Roman" w:eastAsia="宋体" w:cs="Times New Roman" w:hint="eastAsia"/>
          <w:b w:val="0"/>
          <w:i w:val="0"/>
          <w:sz w:val="21"/>
        </w:rPr>
        <w:t>式（20）中，</w:t>
      </w:r>
      <m:oMath>
        <m:sSubSup>
          <m:e>
            <m:r>
              <m:t>σ</m:t>
            </m:r>
          </m:e>
          <m:sub>
            <m:r>
              <m:t>f</m:t>
            </m:r>
          </m:sub>
          <m:sup>
            <m:r>
              <m:t>2</m:t>
            </m:r>
          </m:sup>
        </m:sSubSup>
      </m:oMath>
      <w:r>
        <w:rPr>
          <w:rFonts w:ascii="Times New Roman" w:hAnsi="Times New Roman" w:eastAsia="宋体" w:cs="Times New Roman" w:hint="eastAsia"/>
          <w:b w:val="0"/>
          <w:i w:val="0"/>
          <w:sz w:val="21"/>
        </w:rPr>
        <w:t xml:space="preserve"> 和 </w:t>
      </w:r>
      <m:oMath>
        <m:sSubSup>
          <m:e>
            <m:r>
              <m:t>σ</m:t>
            </m:r>
          </m:e>
          <m:sub>
            <m:r>
              <m:t>n</m:t>
            </m:r>
          </m:sub>
          <m:sup>
            <m:r>
              <m:t>2</m:t>
            </m:r>
          </m:sup>
        </m:sSubSup>
      </m:oMath>
      <w:r>
        <w:rPr>
          <w:rFonts w:ascii="Times New Roman" w:hAnsi="Times New Roman" w:eastAsia="宋体" w:cs="Times New Roman" w:hint="eastAsia"/>
          <w:b w:val="0"/>
          <w:i w:val="0"/>
          <w:sz w:val="21"/>
        </w:rPr>
        <w:t xml:space="preserve"> 分别为信号方差和噪声方差，</w:t>
      </w:r>
      <m:oMath>
        <m:sSub>
          <m:e>
            <m:r>
              <m:t>δ</m:t>
            </m:r>
          </m:e>
          <m:sub>
            <m:r>
              <m:rPr>
                <m:sty m:val="bi"/>
              </m:rPr>
              <m:t>x</m:t>
            </m:r>
            <m:r>
              <m:rPr>
                <m:sty m:val="p"/>
              </m:rPr>
              <m:t>,</m:t>
            </m:r>
            <m:sSup>
              <m:e>
                <m:r>
                  <m:rPr>
                    <m:sty m:val="bi"/>
                  </m:rPr>
                  <m:t>x</m:t>
                </m:r>
              </m:e>
              <m:sup>
                <m:r>
                  <m:rPr>
                    <m:sty m:val="p"/>
                  </m:rPr>
                  <m:t>′</m:t>
                </m:r>
              </m:sup>
            </m:sSup>
          </m:sub>
        </m:sSub>
      </m:oMath>
      <w:r>
        <w:rPr>
          <w:rFonts w:ascii="Times New Roman" w:hAnsi="Times New Roman" w:eastAsia="宋体" w:cs="Times New Roman" w:hint="eastAsia"/>
          <w:b w:val="0"/>
          <w:i w:val="0"/>
          <w:sz w:val="21"/>
        </w:rPr>
        <w:t xml:space="preserve"> 为Kronecker符号。三个方向的长度尺度分别优化，初值均为1，搜索范围为0.01～100；信号常数范围为 </w:t>
      </w:r>
      <m:oMath>
        <m:sSup>
          <m:e>
            <m:r>
              <m:t>10</m:t>
            </m:r>
          </m:e>
          <m:sup>
            <m:r>
              <m:rPr>
                <m:sty m:val="p"/>
              </m:rPr>
              <m:t>−</m:t>
            </m:r>
            <m:r>
              <m:t>3</m:t>
            </m:r>
          </m:sup>
        </m:sSup>
      </m:oMath>
      <w:r>
        <w:rPr>
          <w:rFonts w:ascii="Times New Roman" w:hAnsi="Times New Roman" w:eastAsia="宋体" w:cs="Times New Roman" w:hint="eastAsia"/>
          <w:b w:val="0"/>
          <w:i w:val="0"/>
          <w:sz w:val="21"/>
        </w:rPr>
        <w:t>～</w:t>
      </w:r>
      <m:oMath>
        <m:sSup>
          <m:e>
            <m:r>
              <m:t>10</m:t>
            </m:r>
          </m:e>
          <m:sup>
            <m:r>
              <m:t>3</m:t>
            </m:r>
          </m:sup>
        </m:sSup>
      </m:oMath>
      <w:r>
        <w:rPr>
          <w:rFonts w:ascii="Times New Roman" w:hAnsi="Times New Roman" w:eastAsia="宋体" w:cs="Times New Roman" w:hint="eastAsia"/>
          <w:b w:val="0"/>
          <w:i w:val="0"/>
          <w:sz w:val="21"/>
        </w:rPr>
        <w:t xml:space="preserve">，白噪声范围为 </w:t>
      </w:r>
      <m:oMath>
        <m:sSup>
          <m:e>
            <m:r>
              <m:t>10</m:t>
            </m:r>
          </m:e>
          <m:sup>
            <m:r>
              <m:rPr>
                <m:sty m:val="p"/>
              </m:rPr>
              <m:t>−</m:t>
            </m:r>
            <m:r>
              <m:t>10</m:t>
            </m:r>
          </m:sup>
        </m:sSup>
      </m:oMath>
      <w:r>
        <w:rPr>
          <w:rFonts w:ascii="Times New Roman" w:hAnsi="Times New Roman" w:eastAsia="宋体" w:cs="Times New Roman" w:hint="eastAsia"/>
          <w:b w:val="0"/>
          <w:i w:val="0"/>
          <w:sz w:val="21"/>
        </w:rPr>
        <w:t>～</w:t>
      </w:r>
      <m:oMath>
        <m:sSup>
          <m:e>
            <m:r>
              <m:t>10</m:t>
            </m:r>
          </m:e>
          <m:sup>
            <m:r>
              <m:rPr>
                <m:sty m:val="p"/>
              </m:rPr>
              <m:t>−</m:t>
            </m:r>
            <m:r>
              <m:t>1</m:t>
            </m:r>
          </m:sup>
        </m:sSup>
      </m:oMath>
      <w:r>
        <w:rPr>
          <w:rFonts w:ascii="Times New Roman" w:hAnsi="Times New Roman" w:eastAsia="宋体" w:cs="Times New Roman" w:hint="eastAsia"/>
          <w:b w:val="0"/>
          <w:i w:val="0"/>
          <w:sz w:val="21"/>
        </w:rPr>
        <w:t>。系数回归采用标准化目标，优化器不作额外随机重启，以固定随机种子20260801保证重复性。现阶段只保存和评价高斯过程的预测均值，没有对后验方差进行校准，因而本文不把GPR输出解释为可信区间。候选方法与主要超参数汇总于表11。</w:t>
      </w:r>
    </w:p>
    <w:p>
      <w:pPr>
        <w:spacing w:before="0" w:after="0"/>
        <w:ind w:firstLine="420"/>
        <w:jc w:val="both"/>
      </w:pPr>
      <w:r>
        <w:rPr>
          <w:rFonts w:ascii="Times New Roman" w:hAnsi="Times New Roman" w:eastAsia="宋体" w:cs="Times New Roman" w:hint="eastAsia"/>
          <w:b w:val="0"/>
          <w:i w:val="0"/>
          <w:sz w:val="21"/>
        </w:rPr>
        <w:t>三种候选方法分别对应不同的结构假设。最近邻完全不估计参数间的连续变化，因此不会产生新的峰谷形态，但预测随参数跨过最近节点分界而跳变；它适合作为“只利用已有数值库、不学习插值规律”的下限基线。Ridge假定每个POD系数对三个标准化参数近似线性，能够检验低维压缩后是否只需简单趋势即可恢复场。第3章已观察到厚度—波速比交互和主峰迁移，单一线性映射很可能不足，但保留Ridge有助于判断GPR的改善是否确由非线性映射带来。POD-GPR面向的则是样本数仅64、输入维数只有3的情形；Matérn-5/2核允许系数随参数平滑变化，又不强制其无限光滑，各向异性长度尺度可分别适应坡角、厚度比和波速比方向的变化速度。</w:t>
      </w:r>
    </w:p>
    <w:p>
      <w:pPr>
        <w:spacing w:before="0" w:after="0"/>
        <w:ind w:firstLine="420"/>
        <w:jc w:val="both"/>
      </w:pPr>
      <w:r>
        <w:rPr>
          <w:rFonts w:ascii="Times New Roman" w:hAnsi="Times New Roman" w:eastAsia="宋体" w:cs="Times New Roman" w:hint="eastAsia"/>
          <w:b w:val="0"/>
          <w:i w:val="0"/>
          <w:sz w:val="21"/>
        </w:rPr>
        <w:t>独立预测各POD系数是一项有意的简化。POD使训练样本上的系数在二阶统计意义下正交，但未知参数处的系数并不必然相互独立；当峰值迁移需要多个模态按特定比例共同叠加时，逐系数GPR可能给出各自合理、组合后却偏平滑的场。当前方法仍选用这一形式，是因为它在64例小样本下参数较少、训练过程可复现，并便于逐模态查看长度尺度。其代价是没有显式学习模态间联合分布，也没有校准预测方差。故本章把GPR视为候选均值预测器，而不借助“高斯过程自带不确定性”的一般印象扩大结论。</w:t>
      </w:r>
    </w:p>
    <w:p>
      <w:pPr>
        <w:spacing w:before="156" w:after="0"/>
        <w:ind w:firstLine="0"/>
        <w:jc w:val="center"/>
      </w:pPr>
      <w:r>
        <w:rPr>
          <w:rFonts w:ascii="Times New Roman" w:hAnsi="Times New Roman" w:eastAsia="宋体" w:cs="Times New Roman" w:hint="eastAsia"/>
          <w:b w:val="0"/>
          <w:i w:val="0"/>
          <w:sz w:val="18"/>
        </w:rPr>
        <w:t>表11 候选代理模型与训练配置</w:t>
      </w:r>
    </w:p>
    <w:p>
      <w:pPr>
        <w:spacing w:before="0" w:after="40"/>
        <w:ind w:firstLine="0"/>
        <w:jc w:val="center"/>
      </w:pPr>
      <w:r>
        <w:rPr>
          <w:rFonts w:ascii="Times New Roman" w:hAnsi="Times New Roman" w:eastAsia="Times New Roman" w:cs="Times New Roman" w:hint="eastAsia"/>
          <w:b w:val="0"/>
          <w:i w:val="0"/>
          <w:sz w:val="18"/>
        </w:rPr>
        <w:t>Table 11 Candidate surrogate models and training configurations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4819"/>
        <w:gridCol w:w="4819"/>
      </w:tblGrid>
      <w:tr>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项目</w:t>
            </w:r>
          </w:p>
        </w:tc>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配置</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输入</w:t>
            </w:r>
          </w:p>
        </w:tc>
        <w:tc>
          <w:tcPr>
            <w:tcW w:type="dxa" w:w="4819"/>
            <w:vAlign w:val="center"/>
          </w:tcPr>
          <w:p>
            <w:pPr>
              <w:spacing w:before="30" w:after="30"/>
              <w:ind w:firstLine="0"/>
              <w:jc w:val="center"/>
            </w:pP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18"/>
              </w:rPr>
              <w:t>，在每个外层训练折内标准化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输出</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96×161完整复数场，实部—虚部拼接为30 912维实向量</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有效像素</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训练折内有效率不低于95%；最终P组拟合保留15 456个复数像素</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POD主配置</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能量目标0.995；硬上限12阶；实际累计能量86.906%</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POD有界敏感性</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24阶：能量97.282%，</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中位/P90为0.2078/0.3704；36阶：能量99.523%，中位/P90为0.2066/0.3690</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最近邻</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标准化输入空间欧氏距离；复制最近完整场</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POD-Ridge</w:t>
            </w:r>
          </w:p>
        </w:tc>
        <w:tc>
          <w:tcPr>
            <w:tcW w:type="dxa" w:w="4819"/>
            <w:vAlign w:val="center"/>
          </w:tcPr>
          <w:p>
            <w:pPr>
              <w:spacing w:before="30" w:after="30"/>
              <w:ind w:firstLine="0"/>
              <w:jc w:val="center"/>
            </w:pPr>
            <m:oMath>
              <m:r>
                <m:t>α</m:t>
              </m:r>
              <m:r>
                <m:rPr>
                  <m:sty m:val="p"/>
                </m:rPr>
                <m:t>=</m:t>
              </m:r>
              <m:sSup>
                <m:e>
                  <m:r>
                    <m:t>10</m:t>
                  </m:r>
                </m:e>
                <m:sup>
                  <m:r>
                    <m:rPr>
                      <m:sty m:val="p"/>
                    </m:rPr>
                    <m:t>−</m:t>
                  </m:r>
                  <m:r>
                    <m:t>5</m:t>
                  </m:r>
                </m:sup>
              </m:sSup>
            </m:oMath>
            <w:r>
              <w:rPr>
                <w:rFonts w:ascii="Times New Roman" w:hAnsi="Times New Roman" w:eastAsia="宋体" w:cs="Times New Roman" w:hint="eastAsia"/>
                <w:b w:val="0"/>
                <w:i w:val="0"/>
                <w:sz w:val="18"/>
              </w:rPr>
              <w:t>～</w:t>
            </w:r>
            <m:oMath>
              <m:sSup>
                <m:e>
                  <m:r>
                    <m:t>10</m:t>
                  </m:r>
                </m:e>
                <m:sup>
                  <m:r>
                    <m:t>5</m:t>
                  </m:r>
                </m:sup>
              </m:sSup>
            </m:oMath>
            <w:r>
              <w:rPr>
                <w:rFonts w:ascii="Times New Roman" w:hAnsi="Times New Roman" w:eastAsia="宋体" w:cs="Times New Roman" w:hint="eastAsia"/>
                <w:b w:val="0"/>
                <w:i w:val="0"/>
                <w:sz w:val="18"/>
              </w:rPr>
              <w:t>，21个候选；由训练折内交叉验证选择</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独立系数回归；各向异性Matérn-5/2核与白噪声核；模态系数目标标准化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GPR边界</w:t>
            </w:r>
          </w:p>
        </w:tc>
        <w:tc>
          <w:tcPr>
            <w:tcW w:type="dxa" w:w="4819"/>
            <w:vAlign w:val="center"/>
          </w:tcPr>
          <w:p>
            <w:pPr>
              <w:spacing w:before="30" w:after="30"/>
              <w:ind w:firstLine="0"/>
              <w:jc w:val="center"/>
            </w:pPr>
            <m:oMath>
              <m:r>
                <m:t>ℓ</m:t>
              </m:r>
              <m:r>
                <m:rPr>
                  <m:sty m:val="p"/>
                </m:rPr>
                <m:t>∈</m:t>
              </m:r>
              <m:r>
                <m:rPr>
                  <m:sty m:val="p"/>
                </m:rPr>
                <m:t>[</m:t>
              </m:r>
              <m:sSup>
                <m:e>
                  <m:r>
                    <m:t>10</m:t>
                  </m:r>
                </m:e>
                <m:sup>
                  <m:r>
                    <m:rPr>
                      <m:sty m:val="p"/>
                    </m:rPr>
                    <m:t>−</m:t>
                  </m:r>
                  <m:r>
                    <m:t>2</m:t>
                  </m:r>
                </m:sup>
              </m:sSup>
              <m:r>
                <m:rPr>
                  <m:sty m:val="p"/>
                </m:rPr>
                <m:t>,</m:t>
              </m:r>
              <m:sSup>
                <m:e>
                  <m:r>
                    <m:t>10</m:t>
                  </m:r>
                </m:e>
                <m:sup>
                  <m:r>
                    <m:t>2</m:t>
                  </m:r>
                </m:sup>
              </m:sSup>
              <m:r>
                <m:rPr>
                  <m:sty m:val="p"/>
                </m:rPr>
                <m:t>]</m:t>
              </m:r>
            </m:oMath>
            <w:r>
              <w:rPr>
                <w:rFonts w:ascii="Times New Roman" w:hAnsi="Times New Roman" w:eastAsia="宋体" w:cs="Times New Roman" w:hint="eastAsia"/>
                <w:b w:val="0"/>
                <w:i w:val="0"/>
                <w:sz w:val="18"/>
              </w:rPr>
              <w:t xml:space="preserve">，信号常数 </w:t>
            </w:r>
            <m:oMath>
              <m:r>
                <m:rPr>
                  <m:sty m:val="p"/>
                </m:rPr>
                <m:t>[</m:t>
              </m:r>
              <m:sSup>
                <m:e>
                  <m:r>
                    <m:t>10</m:t>
                  </m:r>
                </m:e>
                <m:sup>
                  <m:r>
                    <m:rPr>
                      <m:sty m:val="p"/>
                    </m:rPr>
                    <m:t>−</m:t>
                  </m:r>
                  <m:r>
                    <m:t>3</m:t>
                  </m:r>
                </m:sup>
              </m:sSup>
              <m:r>
                <m:rPr>
                  <m:sty m:val="p"/>
                </m:rPr>
                <m:t>,</m:t>
              </m:r>
              <m:sSup>
                <m:e>
                  <m:r>
                    <m:t>10</m:t>
                  </m:r>
                </m:e>
                <m:sup>
                  <m:r>
                    <m:t>3</m:t>
                  </m:r>
                </m:sup>
              </m:sSup>
              <m:r>
                <m:rPr>
                  <m:sty m:val="p"/>
                </m:rPr>
                <m:t>]</m:t>
              </m:r>
            </m:oMath>
            <w:r>
              <w:rPr>
                <w:rFonts w:ascii="Times New Roman" w:hAnsi="Times New Roman" w:eastAsia="宋体" w:cs="Times New Roman" w:hint="eastAsia"/>
                <w:b w:val="0"/>
                <w:i w:val="0"/>
                <w:sz w:val="18"/>
              </w:rPr>
              <w:t xml:space="preserve">，噪声 </w:t>
            </w:r>
            <m:oMath>
              <m:r>
                <m:rPr>
                  <m:sty m:val="p"/>
                </m:rPr>
                <m:t>[</m:t>
              </m:r>
              <m:sSup>
                <m:e>
                  <m:r>
                    <m:t>10</m:t>
                  </m:r>
                </m:e>
                <m:sup>
                  <m:r>
                    <m:rPr>
                      <m:sty m:val="p"/>
                    </m:rPr>
                    <m:t>−</m:t>
                  </m:r>
                  <m:r>
                    <m:t>10</m:t>
                  </m:r>
                </m:sup>
              </m:sSup>
              <m:r>
                <m:rPr>
                  <m:sty m:val="p"/>
                </m:rPr>
                <m:t>,</m:t>
              </m:r>
              <m:sSup>
                <m:e>
                  <m:r>
                    <m:t>10</m:t>
                  </m:r>
                </m:e>
                <m:sup>
                  <m:r>
                    <m:rPr>
                      <m:sty m:val="p"/>
                    </m:rPr>
                    <m:t>−</m:t>
                  </m:r>
                  <m:r>
                    <m:t>1</m:t>
                  </m:r>
                </m:sup>
              </m:sSup>
              <m:r>
                <m:rPr>
                  <m:sty m:val="p"/>
                </m:rPr>
                <m:t>]</m:t>
              </m:r>
            </m:oMath>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外层验证</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5折整工况划分，打乱后固定随机种子20260801；每折验证12～13例</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模型选择</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POD-GPR相对最优简单基线的</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中位数至少降低5%</w:t>
            </w:r>
          </w:p>
        </w:tc>
      </w:tr>
    </w:tbl>
    <w:p>
      <w:pPr>
        <w:spacing w:before="0" w:after="0"/>
        <w:ind w:firstLine="420"/>
        <w:jc w:val="both"/>
      </w:pPr>
      <w:r>
        <w:rPr>
          <w:rFonts w:ascii="Times New Roman" w:hAnsi="Times New Roman" w:eastAsia="宋体" w:cs="Times New Roman" w:hint="eastAsia"/>
          <w:b w:val="0"/>
          <w:i w:val="0"/>
          <w:sz w:val="21"/>
        </w:rPr>
        <w:t xml:space="preserve">全部P组重拟合后，12个POD系数对应的优化长度尺度在标准化参数空间内分别落在0.557～3.83（坡角）、0.0899～2.82（厚度比）和0.0869～2.29（波速比）之间；第一系数的白噪声水平为0.00351，其余系数收敛到 </w:t>
      </w:r>
      <m:oMath>
        <m:sSup>
          <m:e>
            <m:r>
              <m:t>10</m:t>
            </m:r>
          </m:e>
          <m:sup>
            <m:r>
              <m:rPr>
                <m:sty m:val="p"/>
              </m:rPr>
              <m:t>−</m:t>
            </m:r>
            <m:r>
              <m:t>6</m:t>
            </m:r>
          </m:sup>
        </m:sSup>
      </m:oMath>
      <w:r>
        <w:rPr>
          <w:rFonts w:ascii="Times New Roman" w:hAnsi="Times New Roman" w:eastAsia="宋体" w:cs="Times New Roman" w:hint="eastAsia"/>
          <w:b w:val="0"/>
          <w:i w:val="0"/>
          <w:sz w:val="21"/>
        </w:rPr>
        <w:t>。高阶系数在厚度比或波速比方向出现较短长度尺度，与总波场响应条带随覆盖层参数快速移动的现象相符。不过，每个POD系数混合了多个频率和空间位置，长度尺度仅用于描述回归映射的变化快慢，不直接等同于第3章的物理主效应。</w:t>
      </w:r>
    </w:p>
    <w:p>
      <w:pPr>
        <w:spacing w:before="0" w:after="0"/>
        <w:ind w:firstLine="420"/>
        <w:jc w:val="both"/>
      </w:pPr>
      <w:r>
        <w:rPr>
          <w:rFonts w:ascii="Times New Roman" w:hAnsi="Times New Roman" w:eastAsia="宋体" w:cs="Times New Roman" w:hint="eastAsia"/>
          <w:b w:val="0"/>
          <w:i w:val="0"/>
          <w:sz w:val="21"/>
        </w:rPr>
        <w:t>长度尺度跨度本身也提示同一套固定采样网格对不同模态并不等价。坡角方向的最短尺度仍为0.557，而厚度比和波速比方向分别低至0.0899和0.0869，说明至少部分高阶系数在后两个方向上变化得更急；当相邻训练水平之间存在这种快速变化时，GPR只能依据两端样本推断中间形态，局部峰值便可能被平滑。另一方面，多数白噪声收敛到很小的数值，与有限元数据本身基本确定的性质一致，误差不应被简单解释为随机观测噪声。第一系数保留较高白噪声，更可能是在当前核形式下吸收未被平稳协方差充分描述的变化。由于没有重复数值试验用于独立估计噪声，该参数只作为拟合项解释，不赋予测量噪声的物理含义。</w:t>
      </w:r>
    </w:p>
    <w:p>
      <w:pPr>
        <w:spacing w:before="0" w:after="0"/>
        <w:ind w:firstLine="420"/>
        <w:jc w:val="both"/>
      </w:pPr>
      <w:r>
        <w:rPr>
          <w:rFonts w:ascii="Times New Roman" w:hAnsi="Times New Roman" w:eastAsia="宋体" w:cs="Times New Roman" w:hint="eastAsia"/>
          <w:b w:val="0"/>
          <w:i w:val="0"/>
          <w:sz w:val="21"/>
        </w:rPr>
        <w:t>评价以有效掩码内、按输入频率能量加权的复数相对误差为主：</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r>
                <m:rPr>
                  <m:sty m:val="p"/>
                </m:rPr>
                <m:t>=</m:t>
              </m:r>
              <m:sSup>
                <m:e>
                  <m:d>
                    <m:dPr>
                      <m:begChr m:val="["/>
                      <m:sepChr m:val=""/>
                      <m:endChr m:val="]"/>
                      <m:grow/>
                    </m:dPr>
                    <m:e>
                      <m:f>
                        <m:fPr>
                          <m:type m:val="bar"/>
                        </m:fPr>
                        <m:num>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num>
                        <m:den>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den>
                      </m:f>
                    </m:e>
                  </m:d>
                </m:e>
                <m:sup>
                  <m:r>
                    <m:t>1</m:t>
                  </m:r>
                  <m:r>
                    <m:rPr>
                      <m:sty m:val="p"/>
                    </m:rPr>
                    <m:t>/</m:t>
                  </m:r>
                  <m:r>
                    <m:t>2</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(21)</w:t>
            </w:r>
          </w:p>
        </w:tc>
      </w:tr>
    </w:tbl>
    <w:p>
      <w:pPr>
        <w:spacing w:before="0" w:after="0"/>
        <w:ind w:firstLine="420"/>
        <w:jc w:val="both"/>
      </w:pPr>
      <w:r>
        <w:rPr>
          <w:rFonts w:ascii="Times New Roman" w:hAnsi="Times New Roman" w:eastAsia="宋体" w:cs="Times New Roman" w:hint="eastAsia"/>
          <w:b w:val="0"/>
          <w:i w:val="0"/>
          <w:sz w:val="21"/>
        </w:rPr>
        <w:t>其中，</w:t>
      </w:r>
      <m:oMath>
        <m:r>
          <m:t>M</m:t>
        </m:r>
      </m:oMath>
      <w:r>
        <w:rPr>
          <w:rFonts w:ascii="Times New Roman" w:hAnsi="Times New Roman" w:eastAsia="宋体" w:cs="Times New Roman" w:hint="eastAsia"/>
          <w:b w:val="0"/>
          <w:i w:val="0"/>
          <w:sz w:val="21"/>
        </w:rPr>
        <w:t xml:space="preserve"> 为真值与预测共同有效的掩码，</w:t>
      </w:r>
      <m:oMath>
        <m:r>
          <m:t>w</m:t>
        </m:r>
        <m:r>
          <m:rPr>
            <m:sty m:val="p"/>
          </m:rPr>
          <m:t>(</m:t>
        </m:r>
        <m:r>
          <m:t>f</m:t>
        </m:r>
        <m:r>
          <m:rPr>
            <m:sty m:val="p"/>
          </m:rPr>
          <m:t>)</m:t>
        </m:r>
      </m:oMath>
      <w:r>
        <w:rPr>
          <w:rFonts w:ascii="Times New Roman" w:hAnsi="Times New Roman" w:eastAsia="宋体" w:cs="Times New Roman" w:hint="eastAsia"/>
          <w:b w:val="0"/>
          <w:i w:val="0"/>
          <w:sz w:val="21"/>
        </w:rPr>
        <w:t xml:space="preserve"> 为该工况宽频输入在对应频点的能量权重。该指标同时惩罚幅值和相位偏差，但一个总数不能说明误差发生在哪里，因此另行计算对数幅值均方根误差、圆周相位均方根误差、群时延误差、空间相位梯度误差，以及全场最大幅值、峰值频率和峰值位置的偏差。圆周相位误差通过 </w:t>
      </w:r>
      <m:oMath>
        <m:r>
          <m:rPr>
            <m:sty m:val="p"/>
          </m:rPr>
          <m:t>∠</m:t>
        </m:r>
        <m:r>
          <m:rPr>
            <m:sty m:val="p"/>
          </m:rPr>
          <m:t>(</m:t>
        </m:r>
        <m:sSub>
          <m:e>
            <m:acc>
              <m:accPr>
                <m:chr m:val="̂"/>
              </m:accPr>
              <m:e>
                <m:r>
                  <m:t>G</m:t>
                </m:r>
              </m:e>
            </m:acc>
          </m:e>
          <m:sub>
            <m:r>
              <m:t>h</m:t>
            </m:r>
          </m:sub>
        </m:sSub>
        <m:sSubSup>
          <m:e>
            <m:r>
              <m:t>G</m:t>
            </m:r>
          </m:e>
          <m:sub>
            <m:r>
              <m:t>h</m:t>
            </m:r>
          </m:sub>
          <m:sup>
            <m:r>
              <m:rPr>
                <m:sty m:val="p"/>
              </m:rPr>
              <m:t>*</m:t>
            </m:r>
          </m:sup>
        </m:sSubSup>
        <m:r>
          <m:rPr>
            <m:sty m:val="p"/>
          </m:rPr>
          <m:t>)</m:t>
        </m:r>
      </m:oMath>
      <w:r>
        <w:rPr>
          <w:rFonts w:ascii="Times New Roman" w:hAnsi="Times New Roman" w:eastAsia="宋体" w:cs="Times New Roman" w:hint="eastAsia"/>
          <w:b w:val="0"/>
          <w:i w:val="0"/>
          <w:sz w:val="21"/>
        </w:rPr>
        <w:t xml:space="preserve"> 计算，避免跨越 </w:t>
      </w:r>
      <m:oMath>
        <m:r>
          <m:rPr>
            <m:sty m:val="p"/>
          </m:rPr>
          <m:t>±</m:t>
        </m:r>
        <m:r>
          <m:t>π</m:t>
        </m:r>
      </m:oMath>
      <w:r>
        <w:rPr>
          <w:rFonts w:ascii="Times New Roman" w:hAnsi="Times New Roman" w:eastAsia="宋体" w:cs="Times New Roman" w:hint="eastAsia"/>
          <w:b w:val="0"/>
          <w:i w:val="0"/>
          <w:sz w:val="21"/>
        </w:rPr>
        <w:t xml:space="preserve"> 时直接相减产生假大误差；群时延在连续有效频段内由解缠相位对频率的导数获得。频率分层采用0.5～3 Hz、3～6 Hz和6～10 Hz三个频带，空间分层采用上平台A段、坡面B段和下平台C段。所有指标先逐工况计算，再汇总工况中位数与P90；这种做法使少数困难工况不会被平均值掩盖。</w:t>
      </w:r>
    </w:p>
    <w:p>
      <w:pPr>
        <w:spacing w:before="0" w:after="0"/>
        <w:ind w:firstLine="420"/>
        <w:jc w:val="both"/>
      </w:pPr>
      <w:r>
        <w:rPr>
          <w:rFonts w:ascii="Times New Roman" w:hAnsi="Times New Roman" w:eastAsia="宋体" w:cs="Times New Roman" w:hint="eastAsia"/>
          <w:b w:val="0"/>
          <w:i w:val="0"/>
          <w:sz w:val="21"/>
        </w:rPr>
        <w:t xml:space="preserve">这些指标分别对应不同的失真方式。对数幅值误差把放大一倍和缩小一半处理为方向相反、量级相当的偏差，避免高放大区以绝对差值压倒其余区域；圆周相位误差关注同一频点的相位对齐；群时延与空间相位梯度又进一步放大相位沿频率和位置变化的不一致。峰值幅值、峰频和峰位则只追踪全场极值，可能对一个网格点的轻微竞争非常敏感。因而本文以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选定总体模型，同时保留局部和导数型指标检查代价。若一个模型综合误差较低而峰频误差较大，应解释为它恢复了大部分能量加权场，却没有稳定识别竞争峰中的全局最大者，不能把两项结果看成互相矛盾。</w:t>
      </w:r>
    </w:p>
    <w:p>
      <w:pPr>
        <w:spacing w:before="0" w:after="0"/>
        <w:ind w:firstLine="420"/>
        <w:jc w:val="both"/>
      </w:pPr>
      <w:r>
        <w:rPr>
          <w:rFonts w:ascii="Times New Roman" w:hAnsi="Times New Roman" w:eastAsia="宋体" w:cs="Times New Roman" w:hint="eastAsia"/>
          <w:b w:val="0"/>
          <w:i w:val="0"/>
          <w:sz w:val="21"/>
        </w:rPr>
        <w:t xml:space="preserve">外层交叉验证以完整物理工况为最小划分单元，同一工况的全部频率和空间点只能同时出现在训练折或验证折中，不能把单个网格点随机拆分。每一折均重新拟合输入标准化、输出填补与标准化、POD基底及回归器，模型选择完成后才用全部64个P工况重新拟合并冻结主模型。P组和B组均按式（13）计算 </w:t>
      </w:r>
      <m:oMath>
        <m:sSub>
          <m:e>
            <m:r>
              <m:t>G</m:t>
            </m:r>
          </m:e>
          <m:sub>
            <m:r>
              <m:t>h</m:t>
            </m:r>
          </m:sub>
        </m:sSub>
      </m:oMath>
      <w:r>
        <w:rPr>
          <w:rFonts w:ascii="Times New Roman" w:hAnsi="Times New Roman" w:eastAsia="宋体" w:cs="Times New Roman" w:hint="eastAsia"/>
          <w:b w:val="0"/>
          <w:i w:val="0"/>
          <w:sz w:val="21"/>
        </w:rPr>
        <w:t>，12个B工况始终不参与训练和模型选择。由于B组并非严格一次性启封的盲测集，本文将其称为训练外组合验证。</w:t>
      </w:r>
    </w:p>
    <w:p>
      <w:pPr>
        <w:spacing w:before="0" w:after="0"/>
        <w:ind w:firstLine="420"/>
        <w:jc w:val="both"/>
      </w:pPr>
      <w:r>
        <w:rPr>
          <w:rFonts w:ascii="Times New Roman" w:hAnsi="Times New Roman" w:eastAsia="宋体" w:cs="Times New Roman" w:hint="eastAsia"/>
          <w:b w:val="0"/>
          <w:i w:val="0"/>
          <w:sz w:val="21"/>
        </w:rPr>
        <w:t>五折划分的验证对象仍位于P组四级规则网格上，所以它检验的是“缺少部分节点时能否恢复这些节点”，而不是任意连续参数上的完全独立泛化。随机种子固定可以保证三种模型面对相同难度的折，但不能消除某一折恰好聚集较多软厚覆盖层工况造成的波动。本文因此不把某一折的结果单独作为优劣依据，而看64例汇总分布，并用B组补充训练水平之间的组合。对参数域外输入，标准化距离、核相关性和POD基底都可能离开训练依据，现有验证没有提供可量化的可靠性保证。</w:t>
      </w:r>
    </w:p>
    <w:p>
      <w:pPr>
        <w:spacing w:before="156" w:after="40"/>
        <w:ind w:firstLine="0"/>
        <w:jc w:val="left"/>
      </w:pPr>
      <w:r>
        <w:rPr>
          <w:rFonts w:ascii="Times New Roman" w:hAnsi="Times New Roman" w:eastAsia="宋体" w:cs="Times New Roman" w:hint="eastAsia"/>
          <w:b/>
          <w:i w:val="0"/>
          <w:sz w:val="24"/>
        </w:rPr>
        <w:t>4.2 代理模型精度与泛化能力</w:t>
      </w:r>
    </w:p>
    <w:p>
      <w:pPr>
        <w:spacing w:before="80" w:after="20"/>
        <w:ind w:firstLine="0"/>
        <w:jc w:val="left"/>
      </w:pPr>
      <w:r>
        <w:rPr>
          <w:rFonts w:ascii="Times New Roman" w:hAnsi="Times New Roman" w:eastAsia="宋体" w:cs="Times New Roman" w:hint="eastAsia"/>
          <w:b/>
          <w:i w:val="0"/>
          <w:sz w:val="21"/>
        </w:rPr>
        <w:t>4.2.1 模型选择与交叉验证</w:t>
      </w:r>
    </w:p>
    <w:p>
      <w:pPr>
        <w:spacing w:before="0" w:after="0"/>
        <w:ind w:firstLine="420"/>
        <w:jc w:val="both"/>
      </w:pPr>
      <w:r>
        <w:rPr>
          <w:rFonts w:ascii="Times New Roman" w:hAnsi="Times New Roman" w:eastAsia="宋体" w:cs="Times New Roman" w:hint="eastAsia"/>
          <w:b w:val="0"/>
          <w:i w:val="0"/>
          <w:sz w:val="21"/>
        </w:rPr>
        <w:t xml:space="preserve">图19比较三种候选方法在64个P组工况上的整工况五折结果。最近邻、POD-Ridge和POD-GPR的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中位数分别为0.2877、0.3887和0.2165，P90分别为0.7262、0.6491和0.3672。POD-GPR相对误差较小的简单基线最近邻降低24.8%，超过5%的选模门槛，因此选定POD-GPR作为后续冻结模型。不过，21.6%的中位误差和36.7%的P90仍表明它只能用于近似恢复主要模式，不能作为无误差的有限元替代。</w:t>
      </w:r>
    </w:p>
    <w:p>
      <w:pPr>
        <w:spacing w:before="80" w:after="40"/>
        <w:ind w:firstLine="0"/>
        <w:jc w:val="center"/>
      </w:pPr>
      <w:r>
        <w:drawing>
          <wp:inline xmlns:a="http://schemas.openxmlformats.org/drawingml/2006/main" xmlns:pic="http://schemas.openxmlformats.org/drawingml/2006/picture">
            <wp:extent cx="5669280" cy="3620967"/>
            <wp:docPr id="15" name="Picture 15"/>
            <wp:cNvGraphicFramePr>
              <a:graphicFrameLocks noChangeAspect="1"/>
            </wp:cNvGraphicFramePr>
            <a:graphic>
              <a:graphicData uri="http://schemas.openxmlformats.org/drawingml/2006/picture">
                <pic:pic>
                  <pic:nvPicPr>
                    <pic:cNvPr id="0" name="fig19_候选模型交叉验证误差分布.png"/>
                    <pic:cNvPicPr/>
                  </pic:nvPicPr>
                  <pic:blipFill>
                    <a:blip r:embed="rId31"/>
                    <a:stretch>
                      <a:fillRect/>
                    </a:stretch>
                  </pic:blipFill>
                  <pic:spPr>
                    <a:xfrm>
                      <a:off x="0" y="0"/>
                      <a:ext cx="5669280" cy="3620967"/>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图19 三种候选代理模型的五折交叉验证结果：（a）64个P组工况逐工况加权复数误差；（b）该误差的分布、中位数与90%分位数（P90）；（c）对数幅值、圆周相位、群时延、空间相位梯度、峰值幅值、峰频和峰位误差的中位数与P90</w:t>
      </w:r>
    </w:p>
    <w:p>
      <w:pPr>
        <w:spacing w:before="0" w:after="60"/>
        <w:ind w:firstLine="0"/>
        <w:jc w:val="center"/>
      </w:pPr>
      <w:r>
        <w:rPr>
          <w:rFonts w:ascii="Times New Roman" w:hAnsi="Times New Roman" w:eastAsia="Times New Roman" w:cs="Times New Roman" w:hint="eastAsia"/>
          <w:b w:val="0"/>
          <w:i w:val="0"/>
          <w:sz w:val="18"/>
        </w:rPr>
        <w:t>Fig. 19 Five-fold cross-validation of the three candidate surrogates: case-wise complex errors, error distributions, and field metrics</w:t>
      </w:r>
    </w:p>
    <w:p>
      <w:pPr>
        <w:spacing w:before="0" w:after="0"/>
        <w:ind w:firstLine="420"/>
        <w:jc w:val="both"/>
      </w:pPr>
      <w:r>
        <w:rPr>
          <w:rFonts w:ascii="Times New Roman" w:hAnsi="Times New Roman" w:eastAsia="宋体" w:cs="Times New Roman" w:hint="eastAsia"/>
          <w:b w:val="0"/>
          <w:i w:val="0"/>
          <w:sz w:val="21"/>
        </w:rPr>
        <w:t>表12给出与图19一致的精确统计。POD-GPR的对数幅值误差中位数为0.1719，圆周相位误差中位数为10.28°，群时延和空间相位梯度中位误差分别为0.0374 s和0.490 rad/单位归一化坐标，均优于两种基线。其主峰频率误差中位数仍为2.15 Hz，高于最近邻的1.15 Hz，说明按全场复数误差选模并不保证最不利峰的位置同时最优。</w:t>
      </w:r>
    </w:p>
    <w:p>
      <w:pPr>
        <w:spacing w:before="0" w:after="0"/>
        <w:ind w:firstLine="420"/>
        <w:jc w:val="both"/>
      </w:pPr>
      <w:r>
        <w:rPr>
          <w:rFonts w:ascii="Times New Roman" w:hAnsi="Times New Roman" w:eastAsia="宋体" w:cs="Times New Roman" w:hint="eastAsia"/>
          <w:b w:val="0"/>
          <w:i w:val="0"/>
          <w:sz w:val="21"/>
        </w:rPr>
        <w:t>最近邻在部分极值指标上的优势有明确的算法含义。它复制一个真实计算过的完整场，因而保留了尖锐峰值和网格级极值，不会像低阶基底与连续回归那样把竞争峰平均化；代价是所复制的峰可能来自错误的参数节点，场的整体相位和区域结构因而偏差较大。POD-Ridge的综合误差中位数甚至高于最近邻，且对数幅值与相位误差同时增大，说明POD压缩本身并不能保证有效预测，三个参数到模态系数的线性关系不足以描述第3章发现的交互和迁移。POD-GPR最显著的改善出现在相位、群时延及空间相位梯度，说明连续非线性映射较好地恢复了场的整体传播关系；但其幅值上尾和峰频仍受平滑影响。选用POD-GPR是基于预先规定的综合误差标准，而不是宣称它在所有用途上支配另外两种方法。</w:t>
      </w:r>
    </w:p>
    <w:p>
      <w:pPr>
        <w:spacing w:before="156" w:after="0"/>
        <w:ind w:firstLine="0"/>
        <w:jc w:val="center"/>
      </w:pPr>
      <w:r>
        <w:rPr>
          <w:rFonts w:ascii="Times New Roman" w:hAnsi="Times New Roman" w:eastAsia="宋体" w:cs="Times New Roman" w:hint="eastAsia"/>
          <w:b w:val="0"/>
          <w:i w:val="0"/>
          <w:sz w:val="18"/>
        </w:rPr>
        <w:t>表12 三种候选代理的五折交叉验证指标（中位数/P90）</w:t>
      </w:r>
    </w:p>
    <w:p>
      <w:pPr>
        <w:spacing w:before="0" w:after="40"/>
        <w:ind w:firstLine="0"/>
        <w:jc w:val="center"/>
      </w:pPr>
      <w:r>
        <w:rPr>
          <w:rFonts w:ascii="Times New Roman" w:hAnsi="Times New Roman" w:eastAsia="Times New Roman" w:cs="Times New Roman" w:hint="eastAsia"/>
          <w:b w:val="0"/>
          <w:i w:val="0"/>
          <w:sz w:val="18"/>
        </w:rPr>
        <w:t>Table 12 Five-fold cross-validation metrics of the three candidate surrogates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模型</w:t>
            </w:r>
          </w:p>
        </w:tc>
        <w:tc>
          <w:tcPr>
            <w:tcW w:type="dxa" w:w="643"/>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43"/>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群时延RMSE/s</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空间相位梯度RMSE/(rad/单位归一化坐标)</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最近邻</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0.2877/0.7262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0.2032/0.4248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16.57/41.88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0.0520/0.1299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0.682/1.383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6.85/31.96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1.15/5.14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0.075/2.890</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POD-Ridge</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0.3887/0.6491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0.3811/0.6683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20.36/57.58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0.0417/0.1490</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0.657/1.699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17.39/40.63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3.40/7.07</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0.050/3.885</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POD-GPR</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0.2165/0.3672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0.1719/0.2943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10.28/23.19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0.0374/0.0876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0.490/1.141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9.54/27.18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2.15/6.74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0.050/1.970</w:t>
            </w:r>
          </w:p>
        </w:tc>
        <w:tc>
          <w:tcPr>
            <w:tcW w:type="dxa" w:w="643"/>
          </w:tcPr>
          <w:p/>
        </w:tc>
        <w:tc>
          <w:tcPr>
            <w:tcW w:type="dxa" w:w="643"/>
          </w:tcPr>
          <w:p/>
        </w:tc>
        <w:tc>
          <w:tcPr>
            <w:tcW w:type="dxa" w:w="643"/>
          </w:tcPr>
          <w:p/>
        </w:tc>
        <w:tc>
          <w:tcPr>
            <w:tcW w:type="dxa" w:w="643"/>
          </w:tcPr>
          <w:p/>
        </w:tc>
        <w:tc>
          <w:tcPr>
            <w:tcW w:type="dxa" w:w="643"/>
          </w:tcPr>
          <w:p/>
        </w:tc>
        <w:tc>
          <w:tcPr>
            <w:tcW w:type="dxa" w:w="643"/>
          </w:tcPr>
          <w:p/>
        </w:tc>
      </w:tr>
    </w:tbl>
    <w:p>
      <w:pPr>
        <w:spacing w:before="0" w:after="0"/>
        <w:ind w:firstLine="420"/>
        <w:jc w:val="both"/>
      </w:pPr>
      <w:r>
        <w:rPr>
          <w:rFonts w:ascii="Times New Roman" w:hAnsi="Times New Roman" w:eastAsia="宋体" w:cs="Times New Roman" w:hint="eastAsia"/>
          <w:b w:val="0"/>
          <w:i w:val="0"/>
          <w:sz w:val="21"/>
        </w:rPr>
        <w:t>五个外层验证折的POD-GPR误差中位数依次为0.2990、0.2045、0.2857、0.1795和0.2620，相应P90为0.3898、0.3148、0.4519、0.2423和0.3389。按物理参数回看，</w:t>
      </w:r>
      <m:oMath>
        <m:sSub>
          <m:e>
            <m:r>
              <m:t>r</m:t>
            </m:r>
          </m:e>
          <m:sub>
            <m:r>
              <m:t>v</m:t>
            </m:r>
          </m:sub>
        </m:sSub>
        <m:r>
          <m:rPr>
            <m:sty m:val="p"/>
          </m:rPr>
          <m:t>=</m:t>
        </m:r>
        <m:r>
          <m:t>0.30</m:t>
        </m:r>
      </m:oMath>
      <w:r>
        <w:rPr>
          <w:rFonts w:ascii="Times New Roman" w:hAnsi="Times New Roman" w:eastAsia="宋体" w:cs="Times New Roman" w:hint="eastAsia"/>
          <w:b w:val="0"/>
          <w:i w:val="0"/>
          <w:sz w:val="21"/>
        </w:rPr>
        <w:t>、0.45、0.60和0.75四组的误差中位数分别为0.331、0.284、0.189和0.141；</w:t>
      </w:r>
      <m:oMath>
        <m:r>
          <m:t>d</m:t>
        </m:r>
        <m:r>
          <m:rPr>
            <m:sty m:val="p"/>
          </m:rPr>
          <m:t>/</m:t>
        </m:r>
        <m:r>
          <m:t>h</m:t>
        </m:r>
        <m:r>
          <m:rPr>
            <m:sty m:val="p"/>
          </m:rPr>
          <m:t>=</m:t>
        </m:r>
        <m:r>
          <m:t>0.20</m:t>
        </m:r>
      </m:oMath>
      <w:r>
        <w:rPr>
          <w:rFonts w:ascii="Times New Roman" w:hAnsi="Times New Roman" w:eastAsia="宋体" w:cs="Times New Roman" w:hint="eastAsia"/>
          <w:b w:val="0"/>
          <w:i w:val="0"/>
          <w:sz w:val="21"/>
        </w:rPr>
        <w:t>、0.60、1.00和1.40四组依次为0.161、0.236、0.262和0.245。误差总体随覆盖层变软而增大，厚度方向则仍受峰带换位影响而非严格单调。</w:t>
      </w:r>
    </w:p>
    <w:p>
      <w:pPr>
        <w:spacing w:before="0" w:after="0"/>
        <w:ind w:firstLine="420"/>
        <w:jc w:val="both"/>
      </w:pPr>
      <w:r>
        <w:rPr>
          <w:rFonts w:ascii="Times New Roman" w:hAnsi="Times New Roman" w:eastAsia="宋体" w:cs="Times New Roman" w:hint="eastAsia"/>
          <w:b w:val="0"/>
          <w:i w:val="0"/>
          <w:sz w:val="21"/>
        </w:rPr>
        <w:t>波速比两端的差异尤其明显：</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组的中位误差约为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的2.39倍；厚度比从0.20增至1.40时，中位误差约增至原来的1.79倍。这些数值是按单参数分组后的条件分布，不能被解释为彼此独立的因果贡献，因为每组仍混合了其余两项参数。它们的价值在于把统计误差重新连接到总波场响应的物理特征：软、厚覆盖层产生更多窄带峰谷和频率迁移，同样的四级采样间距需要表达更高的局部曲率。折间起伏与参数分组给出了一致方向，因此困难上尾更像结构性的采样问题，而非一次随机划分异常。</w:t>
      </w:r>
    </w:p>
    <w:p>
      <w:pPr>
        <w:spacing w:before="0" w:after="0"/>
        <w:ind w:firstLine="420"/>
        <w:jc w:val="both"/>
      </w:pPr>
      <w:r>
        <w:rPr>
          <w:rFonts w:ascii="Times New Roman" w:hAnsi="Times New Roman" w:eastAsia="宋体" w:cs="Times New Roman" w:hint="eastAsia"/>
          <w:b w:val="0"/>
          <w:i w:val="0"/>
          <w:sz w:val="21"/>
        </w:rPr>
        <w:t>为区分POD截断与系数回归误差，在相同样本划分下进行了24阶、36阶敏感性复算。24阶累计能量为97.282%，中位误差由12阶的0.2165降至0.2078，P90由0.3672变为0.3704；36阶累计能量达到99.523%，中位误差为0.2066，P90为0.3690。增加模态使中位误差小幅改善，却没有降低误差上尾，说明困难工况主要受模态系数映射、样本密度和局部峰值迁移控制。后文仍使用预先冻结的12阶主模型，24阶和36阶只作容量诊断。</w:t>
      </w:r>
    </w:p>
    <w:p>
      <w:pPr>
        <w:spacing w:before="0" w:after="0"/>
        <w:ind w:firstLine="420"/>
        <w:jc w:val="both"/>
      </w:pPr>
      <w:r>
        <w:rPr>
          <w:rFonts w:ascii="Times New Roman" w:hAnsi="Times New Roman" w:eastAsia="宋体" w:cs="Times New Roman" w:hint="eastAsia"/>
          <w:b w:val="0"/>
          <w:i w:val="0"/>
          <w:sz w:val="21"/>
        </w:rPr>
        <w:t>从12阶提高到24阶，中位误差绝对降低0.0086，而P90反而增加0.0032；24阶到36阶中位误差只再降低0.0012。由此可见，继续增加模态的收益已明显趋缓，后续资源应优先用于软厚区域加密，而不是把模态数当成唯一旋钮。</w:t>
      </w:r>
    </w:p>
    <w:p>
      <w:pPr>
        <w:spacing w:before="0" w:after="0"/>
        <w:ind w:firstLine="420"/>
        <w:jc w:val="both"/>
      </w:pPr>
      <w:r>
        <w:rPr>
          <w:rFonts w:ascii="Times New Roman" w:hAnsi="Times New Roman" w:eastAsia="宋体" w:cs="Times New Roman" w:hint="eastAsia"/>
          <w:b w:val="0"/>
          <w:i w:val="0"/>
          <w:sz w:val="21"/>
        </w:rPr>
        <w:t>阶数提高还会增加需要独立学习的系数数量，而样本总数仍为64。越靠后的模态训练方差越小、空间形态越细，系数对参数的局部变化反而可能更难由稀疏样本识别。因此，“真值重构能力增加”和“未知工况预测能力增加”并不同步，36阶接近能量目标却没有继续降低验证误差，正是二者分离的直接表现。</w:t>
      </w:r>
    </w:p>
    <w:p>
      <w:pPr>
        <w:spacing w:before="0" w:after="0"/>
        <w:ind w:firstLine="420"/>
        <w:jc w:val="both"/>
      </w:pPr>
      <w:r>
        <w:rPr>
          <w:rFonts w:ascii="Times New Roman" w:hAnsi="Times New Roman" w:eastAsia="宋体" w:cs="Times New Roman" w:hint="eastAsia"/>
          <w:b w:val="0"/>
          <w:i w:val="0"/>
          <w:sz w:val="21"/>
        </w:rPr>
        <w:t>图20进一步把POD-GPR误差按频带和空间区段拆开。低、中、高频对数幅值误差中位数分别为0.0631、0.1488和0.2203，高频约为低频的3.49倍；相位误差中位数依次为5.30°、8.82°和12.54°，高频约为低频的2.37倍，P90达到26.33°。模型对高频窄条带和快速相位转折的预测仍明显更困难。</w:t>
      </w:r>
    </w:p>
    <w:p>
      <w:pPr>
        <w:spacing w:before="80" w:after="40"/>
        <w:ind w:firstLine="0"/>
        <w:jc w:val="center"/>
      </w:pPr>
      <w:r>
        <w:drawing>
          <wp:inline xmlns:a="http://schemas.openxmlformats.org/drawingml/2006/main" xmlns:pic="http://schemas.openxmlformats.org/drawingml/2006/picture">
            <wp:extent cx="5669280" cy="4475201"/>
            <wp:docPr id="16" name="Picture 16"/>
            <wp:cNvGraphicFramePr>
              <a:graphicFrameLocks noChangeAspect="1"/>
            </wp:cNvGraphicFramePr>
            <a:graphic>
              <a:graphicData uri="http://schemas.openxmlformats.org/drawingml/2006/picture">
                <pic:pic>
                  <pic:nvPicPr>
                    <pic:cNvPr id="0" name="fig20_代理误差的频带与空间分层.png"/>
                    <pic:cNvPicPr/>
                  </pic:nvPicPr>
                  <pic:blipFill>
                    <a:blip r:embed="rId32"/>
                    <a:stretch>
                      <a:fillRect/>
                    </a:stretch>
                  </pic:blipFill>
                  <pic:spPr>
                    <a:xfrm>
                      <a:off x="0" y="0"/>
                      <a:ext cx="5669280" cy="447520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图20 POD-GPR交叉验证误差分层：（a）、（b）低频0.5～3 Hz、中频3～6 Hz和高频6～10 Hz的对数幅值与圆周相位误差；（c）、（d）上平台A段（</w:t>
      </w:r>
      <m:oMath>
        <m:r>
          <m:rPr>
            <m:sty m:val="p"/>
          </m:rPr>
          <m:t>−</m:t>
        </m:r>
        <m:r>
          <m:t>4</m:t>
        </m:r>
        <m:r>
          <m:rPr>
            <m:sty m:val="p"/>
          </m:rPr>
          <m:t>≤</m:t>
        </m:r>
        <m:r>
          <m:t>s</m:t>
        </m:r>
        <m:r>
          <m:rPr>
            <m:sty m:val="p"/>
          </m:rPr>
          <m:t>≤</m:t>
        </m:r>
        <m:r>
          <m:t>0</m:t>
        </m:r>
      </m:oMath>
      <w:r>
        <w:rPr>
          <w:rFonts w:ascii="Times New Roman" w:hAnsi="Times New Roman" w:eastAsia="宋体" w:cs="Times New Roman" w:hint="eastAsia"/>
          <w:b w:val="0"/>
          <w:i w:val="0"/>
          <w:sz w:val="18"/>
        </w:rPr>
        <w:t>）、坡面B段（</w:t>
      </w:r>
      <m:oMath>
        <m:r>
          <m:t>0</m:t>
        </m:r>
        <m:r>
          <m:rPr>
            <m:sty m:val="p"/>
          </m:rPr>
          <m:t>&lt;</m:t>
        </m:r>
        <m:r>
          <m:t>s</m:t>
        </m:r>
        <m:r>
          <m:rPr>
            <m:sty m:val="p"/>
          </m:rPr>
          <m:t>≤</m:t>
        </m:r>
        <m:r>
          <m:t>1</m:t>
        </m:r>
      </m:oMath>
      <w:r>
        <w:rPr>
          <w:rFonts w:ascii="Times New Roman" w:hAnsi="Times New Roman" w:eastAsia="宋体" w:cs="Times New Roman" w:hint="eastAsia"/>
          <w:b w:val="0"/>
          <w:i w:val="0"/>
          <w:sz w:val="18"/>
        </w:rPr>
        <w:t>）和下平台C段（</w:t>
      </w:r>
      <m:oMath>
        <m:r>
          <m:t>1</m:t>
        </m:r>
        <m:r>
          <m:rPr>
            <m:sty m:val="p"/>
          </m:rPr>
          <m:t>&lt;</m:t>
        </m:r>
        <m:r>
          <m:t>s</m:t>
        </m:r>
        <m:r>
          <m:rPr>
            <m:sty m:val="p"/>
          </m:rPr>
          <m:t>≤</m:t>
        </m:r>
        <m:r>
          <m:t>4</m:t>
        </m:r>
      </m:oMath>
      <w:r>
        <w:rPr>
          <w:rFonts w:ascii="Times New Roman" w:hAnsi="Times New Roman" w:eastAsia="宋体" w:cs="Times New Roman" w:hint="eastAsia"/>
          <w:b w:val="0"/>
          <w:i w:val="0"/>
          <w:sz w:val="18"/>
        </w:rPr>
        <w:t>）的复数综合误差与对数幅值误差；柱高为工况中位数，三角形为P90</w:t>
      </w:r>
    </w:p>
    <w:p>
      <w:pPr>
        <w:spacing w:before="0" w:after="60"/>
        <w:ind w:firstLine="0"/>
        <w:jc w:val="center"/>
      </w:pPr>
      <w:r>
        <w:rPr>
          <w:rFonts w:ascii="Times New Roman" w:hAnsi="Times New Roman" w:eastAsia="Times New Roman" w:cs="Times New Roman" w:hint="eastAsia"/>
          <w:b w:val="0"/>
          <w:i w:val="0"/>
          <w:sz w:val="18"/>
        </w:rPr>
        <w:t>Fig. 20 POD-GPR cross-validation errors stratified by frequency band and surface segment</w:t>
      </w:r>
    </w:p>
    <w:p>
      <w:pPr>
        <w:spacing w:before="0" w:after="0"/>
        <w:ind w:firstLine="420"/>
        <w:jc w:val="both"/>
      </w:pPr>
      <w:r>
        <w:rPr>
          <w:rFonts w:ascii="Times New Roman" w:hAnsi="Times New Roman" w:eastAsia="宋体" w:cs="Times New Roman" w:hint="eastAsia"/>
          <w:b w:val="0"/>
          <w:i w:val="0"/>
          <w:sz w:val="21"/>
        </w:rPr>
        <w:t>表13给出了空间分层差异。上平台A段的复数误差中位数为0.180，坡面B段增至0.333，下平台C段为0.301；坡面中位误差较上平台高84.6%。下平台的P90达到0.759，为三个区段最高，说明少数困难工况的误差会沿坡脚散射后向下平台扩展。结合图18的POD模态可见，坡面和下平台的中高频结构分散在多个模态中，不受单一模态控制；24/36阶敏感性进一步表明，增加模态只能改善典型工况，难以消除C段的上尾误差。</w:t>
      </w:r>
    </w:p>
    <w:p>
      <w:pPr>
        <w:spacing w:before="0" w:after="0"/>
        <w:ind w:firstLine="420"/>
        <w:jc w:val="both"/>
      </w:pPr>
      <w:r>
        <w:rPr>
          <w:rFonts w:ascii="Times New Roman" w:hAnsi="Times New Roman" w:eastAsia="宋体" w:cs="Times New Roman" w:hint="eastAsia"/>
          <w:b w:val="0"/>
          <w:i w:val="0"/>
          <w:sz w:val="21"/>
        </w:rPr>
        <w:t>B段和C段的复数误差中位数分别为0.2450和0.2506，均高于上平台A段的0.1836；C段P90达到0.5095，为三个区段最高。高频对数幅值和相位中位误差分别为低频的3.49倍和2.37倍，说明误差仍集中在高频、坡面和下平台，而非均匀散布于全场。</w:t>
      </w:r>
    </w:p>
    <w:p>
      <w:pPr>
        <w:spacing w:before="156" w:after="0"/>
        <w:ind w:firstLine="0"/>
        <w:jc w:val="center"/>
      </w:pPr>
      <w:r>
        <w:rPr>
          <w:rFonts w:ascii="Times New Roman" w:hAnsi="Times New Roman" w:eastAsia="宋体" w:cs="Times New Roman" w:hint="eastAsia"/>
          <w:b w:val="0"/>
          <w:i w:val="0"/>
          <w:sz w:val="18"/>
        </w:rPr>
        <w:t>表13 POD-GPR误差的频带与空间分层（中位数/P90）</w:t>
      </w:r>
    </w:p>
    <w:p>
      <w:pPr>
        <w:spacing w:before="0" w:after="40"/>
        <w:ind w:firstLine="0"/>
        <w:jc w:val="center"/>
      </w:pPr>
      <w:r>
        <w:rPr>
          <w:rFonts w:ascii="Times New Roman" w:hAnsi="Times New Roman" w:eastAsia="Times New Roman" w:cs="Times New Roman" w:hint="eastAsia"/>
          <w:b w:val="0"/>
          <w:i w:val="0"/>
          <w:sz w:val="18"/>
        </w:rPr>
        <w:t>Table 13 Frequency-band and spatial-segment errors of POD-GPR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分层类型</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范围</w:t>
            </w:r>
          </w:p>
        </w:tc>
        <w:tc>
          <w:tcPr>
            <w:tcW w:type="dxa" w:w="192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8"/>
              </w:rPr>
              <w:t xml:space="preserve"> RMSE</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相位RMSE/(°)</w:t>
            </w:r>
          </w:p>
        </w:tc>
        <w:tc>
          <w:tcPr>
            <w:tcW w:type="dxa" w:w="192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0.5～3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0.0631/0.1695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5.30/12.64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3～6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0.1488/0.3045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8.82/20.23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6～10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0.2203/0.3916</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12.54/26.33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A，上平台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0.1344/0.3120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0.1836/0.3747</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B，坡面</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0.2216/0.4194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0.2450/0.4609</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C，下平台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0.1668/0.3513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0.2506/0.5095</w:t>
            </w:r>
          </w:p>
        </w:tc>
      </w:tr>
    </w:tbl>
    <w:p>
      <w:pPr>
        <w:spacing w:before="80" w:after="20"/>
        <w:ind w:firstLine="0"/>
        <w:jc w:val="left"/>
      </w:pPr>
      <w:r>
        <w:rPr>
          <w:rFonts w:ascii="Times New Roman" w:hAnsi="Times New Roman" w:eastAsia="宋体" w:cs="Times New Roman" w:hint="eastAsia"/>
          <w:b/>
          <w:i w:val="0"/>
          <w:sz w:val="21"/>
        </w:rPr>
        <w:t>4.2.2 训练外组合预测与误差分布</w:t>
      </w:r>
    </w:p>
    <w:p>
      <w:pPr>
        <w:spacing w:before="0" w:after="0"/>
        <w:ind w:firstLine="420"/>
        <w:jc w:val="both"/>
      </w:pPr>
      <w:r>
        <w:rPr>
          <w:rFonts w:ascii="Times New Roman" w:hAnsi="Times New Roman" w:eastAsia="宋体" w:cs="Times New Roman" w:hint="eastAsia"/>
          <w:b w:val="0"/>
          <w:i w:val="0"/>
          <w:sz w:val="21"/>
        </w:rPr>
        <w:t>在确定POD-GPR后，用全部64个P组工况重新拟合12阶主模型，并对B001～B012逐例预测。B组误差中位数为0.2304，与P组五折交叉验证中位数0.2165接近；B组P90为0.6674，明显高于交叉验证P90的0.3672。12例中有9例不超过0.3672，B001、B011和B004超过该值，最大误差B004为0.7437。这说明相位对齐改善了典型工况的学习难度，却没有消除软覆盖层组合的误差上尾。</w:t>
      </w:r>
    </w:p>
    <w:p>
      <w:pPr>
        <w:spacing w:before="0" w:after="0"/>
        <w:ind w:firstLine="420"/>
        <w:jc w:val="both"/>
      </w:pPr>
      <w:r>
        <w:rPr>
          <w:rFonts w:ascii="Times New Roman" w:hAnsi="Times New Roman" w:eastAsia="宋体" w:cs="Times New Roman" w:hint="eastAsia"/>
          <w:b w:val="0"/>
          <w:i w:val="0"/>
          <w:sz w:val="21"/>
        </w:rPr>
        <w:t>中心值接近而上尾分离，是B组最重要的信息。B组使用中间参数水平，更容易落在响应曲面弯曲而两端样本不足的位置。12例规模较小，P90不能用于估计连续参数域的失效概率；但三个超出交叉验证P90的工况均属于低波速比组合，使上尾升高具有物理一致性。</w:t>
      </w:r>
    </w:p>
    <w:p>
      <w:pPr>
        <w:spacing w:before="80" w:after="40"/>
        <w:ind w:firstLine="0"/>
        <w:jc w:val="center"/>
      </w:pPr>
      <w:r>
        <w:drawing>
          <wp:inline xmlns:a="http://schemas.openxmlformats.org/drawingml/2006/main" xmlns:pic="http://schemas.openxmlformats.org/drawingml/2006/picture">
            <wp:extent cx="5669280" cy="3494534"/>
            <wp:docPr id="17" name="Picture 17"/>
            <wp:cNvGraphicFramePr>
              <a:graphicFrameLocks noChangeAspect="1"/>
            </wp:cNvGraphicFramePr>
            <a:graphic>
              <a:graphicData uri="http://schemas.openxmlformats.org/drawingml/2006/picture">
                <pic:pic>
                  <pic:nvPicPr>
                    <pic:cNvPr id="0" name="fig21_训练外组合误差排序.png"/>
                    <pic:cNvPicPr/>
                  </pic:nvPicPr>
                  <pic:blipFill>
                    <a:blip r:embed="rId33"/>
                    <a:stretch>
                      <a:fillRect/>
                    </a:stretch>
                  </pic:blipFill>
                  <pic:spPr>
                    <a:xfrm>
                      <a:off x="0" y="0"/>
                      <a:ext cx="5669280" cy="349453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图21 训练外组合的逐例误差与参数对照：（a）按输入谱加权复数误差排序的12个B组工况；（b）对应坡角、厚度比和波速比；（c）对数幅值RMSE、圆周相位RMSE、峰值幅值相对误差、峰频误差和峰位误差</w:t>
      </w:r>
    </w:p>
    <w:p>
      <w:pPr>
        <w:spacing w:before="0" w:after="60"/>
        <w:ind w:firstLine="0"/>
        <w:jc w:val="center"/>
      </w:pPr>
      <w:r>
        <w:rPr>
          <w:rFonts w:ascii="Times New Roman" w:hAnsi="Times New Roman" w:eastAsia="Times New Roman" w:cs="Times New Roman" w:hint="eastAsia"/>
          <w:b w:val="0"/>
          <w:i w:val="0"/>
          <w:sz w:val="18"/>
        </w:rPr>
        <w:t>Fig. 21 Case-wise errors and parameters of the 12 training-excluded combinations</w:t>
      </w:r>
    </w:p>
    <w:p>
      <w:pPr>
        <w:spacing w:before="0" w:after="0"/>
        <w:ind w:firstLine="420"/>
        <w:jc w:val="both"/>
      </w:pPr>
      <w:r>
        <w:rPr>
          <w:rFonts w:ascii="Times New Roman" w:hAnsi="Times New Roman" w:eastAsia="宋体" w:cs="Times New Roman" w:hint="eastAsia"/>
          <w:b w:val="0"/>
          <w:i w:val="0"/>
          <w:sz w:val="21"/>
        </w:rPr>
        <w:t>训练外结果仍呈清晰的波速比分层。</w:t>
      </w:r>
      <m:oMath>
        <m:sSub>
          <m:e>
            <m:r>
              <m:t>r</m:t>
            </m:r>
          </m:e>
          <m:sub>
            <m:r>
              <m:t>v</m:t>
            </m:r>
          </m:sub>
        </m:sSub>
        <m:r>
          <m:rPr>
            <m:sty m:val="p"/>
          </m:rPr>
          <m:t>=</m:t>
        </m:r>
        <m:r>
          <m:t>0.375</m:t>
        </m:r>
      </m:oMath>
      <w:r>
        <w:rPr>
          <w:rFonts w:ascii="Times New Roman" w:hAnsi="Times New Roman" w:eastAsia="宋体" w:cs="Times New Roman" w:hint="eastAsia"/>
          <w:b w:val="0"/>
          <w:i w:val="0"/>
          <w:sz w:val="21"/>
        </w:rPr>
        <w:t>、0.525和0.675三组的复数误差中位数分别为0.5720、0.2304和0.1223，P90分别为0.7279、0.2537和0.1662。最困难的B001、B011和B004均属于</w:t>
      </w:r>
      <m:oMath>
        <m:sSub>
          <m:e>
            <m:r>
              <m:t>r</m:t>
            </m:r>
          </m:e>
          <m:sub>
            <m:r>
              <m:t>v</m:t>
            </m:r>
          </m:sub>
        </m:sSub>
        <m:r>
          <m:rPr>
            <m:sty m:val="p"/>
          </m:rPr>
          <m:t>=</m:t>
        </m:r>
        <m:r>
          <m:t>0.375</m:t>
        </m:r>
      </m:oMath>
      <w:r>
        <w:rPr>
          <w:rFonts w:ascii="Times New Roman" w:hAnsi="Times New Roman" w:eastAsia="宋体" w:cs="Times New Roman" w:hint="eastAsia"/>
          <w:b w:val="0"/>
          <w:i w:val="0"/>
          <w:sz w:val="21"/>
        </w:rPr>
        <w:t>，其中B011和B004同时具有较大厚度比1.20。不过，低波速比并不必然导致失败，B006同为</w:t>
      </w:r>
      <m:oMath>
        <m:sSub>
          <m:e>
            <m:r>
              <m:t>r</m:t>
            </m:r>
          </m:e>
          <m:sub>
            <m:r>
              <m:t>v</m:t>
            </m:r>
          </m:sub>
        </m:sSub>
        <m:r>
          <m:rPr>
            <m:sty m:val="p"/>
          </m:rPr>
          <m:t>=</m:t>
        </m:r>
        <m:r>
          <m:t>0.375</m:t>
        </m:r>
      </m:oMath>
      <w:r>
        <w:rPr>
          <w:rFonts w:ascii="Times New Roman" w:hAnsi="Times New Roman" w:eastAsia="宋体" w:cs="Times New Roman" w:hint="eastAsia"/>
          <w:b w:val="0"/>
          <w:i w:val="0"/>
          <w:sz w:val="21"/>
        </w:rPr>
        <w:t>，误差为0.3729，仍低于另外三例。</w:t>
      </w:r>
    </w:p>
    <w:p>
      <w:pPr>
        <w:spacing w:before="0" w:after="0"/>
        <w:ind w:firstLine="420"/>
        <w:jc w:val="both"/>
      </w:pPr>
      <w:r>
        <w:rPr>
          <w:rFonts w:ascii="Times New Roman" w:hAnsi="Times New Roman" w:eastAsia="宋体" w:cs="Times New Roman" w:hint="eastAsia"/>
          <w:b w:val="0"/>
          <w:i w:val="0"/>
          <w:sz w:val="21"/>
        </w:rPr>
        <w:t>三档波速比的中位误差相差约4.68倍。B006提供了必要反例：低波速比提高急剧响应变化的可能性，但较大厚度比和特定坡角进一步决定条带是否落在难以插值的位置，因此不能把单一波速比阈值直接写成失效判据。</w:t>
      </w:r>
    </w:p>
    <w:p>
      <w:pPr>
        <w:spacing w:before="0" w:after="0"/>
        <w:ind w:firstLine="420"/>
        <w:jc w:val="both"/>
      </w:pPr>
      <w:r>
        <w:rPr>
          <w:rFonts w:ascii="Times New Roman" w:hAnsi="Times New Roman" w:eastAsia="宋体" w:cs="Times New Roman" w:hint="eastAsia"/>
          <w:b w:val="0"/>
          <w:i w:val="0"/>
          <w:sz w:val="21"/>
        </w:rPr>
        <w:t>12个训练外组合的逐例数值结果见表14。</w:t>
      </w:r>
    </w:p>
    <w:p>
      <w:pPr>
        <w:spacing w:before="156" w:after="0"/>
        <w:ind w:firstLine="0"/>
        <w:jc w:val="center"/>
      </w:pPr>
      <w:r>
        <w:rPr>
          <w:rFonts w:ascii="Times New Roman" w:hAnsi="Times New Roman" w:eastAsia="宋体" w:cs="Times New Roman" w:hint="eastAsia"/>
          <w:b w:val="0"/>
          <w:i w:val="0"/>
          <w:sz w:val="18"/>
        </w:rPr>
        <w:t>表14 12个训练外中间参数组合的预测误差</w:t>
      </w:r>
    </w:p>
    <w:p>
      <w:pPr>
        <w:spacing w:before="0" w:after="40"/>
        <w:ind w:firstLine="0"/>
        <w:jc w:val="center"/>
      </w:pPr>
      <w:r>
        <w:rPr>
          <w:rFonts w:ascii="Times New Roman" w:hAnsi="Times New Roman" w:eastAsia="Times New Roman" w:cs="Times New Roman" w:hint="eastAsia"/>
          <w:b w:val="0"/>
          <w:i w:val="0"/>
          <w:sz w:val="18"/>
        </w:rPr>
        <w:t>Table 14 Prediction errors for the 12 training-excluded intermediate parameter combinations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88"/>
        <w:gridCol w:w="688"/>
        <w:gridCol w:w="688"/>
        <w:gridCol w:w="688"/>
        <w:gridCol w:w="688"/>
        <w:gridCol w:w="688"/>
        <w:gridCol w:w="688"/>
        <w:gridCol w:w="688"/>
        <w:gridCol w:w="688"/>
        <w:gridCol w:w="688"/>
        <w:gridCol w:w="688"/>
        <w:gridCol w:w="688"/>
        <w:gridCol w:w="688"/>
        <w:gridCol w:w="688"/>
      </w:tblGrid>
      <w:tr>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688"/>
            <w:tcBorders>
              <w:bottom w:val="single" w:sz="6" w:space="0" w:color="auto"/>
            </w:tcBorders>
            <w:vAlign w:val="center"/>
          </w:tcPr>
          <w:p>
            <w:pPr>
              <w:spacing w:before="30" w:after="30"/>
              <w:ind w:firstLine="0"/>
              <w:jc w:val="center"/>
            </w:pPr>
            <m:oMath>
              <m:r>
                <m:t>i</m:t>
              </m:r>
            </m:oMath>
            <w:r>
              <w:rPr>
                <w:rFonts w:ascii="Times New Roman" w:hAnsi="Times New Roman" w:eastAsia="宋体" w:cs="Times New Roman" w:hint="eastAsia"/>
                <w:b/>
                <w:i w:val="0"/>
                <w:sz w:val="16"/>
              </w:rPr>
              <w:t>/(°)</w:t>
            </w:r>
          </w:p>
        </w:tc>
        <w:tc>
          <w:tcPr>
            <w:tcW w:type="dxa" w:w="688"/>
            <w:tcBorders>
              <w:bottom w:val="single" w:sz="6" w:space="0" w:color="auto"/>
            </w:tcBorders>
            <w:vAlign w:val="center"/>
          </w:tcPr>
          <w:p>
            <w:pPr>
              <w:spacing w:before="30" w:after="30"/>
              <w:ind w:firstLine="0"/>
              <w:jc w:val="center"/>
            </w:pPr>
            <m:oMath>
              <m:r>
                <m:t>d</m:t>
              </m:r>
              <m:r>
                <m:rPr>
                  <m:sty m:val="p"/>
                </m:rPr>
                <m:t>/</m:t>
              </m:r>
              <m:r>
                <m:t>h</m:t>
              </m:r>
            </m:oMath>
          </w:p>
        </w:tc>
        <w:tc>
          <w:tcPr>
            <w:tcW w:type="dxa" w:w="688"/>
            <w:tcBorders>
              <w:bottom w:val="single" w:sz="6" w:space="0" w:color="auto"/>
            </w:tcBorders>
            <w:vAlign w:val="center"/>
          </w:tcPr>
          <w:p>
            <w:pPr>
              <w:spacing w:before="30" w:after="30"/>
              <w:ind w:firstLine="0"/>
              <w:jc w:val="center"/>
            </w:pPr>
            <m:oMath>
              <m:sSub>
                <m:e>
                  <m:r>
                    <m:t>r</m:t>
                  </m:r>
                </m:e>
                <m:sub>
                  <m:r>
                    <m:t>v</m:t>
                  </m:r>
                </m:sub>
              </m:sSub>
            </m:oMath>
          </w:p>
        </w:tc>
        <w:tc>
          <w:tcPr>
            <w:tcW w:type="dxa" w:w="68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8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0.4527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0.5461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0.2348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11.43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0.7437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0.8812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46.86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0.2261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0.1750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0.4129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14.54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17.31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0.1339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5.83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0.2618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0.0852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5.78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3.59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0.1623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7.81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0.6913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0.9296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26.47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1.95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0.1800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7.95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bl>
    <w:p>
      <w:pPr>
        <w:spacing w:before="0" w:after="0"/>
        <w:ind w:firstLine="420"/>
        <w:jc w:val="both"/>
      </w:pPr>
      <w:r>
        <w:rPr>
          <w:rFonts w:ascii="Times New Roman" w:hAnsi="Times New Roman" w:eastAsia="宋体" w:cs="Times New Roman" w:hint="eastAsia"/>
          <w:b w:val="0"/>
          <w:i w:val="0"/>
          <w:sz w:val="21"/>
        </w:rPr>
        <w:t>表14还揭示综合误差与峰值指标不等价。B009的复数误差最低，仅0.0918，峰频误差却达到7.1 Hz；B002的复数误差为0.1106，峰位误差仍为2.10。一个窄区域内的竞争峰换位可能只占少量网格，不足以显著抬高全场综合误差，因此代理用于极值搜索时必须同时读取峰频和峰位误差。</w:t>
      </w:r>
    </w:p>
    <w:p>
      <w:pPr>
        <w:spacing w:before="0" w:after="0"/>
        <w:ind w:firstLine="420"/>
        <w:jc w:val="both"/>
      </w:pPr>
      <w:r>
        <w:rPr>
          <w:rFonts w:ascii="Times New Roman" w:hAnsi="Times New Roman" w:eastAsia="宋体" w:cs="Times New Roman" w:hint="eastAsia"/>
          <w:b w:val="0"/>
          <w:i w:val="0"/>
          <w:sz w:val="21"/>
        </w:rPr>
        <w:t>B002与B009还说明，全局最大点可能由两个幅值接近的局部峰竞争产生。代理只要使次峰略高于原主峰，峰频或峰位指标便会发生很大跳变，而其余绝大多数网格仍可保持接近。反过来，峰位为零也不保证场形态正确，B003正是这种情形。用于参数筛查时，综合误差适合判断整体相位对齐总波场响应能否用于谱加权重构，极值指标则适合回答“最不利频率和位置是否找对”。二者应并列报告，工程复核应由实际用途决定侧重点。</w:t>
      </w:r>
    </w:p>
    <w:p>
      <w:pPr>
        <w:spacing w:before="0" w:after="0"/>
        <w:ind w:firstLine="420"/>
        <w:jc w:val="both"/>
      </w:pPr>
      <w:r>
        <w:rPr>
          <w:rFonts w:ascii="Times New Roman" w:hAnsi="Times New Roman" w:eastAsia="宋体" w:cs="Times New Roman" w:hint="eastAsia"/>
          <w:b w:val="0"/>
          <w:i w:val="0"/>
          <w:sz w:val="21"/>
        </w:rPr>
        <w:t>图22选取B002、B003和B004作为好、中、难三类代表。B002三个空间段的复数误差分别为0.103、0.107和0.132；B003为0.239、0.204和0.239，主要表现为中高频条带被平滑；B004差异最显著，A、B、C段误差依次为0.296、0.542和0.947，高频对数幅值RMSE和相位RMSE分别为1.307和66.72°，真值最大幅值处相位误差为162.8°。困难组合的误差集中于高频坡面和下平台，而不是全场随机噪声。</w:t>
      </w:r>
    </w:p>
    <w:p>
      <w:pPr>
        <w:spacing w:before="0" w:after="0"/>
        <w:ind w:firstLine="420"/>
        <w:jc w:val="both"/>
      </w:pPr>
      <w:r>
        <w:rPr>
          <w:rFonts w:ascii="Times New Roman" w:hAnsi="Times New Roman" w:eastAsia="宋体" w:cs="Times New Roman" w:hint="eastAsia"/>
          <w:b w:val="0"/>
          <w:i w:val="0"/>
          <w:sz w:val="21"/>
        </w:rPr>
        <w:t>三幅残差场把统计量背后的失真过程区分开来。B002误差零散，B003表现为条带被平滑和下平台逐步低估，B004则在相同频段同时出现幅值低估和相位偏离。B004的C段复数误差0.947高于全场0.744，验证了下平台困难端。</w:t>
      </w:r>
    </w:p>
    <w:p>
      <w:pPr>
        <w:spacing w:before="80" w:after="40"/>
        <w:ind w:firstLine="0"/>
        <w:jc w:val="center"/>
      </w:pPr>
      <w:r>
        <w:drawing>
          <wp:inline xmlns:a="http://schemas.openxmlformats.org/drawingml/2006/main" xmlns:pic="http://schemas.openxmlformats.org/drawingml/2006/picture">
            <wp:extent cx="5669280" cy="3942488"/>
            <wp:docPr id="18" name="Picture 18"/>
            <wp:cNvGraphicFramePr>
              <a:graphicFrameLocks noChangeAspect="1"/>
            </wp:cNvGraphicFramePr>
            <a:graphic>
              <a:graphicData uri="http://schemas.openxmlformats.org/drawingml/2006/picture">
                <pic:pic>
                  <pic:nvPicPr>
                    <pic:cNvPr id="0" name="fig22_训练外真值预测残差场.png"/>
                    <pic:cNvPicPr/>
                  </pic:nvPicPr>
                  <pic:blipFill>
                    <a:blip r:embed="rId34"/>
                    <a:stretch>
                      <a:fillRect/>
                    </a:stretch>
                  </pic:blipFill>
                  <pic:spPr>
                    <a:xfrm>
                      <a:off x="0" y="0"/>
                      <a:ext cx="5669280" cy="394248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图22 训练外好、中、难工况的相位对齐总波场响应真值、POD-GPR预测及残差：（上）B002，</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0.40</m:t>
        </m:r>
      </m:oMath>
      <w:r>
        <w:rPr>
          <w:rFonts w:ascii="Times New Roman" w:hAnsi="Times New Roman" w:eastAsia="宋体" w:cs="Times New Roman" w:hint="eastAsia"/>
          <w:b w:val="0"/>
          <w:i w:val="0"/>
          <w:sz w:val="18"/>
        </w:rPr>
        <w:t>、</w:t>
      </w:r>
      <m:oMath>
        <m:sSub>
          <m:e>
            <m:r>
              <m:t>r</m:t>
            </m:r>
          </m:e>
          <m:sub>
            <m:r>
              <m:t>v</m:t>
            </m:r>
          </m:sub>
        </m:sSub>
        <m:r>
          <m:rPr>
            <m:sty m:val="p"/>
          </m:rPr>
          <m:t>=</m:t>
        </m:r>
        <m:r>
          <m:t>0.675</m:t>
        </m:r>
      </m:oMath>
      <w:r>
        <w:rPr>
          <w:rFonts w:ascii="Times New Roman" w:hAnsi="Times New Roman" w:eastAsia="宋体" w:cs="Times New Roman" w:hint="eastAsia"/>
          <w:b w:val="0"/>
          <w:i w:val="0"/>
          <w:sz w:val="18"/>
        </w:rPr>
        <w:t>；（中）B003，</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0.80</m:t>
        </m:r>
      </m:oMath>
      <w:r>
        <w:rPr>
          <w:rFonts w:ascii="Times New Roman" w:hAnsi="Times New Roman" w:eastAsia="宋体" w:cs="Times New Roman" w:hint="eastAsia"/>
          <w:b w:val="0"/>
          <w:i w:val="0"/>
          <w:sz w:val="18"/>
        </w:rPr>
        <w:t>、</w:t>
      </w:r>
      <m:oMath>
        <m:sSub>
          <m:e>
            <m:r>
              <m:t>r</m:t>
            </m:r>
          </m:e>
          <m:sub>
            <m:r>
              <m:t>v</m:t>
            </m:r>
          </m:sub>
        </m:sSub>
        <m:r>
          <m:rPr>
            <m:sty m:val="p"/>
          </m:rPr>
          <m:t>=</m:t>
        </m:r>
        <m:r>
          <m:t>0.525</m:t>
        </m:r>
      </m:oMath>
      <w:r>
        <w:rPr>
          <w:rFonts w:ascii="Times New Roman" w:hAnsi="Times New Roman" w:eastAsia="宋体" w:cs="Times New Roman" w:hint="eastAsia"/>
          <w:b w:val="0"/>
          <w:i w:val="0"/>
          <w:sz w:val="18"/>
        </w:rPr>
        <w:t>；（下）B004，</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1.20</m:t>
        </m:r>
      </m:oMath>
      <w:r>
        <w:rPr>
          <w:rFonts w:ascii="Times New Roman" w:hAnsi="Times New Roman" w:eastAsia="宋体" w:cs="Times New Roman" w:hint="eastAsia"/>
          <w:b w:val="0"/>
          <w:i w:val="0"/>
          <w:sz w:val="18"/>
        </w:rPr>
        <w:t>、</w:t>
      </w:r>
      <m:oMath>
        <m:sSub>
          <m:e>
            <m:r>
              <m:t>r</m:t>
            </m:r>
          </m:e>
          <m:sub>
            <m:r>
              <m:t>v</m:t>
            </m:r>
          </m:sub>
        </m:sSub>
        <m:r>
          <m:rPr>
            <m:sty m:val="p"/>
          </m:rPr>
          <m:t>=</m:t>
        </m:r>
        <m:r>
          <m:t>0.375</m:t>
        </m:r>
      </m:oMath>
      <w:r>
        <w:rPr>
          <w:rFonts w:ascii="Times New Roman" w:hAnsi="Times New Roman" w:eastAsia="宋体" w:cs="Times New Roman" w:hint="eastAsia"/>
          <w:b w:val="0"/>
          <w:i w:val="0"/>
          <w:sz w:val="18"/>
        </w:rPr>
        <w:t xml:space="preserve">。三例的真值幅值与预测幅值共用同一色标，残差场也分别共用色标；对数幅值残差定义为 </w:t>
      </w:r>
      <m:oMath>
        <m:r>
          <m:rPr>
            <m:sty m:val="p"/>
          </m:rPr>
          <m:t>ln</m:t>
        </m:r>
        <m:r>
          <m:rPr>
            <m:sty m:val="p"/>
          </m:rPr>
          <m:t>(</m:t>
        </m:r>
        <m:r>
          <m:rPr>
            <m:sty m:val="p"/>
          </m:rPr>
          <m:t>|</m:t>
        </m:r>
        <m:sSubSup>
          <m:e>
            <m:r>
              <m:t>G</m:t>
            </m:r>
          </m:e>
          <m:sub>
            <m:r>
              <m:t>h</m:t>
            </m:r>
          </m:sub>
          <m:sup>
            <m:r>
              <m:rPr>
                <m:sty m:val="p"/>
              </m:rPr>
              <m:t>p</m:t>
            </m:r>
            <m:r>
              <m:rPr>
                <m:sty m:val="p"/>
              </m:rPr>
              <m:t>r</m:t>
            </m:r>
            <m:r>
              <m:rPr>
                <m:sty m:val="p"/>
              </m:rPr>
              <m:t>e</m:t>
            </m:r>
            <m:r>
              <m:rPr>
                <m:sty m:val="p"/>
              </m:rPr>
              <m:t>d</m:t>
            </m:r>
          </m:sup>
        </m:sSubSup>
        <m:r>
          <m:rPr>
            <m:sty m:val="p"/>
          </m:rPr>
          <m:t>|</m:t>
        </m:r>
        <m:r>
          <m:rPr>
            <m:sty m:val="p"/>
          </m:rPr>
          <m:t>/</m:t>
        </m:r>
        <m:r>
          <m:rPr>
            <m:sty m:val="p"/>
          </m:rPr>
          <m:t>|</m:t>
        </m:r>
        <m:sSubSup>
          <m:e>
            <m:r>
              <m:t>G</m:t>
            </m:r>
          </m:e>
          <m:sub>
            <m:r>
              <m:t>h</m:t>
            </m:r>
          </m:sub>
          <m:sup>
            <m:r>
              <m:rPr>
                <m:sty m:val="p"/>
              </m:rPr>
              <m:t>t</m:t>
            </m:r>
            <m:r>
              <m:rPr>
                <m:sty m:val="p"/>
              </m:rPr>
              <m:t>r</m:t>
            </m:r>
            <m:r>
              <m:rPr>
                <m:sty m:val="p"/>
              </m:rPr>
              <m:t>u</m:t>
            </m:r>
            <m:r>
              <m:rPr>
                <m:sty m:val="p"/>
              </m:rPr>
              <m:t>e</m:t>
            </m:r>
          </m:sup>
        </m:sSubSup>
        <m:r>
          <m:rPr>
            <m:sty m:val="p"/>
          </m:rPr>
          <m:t>|</m:t>
        </m:r>
        <m:r>
          <m:rPr>
            <m:sty m:val="p"/>
          </m:rPr>
          <m:t>)</m:t>
        </m:r>
      </m:oMath>
      <w:r>
        <w:rPr>
          <w:rFonts w:ascii="Times New Roman" w:hAnsi="Times New Roman" w:eastAsia="宋体" w:cs="Times New Roman" w:hint="eastAsia"/>
          <w:b w:val="0"/>
          <w:i w:val="0"/>
          <w:sz w:val="18"/>
        </w:rPr>
        <w:t>，正值表示高估，圆周相位残差取预测相位减真值相位；虚线为A/B/C空间段边界</w:t>
      </w:r>
    </w:p>
    <w:p>
      <w:pPr>
        <w:spacing w:before="0" w:after="60"/>
        <w:ind w:firstLine="0"/>
        <w:jc w:val="center"/>
      </w:pPr>
      <w:r>
        <w:rPr>
          <w:rFonts w:ascii="Times New Roman" w:hAnsi="Times New Roman" w:eastAsia="Times New Roman" w:cs="Times New Roman" w:hint="eastAsia"/>
          <w:b w:val="0"/>
          <w:i w:val="0"/>
          <w:sz w:val="18"/>
        </w:rPr>
        <w:t>Fig. 22 Complex-FRF truth, POD-GPR prediction, and residual fields for representative easy, intermediate, and difficult training-excluded cases</w:t>
      </w:r>
    </w:p>
    <w:p>
      <w:pPr>
        <w:spacing w:before="0" w:after="0"/>
        <w:ind w:firstLine="420"/>
        <w:jc w:val="both"/>
      </w:pPr>
      <w:r>
        <w:rPr>
          <w:rFonts w:ascii="Times New Roman" w:hAnsi="Times New Roman" w:eastAsia="宋体" w:cs="Times New Roman" w:hint="eastAsia"/>
          <w:b w:val="0"/>
          <w:i w:val="0"/>
          <w:sz w:val="21"/>
        </w:rPr>
        <w:t>综合交叉验证和训练外组合结果，当前12阶POD-GPR的中位复数误差分别为21.6%和23.0%，P90分别为36.7%和66.7%。它能够恢复参数域内部的主要结构，但低波速比、较大厚度比及下平台高频响应仍需直接有限元复核。24阶和36阶只小幅降低中位误差，未降低上尾，因此后续改进应优先在软厚区域加密样本。</w:t>
      </w:r>
    </w:p>
    <w:p>
      <w:pPr>
        <w:spacing w:before="0" w:after="0"/>
        <w:ind w:firstLine="420"/>
        <w:jc w:val="both"/>
      </w:pPr>
      <w:r>
        <w:rPr>
          <w:rFonts w:ascii="Times New Roman" w:hAnsi="Times New Roman" w:eastAsia="宋体" w:cs="Times New Roman" w:hint="eastAsia"/>
          <w:b w:val="0"/>
          <w:i w:val="0"/>
          <w:sz w:val="21"/>
        </w:rPr>
        <w:t>就当前证据而言，更合适的使用方式是先由代理生成参数域内的相位对齐总波场响应全图，再依据频带、空间段和覆盖层组合判断是否需要有限元复核，而不是给所有预测套用同一个误差百分数。交叉验证与B组给出的是群体误差分布，尚未形成对单个新工况可靠度经过校准的预测区间；GPR后验方差也未完成校准，不能替代这一判断。图20～图22已经把优先复核区域收敛到软厚覆盖层的坡面及下平台中高频结构，后续增样可针对这些残差集中的参数—输出区域进行，而无需均匀扩充整个三维网格。这样的定位既承认代理在低频和典型组合上的计算价值，也保留了对困难工况直接求解的必要性。</w:t>
      </w:r>
    </w:p>
    <w:p>
      <w:pPr>
        <w:spacing w:before="0" w:after="0"/>
        <w:ind w:firstLine="420"/>
        <w:jc w:val="both"/>
      </w:pPr>
      <w:r>
        <w:rPr>
          <w:rFonts w:ascii="Times New Roman" w:hAnsi="Times New Roman" w:eastAsia="宋体" w:cs="Times New Roman" w:hint="eastAsia"/>
          <w:b w:val="0"/>
          <w:i w:val="0"/>
          <w:sz w:val="21"/>
        </w:rPr>
        <w:t>因此，本节得到的是适用范围受训练域约束的降阶预测工具及其误差地图，而不是脱离样本域和输入条件仍然成立的通用公式。POD用于压缩高维场，高斯过程用于学习参数到模态系数的映射，这种组合与既有降阶建模和代理学习的基本思路一致</w:t>
      </w:r>
      <w:r>
        <w:rPr>
          <w:rFonts w:ascii="Times New Roman" w:hAnsi="Times New Roman" w:eastAsia="宋体" w:cs="Times New Roman" w:hint="eastAsia"/>
          <w:b w:val="0"/>
          <w:i w:val="0"/>
          <w:sz w:val="21"/>
          <w:vertAlign w:val="superscript"/>
        </w:rPr>
        <w:t>[25-30]</w:t>
      </w:r>
      <w:r>
        <w:rPr>
          <w:rFonts w:ascii="Times New Roman" w:hAnsi="Times New Roman" w:eastAsia="宋体" w:cs="Times New Roman" w:hint="eastAsia"/>
          <w:b w:val="0"/>
          <w:i w:val="0"/>
          <w:sz w:val="21"/>
        </w:rPr>
        <w:t>；本文的区别在于同时报告复数场、极值位置和训练外上尾误差。后续闭环验证据此采用多记录、多位置评价，而不只展示单个坡顶时程。</w:t>
      </w:r>
    </w:p>
    <w:p>
      <w:pPr>
        <w:spacing w:before="156" w:after="40"/>
        <w:ind w:firstLine="0"/>
        <w:jc w:val="left"/>
      </w:pPr>
      <w:r>
        <w:rPr>
          <w:rFonts w:ascii="Times New Roman" w:hAnsi="Times New Roman" w:eastAsia="宋体" w:cs="Times New Roman" w:hint="eastAsia"/>
          <w:b/>
          <w:i w:val="0"/>
          <w:sz w:val="24"/>
        </w:rPr>
        <w:t>4.3 真实地震波闭环验证</w:t>
      </w:r>
    </w:p>
    <w:p>
      <w:pPr>
        <w:spacing w:before="0" w:after="0"/>
        <w:ind w:firstLine="420"/>
        <w:jc w:val="both"/>
      </w:pPr>
      <w:r>
        <w:rPr>
          <w:rFonts w:ascii="Times New Roman" w:hAnsi="Times New Roman" w:eastAsia="宋体" w:cs="Times New Roman" w:hint="eastAsia"/>
          <w:b w:val="0"/>
          <w:i w:val="0"/>
          <w:sz w:val="21"/>
        </w:rPr>
        <w:t>交叉验证和训练外组合评价所回答的是代理模型能否复现宽频相位对齐总波场响应，尚不能直接说明其重构工程地震动的能力。为此，本文进一步设置“真实记录输入—自由场计算—代理响应预测—水平传播相位还原—地表总波场时程重构—直接有限元对照”的闭环。闭环共包括 C001～C010 十个算例，涉及四种坡地体系：P007（</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）和训练外中间组合 B007（</w:t>
      </w:r>
      <m:oMath>
        <m:r>
          <m:t>i</m:t>
        </m:r>
        <m:r>
          <m:rPr>
            <m:sty m:val="p"/>
          </m:rPr>
          <m:t>=</m:t>
        </m:r>
        <m:sSup>
          <m:e>
            <m:r>
              <m:t>37.5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0.80</m:t>
        </m:r>
      </m:oMath>
      <w:r>
        <w:rPr>
          <w:rFonts w:ascii="Times New Roman" w:hAnsi="Times New Roman" w:eastAsia="宋体" w:cs="Times New Roman" w:hint="eastAsia"/>
          <w:b w:val="0"/>
          <w:i w:val="0"/>
          <w:sz w:val="21"/>
        </w:rPr>
        <w:t>、</w:t>
      </w:r>
      <m:oMath>
        <m:sSub>
          <m:e>
            <m:r>
              <m:t>r</m:t>
            </m:r>
          </m:e>
          <m:sub>
            <m:r>
              <m:t>v</m:t>
            </m:r>
          </m:sub>
        </m:sSub>
        <m:r>
          <m:rPr>
            <m:sty m:val="p"/>
          </m:rPr>
          <m:t>=</m:t>
        </m:r>
        <m:r>
          <m:t>0.675</m:t>
        </m:r>
      </m:oMath>
      <w:r>
        <w:rPr>
          <w:rFonts w:ascii="Times New Roman" w:hAnsi="Times New Roman" w:eastAsia="宋体" w:cs="Times New Roman" w:hint="eastAsia"/>
          <w:b w:val="0"/>
          <w:i w:val="0"/>
          <w:sz w:val="21"/>
        </w:rPr>
        <w:t>）。P007、P039、P061 和 B007 分别在 El Centro 与 Kobe 记录下计算，P039 和 B007 另在 Chi-Chi 记录下计算。每个 C 算例均重新进行二维直接有限元分析，后者只作为闭环真值，不参与代理训练、模型选择或参数调整。</w:t>
      </w:r>
    </w:p>
    <w:p>
      <w:pPr>
        <w:spacing w:before="0" w:after="0"/>
        <w:ind w:firstLine="420"/>
        <w:jc w:val="both"/>
      </w:pPr>
      <w:r>
        <w:rPr>
          <w:rFonts w:ascii="Times New Roman" w:hAnsi="Times New Roman" w:eastAsia="宋体" w:cs="Times New Roman" w:hint="eastAsia"/>
          <w:b w:val="0"/>
          <w:i w:val="0"/>
          <w:sz w:val="21"/>
        </w:rPr>
        <w:t>四种体系中，P007、P039和P061属于代理训练参数节点，B007则位于训练网格之间。因此，前三者的闭环主要检验“已覆盖节点的频响经新输入重构时程”，B007还叠加了参数插值这一层困难。十例不是按四体系与三记录的完整全因子配置，比较记录效应时必须保留这种不平衡性；但这种安排能够同时观察训练节点、训练外组合以及从较硬覆盖层到软厚覆盖层的不同响应条件。</w:t>
      </w:r>
    </w:p>
    <w:p>
      <w:pPr>
        <w:spacing w:before="0" w:after="0"/>
        <w:ind w:firstLine="420"/>
        <w:jc w:val="both"/>
      </w:pPr>
      <w:r>
        <w:rPr>
          <w:rFonts w:ascii="Times New Roman" w:hAnsi="Times New Roman" w:eastAsia="宋体" w:cs="Times New Roman" w:hint="eastAsia"/>
          <w:b w:val="0"/>
          <w:i w:val="0"/>
          <w:sz w:val="21"/>
        </w:rPr>
        <w:t xml:space="preserve">三条记录均采用水平分量，预处理后峰值加速度为 0.1g，时间步长为 0.001 s；El Centro、Kobe 和 Chi-Chi 的有效持时分别为 31.2、40.9 和 52.8 s。原始记录在重采样前经过六阶零相位 Butterworth 12 Hz 低通滤波，并进行端点速度趋势校正，以降低高频混叠和积分漂移。对每条记录及相应坡地剖面，建模阶段同步计算左侧上平台高度处的自由场时程 </w:t>
      </w:r>
      <m:oMath>
        <m:sSubSup>
          <m:e>
            <m:r>
              <m:t>a</m:t>
            </m:r>
          </m:e>
          <m:sub>
            <m:r>
              <m:t>h</m:t>
            </m:r>
            <m:r>
              <m:rPr>
                <m:sty m:val="p"/>
              </m:rPr>
              <m:t>,</m:t>
            </m:r>
            <m:r>
              <m:t>L</m:t>
            </m:r>
          </m:sub>
          <m:sup>
            <m:r>
              <m:rPr>
                <m:sty m:val="p"/>
              </m:rPr>
              <m:t>f</m:t>
            </m:r>
            <m:r>
              <m:rPr>
                <m:sty m:val="p"/>
              </m:rPr>
              <m:t>f</m:t>
            </m:r>
          </m:sup>
        </m:sSubSup>
        <m:r>
          <m:rPr>
            <m:sty m:val="p"/>
          </m:rPr>
          <m:t>(</m:t>
        </m:r>
        <m:r>
          <m:t>t</m:t>
        </m:r>
        <m:r>
          <m:rPr>
            <m:sty m:val="p"/>
          </m:rPr>
          <m:t>)</m:t>
        </m:r>
      </m:oMath>
      <w:r>
        <w:rPr>
          <w:rFonts w:ascii="Times New Roman" w:hAnsi="Times New Roman" w:eastAsia="宋体" w:cs="Times New Roman" w:hint="eastAsia"/>
          <w:b w:val="0"/>
          <w:i w:val="0"/>
          <w:sz w:val="21"/>
        </w:rPr>
        <w:t>。该时程不是后处理中人为缩放出的参考曲线，而是与坡地模型采用相同入射波、介质参数和阻尼设置的成层自由场传播结果。闭环重构先由左侧自由场复谱形成相位对齐响应，预测后再乘回各位置的水平传播相位。</w:t>
      </w:r>
    </w:p>
    <w:p>
      <w:pPr>
        <w:spacing w:before="0" w:after="0"/>
        <w:ind w:firstLine="420"/>
        <w:jc w:val="both"/>
      </w:pPr>
      <w:r>
        <w:rPr>
          <w:rFonts w:ascii="Times New Roman" w:hAnsi="Times New Roman" w:eastAsia="宋体" w:cs="Times New Roman" w:hint="eastAsia"/>
          <w:b w:val="0"/>
          <w:i w:val="0"/>
          <w:sz w:val="21"/>
        </w:rPr>
        <w:t>图23给出了三条左侧一维自由场时程及其在本文分析频带内的能量构成。能量占比由有效持时内的傅里叶能量在各频带积分得到，并以 0.5～10 Hz 总能量归一化。El Centro 在 0.5～3、3～6 和 6～10 Hz 的能量占比分别为 37.9%、55.5% 和 6.6%；Kobe 分别为 38.0%、52.1% 和 9.8%；Chi-Chi 分别为 40.7%、39.9% 和 19.4%。因此，El Centro 与 Kobe 有 93.4% 和 90.1% 的频带能量集中在 6 Hz 以下，而 Chi-Chi 的相应比例为 80.6%。这里更准确的说法不是三条记录都“只含低频”，而是它们在代理误差较大的 6～10 Hz 频段所占权重有限，其中 Chi-Chi 的高频权重明显高于前两条记录。该差别为后文解释频域误差与时域误差之间的关系提供了直接依据。</w:t>
      </w:r>
    </w:p>
    <w:p>
      <w:pPr>
        <w:spacing w:before="0" w:after="0"/>
        <w:ind w:firstLine="420"/>
        <w:jc w:val="both"/>
      </w:pPr>
      <w:r>
        <w:rPr>
          <w:rFonts w:ascii="Times New Roman" w:hAnsi="Times New Roman" w:eastAsia="宋体" w:cs="Times New Roman" w:hint="eastAsia"/>
          <w:b w:val="0"/>
          <w:i w:val="0"/>
          <w:sz w:val="21"/>
        </w:rPr>
        <w:t>三条记录都缩放到0.1g只统一了峰值量级，并没有统一频谱形状。El Centro与Kobe的中频能量均超过一半，二者的主要差别体现在高频占比由6.6%增至9.8%；Chi-Chi的中频占比降至39.9%，高频占比则升至19.4%，其高频权重分别约为前两者的2.9倍和2.0倍。代理总波场预测谱的误差会按输入谱逐频加权，同一处响应偏差只有与记录的能量频带重合时，才会明显进入时域平方误差。因而图23不是一般性的地震动强弱比较，而是闭环误差传递所需的输入条件说明；峰值相同的记录仍可能对代理的高频薄弱区施加不同权重。</w:t>
      </w:r>
    </w:p>
    <w:p>
      <w:pPr>
        <w:spacing w:before="80" w:after="40"/>
        <w:ind w:firstLine="0"/>
        <w:jc w:val="center"/>
      </w:pPr>
      <w:r>
        <w:drawing>
          <wp:inline xmlns:a="http://schemas.openxmlformats.org/drawingml/2006/main" xmlns:pic="http://schemas.openxmlformats.org/drawingml/2006/picture">
            <wp:extent cx="5669280" cy="3766431"/>
            <wp:docPr id="19" name="Picture 19"/>
            <wp:cNvGraphicFramePr>
              <a:graphicFrameLocks noChangeAspect="1"/>
            </wp:cNvGraphicFramePr>
            <a:graphic>
              <a:graphicData uri="http://schemas.openxmlformats.org/drawingml/2006/picture">
                <pic:pic>
                  <pic:nvPicPr>
                    <pic:cNvPr id="0" name="fig23_真实地震波时程与能量谱.png"/>
                    <pic:cNvPicPr/>
                  </pic:nvPicPr>
                  <pic:blipFill>
                    <a:blip r:embed="rId35"/>
                    <a:stretch>
                      <a:fillRect/>
                    </a:stretch>
                  </pic:blipFill>
                  <pic:spPr>
                    <a:xfrm>
                      <a:off x="0" y="0"/>
                      <a:ext cx="5669280" cy="376643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图23 三条真实记录对应的左侧上平台一维自由场：（a）归一化加速度时程；（b）0.5～10 Hz 归一化能量谱及0.5～3、3～6、6～10 Hz频带能量占比</w:t>
      </w:r>
    </w:p>
    <w:p>
      <w:pPr>
        <w:spacing w:before="0" w:after="60"/>
        <w:ind w:firstLine="0"/>
        <w:jc w:val="center"/>
      </w:pPr>
      <w:r>
        <w:rPr>
          <w:rFonts w:ascii="Times New Roman" w:hAnsi="Times New Roman" w:eastAsia="Times New Roman" w:cs="Times New Roman" w:hint="eastAsia"/>
          <w:b w:val="0"/>
          <w:i w:val="0"/>
          <w:sz w:val="18"/>
        </w:rPr>
        <w:t>Fig. 23 Left upper-platform one-dimensional free fields of the three real records: normalized time histories and energy spectra</w:t>
      </w:r>
    </w:p>
    <w:p>
      <w:pPr>
        <w:spacing w:before="0" w:after="0"/>
        <w:ind w:firstLine="420"/>
        <w:jc w:val="both"/>
      </w:pPr>
      <w:r>
        <w:rPr>
          <w:rFonts w:ascii="Times New Roman" w:hAnsi="Times New Roman" w:eastAsia="宋体" w:cs="Times New Roman" w:hint="eastAsia"/>
          <w:b w:val="0"/>
          <w:i w:val="0"/>
          <w:sz w:val="21"/>
        </w:rPr>
        <w:t xml:space="preserve">对给定参数组合 </w:t>
      </w:r>
      <m:oMath>
        <m:r>
          <m:rPr>
            <m:sty m:val="bi"/>
          </m:rPr>
          <m:t>θ</m:t>
        </m:r>
        <m:r>
          <m:rPr>
            <m:sty m:val="p"/>
          </m:rPr>
          <m:t>=</m:t>
        </m:r>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和地震记录 </w:t>
      </w:r>
      <m:oMath>
        <m:r>
          <m:t>g</m:t>
        </m:r>
      </m:oMath>
      <w:r>
        <w:rPr>
          <w:rFonts w:ascii="Times New Roman" w:hAnsi="Times New Roman" w:eastAsia="宋体" w:cs="Times New Roman" w:hint="eastAsia"/>
          <w:b w:val="0"/>
          <w:i w:val="0"/>
          <w:sz w:val="21"/>
        </w:rPr>
        <w:t xml:space="preserve">，冻结后的 POD-GPR 模型先预测公共网格上的相位对齐总波场响应 </w:t>
      </w:r>
      <m:oMath>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oMath>
      <w:r>
        <w:rPr>
          <w:rFonts w:ascii="Times New Roman" w:hAnsi="Times New Roman" w:eastAsia="宋体" w:cs="Times New Roman" w:hint="eastAsia"/>
          <w:b w:val="0"/>
          <w:i w:val="0"/>
          <w:sz w:val="21"/>
        </w:rPr>
        <w:t>。随后，将左侧自由场时程变换至频域，并把式（13）中扣除的水平传播相位乘回，得到地表总波场预测谱：</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t>g</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r>
                <m:t> </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t>g</m:t>
              </m:r>
              <m:r>
                <m:rPr>
                  <m:sty m:val="p"/>
                </m:rPr>
                <m:t>)</m:t>
              </m:r>
              <m:r>
                <m:t> </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(22)</w:t>
            </w:r>
          </w:p>
        </w:tc>
      </w:tr>
    </w:tbl>
    <w:p>
      <w:pPr>
        <w:spacing w:before="0" w:after="0"/>
        <w:ind w:firstLine="420"/>
        <w:jc w:val="both"/>
      </w:pPr>
      <w:r>
        <w:rPr>
          <w:rFonts w:ascii="Times New Roman" w:hAnsi="Times New Roman" w:eastAsia="宋体" w:cs="Times New Roman" w:hint="eastAsia"/>
          <w:b w:val="0"/>
          <w:i w:val="0"/>
          <w:sz w:val="21"/>
        </w:rPr>
        <w:t xml:space="preserve">模型在 0.5～10 Hz、0.1 Hz 间隔的 96 个频点上给出相位对齐总波场响应，重构时分别对其实部和虚部插值至地震记录的快速傅里叶变换（fast Fourier transform，FFT）频率网格，并在频带两端施加 0.2 Hz 余弦渐变窗。随后按式（22）乘回当地水平传播相位和左侧自由场复谱。这样既恢复总波场的物理相位，又避免在 0.5 和 10 Hz 处硬截断产生明显振铃。补足共轭频谱后进行IFFT，得到 161 个公共地表位置的预测加速度时程 </w:t>
      </w:r>
      <m:oMath>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oMath>
      <w:r>
        <w:rPr>
          <w:rFonts w:ascii="Times New Roman" w:hAnsi="Times New Roman" w:eastAsia="宋体" w:cs="Times New Roman" w:hint="eastAsia"/>
          <w:b w:val="0"/>
          <w:i w:val="0"/>
          <w:sz w:val="21"/>
        </w:rPr>
        <w:t>。直接有限元时程采用完全相同的时间范围和 0.5～10 Hz 频带窗处理后再参与比较，因而表中误差反映的是“代理总波场响应驱动的重构”与“同频带直接有限元响应”之间的差别，而不是一个经过带限、另一个保留全频所造成的口径差。</w:t>
      </w:r>
    </w:p>
    <w:p>
      <w:pPr>
        <w:spacing w:before="0" w:after="0"/>
        <w:ind w:firstLine="420"/>
        <w:jc w:val="both"/>
      </w:pPr>
      <w:r>
        <w:rPr>
          <w:rFonts w:ascii="Times New Roman" w:hAnsi="Times New Roman" w:eastAsia="宋体" w:cs="Times New Roman" w:hint="eastAsia"/>
          <w:b w:val="0"/>
          <w:i w:val="0"/>
          <w:sz w:val="21"/>
        </w:rPr>
        <w:t>这里必须使用复数预测而不能只把幅值谱乘回输入。幅值决定各频率成分的强弱，相位决定这些成分在时域何时叠加；幅值接近但相位存在系统偏差时，PGA仍可能偶然接近，整段波形却会错位。实部和虚部在同一FFT网格上插值，再通过共轭对称恢复实值时程，使第4.2节的相位、群时延误差能够真实传递到闭环指标。预测与有限元采用同一带限和渐变窗，则把比较范围限定在代理实际覆盖的0.5～10 Hz内。由此得到的良好结果不能推广到0.5 Hz以下或10 Hz以上，而带外误差也不会被混入对代理的评价。</w:t>
      </w:r>
    </w:p>
    <w:p>
      <w:pPr>
        <w:spacing w:before="0" w:after="0"/>
        <w:ind w:firstLine="420"/>
        <w:jc w:val="both"/>
      </w:pPr>
      <w:r>
        <w:rPr>
          <w:rFonts w:ascii="Times New Roman" w:hAnsi="Times New Roman" w:eastAsia="宋体" w:cs="Times New Roman" w:hint="eastAsia"/>
          <w:b w:val="0"/>
          <w:i w:val="0"/>
          <w:sz w:val="21"/>
        </w:rPr>
        <w:t xml:space="preserve">闭环评价在每个地表位置分别计算时程归一化均方根误差、相关系数、PGA 相对误差和峰值时刻误差。以 </w:t>
      </w:r>
      <m:oMath>
        <m:sSubSup>
          <m:e>
            <m:r>
              <m:t>a</m:t>
            </m:r>
          </m:e>
          <m:sub>
            <m:r>
              <m:t>h</m:t>
            </m:r>
          </m:sub>
          <m:sup>
            <m:r>
              <m:rPr>
                <m:sty m:val="p"/>
              </m:rPr>
              <m:t>p</m:t>
            </m:r>
            <m:r>
              <m:rPr>
                <m:sty m:val="p"/>
              </m:rPr>
              <m:t>r</m:t>
            </m:r>
            <m:r>
              <m:rPr>
                <m:sty m:val="p"/>
              </m:rPr>
              <m:t>e</m:t>
            </m:r>
            <m:r>
              <m:rPr>
                <m:sty m:val="p"/>
              </m:rPr>
              <m:t>d</m:t>
            </m:r>
          </m:sup>
        </m:sSubSup>
      </m:oMath>
      <w:r>
        <w:rPr>
          <w:rFonts w:ascii="Times New Roman" w:hAnsi="Times New Roman" w:eastAsia="宋体" w:cs="Times New Roman" w:hint="eastAsia"/>
          <w:b w:val="0"/>
          <w:i w:val="0"/>
          <w:sz w:val="21"/>
        </w:rPr>
        <w:t xml:space="preserve"> 表示代理预测时程，以 </w:t>
      </w:r>
      <m:oMath>
        <m:sSubSup>
          <m:e>
            <m:r>
              <m:t>a</m:t>
            </m:r>
          </m:e>
          <m:sub>
            <m:r>
              <m:t>h</m:t>
            </m:r>
          </m:sub>
          <m:sup>
            <m:r>
              <m:rPr>
                <m:sty m:val="p"/>
              </m:rPr>
              <m:t>F</m:t>
            </m:r>
            <m:r>
              <m:rPr>
                <m:sty m:val="p"/>
              </m:rPr>
              <m:t>E</m:t>
            </m:r>
          </m:sup>
        </m:sSubSup>
      </m:oMath>
      <w:r>
        <w:rPr>
          <w:rFonts w:ascii="Times New Roman" w:hAnsi="Times New Roman" w:eastAsia="宋体" w:cs="Times New Roman" w:hint="eastAsia"/>
          <w:b w:val="0"/>
          <w:i w:val="0"/>
          <w:sz w:val="21"/>
        </w:rPr>
        <w:t xml:space="preserve"> 表示直接有限元（finite element，FE）时程，时程误差定义为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t>t</m:t>
                  </m:r>
                </m:sub>
              </m:sSub>
              <m:r>
                <m:rPr>
                  <m:sty m:val="p"/>
                </m:rPr>
                <m:t>(</m:t>
              </m:r>
              <m:r>
                <m:t>s</m:t>
              </m:r>
              <m:r>
                <m:rPr>
                  <m:sty m:val="p"/>
                </m:rPr>
                <m:t>)</m:t>
              </m:r>
              <m:r>
                <m:rPr>
                  <m:sty m:val="p"/>
                </m:rPr>
                <m:t>=</m:t>
              </m:r>
              <m:f>
                <m:fPr>
                  <m:type m:val="bar"/>
                </m:fPr>
                <m:num>
                  <m:sSub>
                    <m:e>
                      <m:d>
                        <m:dPr>
                          <m:begChr m:val="∥"/>
                          <m:sepChr m:val=""/>
                          <m:endChr m:val="∥"/>
                          <m:grow/>
                        </m:dPr>
                        <m:e>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r>
                            <m:rPr>
                              <m:sty m:val="p"/>
                            </m:rPr>
                            <m:t>−</m:t>
                          </m:r>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num>
                <m:den>
                  <m:sSub>
                    <m:e>
                      <m:d>
                        <m:dPr>
                          <m:begChr m:val="∥"/>
                          <m:sepChr m:val=""/>
                          <m:endChr m:val="∥"/>
                          <m:grow/>
                        </m:dPr>
                        <m:e>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(23)</w:t>
            </w:r>
          </w:p>
        </w:tc>
      </w:tr>
    </w:tbl>
    <w:p>
      <w:pPr>
        <w:spacing w:before="0" w:after="0"/>
        <w:ind w:firstLine="420"/>
        <w:jc w:val="both"/>
      </w:pPr>
      <w:r>
        <w:rPr>
          <w:rFonts w:ascii="Times New Roman" w:hAnsi="Times New Roman" w:eastAsia="宋体" w:cs="Times New Roman" w:hint="eastAsia"/>
          <w:b w:val="0"/>
          <w:i w:val="0"/>
          <w:sz w:val="21"/>
        </w:rPr>
        <w:t xml:space="preserve">相关系数用于区分整体波形一致性与单纯幅值偏移，PGA 误差为预测峰值与有限元峰值之差相对有限元峰值的绝对值，峰值时刻误差则比较两条时程绝对峰值出现的时间。反应谱采用 5% 阻尼、0.1～2.0 s 的 40 个对数间隔周期，先逐周期求相对误差，再对每个地表位置取周期中位。地形放大系数统一定义为 </w:t>
      </w:r>
      <m:oMath>
        <m:r>
          <m:rPr>
            <m:sty m:val="p"/>
          </m:rPr>
          <m:t>T</m:t>
        </m:r>
        <m:r>
          <m:rPr>
            <m:sty m:val="p"/>
          </m:rPr>
          <m:t>A</m:t>
        </m:r>
        <m:r>
          <m:rPr>
            <m:sty m:val="p"/>
          </m:rPr>
          <m:t>F</m:t>
        </m:r>
        <m:r>
          <m:rPr>
            <m:sty m:val="p"/>
          </m:rPr>
          <m:t>(</m:t>
        </m:r>
        <m:r>
          <m:t>s</m:t>
        </m:r>
        <m:r>
          <m:rPr>
            <m:sty m:val="p"/>
          </m:rPr>
          <m:t>)</m:t>
        </m:r>
        <m:r>
          <m:rPr>
            <m:sty m:val="p"/>
          </m:rPr>
          <m:t>=</m:t>
        </m:r>
        <m:sSubSup>
          <m:e>
            <m:r>
              <m:rPr>
                <m:sty m:val="p"/>
              </m:rPr>
              <m:t>P</m:t>
            </m:r>
            <m:r>
              <m:rPr>
                <m:sty m:val="p"/>
              </m:rPr>
              <m:t>G</m:t>
            </m:r>
            <m:r>
              <m:rPr>
                <m:sty m:val="p"/>
              </m:rPr>
              <m:t>A</m:t>
            </m:r>
          </m:e>
          <m:sub>
            <m:r>
              <m:t>h</m:t>
            </m:r>
          </m:sub>
          <m:sup>
            <m:r>
              <m:rPr>
                <m:sty m:val="p"/>
              </m:rPr>
              <m:t>t</m:t>
            </m:r>
            <m:r>
              <m:rPr>
                <m:sty m:val="p"/>
              </m:rPr>
              <m:t>o</m:t>
            </m:r>
            <m:r>
              <m:rPr>
                <m:sty m:val="p"/>
              </m:rPr>
              <m:t>t</m:t>
            </m:r>
          </m:sup>
        </m:sSubSup>
        <m:r>
          <m:rPr>
            <m:sty m:val="p"/>
          </m:rPr>
          <m:t>(</m:t>
        </m:r>
        <m:r>
          <m:t>s</m:t>
        </m:r>
        <m:r>
          <m:rPr>
            <m:sty m:val="p"/>
          </m:rPr>
          <m:t>)</m:t>
        </m:r>
        <m:r>
          <m:rPr>
            <m:sty m:val="p"/>
          </m:rPr>
          <m:t>/</m:t>
        </m:r>
        <m:sSubSup>
          <m:e>
            <m:r>
              <m:rPr>
                <m:sty m:val="p"/>
              </m:rPr>
              <m:t>P</m:t>
            </m:r>
            <m:r>
              <m:rPr>
                <m:sty m:val="p"/>
              </m:rPr>
              <m:t>G</m:t>
            </m:r>
            <m:r>
              <m:rPr>
                <m:sty m:val="p"/>
              </m:rPr>
              <m:t>A</m:t>
            </m:r>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。由于同一算例的预测和真值共用同一个左侧自由场分母，TAF 相对误差与 PGA 相对误差数值相同，故表中不再重复设置一列。表中各项均为一个算例 161 个地表位置的中位数；时程 NRMSE 10%、相关系数 0.95、PGA/TAF 误差 10%和峰值时刻误差 0.02 s为预先设定的判读参考线。反应谱图中的10%线仅作为与PGA同量级的辅助视觉参照，并非新增的强制门槛。</w:t>
      </w:r>
    </w:p>
    <w:p>
      <w:pPr>
        <w:spacing w:before="0" w:after="0"/>
        <w:ind w:firstLine="420"/>
        <w:jc w:val="both"/>
      </w:pPr>
      <w:r>
        <w:rPr>
          <w:rFonts w:ascii="Times New Roman" w:hAnsi="Times New Roman" w:eastAsia="宋体" w:cs="Times New Roman" w:hint="eastAsia"/>
          <w:b w:val="0"/>
          <w:i w:val="0"/>
          <w:sz w:val="21"/>
        </w:rPr>
        <w:t>五项指标观察的是不同层次。NRMSE累计全持时内每个采样点的差值，对次峰和尾波的持续偏差敏感；相关系数先去除均值并按方差归一，波形形状相近时即使幅值存在比例差也可能保持较高；PGA和峰值时刻只关注一个极值及其位置；反应谱误差则把时程通过一组单自由度振子重新加权。每个算例先在161个位置上取中位，是为了给出该体系—记录组合的典型空间表现，并不表示最差位置满足同一数值。随后再对十个工况中位取总体中位，又是第二层汇总。后文的逐位置超线比例保留了第一层汇总丢失的空间范围，二者回答的问题不同。十例逐工况结果见表15。</w:t>
      </w:r>
    </w:p>
    <w:p>
      <w:pPr>
        <w:spacing w:before="156" w:after="0"/>
        <w:ind w:firstLine="0"/>
        <w:jc w:val="center"/>
      </w:pPr>
      <w:r>
        <w:rPr>
          <w:rFonts w:ascii="Times New Roman" w:hAnsi="Times New Roman" w:eastAsia="宋体" w:cs="Times New Roman" w:hint="eastAsia"/>
          <w:b w:val="0"/>
          <w:i w:val="0"/>
          <w:sz w:val="18"/>
        </w:rPr>
        <w:t>表15 十例真实地震波闭环重构指标（161个地表位置的中位数）</w:t>
      </w:r>
    </w:p>
    <w:p>
      <w:pPr>
        <w:spacing w:before="0" w:after="40"/>
        <w:ind w:firstLine="0"/>
        <w:jc w:val="center"/>
      </w:pPr>
      <w:r>
        <w:rPr>
          <w:rFonts w:ascii="Times New Roman" w:hAnsi="Times New Roman" w:eastAsia="Times New Roman" w:cs="Times New Roman" w:hint="eastAsia"/>
          <w:b w:val="0"/>
          <w:i w:val="0"/>
          <w:sz w:val="18"/>
        </w:rPr>
        <w:t>Table 15 Closed-loop reconstruction metrics of the ten real-ground-motion cases (median over 161 surface positions)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377"/>
        <w:gridCol w:w="1377"/>
        <w:gridCol w:w="1377"/>
        <w:gridCol w:w="1377"/>
        <w:gridCol w:w="1377"/>
        <w:gridCol w:w="1377"/>
        <w:gridCol w:w="1377"/>
      </w:tblGrid>
      <w:tr>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坡地体系/记录</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时程NRMSE</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相关系数</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PGA/TAF误差</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峰值时刻误差/s</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5%阻尼反应谱误差</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25.71%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0.9665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3.00%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0.9584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7.10%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0.124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4.17%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9.37%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1.33%</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2.74%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9.80%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1.82%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4.25%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2.32%</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9.48%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10.97%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11.22%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11.11%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0.9939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0.75%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十例中位</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1.27%</w:t>
            </w:r>
          </w:p>
        </w:tc>
      </w:tr>
    </w:tbl>
    <w:p>
      <w:pPr>
        <w:spacing w:before="0" w:after="0"/>
        <w:ind w:firstLine="420"/>
        <w:jc w:val="both"/>
      </w:pPr>
      <w:r>
        <w:rPr>
          <w:rFonts w:ascii="Times New Roman" w:hAnsi="Times New Roman" w:eastAsia="宋体" w:cs="Times New Roman" w:hint="eastAsia"/>
          <w:b w:val="0"/>
          <w:i w:val="0"/>
          <w:sz w:val="21"/>
        </w:rPr>
        <w:t>十例逐工况中位数再取总体中位后，时程NRMSE为10.83%，相关系数为0.9944，PGA/TAF相对误差为2.69%，峰值时刻误差为0.002 s，5%阻尼反应谱相对误差为1.27%。C001、C002、C004、C006、C008、C009和C010的时程NRMSE超过10%，只有3例在线内；C001和C002的峰值时刻误差也分别达到0.083 s和0.124 s。十例相关系数仍均高于0.95，PGA/TAF误差均低于10%。因此，代理能较好保持峰值量级，却尚不能稳定恢复所有组合的完整波列和峰值发生时间。</w:t>
      </w:r>
    </w:p>
    <w:p>
      <w:pPr>
        <w:spacing w:before="0" w:after="0"/>
        <w:ind w:firstLine="420"/>
        <w:jc w:val="both"/>
      </w:pPr>
      <w:r>
        <w:rPr>
          <w:rFonts w:ascii="Times New Roman" w:hAnsi="Times New Roman" w:eastAsia="宋体" w:cs="Times New Roman" w:hint="eastAsia"/>
          <w:b w:val="0"/>
          <w:i w:val="0"/>
          <w:sz w:val="21"/>
        </w:rPr>
        <w:t>NRMSE与其余指标出现这种分离并不异常。预测和真值若能对齐主震段的符号、主峰时刻和总体包络，相关系数、PGA及峰时可以同时良好；但大量幅值不高的次峰若持续存在小偏差，平方和仍会把NRMSE推高。反应谱中位误差在十例中为0.65%～2.43%，也说明对当前周期范围内多数振子的需求量，误差小于逐点时程差所显示的程度。不过，反应谱使用周期中位，不能排除个别周期误差较大。表15因此支持的是“主要工程量较稳定、全波形仍有薄弱工况”，不能用四项较好指标抵消NRMSE超线的事实。</w:t>
      </w:r>
    </w:p>
    <w:p>
      <w:pPr>
        <w:spacing w:before="0" w:after="0"/>
        <w:ind w:firstLine="420"/>
        <w:jc w:val="both"/>
      </w:pPr>
      <w:r>
        <w:rPr>
          <w:rFonts w:ascii="Times New Roman" w:hAnsi="Times New Roman" w:eastAsia="宋体" w:cs="Times New Roman" w:hint="eastAsia"/>
          <w:b w:val="0"/>
          <w:i w:val="0"/>
          <w:sz w:val="21"/>
        </w:rPr>
        <w:t>图24选取C003、C008和C001代表好、中、差重构水平。三例的时程NRMSE中位数分别为9.4%、11.0%和25.7%，相关系数为0.996、0.994和0.966，PGA误差为2.6%、1.7%和4.8%，峰值时刻误差为0.001、0.002和0.083 s。C001说明PGA仍接近并不保证主峰时刻和完整波列同时正确。</w:t>
      </w:r>
    </w:p>
    <w:p>
      <w:pPr>
        <w:spacing w:before="0" w:after="0"/>
        <w:ind w:firstLine="420"/>
        <w:jc w:val="both"/>
      </w:pPr>
      <w:r>
        <w:rPr>
          <w:rFonts w:ascii="Times New Roman" w:hAnsi="Times New Roman" w:eastAsia="宋体" w:cs="Times New Roman" w:hint="eastAsia"/>
          <w:b w:val="0"/>
          <w:i w:val="0"/>
          <w:sz w:val="21"/>
        </w:rPr>
        <w:t>三例的排序依据是当前十例中的时程NRMSE表现，并非把参数域划分成固定的“好、中、差”类别。C003在当前组合下同时保持了波形和TAF，C008说明总体相关仍高时，坡面和下平台可以先出现连续超线；C001则把“峰值基本正确而波列累计误差较大”的情形显示得最清楚。图24把代表位置时程与全地表曲线放在一起，目的正是避免用坡顶单点替代整个表面，也避免由一次峰值吻合推断全部时刻均吻合。</w:t>
      </w:r>
    </w:p>
    <w:p>
      <w:pPr>
        <w:spacing w:before="80" w:after="40"/>
        <w:ind w:firstLine="0"/>
        <w:jc w:val="center"/>
      </w:pPr>
      <w:r>
        <w:drawing>
          <wp:inline xmlns:a="http://schemas.openxmlformats.org/drawingml/2006/main" xmlns:pic="http://schemas.openxmlformats.org/drawingml/2006/picture">
            <wp:extent cx="5669280" cy="3753023"/>
            <wp:docPr id="20" name="Picture 20"/>
            <wp:cNvGraphicFramePr>
              <a:graphicFrameLocks noChangeAspect="1"/>
            </wp:cNvGraphicFramePr>
            <a:graphic>
              <a:graphicData uri="http://schemas.openxmlformats.org/drawingml/2006/picture">
                <pic:pic>
                  <pic:nvPicPr>
                    <pic:cNvPr id="0" name="fig24_闭环好中差工况对比.png"/>
                    <pic:cNvPicPr/>
                  </pic:nvPicPr>
                  <pic:blipFill>
                    <a:blip r:embed="rId36"/>
                    <a:stretch>
                      <a:fillRect/>
                    </a:stretch>
                  </pic:blipFill>
                  <pic:spPr>
                    <a:xfrm>
                      <a:off x="0" y="0"/>
                      <a:ext cx="5669280" cy="37530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图24 真实地震波闭环好、中、差代表工况：C003为P039/El Centro，C008为B007/Kobe，C001为P007/El Centro；（a）坡顶带限加速度时程；（b）全地表逐位置时程NRMSE；（c）以统一左侧一维自由场为分母的TAF对比</w:t>
      </w:r>
    </w:p>
    <w:p>
      <w:pPr>
        <w:spacing w:before="0" w:after="60"/>
        <w:ind w:firstLine="0"/>
        <w:jc w:val="center"/>
      </w:pPr>
      <w:r>
        <w:rPr>
          <w:rFonts w:ascii="Times New Roman" w:hAnsi="Times New Roman" w:eastAsia="Times New Roman" w:cs="Times New Roman" w:hint="eastAsia"/>
          <w:b w:val="0"/>
          <w:i w:val="0"/>
          <w:sz w:val="18"/>
        </w:rPr>
        <w:t>Fig. 24 Representative good, intermediate, and poor real-ground-motion closed-loop cases</w:t>
      </w:r>
    </w:p>
    <w:p>
      <w:pPr>
        <w:spacing w:before="0" w:after="0"/>
        <w:ind w:firstLine="420"/>
        <w:jc w:val="both"/>
      </w:pPr>
      <w:r>
        <w:rPr>
          <w:rFonts w:ascii="Times New Roman" w:hAnsi="Times New Roman" w:eastAsia="宋体" w:cs="Times New Roman" w:hint="eastAsia"/>
          <w:b w:val="0"/>
          <w:i w:val="0"/>
          <w:sz w:val="21"/>
        </w:rPr>
        <w:t>C001和C002同属缓坡体系P007，其NRMSE分别为25.71%和28.57%，PGA误差为4.83%和7.10%，峰值时刻误差却达到0.083和0.124 s。现有结果表明两例不仅存在波形累积误差，还出现显著峰时偏差；但十个算例仍不足以把原因唯一归结为坡角较小。C008和C010属于训练外组合B007，NRMSE分别为10.97%和11.11%，也不能仅凭“位于训练网格内部”就视为可靠。</w:t>
      </w:r>
    </w:p>
    <w:p>
      <w:pPr>
        <w:spacing w:before="0" w:after="0"/>
        <w:ind w:firstLine="420"/>
        <w:jc w:val="both"/>
      </w:pPr>
      <w:r>
        <w:rPr>
          <w:rFonts w:ascii="Times New Roman" w:hAnsi="Times New Roman" w:eastAsia="宋体" w:cs="Times New Roman" w:hint="eastAsia"/>
          <w:b w:val="0"/>
          <w:i w:val="0"/>
          <w:sz w:val="21"/>
        </w:rPr>
        <w:t>图25将十例的161个位置合并成</w:t>
      </w:r>
      <m:oMath>
        <m:r>
          <m:t>10</m:t>
        </m:r>
        <m:r>
          <m:rPr>
            <m:sty m:val="p"/>
          </m:rPr>
          <m:t>×</m:t>
        </m:r>
        <m:r>
          <m:t>161</m:t>
        </m:r>
      </m:oMath>
      <w:r>
        <w:rPr>
          <w:rFonts w:ascii="Times New Roman" w:hAnsi="Times New Roman" w:eastAsia="宋体" w:cs="Times New Roman" w:hint="eastAsia"/>
          <w:b w:val="0"/>
          <w:i w:val="0"/>
          <w:sz w:val="21"/>
        </w:rPr>
        <w:t>误差矩阵。逐点计数表明，62.9%的地表位置时程NRMSE超过10%，最大值为0.667。上平台A段、坡面B段和下平台C段的超线比例分别为36.8%、81.0%和92.0%，对应逐点NRMSE中位数为0.090、0.150和0.167。总体中位10.83%不能掩盖坡面和下平台成片的波形误差。</w:t>
      </w:r>
    </w:p>
    <w:p>
      <w:pPr>
        <w:spacing w:before="0" w:after="0"/>
        <w:ind w:firstLine="420"/>
        <w:jc w:val="both"/>
      </w:pPr>
      <w:r>
        <w:rPr>
          <w:rFonts w:ascii="Times New Roman" w:hAnsi="Times New Roman" w:eastAsia="宋体" w:cs="Times New Roman" w:hint="eastAsia"/>
          <w:b w:val="0"/>
          <w:i w:val="0"/>
          <w:sz w:val="21"/>
        </w:rPr>
        <w:t>这一差别还与空间采样构成有关。每个工况的161点中，上平台A段有81点，坡面B段20点，下平台C段60点；逐工况中位排序时，上平台占全部位置的一半以上，因而即使坡面和下平台存在连续超线区，也未必把该工况中位显著推高。相反，1610点合并统计逐点保留了每个位置是否超线的信息，所以能够显示坡面和下平台成片偏差。中位数具有抑制极端值的作用，却不保存超线区域的长度；超线比例保存空间范围，却不反映误差超过阈值后的大小。本文逐点总超线比例为62.9%，最大NRMSE为0.667；A、B、C三段的超线比例分别为36.8%、81.0%和92.0%。三者合看，才能同时描述典型水平、影响范围和局部最差值。</w:t>
      </w:r>
    </w:p>
    <w:p>
      <w:pPr>
        <w:spacing w:before="80" w:after="40"/>
        <w:ind w:firstLine="0"/>
        <w:jc w:val="center"/>
      </w:pPr>
      <w:r>
        <w:drawing>
          <wp:inline xmlns:a="http://schemas.openxmlformats.org/drawingml/2006/main" xmlns:pic="http://schemas.openxmlformats.org/drawingml/2006/picture">
            <wp:extent cx="5669280" cy="3301961"/>
            <wp:docPr id="21" name="Picture 21"/>
            <wp:cNvGraphicFramePr>
              <a:graphicFrameLocks noChangeAspect="1"/>
            </wp:cNvGraphicFramePr>
            <a:graphic>
              <a:graphicData uri="http://schemas.openxmlformats.org/drawingml/2006/picture">
                <pic:pic>
                  <pic:nvPicPr>
                    <pic:cNvPr id="0" name="fig25_十例闭环空间误差与综合指标.png"/>
                    <pic:cNvPicPr/>
                  </pic:nvPicPr>
                  <pic:blipFill>
                    <a:blip r:embed="rId37"/>
                    <a:stretch>
                      <a:fillRect/>
                    </a:stretch>
                  </pic:blipFill>
                  <pic:spPr>
                    <a:xfrm>
                      <a:off x="0" y="0"/>
                      <a:ext cx="5669280" cy="330196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图25 十例真实波闭环结果：（a）</w:t>
      </w:r>
      <m:oMath>
        <m:r>
          <m:t>10</m:t>
        </m:r>
        <m:r>
          <m:rPr>
            <m:sty m:val="p"/>
          </m:rPr>
          <m:t>×</m:t>
        </m:r>
        <m:r>
          <m:t>161</m:t>
        </m:r>
      </m:oMath>
      <w:r>
        <w:rPr>
          <w:rFonts w:ascii="Times New Roman" w:hAnsi="Times New Roman" w:eastAsia="宋体" w:cs="Times New Roman" w:hint="eastAsia"/>
          <w:b w:val="0"/>
          <w:i w:val="0"/>
          <w:sz w:val="18"/>
        </w:rPr>
        <w:t>逐位置时程NRMSE，白线标出超过10%的连续空间区段；（b）～（f）各指标均先在每个工况的161个地表位置上取中位，依次为时程NRMSE、相关系数、PGA相对误差、峰值时刻误差和5%阻尼反应谱相对误差；虚线分别表示10%、0.95、10%、0.02 s和10%的判读参考线，其中反应谱线仅为辅助视觉参照</w:t>
      </w:r>
    </w:p>
    <w:p>
      <w:pPr>
        <w:spacing w:before="0" w:after="60"/>
        <w:ind w:firstLine="0"/>
        <w:jc w:val="center"/>
      </w:pPr>
      <w:r>
        <w:rPr>
          <w:rFonts w:ascii="Times New Roman" w:hAnsi="Times New Roman" w:eastAsia="Times New Roman" w:cs="Times New Roman" w:hint="eastAsia"/>
          <w:b w:val="0"/>
          <w:i w:val="0"/>
          <w:sz w:val="18"/>
        </w:rPr>
        <w:t>Fig. 25 Position-wise errors and integrated metrics of the ten real-ground-motion closed-loop cases</w:t>
      </w:r>
    </w:p>
    <w:p>
      <w:pPr>
        <w:spacing w:before="0" w:after="0"/>
        <w:ind w:firstLine="420"/>
        <w:jc w:val="both"/>
      </w:pPr>
      <w:r>
        <w:rPr>
          <w:rFonts w:ascii="Times New Roman" w:hAnsi="Times New Roman" w:eastAsia="宋体" w:cs="Times New Roman" w:hint="eastAsia"/>
          <w:b w:val="0"/>
          <w:i w:val="0"/>
          <w:sz w:val="21"/>
        </w:rPr>
        <w:t>P061 是频域代理评价中较困难的软厚覆盖层体系，但其 El Centro 和 Kobe 闭环 NRMSE 分别为9.80%和10.69%，仍未成为十例时域重构的最差组合。这一现象并不表示高频总波场响应误差可以忽略，而是说明时域闭环误差受到输入能量谱加权。代理误差较集中的6～10 Hz频段在 El Centro 和 Kobe 中仅承载6.6%和9.8%的分析频带能量，其对总时程平方误差的贡献受到了限制；与此同时，0.5～6 Hz承载约九成能量，而代理在该频段总体更稳定。因此，相位对齐总波场响应的未加权误差和特定记录下的时程误差不必保持相同排序。工程应用时应把“代理误差谱”和“输入能量谱”作为一对联合条件判断，而不能只用一个全频平均误差决定是否可用。</w:t>
      </w:r>
    </w:p>
    <w:p>
      <w:pPr>
        <w:spacing w:before="0" w:after="0"/>
        <w:ind w:firstLine="420"/>
        <w:jc w:val="both"/>
      </w:pPr>
      <w:r>
        <w:rPr>
          <w:rFonts w:ascii="Times New Roman" w:hAnsi="Times New Roman" w:eastAsia="宋体" w:cs="Times New Roman" w:hint="eastAsia"/>
          <w:b w:val="0"/>
          <w:i w:val="0"/>
          <w:sz w:val="21"/>
        </w:rPr>
        <w:t>Chi-Chi 在6～10 Hz的能量占比为19.4%，约为El Centro的2.9倍、Kobe的2.0倍。其两个闭环算例 C009 和 C010 的 NRMSE 分别为11.22%和11.11%，均略高于10%参考线，但不能据此推导重构误差会随高频占比单调增加。C组的体系—记录组合并不平衡：El Centro和Kobe各覆盖四种体系，而Chi-Chi只覆盖P039与B007；同一记录效应与体系参数效应无法由现有十例完全分离。尤其是Chi-Chi没有在频域困难的P061及高误差的P007上计算，因而缺少检验“高频输入与困难体系叠加”所需的关键组合。本文据此只支持较窄的结论：对于当前参数域、当前三条记录和0.5～10 Hz带限条件，代理重构的总体中位NRMSE略高于10%参考线，峰值和反应谱误差仍较小，但逐例和逐位置的波形误差必须明确报告；对于6～10 Hz能量更强的输入，特别是与软厚覆盖层或其他误差敏感体系组合时，应重新进行直接数值抽查，不宜直接沿用本节的总体中位精度。</w:t>
      </w:r>
    </w:p>
    <w:p>
      <w:pPr>
        <w:spacing w:before="0" w:after="0"/>
        <w:ind w:firstLine="420"/>
        <w:jc w:val="both"/>
      </w:pPr>
      <w:r>
        <w:rPr>
          <w:rFonts w:ascii="Times New Roman" w:hAnsi="Times New Roman" w:eastAsia="宋体" w:cs="Times New Roman" w:hint="eastAsia"/>
          <w:b w:val="0"/>
          <w:i w:val="0"/>
          <w:sz w:val="21"/>
        </w:rPr>
        <w:t>还应区分闭环验证与数值模型物理真实性验证。这里的真值是按相同介质、边界和输入条件直接计算的坡地有限元总波场时程，闭环能够检验从参数输入、相位对齐总波场响应预测、水平相位还原、频谱插值到IFFT重构的整条计算链是否与该有限元结果一致，也能够暴露频域场误差在真实记录作用下的工程后果。它不能证明有限元模型已经无偏地代表真实边坡，更不能代替第2章的网格、边界和跨软件验证。由于预测和真值共用同一个左侧自由场，闭环也不会独立检验该参考场本身是否正确；它验证的是在既定参考定义下，代理能否恢复地表总波场响应。</w:t>
      </w:r>
    </w:p>
    <w:p>
      <w:pPr>
        <w:spacing w:before="0" w:after="0"/>
        <w:ind w:firstLine="420"/>
        <w:jc w:val="both"/>
      </w:pPr>
      <w:r>
        <w:rPr>
          <w:rFonts w:ascii="Times New Roman" w:hAnsi="Times New Roman" w:eastAsia="宋体" w:cs="Times New Roman" w:hint="eastAsia"/>
          <w:b w:val="0"/>
          <w:i w:val="0"/>
          <w:sz w:val="21"/>
        </w:rPr>
        <w:t>同样，十例结果不能给出参数域外、其他持时和其他频谱记录的普遍误差概率，也没有校准单个预测的置信区间。它能支持的应用结论是分层的：在已覆盖参数域和带限条件内，代理可用于恢复多数工况的主要波形与工程峰值；出现缓坡P007、训练外B007，或输入能量与已知高频薄弱区明显重合时，应查看全地表NRMSE而不是只看坡顶PGA；进入软厚覆盖层下平台高频敏感区时，应安排直接有限元复核。这样的证据边界明确了降阶预测与高保真求解各自承担的环节。</w:t>
      </w:r>
    </w:p>
    <w:p>
      <w:pPr>
        <w:spacing w:before="312" w:after="60"/>
        <w:ind w:firstLine="0"/>
        <w:jc w:val="left"/>
      </w:pPr>
      <w:r>
        <w:rPr>
          <w:rFonts w:ascii="Times New Roman" w:hAnsi="Times New Roman" w:eastAsia="宋体" w:cs="Times New Roman" w:hint="eastAsia"/>
          <w:b/>
          <w:i w:val="0"/>
          <w:sz w:val="28"/>
        </w:rPr>
        <w:t>5 结 论</w:t>
      </w:r>
    </w:p>
    <w:p>
      <w:pPr>
        <w:spacing w:before="0" w:after="0"/>
        <w:ind w:firstLine="420"/>
        <w:jc w:val="both"/>
      </w:pPr>
      <w:r>
        <w:rPr>
          <w:rFonts w:ascii="Times New Roman" w:hAnsi="Times New Roman" w:eastAsia="宋体" w:cs="Times New Roman" w:hint="eastAsia"/>
          <w:b w:val="0"/>
          <w:i w:val="0"/>
          <w:sz w:val="21"/>
        </w:rPr>
        <w:t>本文采用黏弹性人工边界和等效节点力方法，建立了地震波斜入射下的二维线弹性成层坡地模型，并通过关键计算设置复核及Abaqus—SPECFEM2D对比检查代表工况的主要响应。在此基础上，利用宽频激励识别扣除斜入射水平传播相位后的总波场响应函数，研究坡角、覆盖层厚度比和波速比对地表地震动的影响，进一步构建POD-GPR代理模型并开展训练外组合评价和真实地震波闭环验证，主要得出以下结论：</w:t>
      </w:r>
    </w:p>
    <w:p>
      <w:pPr>
        <w:spacing w:before="0" w:after="0"/>
        <w:ind w:firstLine="420"/>
        <w:jc w:val="both"/>
      </w:pPr>
      <w:r>
        <w:rPr>
          <w:rFonts w:ascii="Times New Roman" w:hAnsi="Times New Roman" w:eastAsia="宋体" w:cs="Times New Roman" w:hint="eastAsia"/>
          <w:b w:val="0"/>
          <w:i w:val="0"/>
          <w:sz w:val="21"/>
        </w:rPr>
        <w:t>1）总波场响应函数以左侧上平台自由场作为全地表幅值基准，并以各位置的当地入射波作为相位参考。水平传播相位因子的模为1，不改变幅值或有限元总波场解；所得相位和群时延主要反映坡体散射、覆盖层透反射及多波干涉。80个H/P/B工况的最大幅值数值误差为</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，复数恒等残差为</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2）坡角、覆盖层厚度比和波速比均会改变成层坡地总波场响应函数的幅值、控制频带和控制位置。均质坡峰值随坡角增大总体升高，但这一规律在成层坡中不再保持；峰值幅值差异主要受波速比、厚度比及二者交互控制，其贡献率分别为39.65%、34.21%和21.72%。当</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时，各坡角均在约4 Hz的下平台形成强响应，坡角主要提高该软厚组合的响应上尾。</w:t>
      </w:r>
    </w:p>
    <w:p>
      <w:pPr>
        <w:spacing w:before="0" w:after="0"/>
        <w:ind w:firstLine="420"/>
        <w:jc w:val="both"/>
      </w:pPr>
      <w:r>
        <w:rPr>
          <w:rFonts w:ascii="Times New Roman" w:hAnsi="Times New Roman" w:eastAsia="宋体" w:cs="Times New Roman" w:hint="eastAsia"/>
          <w:b w:val="0"/>
          <w:i w:val="0"/>
          <w:sz w:val="21"/>
        </w:rPr>
        <w:t>3）成层坡地的全场最大响应表现为不同频带和空间位置的候选峰换位。16条厚度序列中有9条峰值呈非单调变化，主峰频率最大跨度为7.3 Hz。特征量</w:t>
      </w:r>
      <m:oMath>
        <m:r>
          <m:t>χ</m:t>
        </m:r>
      </m:oMath>
      <w:r>
        <w:rPr>
          <w:rFonts w:ascii="Times New Roman" w:hAnsi="Times New Roman" w:eastAsia="宋体" w:cs="Times New Roman" w:hint="eastAsia"/>
          <w:b w:val="0"/>
          <w:i w:val="0"/>
          <w:sz w:val="21"/>
        </w:rPr>
        <w:t>与中位绝对相位和群时延修正的相关较强，而与净幅值修正幅度的相关较弱。因此，单一特征频率或全场放大系数不足以概括成层坡地响应，工程评价还应同时考虑频带和地表区段。</w:t>
      </w:r>
    </w:p>
    <w:p>
      <w:pPr>
        <w:spacing w:before="0" w:after="0"/>
        <w:ind w:firstLine="420"/>
        <w:jc w:val="both"/>
      </w:pPr>
      <w:r>
        <w:rPr>
          <w:rFonts w:ascii="Times New Roman" w:hAnsi="Times New Roman" w:eastAsia="宋体" w:cs="Times New Roman" w:hint="eastAsia"/>
          <w:b w:val="0"/>
          <w:i w:val="0"/>
          <w:sz w:val="21"/>
        </w:rPr>
        <w:t>4）在整工况五折验证和训练外参数组合评价中，POD-GPR对相位对齐总波场响应的中位复数误差分别为21.6%和23.0%，能够近似恢复当前参数域内的主要响应结构。误差主要集中在软厚覆盖层、高频、坡面和下平台，且整体场误差较小并不表示主峰频率和峰位同时准确。B组结果仅反映训练参数网格之间的域内插值能力，不宜解释为参数域外的预测精度。</w:t>
      </w:r>
    </w:p>
    <w:p>
      <w:pPr>
        <w:spacing w:before="0" w:after="0"/>
        <w:ind w:firstLine="420"/>
        <w:jc w:val="both"/>
      </w:pPr>
      <w:r>
        <w:rPr>
          <w:rFonts w:ascii="Times New Roman" w:hAnsi="Times New Roman" w:eastAsia="宋体" w:cs="Times New Roman" w:hint="eastAsia"/>
          <w:b w:val="0"/>
          <w:i w:val="0"/>
          <w:sz w:val="21"/>
        </w:rPr>
        <w:t>5）真实地震波闭环的总体中位时程NRMSE为10.83%，10个组合中有7个超过10%，1610个位置样本中有62.9%超过10%，其中坡面和下平台的误差较为集中；总体中位相关系数为0.9944、PGA/TAF误差为2.69%，说明峰值量级较稳定，但完整波列尚未在所有组合下可靠恢复。代理模型在当前二维线性参数域及本组以6 Hz以下能量占优的输入条件下，可用于带限时程和PGA的辅助预测；对于软厚覆盖层组合的高频与下平台响应、高频能量富集输入以及非线性或三维问题，仍需采用直接数值分析。</w:t>
      </w:r>
    </w:p>
    <w:p>
      <w:pPr>
        <w:spacing w:before="312" w:after="60"/>
        <w:ind w:firstLine="0"/>
        <w:jc w:val="left"/>
      </w:pPr>
      <w:r>
        <w:rPr>
          <w:rFonts w:ascii="Times New Roman" w:hAnsi="Times New Roman" w:eastAsia="宋体" w:cs="Times New Roman" w:hint="eastAsia"/>
          <w:b/>
          <w:i w:val="0"/>
          <w:sz w:val="28"/>
        </w:rPr>
        <w:t>参 考 文 献</w:t>
      </w:r>
    </w:p>
    <w:p>
      <w:pPr>
        <w:spacing w:before="0" w:after="0"/>
        <w:ind w:firstLine="420"/>
        <w:jc w:val="both"/>
      </w:pPr>
      <w:r>
        <w:rPr>
          <w:rFonts w:ascii="Times New Roman" w:hAnsi="Times New Roman" w:eastAsia="宋体" w:cs="Times New Roman" w:hint="eastAsia"/>
          <w:b w:val="0"/>
          <w:i w:val="0"/>
          <w:sz w:val="21"/>
        </w:rPr>
        <w:t>[1] DAVIS L L, WEST L R. Observed effects of topography on ground motion[J]. Bulletin of the Seismological Society of America, 1973, 63(1): 283-298.</w:t>
      </w:r>
    </w:p>
    <w:p>
      <w:pPr>
        <w:spacing w:before="0" w:after="0"/>
        <w:ind w:firstLine="420"/>
        <w:jc w:val="both"/>
      </w:pPr>
      <w:r>
        <w:rPr>
          <w:rFonts w:ascii="Times New Roman" w:hAnsi="Times New Roman" w:eastAsia="宋体" w:cs="Times New Roman" w:hint="eastAsia"/>
          <w:b w:val="0"/>
          <w:i w:val="0"/>
          <w:sz w:val="21"/>
        </w:rPr>
        <w:t>[2] ÇELEBI M. Topographical and geological amplifications determined from strong-motion and aftershock records of the 3 March 1985 Chile earthquake[J]. Bulletin of the Seismological Society of America, 1987, 77(4): 1147-1167.</w:t>
      </w:r>
    </w:p>
    <w:p>
      <w:pPr>
        <w:spacing w:before="0" w:after="0"/>
        <w:ind w:firstLine="420"/>
        <w:jc w:val="both"/>
      </w:pPr>
      <w:r>
        <w:rPr>
          <w:rFonts w:ascii="Times New Roman" w:hAnsi="Times New Roman" w:eastAsia="宋体" w:cs="Times New Roman" w:hint="eastAsia"/>
          <w:b w:val="0"/>
          <w:i w:val="0"/>
          <w:sz w:val="21"/>
        </w:rPr>
        <w:t>[3] GELI L, BARD P Y, JULLIEN B. The effect of topography on earthquake ground motion: a review and new results[J]. Bulletin of the Seismological Society of America, 1988, 78(1): 42-63.</w:t>
      </w:r>
    </w:p>
    <w:p>
      <w:pPr>
        <w:spacing w:before="0" w:after="0"/>
        <w:ind w:firstLine="420"/>
        <w:jc w:val="both"/>
      </w:pPr>
      <w:r>
        <w:rPr>
          <w:rFonts w:ascii="Times New Roman" w:hAnsi="Times New Roman" w:eastAsia="宋体" w:cs="Times New Roman" w:hint="eastAsia"/>
          <w:b w:val="0"/>
          <w:i w:val="0"/>
          <w:sz w:val="21"/>
        </w:rPr>
        <w:t>[4] 胡聿贤, 孙平善, 章在墉, 等. 场地条件对震害和地震动的影响[J]. 地震工程与工程振动, 1980(0): 34-41.</w:t>
      </w:r>
    </w:p>
    <w:p>
      <w:pPr>
        <w:spacing w:before="0" w:after="0"/>
        <w:ind w:firstLine="420"/>
        <w:jc w:val="both"/>
      </w:pPr>
      <w:r>
        <w:rPr>
          <w:rFonts w:ascii="Times New Roman" w:hAnsi="Times New Roman" w:eastAsia="宋体" w:cs="Times New Roman" w:hint="eastAsia"/>
          <w:b w:val="0"/>
          <w:i w:val="0"/>
          <w:sz w:val="21"/>
        </w:rPr>
        <w:t>HU Yu-xian, SUN Ping-shan, ZHANG Zai-yong, et al. Influence of site conditions on earthquake damage and ground motion[J]. Earthquake Engineering and Engineering Vibration, 1980(0): 34-41.</w:t>
      </w:r>
    </w:p>
    <w:p>
      <w:pPr>
        <w:spacing w:before="0" w:after="0"/>
        <w:ind w:firstLine="420"/>
        <w:jc w:val="both"/>
      </w:pPr>
      <w:r>
        <w:rPr>
          <w:rFonts w:ascii="Times New Roman" w:hAnsi="Times New Roman" w:eastAsia="宋体" w:cs="Times New Roman" w:hint="eastAsia"/>
          <w:b w:val="0"/>
          <w:i w:val="0"/>
          <w:sz w:val="21"/>
        </w:rPr>
        <w:t>[5] European Committee for Standardization. Eurocode 8: design of structures for earthquake resistance[S]. Brussels: CEN, 2004.</w:t>
      </w:r>
    </w:p>
    <w:p>
      <w:pPr>
        <w:spacing w:before="0" w:after="0"/>
        <w:ind w:firstLine="420"/>
        <w:jc w:val="both"/>
      </w:pPr>
      <w:r>
        <w:rPr>
          <w:rFonts w:ascii="Times New Roman" w:hAnsi="Times New Roman" w:eastAsia="宋体" w:cs="Times New Roman" w:hint="eastAsia"/>
          <w:b w:val="0"/>
          <w:i w:val="0"/>
          <w:sz w:val="21"/>
        </w:rPr>
        <w:t>[6] 中华人民共和国住房和城乡建设部. 建筑抗震设计规范: GB 50011—2010（2016年版）[S]. 北京: 中国建筑工业出版社, 2016.</w:t>
      </w:r>
    </w:p>
    <w:p>
      <w:pPr>
        <w:spacing w:before="0" w:after="0"/>
        <w:ind w:firstLine="420"/>
        <w:jc w:val="both"/>
      </w:pPr>
      <w:r>
        <w:rPr>
          <w:rFonts w:ascii="Times New Roman" w:hAnsi="Times New Roman" w:eastAsia="宋体" w:cs="Times New Roman" w:hint="eastAsia"/>
          <w:b w:val="0"/>
          <w:i w:val="0"/>
          <w:sz w:val="21"/>
        </w:rPr>
        <w:t>Ministry of Housing and Urban-Rural Development of the People's Republic of China. Code for seismic design of buildings: GB 50011—2010 (2016 edition)[S]. Beijing: China Architecture and Building Press, 2016.</w:t>
      </w:r>
    </w:p>
    <w:p>
      <w:pPr>
        <w:spacing w:before="0" w:after="0"/>
        <w:ind w:firstLine="420"/>
        <w:jc w:val="both"/>
      </w:pPr>
      <w:r>
        <w:rPr>
          <w:rFonts w:ascii="Times New Roman" w:hAnsi="Times New Roman" w:eastAsia="宋体" w:cs="Times New Roman" w:hint="eastAsia"/>
          <w:b w:val="0"/>
          <w:i w:val="0"/>
          <w:sz w:val="21"/>
        </w:rPr>
        <w:t>[7] LI H, LIU Y, LIU L, et al. Numerical evaluation of topographic effects on seismic response of single-faced rock slopes[J]. Bulletin of Engineering Geology and the Environment, 2019, 78(3): 1873-1891.</w:t>
      </w:r>
    </w:p>
    <w:p>
      <w:pPr>
        <w:spacing w:before="0" w:after="0"/>
        <w:ind w:firstLine="420"/>
        <w:jc w:val="both"/>
      </w:pPr>
      <w:r>
        <w:rPr>
          <w:rFonts w:ascii="Times New Roman" w:hAnsi="Times New Roman" w:eastAsia="宋体" w:cs="Times New Roman" w:hint="eastAsia"/>
          <w:b w:val="0"/>
          <w:i w:val="0"/>
          <w:sz w:val="21"/>
        </w:rPr>
        <w:t>[8] SHEN H, LIU Y, LI H, et al. Numerical evaluation of ground motion amplification of rock slopes under obliquely incident seismic waves[J]. Soil Dynamics and Earthquake Engineering, 2024, 178: 108488.</w:t>
      </w:r>
    </w:p>
    <w:p>
      <w:pPr>
        <w:spacing w:before="0" w:after="0"/>
        <w:ind w:firstLine="420"/>
        <w:jc w:val="both"/>
      </w:pPr>
      <w:r>
        <w:rPr>
          <w:rFonts w:ascii="Times New Roman" w:hAnsi="Times New Roman" w:eastAsia="宋体" w:cs="Times New Roman" w:hint="eastAsia"/>
          <w:b w:val="0"/>
          <w:i w:val="0"/>
          <w:sz w:val="21"/>
        </w:rPr>
        <w:t>[9] 赵仕兴, 杨姝姮, 唐元旭, 等. 四川泸定6.8级地震震中区域建筑震害考察与思考[J]. 建筑结构, 2023, 53(7): 1-8.</w:t>
      </w:r>
    </w:p>
    <w:p>
      <w:pPr>
        <w:spacing w:before="0" w:after="0"/>
        <w:ind w:firstLine="420"/>
        <w:jc w:val="both"/>
      </w:pPr>
      <w:r>
        <w:rPr>
          <w:rFonts w:ascii="Times New Roman" w:hAnsi="Times New Roman" w:eastAsia="宋体" w:cs="Times New Roman" w:hint="eastAsia"/>
          <w:b w:val="0"/>
          <w:i w:val="0"/>
          <w:sz w:val="21"/>
        </w:rPr>
        <w:t>ZHAO Shi-xing, YANG Shu-heng, TANG Yuan-xu, et al. Investigation and analysis of building damage in the epicentral area of the Luding Ms 6.8 earthquake in Sichuan[J]. Building Structure, 2023, 53(7): 1-8.</w:t>
      </w:r>
    </w:p>
    <w:p>
      <w:pPr>
        <w:spacing w:before="0" w:after="0"/>
        <w:ind w:firstLine="420"/>
        <w:jc w:val="both"/>
      </w:pPr>
      <w:r>
        <w:rPr>
          <w:rFonts w:ascii="Times New Roman" w:hAnsi="Times New Roman" w:eastAsia="宋体" w:cs="Times New Roman" w:hint="eastAsia"/>
          <w:b w:val="0"/>
          <w:i w:val="0"/>
          <w:sz w:val="21"/>
        </w:rPr>
        <w:t>[10] 王鹏程, 罗永红, 刘红枫, 等. "9·5"四川泸定Ms6.8级地震诱发磨西台地地震响应分析[J]. 山地学报, 2024, 42(4): 576-590.</w:t>
      </w:r>
    </w:p>
    <w:p>
      <w:pPr>
        <w:spacing w:before="0" w:after="0"/>
        <w:ind w:firstLine="420"/>
        <w:jc w:val="both"/>
      </w:pPr>
      <w:r>
        <w:rPr>
          <w:rFonts w:ascii="Times New Roman" w:hAnsi="Times New Roman" w:eastAsia="宋体" w:cs="Times New Roman" w:hint="eastAsia"/>
          <w:b w:val="0"/>
          <w:i w:val="0"/>
          <w:sz w:val="21"/>
        </w:rPr>
        <w:t>WANG Peng-cheng, LUO Yong-hong, LIU Hong-feng, et al. Seismic response of the Moxi terrace induced by the "9·5" Luding Ms 6.8 earthquake, Sichuan[J]. Journal of Mountain Science, 2024, 42(4): 576-590.</w:t>
      </w:r>
    </w:p>
    <w:p>
      <w:pPr>
        <w:spacing w:before="0" w:after="0"/>
        <w:ind w:firstLine="420"/>
        <w:jc w:val="both"/>
      </w:pPr>
      <w:r>
        <w:rPr>
          <w:rFonts w:ascii="Times New Roman" w:hAnsi="Times New Roman" w:eastAsia="宋体" w:cs="Times New Roman" w:hint="eastAsia"/>
          <w:b w:val="0"/>
          <w:i w:val="0"/>
          <w:sz w:val="21"/>
        </w:rPr>
        <w:t>[11] 潘毅, 任靖哲, 任宇, 等. 考虑台地效应的泸定6.8级地震某框架结构震害调查与分析[J]. 土木工程学报, 2024, 57(6): 136-151.</w:t>
      </w:r>
    </w:p>
    <w:p>
      <w:pPr>
        <w:spacing w:before="0" w:after="0"/>
        <w:ind w:firstLine="420"/>
        <w:jc w:val="both"/>
      </w:pPr>
      <w:r>
        <w:rPr>
          <w:rFonts w:ascii="Times New Roman" w:hAnsi="Times New Roman" w:eastAsia="宋体" w:cs="Times New Roman" w:hint="eastAsia"/>
          <w:b w:val="0"/>
          <w:i w:val="0"/>
          <w:sz w:val="21"/>
        </w:rPr>
        <w:t>PAN Yi, REN Jing-zhe, REN Yu, et al. Seismic damage investigation and analysis of a frame structure considering the terrace effect in the Luding Ms 6.8 earthquake[J]. China Civil Engineering Journal, 2024, 57(6): 136-151.</w:t>
      </w:r>
    </w:p>
    <w:p>
      <w:pPr>
        <w:spacing w:before="0" w:after="0"/>
        <w:ind w:firstLine="420"/>
        <w:jc w:val="both"/>
      </w:pPr>
      <w:r>
        <w:rPr>
          <w:rFonts w:ascii="Times New Roman" w:hAnsi="Times New Roman" w:eastAsia="宋体" w:cs="Times New Roman" w:hint="eastAsia"/>
          <w:b w:val="0"/>
          <w:i w:val="0"/>
          <w:sz w:val="21"/>
        </w:rPr>
        <w:t>[12] BOUCKOVALAS G D, PAPADIMITRIOU A G. Numerical evaluation of slope topography effects on seismic ground motion[J]. Soil Dynamics and Earthquake Engineering, 2005, 25(7-10): 547-558.</w:t>
      </w:r>
    </w:p>
    <w:p>
      <w:pPr>
        <w:spacing w:before="0" w:after="0"/>
        <w:ind w:firstLine="420"/>
        <w:jc w:val="both"/>
      </w:pPr>
      <w:r>
        <w:rPr>
          <w:rFonts w:ascii="Times New Roman" w:hAnsi="Times New Roman" w:eastAsia="宋体" w:cs="Times New Roman" w:hint="eastAsia"/>
          <w:b w:val="0"/>
          <w:i w:val="0"/>
          <w:sz w:val="21"/>
        </w:rPr>
        <w:t>[13] ZHANG Z, FLEURISSON J A, PELLET F. The effects of slope topography on acceleration amplification and interaction between slope topography and seismic input motion[J]. Soil Dynamics and Earthquake Engineering, 2018, 113: 420-431.</w:t>
      </w:r>
    </w:p>
    <w:p>
      <w:pPr>
        <w:spacing w:before="0" w:after="0"/>
        <w:ind w:firstLine="420"/>
        <w:jc w:val="both"/>
      </w:pPr>
      <w:r>
        <w:rPr>
          <w:rFonts w:ascii="Times New Roman" w:hAnsi="Times New Roman" w:eastAsia="宋体" w:cs="Times New Roman" w:hint="eastAsia"/>
          <w:b w:val="0"/>
          <w:i w:val="0"/>
          <w:sz w:val="21"/>
        </w:rPr>
        <w:t>[14] GALLIPOLI M R, BIANCA M, MUCCIARELLI M, et al. Topographic versus stratigraphic amplification: mismatch between code provisions and observations during the L'Aquila (Italy, 2009) sequence[J]. Bulletin of Earthquake Engineering, 2013, 11(5): 1325-1336.</w:t>
      </w:r>
    </w:p>
    <w:p>
      <w:pPr>
        <w:spacing w:before="0" w:after="0"/>
        <w:ind w:firstLine="420"/>
        <w:jc w:val="both"/>
      </w:pPr>
      <w:r>
        <w:rPr>
          <w:rFonts w:ascii="Times New Roman" w:hAnsi="Times New Roman" w:eastAsia="宋体" w:cs="Times New Roman" w:hint="eastAsia"/>
          <w:b w:val="0"/>
          <w:i w:val="0"/>
          <w:sz w:val="21"/>
        </w:rPr>
        <w:t>[15] HAILEMIKAEL S, LENTI L, MARTINO S, et al. Ground-motion amplification at the Colle di Roio ridge, central Italy: a combined effect of stratigraphy and topography[J]. Geophysical Journal International, 2016, 206(1): 1-18.</w:t>
      </w:r>
    </w:p>
    <w:p>
      <w:pPr>
        <w:spacing w:before="0" w:after="0"/>
        <w:ind w:firstLine="420"/>
        <w:jc w:val="both"/>
      </w:pPr>
      <w:r>
        <w:rPr>
          <w:rFonts w:ascii="Times New Roman" w:hAnsi="Times New Roman" w:eastAsia="宋体" w:cs="Times New Roman" w:hint="eastAsia"/>
          <w:b w:val="0"/>
          <w:i w:val="0"/>
          <w:sz w:val="21"/>
        </w:rPr>
        <w:t>[16] TRIPE R, KONTOE S, WONG T K C. Slope topography effects on ground motion in the presence of deep soil layers[J]. Soil Dynamics and Earthquake Engineering, 2013, 50: 72-84.</w:t>
      </w:r>
    </w:p>
    <w:p>
      <w:pPr>
        <w:spacing w:before="0" w:after="0"/>
        <w:ind w:firstLine="420"/>
        <w:jc w:val="both"/>
      </w:pPr>
      <w:r>
        <w:rPr>
          <w:rFonts w:ascii="Times New Roman" w:hAnsi="Times New Roman" w:eastAsia="宋体" w:cs="Times New Roman" w:hint="eastAsia"/>
          <w:b w:val="0"/>
          <w:i w:val="0"/>
          <w:sz w:val="21"/>
        </w:rPr>
        <w:t>[17] ASSIMAKI D, KAUSEL E, GAZETAS G. Soil-dependent topographic effects: a case study from the 1999 Athens Earthquake[J]. Earthquake Spectra, 2005, 21(4): 929-966.</w:t>
      </w:r>
    </w:p>
    <w:p>
      <w:pPr>
        <w:spacing w:before="0" w:after="0"/>
        <w:ind w:firstLine="420"/>
        <w:jc w:val="both"/>
      </w:pPr>
      <w:r>
        <w:rPr>
          <w:rFonts w:ascii="Times New Roman" w:hAnsi="Times New Roman" w:eastAsia="宋体" w:cs="Times New Roman" w:hint="eastAsia"/>
          <w:b w:val="0"/>
          <w:i w:val="0"/>
          <w:sz w:val="21"/>
        </w:rPr>
        <w:t>[18] SHEN H, LIU Y, LI X, et al. The combined amplification effects of topography and stratigraphy of layered rock slopes under vertically and obliquely incident seismic waves[J]. Soil Dynamics and Earthquake Engineering, 2025, 193: 109331.</w:t>
      </w:r>
    </w:p>
    <w:p>
      <w:pPr>
        <w:spacing w:before="0" w:after="0"/>
        <w:ind w:firstLine="420"/>
        <w:jc w:val="both"/>
      </w:pPr>
      <w:r>
        <w:rPr>
          <w:rFonts w:ascii="Times New Roman" w:hAnsi="Times New Roman" w:eastAsia="宋体" w:cs="Times New Roman" w:hint="eastAsia"/>
          <w:b w:val="0"/>
          <w:i w:val="0"/>
          <w:sz w:val="21"/>
        </w:rPr>
        <w:t>[19] RIZZITANO S, CASCONE E, BIONDI G. Coupling of topographic and stratigraphic effects on seismic response of slopes through 2D linear and equivalent linear analyses[J]. Soil Dynamics and Earthquake Engineering, 2014, 67: 66-84.</w:t>
      </w:r>
    </w:p>
    <w:p>
      <w:pPr>
        <w:spacing w:before="0" w:after="0"/>
        <w:ind w:firstLine="420"/>
        <w:jc w:val="both"/>
      </w:pPr>
      <w:r>
        <w:rPr>
          <w:rFonts w:ascii="Times New Roman" w:hAnsi="Times New Roman" w:eastAsia="宋体" w:cs="Times New Roman" w:hint="eastAsia"/>
          <w:b w:val="0"/>
          <w:i w:val="0"/>
          <w:sz w:val="21"/>
        </w:rPr>
        <w:t>[20] PELEKIS P, BATILAS A, PEFANI E, et al. Surface topography and site stratigraphy effects on the seismic response of a slope in the Achaia-Ilia (Greece) 2008 Mw6.4 earthquake[J]. Soil Dynamics and Earthquake Engineering, 2017, 100: 538-554.</w:t>
      </w:r>
    </w:p>
    <w:p>
      <w:pPr>
        <w:spacing w:before="0" w:after="0"/>
        <w:ind w:firstLine="420"/>
        <w:jc w:val="both"/>
      </w:pPr>
      <w:r>
        <w:rPr>
          <w:rFonts w:ascii="Times New Roman" w:hAnsi="Times New Roman" w:eastAsia="宋体" w:cs="Times New Roman" w:hint="eastAsia"/>
          <w:b w:val="0"/>
          <w:i w:val="0"/>
          <w:sz w:val="21"/>
        </w:rPr>
        <w:t>[21] LUO Y, FAN X, HUANG R, et al. Topographic and near-surface stratigraphic amplification of the seismic response of a mountain slope revealed by field monitoring and numerical simulations[J]. Engineering Geology, 2020, 271: 105607.</w:t>
      </w:r>
    </w:p>
    <w:p>
      <w:pPr>
        <w:spacing w:before="0" w:after="0"/>
        <w:ind w:firstLine="420"/>
        <w:jc w:val="both"/>
      </w:pPr>
      <w:r>
        <w:rPr>
          <w:rFonts w:ascii="Times New Roman" w:hAnsi="Times New Roman" w:eastAsia="宋体" w:cs="Times New Roman" w:hint="eastAsia"/>
          <w:b w:val="0"/>
          <w:i w:val="0"/>
          <w:sz w:val="21"/>
        </w:rPr>
        <w:t>[22] VAHDANI S, WIKSTROM S. Response of the Tarzana strong motion site during the 1994 Northridge earthquake[J]. Soil Dynamics and Earthquake Engineering, 2002, 22(9): 837-848.</w:t>
      </w:r>
    </w:p>
    <w:p>
      <w:pPr>
        <w:spacing w:before="0" w:after="0"/>
        <w:ind w:firstLine="420"/>
        <w:jc w:val="both"/>
      </w:pPr>
      <w:r>
        <w:rPr>
          <w:rFonts w:ascii="Times New Roman" w:hAnsi="Times New Roman" w:eastAsia="宋体" w:cs="Times New Roman" w:hint="eastAsia"/>
          <w:b w:val="0"/>
          <w:i w:val="0"/>
          <w:sz w:val="21"/>
        </w:rPr>
        <w:t>[23] ASHFORD S A, SITAR N. Analysis of topographic amplification of inclined shear waves in a steep coastal bluff[J]. Bulletin of the Seismological Society of America, 1997, 87(3): 692-700.</w:t>
      </w:r>
    </w:p>
    <w:p>
      <w:pPr>
        <w:spacing w:before="0" w:after="0"/>
        <w:ind w:firstLine="420"/>
        <w:jc w:val="both"/>
      </w:pPr>
      <w:r>
        <w:rPr>
          <w:rFonts w:ascii="Times New Roman" w:hAnsi="Times New Roman" w:eastAsia="宋体" w:cs="Times New Roman" w:hint="eastAsia"/>
          <w:b w:val="0"/>
          <w:i w:val="0"/>
          <w:sz w:val="21"/>
        </w:rPr>
        <w:t>[24] 申辉, 刘亚群, 刘博, 等. 地震波斜入射下岩质边坡放大效应的数值模拟研究[J]. 岩土力学, 2023, 44(7): 2129-2142.</w:t>
      </w:r>
    </w:p>
    <w:p>
      <w:pPr>
        <w:spacing w:before="0" w:after="0"/>
        <w:ind w:firstLine="420"/>
        <w:jc w:val="both"/>
      </w:pPr>
      <w:r>
        <w:rPr>
          <w:rFonts w:ascii="Times New Roman" w:hAnsi="Times New Roman" w:eastAsia="宋体" w:cs="Times New Roman" w:hint="eastAsia"/>
          <w:b w:val="0"/>
          <w:i w:val="0"/>
          <w:sz w:val="21"/>
        </w:rPr>
        <w:t>SHEN Hui, LIU Ya-qun, LIU Bo, et al. Numerical study on the amplification effect of rock slopes under oblique incidence of seismic waves[J]. Rock and Soil Mechanics, 2023, 44(7): 2129-2142.</w:t>
      </w:r>
    </w:p>
    <w:p>
      <w:pPr>
        <w:spacing w:before="0" w:after="0"/>
        <w:ind w:firstLine="420"/>
        <w:jc w:val="both"/>
      </w:pPr>
      <w:r>
        <w:rPr>
          <w:rFonts w:ascii="Times New Roman" w:hAnsi="Times New Roman" w:eastAsia="宋体" w:cs="Times New Roman" w:hint="eastAsia"/>
          <w:b w:val="0"/>
          <w:i w:val="0"/>
          <w:sz w:val="21"/>
        </w:rPr>
        <w:t>[25] 陈咏珊. 基于卷积神经网络预测下哈特盆地地表地震动放大特征[D]. 广州: 广东工业大学, 2023.</w:t>
      </w:r>
    </w:p>
    <w:p>
      <w:pPr>
        <w:spacing w:before="0" w:after="0"/>
        <w:ind w:firstLine="420"/>
        <w:jc w:val="both"/>
      </w:pPr>
      <w:r>
        <w:rPr>
          <w:rFonts w:ascii="Times New Roman" w:hAnsi="Times New Roman" w:eastAsia="宋体" w:cs="Times New Roman" w:hint="eastAsia"/>
          <w:b w:val="0"/>
          <w:i w:val="0"/>
          <w:sz w:val="21"/>
        </w:rPr>
        <w:t>CHEN Yong-shan. Prediction of surface ground motion amplification characteristics of the Lower Hutt Basin based on convolutional neural network[D]. Guangzhou: Guangdong University of Technology, 2023.</w:t>
      </w:r>
    </w:p>
    <w:p>
      <w:pPr>
        <w:spacing w:before="0" w:after="0"/>
        <w:ind w:firstLine="420"/>
        <w:jc w:val="both"/>
      </w:pPr>
      <w:r>
        <w:rPr>
          <w:rFonts w:ascii="Times New Roman" w:hAnsi="Times New Roman" w:eastAsia="宋体" w:cs="Times New Roman" w:hint="eastAsia"/>
          <w:b w:val="0"/>
          <w:i w:val="0"/>
          <w:sz w:val="21"/>
        </w:rPr>
        <w:t>[26] 赵嘉玮. 基于机器学习算法的复杂场地地震动放大效应和非线性效应预测模型研究[D]. 天津: 天津城建大学, 2024.</w:t>
      </w:r>
    </w:p>
    <w:p>
      <w:pPr>
        <w:spacing w:before="0" w:after="0"/>
        <w:ind w:firstLine="420"/>
        <w:jc w:val="both"/>
      </w:pPr>
      <w:r>
        <w:rPr>
          <w:rFonts w:ascii="Times New Roman" w:hAnsi="Times New Roman" w:eastAsia="宋体" w:cs="Times New Roman" w:hint="eastAsia"/>
          <w:b w:val="0"/>
          <w:i w:val="0"/>
          <w:sz w:val="21"/>
        </w:rPr>
        <w:t>ZHAO Jia-wei. Research on prediction models of ground motion amplification and nonlinear effects in complex sites based on machine learning algorithms[D]. Tianjin: Tianjin Chengjian University, 2024.</w:t>
      </w:r>
    </w:p>
    <w:p>
      <w:pPr>
        <w:spacing w:before="0" w:after="0"/>
        <w:ind w:firstLine="420"/>
        <w:jc w:val="both"/>
      </w:pPr>
      <w:r>
        <w:rPr>
          <w:rFonts w:ascii="Times New Roman" w:hAnsi="Times New Roman" w:eastAsia="宋体" w:cs="Times New Roman" w:hint="eastAsia"/>
          <w:b w:val="0"/>
          <w:i w:val="0"/>
          <w:sz w:val="21"/>
        </w:rPr>
        <w:t>[27] 罗麒锐, 赵仕兴, 吴启红, 等. 基于地形参数的地震动放大系数数值分析与预测方法[J]. 建筑结构, 2025, 55(2): 50-57, 35.</w:t>
      </w:r>
    </w:p>
    <w:p>
      <w:pPr>
        <w:spacing w:before="0" w:after="0"/>
        <w:ind w:firstLine="420"/>
        <w:jc w:val="both"/>
      </w:pPr>
      <w:r>
        <w:rPr>
          <w:rFonts w:ascii="Times New Roman" w:hAnsi="Times New Roman" w:eastAsia="宋体" w:cs="Times New Roman" w:hint="eastAsia"/>
          <w:b w:val="0"/>
          <w:i w:val="0"/>
          <w:sz w:val="21"/>
        </w:rPr>
        <w:t>LUO Qi-rui, ZHAO Shi-xing, WU Qi-hong, et al. Numerical analysis and prediction method of ground motion amplification factor based on topographic parameters[J]. Building Structure, 2025, 55(2): 50-57, 35.</w:t>
      </w:r>
    </w:p>
    <w:p>
      <w:pPr>
        <w:spacing w:before="0" w:after="0"/>
        <w:ind w:firstLine="420"/>
        <w:jc w:val="both"/>
      </w:pPr>
      <w:r>
        <w:rPr>
          <w:rFonts w:ascii="Times New Roman" w:hAnsi="Times New Roman" w:eastAsia="宋体" w:cs="Times New Roman" w:hint="eastAsia"/>
          <w:b w:val="0"/>
          <w:i w:val="0"/>
          <w:sz w:val="21"/>
        </w:rPr>
        <w:t>[28] 周红, 常莹. 利用BP神经网络技术建立自贡地区地震动地形效应模型及其在汶川地震中的效验[J]. 地球物理学报, 2022, 65(6): 2022-2034.</w:t>
      </w:r>
    </w:p>
    <w:p>
      <w:pPr>
        <w:spacing w:before="0" w:after="0"/>
        <w:ind w:firstLine="420"/>
        <w:jc w:val="both"/>
      </w:pPr>
      <w:r>
        <w:rPr>
          <w:rFonts w:ascii="Times New Roman" w:hAnsi="Times New Roman" w:eastAsia="宋体" w:cs="Times New Roman" w:hint="eastAsia"/>
          <w:b w:val="0"/>
          <w:i w:val="0"/>
          <w:sz w:val="21"/>
        </w:rPr>
        <w:t>ZHOU Hong, CHANG Ying. A ground motion topographic effect model for the Zigong area based on BP neural network and its validation in the Wenchuan earthquake[J]. Chinese Journal of Geophysics, 2022, 65(6): 2022-2034.</w:t>
      </w:r>
    </w:p>
    <w:p>
      <w:pPr>
        <w:spacing w:before="0" w:after="0"/>
        <w:ind w:firstLine="420"/>
        <w:jc w:val="both"/>
      </w:pPr>
      <w:r>
        <w:rPr>
          <w:rFonts w:ascii="Times New Roman" w:hAnsi="Times New Roman" w:eastAsia="宋体" w:cs="Times New Roman" w:hint="eastAsia"/>
          <w:b w:val="0"/>
          <w:i w:val="0"/>
          <w:sz w:val="21"/>
        </w:rPr>
        <w:t>[29] ZHOU H, LI J, CHEN X. Establishment of a seismic topographic effect prediction model in the Lushan Ms 7.0 earthquake area[J]. Geophysical Journal International, 2020, 221(1): 273-288.</w:t>
      </w:r>
    </w:p>
    <w:p>
      <w:pPr>
        <w:spacing w:before="0" w:after="0"/>
        <w:ind w:firstLine="420"/>
        <w:jc w:val="both"/>
      </w:pPr>
      <w:r>
        <w:rPr>
          <w:rFonts w:ascii="Times New Roman" w:hAnsi="Times New Roman" w:eastAsia="宋体" w:cs="Times New Roman" w:hint="eastAsia"/>
          <w:b w:val="0"/>
          <w:i w:val="0"/>
          <w:sz w:val="21"/>
        </w:rPr>
        <w:t>[30] TAVAKOLI H, SOLEIMANI KUTANAEI S. Evaluation of effect of soil characteristics on the seismic amplification factor using the neural network and reliability concept[J]. Arabian Journal of Geosciences, 2015, 8(6): 3881-3891.</w:t>
      </w:r>
    </w:p>
    <w:p>
      <w:pPr>
        <w:spacing w:before="0" w:after="0"/>
        <w:ind w:firstLine="420"/>
        <w:jc w:val="both"/>
      </w:pPr>
      <w:r>
        <w:rPr>
          <w:rFonts w:ascii="Times New Roman" w:hAnsi="Times New Roman" w:eastAsia="宋体" w:cs="Times New Roman" w:hint="eastAsia"/>
          <w:b w:val="0"/>
          <w:i w:val="0"/>
          <w:sz w:val="21"/>
        </w:rPr>
        <w:t>[31] Dassault Systèmes. Abaqus 2021 documentation[CP/OL]. Providence (RI): Dassault Systèmes SIMULIA Corp., 2021.</w:t>
      </w:r>
    </w:p>
    <w:p>
      <w:pPr>
        <w:spacing w:before="0" w:after="0"/>
        <w:ind w:firstLine="420"/>
        <w:jc w:val="both"/>
      </w:pPr>
      <w:r>
        <w:rPr>
          <w:rFonts w:ascii="Times New Roman" w:hAnsi="Times New Roman" w:eastAsia="宋体" w:cs="Times New Roman" w:hint="eastAsia"/>
          <w:b w:val="0"/>
          <w:i w:val="0"/>
          <w:sz w:val="21"/>
        </w:rPr>
        <w:t>[32] 刘晶波, 谷音, 杜义欣. 粘弹性人工边界及粘弹性边界单元[J]. 土木工程学报, 2006, 39(2): 31-36.</w:t>
      </w:r>
    </w:p>
    <w:p>
      <w:pPr>
        <w:spacing w:before="0" w:after="0"/>
        <w:ind w:firstLine="420"/>
        <w:jc w:val="both"/>
      </w:pPr>
      <w:r>
        <w:rPr>
          <w:rFonts w:ascii="Times New Roman" w:hAnsi="Times New Roman" w:eastAsia="宋体" w:cs="Times New Roman" w:hint="eastAsia"/>
          <w:b w:val="0"/>
          <w:i w:val="0"/>
          <w:sz w:val="21"/>
        </w:rPr>
        <w:t>LIU Jing-bo, GU Yin, DU Yi-xin. Viscoelastic artificial boundary and viscoelastic boundary element[J]. China Civil Engineering Journal, 2006, 39(2): 31-36.</w:t>
      </w:r>
    </w:p>
    <w:p>
      <w:pPr>
        <w:spacing w:before="0" w:after="0"/>
        <w:ind w:firstLine="420"/>
        <w:jc w:val="both"/>
      </w:pPr>
      <w:r>
        <w:rPr>
          <w:rFonts w:ascii="Times New Roman" w:hAnsi="Times New Roman" w:eastAsia="宋体" w:cs="Times New Roman" w:hint="eastAsia"/>
          <w:b w:val="0"/>
          <w:i w:val="0"/>
          <w:sz w:val="21"/>
        </w:rPr>
        <w:t>[33] BIELAK J, LOUKAKIS K, HISADA Y, et al. Domain reduction method for three-dimensional earthquake modeling in localized regions, Part I: Theory[J]. Bulletin of the Seismological Society of America, 2003, 93(2): 817-824.</w:t>
      </w:r>
    </w:p>
    <w:p>
      <w:pPr>
        <w:spacing w:before="0" w:after="0"/>
        <w:ind w:firstLine="420"/>
        <w:jc w:val="both"/>
      </w:pPr>
      <w:r>
        <w:rPr>
          <w:rFonts w:ascii="Times New Roman" w:hAnsi="Times New Roman" w:eastAsia="宋体" w:cs="Times New Roman" w:hint="eastAsia"/>
          <w:b w:val="0"/>
          <w:i w:val="0"/>
          <w:sz w:val="21"/>
        </w:rPr>
        <w:t>[34] 张季, 谭灿星, 叶国涛, 等. SV波超临界角斜入射时层状地基地震动输入在ABAQUS中的实现[J]. 工程力学, 2021, 38(4): 200-210.</w:t>
      </w:r>
    </w:p>
    <w:p>
      <w:pPr>
        <w:spacing w:before="0" w:after="0"/>
        <w:ind w:firstLine="420"/>
        <w:jc w:val="both"/>
      </w:pPr>
      <w:r>
        <w:rPr>
          <w:rFonts w:ascii="Times New Roman" w:hAnsi="Times New Roman" w:eastAsia="宋体" w:cs="Times New Roman" w:hint="eastAsia"/>
          <w:b w:val="0"/>
          <w:i w:val="0"/>
          <w:sz w:val="21"/>
        </w:rPr>
        <w:t>ZHANG Ji, TAN Can-xing, YE Guo-tao, et al. Realization of ground motion input in ABAQUS for layered foundation under SV wave of oblique incidence over critical angle[J]. Engineering Mechanics, 2021, 38(4): 200-210.</w:t>
      </w:r>
    </w:p>
    <w:sectPr>
      <w:headerReference w:type="default" r:id="rId14"/>
      <w:headerReference w:type="first" r:id="rId15"/>
      <w:headerReference w:type="even" r:id="rId16"/>
      <w:type w:val="continuous"/>
      <w:pgSz w:w="11906" w:h="16838"/>
      <w:pgMar w:top="1418" w:right="1134" w:bottom="1418" w:left="1134" w:header="851" w:footer="850"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3558670"/>
      <w:docPartObj>
        <w:docPartGallery w:val="AutoText"/>
      </w:docPartObj>
    </w:sdtPr>
    <w:sdtEndPr>
      <w:rPr>
        <w:rFonts w:ascii="Times New Roman" w:hAnsi="Times New Roman" w:cs="Times New Roman"/>
      </w:rPr>
    </w:sdtEndPr>
    <w:sdtContent>
      <w:p w14:paraId="05F5420F">
        <w:pPr>
          <w:pStyle w:val="4"/>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http://schemas.openxmlformats.org/wordprocessingml/2006/main" xmlns:w14="http://schemas.microsoft.com/office/word/2010/wordml" xmlns:r="http://schemas.openxmlformats.org/officeDocument/2006/relationships">
  <w:footnote w:type="separator" w:id="2">
    <w:p>
      <w:r>
        <w:separator/>
      </w:r>
    </w:p>
  </w:footnote>
  <w:footnote w:type="continuationSeparator" w:id="3">
    <w:p>
      <w:r>
        <w:continuationSeparator/>
      </w:r>
    </w:p>
  </w:footnote>
  <w:footnote w:id="0">
    <w:p>
      <w:pPr>
        <w:pStyle w:val="6"/>
        <w:rPr>
          <w:rFonts w:ascii="Times New Roman" w:hAnsi="Times New Roman" w:eastAsia="宋体" w:cs="Times New Roman"/>
          <w:sz w:val="18"/>
        </w:rPr>
      </w:pPr>
      <w:r>
        <w:rPr>
          <w:rFonts w:ascii="Times New Roman" w:hAnsi="Times New Roman" w:eastAsia="宋体" w:cs="Times New Roman"/>
          <w:sz w:val="18"/>
        </w:rPr>
        <w:t>收稿日期：2026-08-24</w:t>
      </w:r>
    </w:p>
    <w:p>
      <w:pPr>
        <w:pStyle w:val="6"/>
        <w:rPr>
          <w:rFonts w:ascii="Times New Roman" w:hAnsi="Times New Roman" w:eastAsia="宋体" w:cs="Times New Roman"/>
          <w:sz w:val="18"/>
        </w:rPr>
      </w:pPr>
      <w:r>
        <w:rPr>
          <w:rFonts w:ascii="Times New Roman" w:hAnsi="Times New Roman" w:eastAsia="宋体" w:cs="Times New Roman"/>
          <w:sz w:val="18"/>
        </w:rPr>
        <w:t>基金项目：国家自然科学基金(********)；重庆市自然科学基金(********)</w:t>
      </w:r>
    </w:p>
    <w:p>
      <w:pPr>
        <w:pStyle w:val="6"/>
        <w:rPr>
          <w:rFonts w:ascii="Times New Roman" w:hAnsi="Times New Roman" w:eastAsia="宋体" w:cs="Times New Roman"/>
          <w:sz w:val="18"/>
        </w:rPr>
      </w:pPr>
      <w:r>
        <w:rPr>
          <w:rFonts w:ascii="Times New Roman" w:hAnsi="Times New Roman" w:eastAsia="宋体" w:cs="Times New Roman"/>
          <w:sz w:val="18"/>
        </w:rPr>
        <w:t>作者简介：【作者一】（19XX- ），男，博士，副教授，主要从事边坡动力响应与数值模拟研究，E-mail：***@*******</w:t>
      </w:r>
    </w:p>
    <w:p>
      <w:pPr>
        <w:pStyle w:val="6"/>
        <w:ind w:firstLine="900" w:firstLineChars="500"/>
        <w:rPr>
          <w:rFonts w:ascii="Times New Roman" w:hAnsi="Times New Roman" w:eastAsia="宋体" w:cs="Times New Roman"/>
          <w:sz w:val="18"/>
        </w:rPr>
      </w:pPr>
      <w:r>
        <w:rPr>
          <w:rFonts w:ascii="Times New Roman" w:hAnsi="Times New Roman" w:eastAsia="宋体" w:cs="Times New Roman"/>
          <w:sz w:val="18"/>
        </w:rPr>
        <w:t>【作者二】（通信作者），男，教授，博士生导师，E-mail：***@*******。</w:t>
      </w:r>
    </w:p>
    <w:p>
      <w:pPr>
        <w:pStyle w:val="6"/>
        <w:rPr>
          <w:rFonts w:ascii="Times New Roman" w:hAnsi="Times New Roman" w:eastAsia="宋体" w:cs="Times New Roman"/>
          <w:sz w:val="18"/>
        </w:rPr>
      </w:pPr>
      <w:r>
        <w:rPr>
          <w:rFonts w:ascii="Times New Roman" w:hAnsi="Times New Roman" w:eastAsia="宋体" w:cs="Times New Roman"/>
          <w:sz w:val="18"/>
        </w:rPr>
        <w:t>Received: 2026-08-24</w:t>
      </w:r>
    </w:p>
    <w:p>
      <w:pPr>
        <w:pStyle w:val="6"/>
        <w:rPr>
          <w:rFonts w:ascii="Times New Roman" w:hAnsi="Times New Roman" w:eastAsia="宋体" w:cs="Times New Roman"/>
          <w:sz w:val="18"/>
        </w:rPr>
      </w:pPr>
      <w:r>
        <w:rPr>
          <w:rFonts w:ascii="Times New Roman" w:hAnsi="Times New Roman" w:eastAsia="宋体" w:cs="Times New Roman"/>
          <w:sz w:val="18"/>
        </w:rPr>
        <w:t>Foundation items: National Natural Science Foundation of China (No. ********); Natural Science Foundation of Chongqing (No. ********)</w:t>
      </w:r>
    </w:p>
    <w:p>
      <w:pPr>
        <w:pStyle w:val="6"/>
        <w:rPr>
          <w:rFonts w:ascii="Times New Roman" w:hAnsi="Times New Roman" w:eastAsia="宋体" w:cs="Times New Roman"/>
          <w:sz w:val="18"/>
        </w:rPr>
      </w:pPr>
      <w:r>
        <w:rPr>
          <w:rFonts w:ascii="Times New Roman" w:hAnsi="Times New Roman" w:eastAsia="宋体" w:cs="Times New Roman"/>
          <w:sz w:val="18"/>
        </w:rPr>
        <w:t>Author brief: 【AUTHOR 1】 (19XX- ), PhD, associate professor, main research interest: slope dynamic response and numerical simulation, E-mail: ***@*******</w:t>
      </w:r>
    </w:p>
    <w:p>
      <w:pPr>
        <w:pStyle w:val="6"/>
        <w:rPr>
          <w:rFonts w:ascii="Times New Roman" w:hAnsi="Times New Roman" w:eastAsia="宋体" w:cs="Times New Roman"/>
          <w:sz w:val="18"/>
        </w:rPr>
      </w:pPr>
      <w:r>
        <w:rPr>
          <w:rFonts w:ascii="Times New Roman" w:hAnsi="Times New Roman" w:eastAsia="宋体" w:cs="Times New Roman"/>
          <w:sz w:val="18"/>
        </w:rPr>
        <w:t>           【AUTHOR 2】 (corresponding author), professor, doctorial supervisor,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5BE59">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D88A1">
    <w:pPr>
      <w:pBdr>
        <w:bottom w:val="thinThickSmallGap" w:color="auto" w:sz="12" w:space="1"/>
      </w:pBdr>
      <w:snapToGrid w:val="0"/>
      <w:jc w:val="center"/>
      <w:rPr>
        <w:rFonts w:ascii="Times New Roman" w:hAnsi="Times New Roman" w:eastAsia="楷体"/>
        <w:spacing w:val="40"/>
        <w:sz w:val="18"/>
        <w:szCs w:val="18"/>
      </w:rPr>
    </w:pPr>
    <w:r>
      <w:rPr>
        <w:rFonts w:ascii="Times New Roman" w:hAnsi="Times New Roman" w:eastAsia="楷体"/>
        <w:spacing w:val="40"/>
        <w:sz w:val="18"/>
        <w:szCs w:val="18"/>
      </w:rPr>
      <w:t>土木与环境工程学报(中英文)</w:t>
    </w:r>
  </w:p>
  <w:p w14:paraId="566F73C9">
    <w:pPr>
      <w:pBdr>
        <w:bottom w:val="thinThickSmallGap" w:color="auto" w:sz="12" w:space="1"/>
      </w:pBdr>
      <w:snapToGrid w:val="0"/>
      <w:jc w:val="center"/>
      <w:rPr>
        <w:rFonts w:ascii="Times New Roman" w:hAnsi="Times New Roman" w:eastAsia="楷体"/>
        <w:sz w:val="18"/>
        <w:szCs w:val="18"/>
      </w:rPr>
    </w:pPr>
    <w:r>
      <w:rPr>
        <w:rFonts w:ascii="Times New Roman" w:hAnsi="Times New Roman" w:eastAsia="楷体"/>
        <w:sz w:val="18"/>
        <w:szCs w:val="18"/>
      </w:rPr>
      <w:t>Journal of Civil and Environmental Engineering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E91DF">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DA036">
    <w:pPr>
      <w:pStyle w:val="5"/>
    </w:pPr>
    <w:r>
      <w:rPr>
        <w:rFonts w:hint="eastAsia" w:ascii="Times New Roman" w:hAnsi="Times New Roman" w:eastAsia="楷体" w:cs="Times New Roman"/>
      </w:rPr>
      <w:t>***结构抗震性能试验研究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1C1"/>
    <w:rsid w:val="00004B44"/>
    <w:rsid w:val="00023407"/>
    <w:rsid w:val="00027410"/>
    <w:rsid w:val="00031E8C"/>
    <w:rsid w:val="000416C9"/>
    <w:rsid w:val="000435C0"/>
    <w:rsid w:val="00044F03"/>
    <w:rsid w:val="00054A2E"/>
    <w:rsid w:val="000718DF"/>
    <w:rsid w:val="00072C77"/>
    <w:rsid w:val="000741AC"/>
    <w:rsid w:val="0008292A"/>
    <w:rsid w:val="00085045"/>
    <w:rsid w:val="000920D8"/>
    <w:rsid w:val="00094C1D"/>
    <w:rsid w:val="00095927"/>
    <w:rsid w:val="000B2582"/>
    <w:rsid w:val="000C0CD4"/>
    <w:rsid w:val="000C5221"/>
    <w:rsid w:val="000C7792"/>
    <w:rsid w:val="000D439F"/>
    <w:rsid w:val="000D5399"/>
    <w:rsid w:val="000E3AA9"/>
    <w:rsid w:val="000E3E53"/>
    <w:rsid w:val="000E60BB"/>
    <w:rsid w:val="000F2143"/>
    <w:rsid w:val="000F4E33"/>
    <w:rsid w:val="00103C2C"/>
    <w:rsid w:val="0010546E"/>
    <w:rsid w:val="00112CA7"/>
    <w:rsid w:val="00117D81"/>
    <w:rsid w:val="00120AEA"/>
    <w:rsid w:val="001235BC"/>
    <w:rsid w:val="001329D2"/>
    <w:rsid w:val="00137A65"/>
    <w:rsid w:val="00143FDA"/>
    <w:rsid w:val="0014410F"/>
    <w:rsid w:val="00146EF8"/>
    <w:rsid w:val="00151411"/>
    <w:rsid w:val="00154090"/>
    <w:rsid w:val="001565A6"/>
    <w:rsid w:val="001571D4"/>
    <w:rsid w:val="0016037C"/>
    <w:rsid w:val="00161D13"/>
    <w:rsid w:val="001769F1"/>
    <w:rsid w:val="00181824"/>
    <w:rsid w:val="00192224"/>
    <w:rsid w:val="001969AB"/>
    <w:rsid w:val="0019729A"/>
    <w:rsid w:val="001A4266"/>
    <w:rsid w:val="001B02C6"/>
    <w:rsid w:val="001B39A3"/>
    <w:rsid w:val="001B48F8"/>
    <w:rsid w:val="001B53CD"/>
    <w:rsid w:val="001C7547"/>
    <w:rsid w:val="001D0166"/>
    <w:rsid w:val="001D41AC"/>
    <w:rsid w:val="001E3B9A"/>
    <w:rsid w:val="001E3D6E"/>
    <w:rsid w:val="001F0F8A"/>
    <w:rsid w:val="001F394D"/>
    <w:rsid w:val="001F4C3E"/>
    <w:rsid w:val="0020155D"/>
    <w:rsid w:val="00202036"/>
    <w:rsid w:val="00202B43"/>
    <w:rsid w:val="00207B72"/>
    <w:rsid w:val="0021775F"/>
    <w:rsid w:val="00217F26"/>
    <w:rsid w:val="00226006"/>
    <w:rsid w:val="00226766"/>
    <w:rsid w:val="0023707E"/>
    <w:rsid w:val="00247F9C"/>
    <w:rsid w:val="0025341F"/>
    <w:rsid w:val="00262483"/>
    <w:rsid w:val="00265648"/>
    <w:rsid w:val="00271261"/>
    <w:rsid w:val="0027332E"/>
    <w:rsid w:val="00273741"/>
    <w:rsid w:val="002863E6"/>
    <w:rsid w:val="00290572"/>
    <w:rsid w:val="0029451E"/>
    <w:rsid w:val="00296326"/>
    <w:rsid w:val="002966EF"/>
    <w:rsid w:val="00296B18"/>
    <w:rsid w:val="00297A45"/>
    <w:rsid w:val="002B124B"/>
    <w:rsid w:val="002C0069"/>
    <w:rsid w:val="002C0230"/>
    <w:rsid w:val="002C04C4"/>
    <w:rsid w:val="002C3EDF"/>
    <w:rsid w:val="002D110E"/>
    <w:rsid w:val="002D156D"/>
    <w:rsid w:val="002D51EC"/>
    <w:rsid w:val="002E77B2"/>
    <w:rsid w:val="002F7ADD"/>
    <w:rsid w:val="003028DE"/>
    <w:rsid w:val="0030416B"/>
    <w:rsid w:val="003101C2"/>
    <w:rsid w:val="00310271"/>
    <w:rsid w:val="00324229"/>
    <w:rsid w:val="00327089"/>
    <w:rsid w:val="00327D15"/>
    <w:rsid w:val="003300D6"/>
    <w:rsid w:val="00335134"/>
    <w:rsid w:val="003403DB"/>
    <w:rsid w:val="00340979"/>
    <w:rsid w:val="0035415A"/>
    <w:rsid w:val="00361237"/>
    <w:rsid w:val="00362279"/>
    <w:rsid w:val="003622FF"/>
    <w:rsid w:val="00384251"/>
    <w:rsid w:val="003A3A52"/>
    <w:rsid w:val="003B1C12"/>
    <w:rsid w:val="003B5764"/>
    <w:rsid w:val="003C51CF"/>
    <w:rsid w:val="003D1D8E"/>
    <w:rsid w:val="003D1EDE"/>
    <w:rsid w:val="003D4171"/>
    <w:rsid w:val="003E4069"/>
    <w:rsid w:val="003E6DFB"/>
    <w:rsid w:val="003E724D"/>
    <w:rsid w:val="003E7A9B"/>
    <w:rsid w:val="003F09B7"/>
    <w:rsid w:val="003F1596"/>
    <w:rsid w:val="003F1C14"/>
    <w:rsid w:val="004263E7"/>
    <w:rsid w:val="0044751D"/>
    <w:rsid w:val="004479C2"/>
    <w:rsid w:val="0046548A"/>
    <w:rsid w:val="00475E88"/>
    <w:rsid w:val="00477533"/>
    <w:rsid w:val="00481361"/>
    <w:rsid w:val="00493EBA"/>
    <w:rsid w:val="004B1C07"/>
    <w:rsid w:val="004C3392"/>
    <w:rsid w:val="004C4BC5"/>
    <w:rsid w:val="004D1B5F"/>
    <w:rsid w:val="004D3B93"/>
    <w:rsid w:val="004D55A3"/>
    <w:rsid w:val="004D76E0"/>
    <w:rsid w:val="004E7637"/>
    <w:rsid w:val="004F42E9"/>
    <w:rsid w:val="004F4934"/>
    <w:rsid w:val="004F6213"/>
    <w:rsid w:val="00530B31"/>
    <w:rsid w:val="00535253"/>
    <w:rsid w:val="00540EF4"/>
    <w:rsid w:val="00541CDE"/>
    <w:rsid w:val="005534C9"/>
    <w:rsid w:val="0056351D"/>
    <w:rsid w:val="005724B9"/>
    <w:rsid w:val="0057633D"/>
    <w:rsid w:val="005915C3"/>
    <w:rsid w:val="00596F0E"/>
    <w:rsid w:val="005A016A"/>
    <w:rsid w:val="005A7E15"/>
    <w:rsid w:val="005B203B"/>
    <w:rsid w:val="005B70A7"/>
    <w:rsid w:val="005B73A5"/>
    <w:rsid w:val="005D4423"/>
    <w:rsid w:val="005E2A56"/>
    <w:rsid w:val="005E4468"/>
    <w:rsid w:val="005F0AD8"/>
    <w:rsid w:val="005F0D1B"/>
    <w:rsid w:val="005F2146"/>
    <w:rsid w:val="005F4738"/>
    <w:rsid w:val="005F7B0B"/>
    <w:rsid w:val="006040F2"/>
    <w:rsid w:val="0061409F"/>
    <w:rsid w:val="00615AC2"/>
    <w:rsid w:val="00624CD2"/>
    <w:rsid w:val="006254D1"/>
    <w:rsid w:val="00630D16"/>
    <w:rsid w:val="0063285D"/>
    <w:rsid w:val="00636386"/>
    <w:rsid w:val="006413D5"/>
    <w:rsid w:val="006417B7"/>
    <w:rsid w:val="006478E3"/>
    <w:rsid w:val="00651F2F"/>
    <w:rsid w:val="00654477"/>
    <w:rsid w:val="00656323"/>
    <w:rsid w:val="00671E8F"/>
    <w:rsid w:val="00673112"/>
    <w:rsid w:val="006948D9"/>
    <w:rsid w:val="00697DC0"/>
    <w:rsid w:val="006A4097"/>
    <w:rsid w:val="006A4AD7"/>
    <w:rsid w:val="006A6747"/>
    <w:rsid w:val="006B607E"/>
    <w:rsid w:val="006C27F1"/>
    <w:rsid w:val="006C38FB"/>
    <w:rsid w:val="006D4D16"/>
    <w:rsid w:val="006E0EE8"/>
    <w:rsid w:val="006E3AB3"/>
    <w:rsid w:val="006E5717"/>
    <w:rsid w:val="00701EB2"/>
    <w:rsid w:val="007102B0"/>
    <w:rsid w:val="00712A5C"/>
    <w:rsid w:val="0072361A"/>
    <w:rsid w:val="0073715A"/>
    <w:rsid w:val="00740F22"/>
    <w:rsid w:val="0074180F"/>
    <w:rsid w:val="0074716C"/>
    <w:rsid w:val="00752166"/>
    <w:rsid w:val="00755054"/>
    <w:rsid w:val="00762E84"/>
    <w:rsid w:val="00765174"/>
    <w:rsid w:val="00767B8C"/>
    <w:rsid w:val="007710D9"/>
    <w:rsid w:val="00772EF7"/>
    <w:rsid w:val="00776DA2"/>
    <w:rsid w:val="00780474"/>
    <w:rsid w:val="00780908"/>
    <w:rsid w:val="0078379C"/>
    <w:rsid w:val="00785775"/>
    <w:rsid w:val="00792104"/>
    <w:rsid w:val="007932F9"/>
    <w:rsid w:val="007A2794"/>
    <w:rsid w:val="007C0402"/>
    <w:rsid w:val="007C2E6C"/>
    <w:rsid w:val="007C7C22"/>
    <w:rsid w:val="007D11DA"/>
    <w:rsid w:val="007D2BE7"/>
    <w:rsid w:val="007D6BF4"/>
    <w:rsid w:val="007D767C"/>
    <w:rsid w:val="007E4044"/>
    <w:rsid w:val="007E63B1"/>
    <w:rsid w:val="007E74B2"/>
    <w:rsid w:val="007F2284"/>
    <w:rsid w:val="007F4C79"/>
    <w:rsid w:val="00806B24"/>
    <w:rsid w:val="00810147"/>
    <w:rsid w:val="0081591F"/>
    <w:rsid w:val="00827DCF"/>
    <w:rsid w:val="00830191"/>
    <w:rsid w:val="008328AC"/>
    <w:rsid w:val="00842C58"/>
    <w:rsid w:val="00846478"/>
    <w:rsid w:val="00850CC0"/>
    <w:rsid w:val="00853A59"/>
    <w:rsid w:val="00860F04"/>
    <w:rsid w:val="00874DD7"/>
    <w:rsid w:val="0088539F"/>
    <w:rsid w:val="00887C1C"/>
    <w:rsid w:val="00897CF9"/>
    <w:rsid w:val="008A66ED"/>
    <w:rsid w:val="008A7865"/>
    <w:rsid w:val="008B2271"/>
    <w:rsid w:val="008D14C1"/>
    <w:rsid w:val="008D783E"/>
    <w:rsid w:val="008E1511"/>
    <w:rsid w:val="008F098C"/>
    <w:rsid w:val="00900385"/>
    <w:rsid w:val="00901773"/>
    <w:rsid w:val="0090710A"/>
    <w:rsid w:val="00907770"/>
    <w:rsid w:val="00911189"/>
    <w:rsid w:val="0092097F"/>
    <w:rsid w:val="00926065"/>
    <w:rsid w:val="00927222"/>
    <w:rsid w:val="00930007"/>
    <w:rsid w:val="009312B7"/>
    <w:rsid w:val="009335D4"/>
    <w:rsid w:val="009347BD"/>
    <w:rsid w:val="00941434"/>
    <w:rsid w:val="009447C1"/>
    <w:rsid w:val="00950EF0"/>
    <w:rsid w:val="0095461C"/>
    <w:rsid w:val="009765BC"/>
    <w:rsid w:val="00986073"/>
    <w:rsid w:val="00986CCF"/>
    <w:rsid w:val="00990A3D"/>
    <w:rsid w:val="009940E5"/>
    <w:rsid w:val="00997D51"/>
    <w:rsid w:val="009A063D"/>
    <w:rsid w:val="009A77DB"/>
    <w:rsid w:val="009B644F"/>
    <w:rsid w:val="009C1D70"/>
    <w:rsid w:val="009C2732"/>
    <w:rsid w:val="009C2F82"/>
    <w:rsid w:val="009D545A"/>
    <w:rsid w:val="009E153B"/>
    <w:rsid w:val="009E5687"/>
    <w:rsid w:val="009E5B67"/>
    <w:rsid w:val="009E626E"/>
    <w:rsid w:val="009F4DCB"/>
    <w:rsid w:val="00A02EAC"/>
    <w:rsid w:val="00A03BA6"/>
    <w:rsid w:val="00A03E75"/>
    <w:rsid w:val="00A13F57"/>
    <w:rsid w:val="00A2005C"/>
    <w:rsid w:val="00A227E7"/>
    <w:rsid w:val="00A25EE3"/>
    <w:rsid w:val="00A35ED9"/>
    <w:rsid w:val="00A430D4"/>
    <w:rsid w:val="00A4450B"/>
    <w:rsid w:val="00A47ECA"/>
    <w:rsid w:val="00A66D2D"/>
    <w:rsid w:val="00A729A0"/>
    <w:rsid w:val="00A86F6F"/>
    <w:rsid w:val="00A91F26"/>
    <w:rsid w:val="00A931D6"/>
    <w:rsid w:val="00A93BFA"/>
    <w:rsid w:val="00AA60C2"/>
    <w:rsid w:val="00AA6CBF"/>
    <w:rsid w:val="00AC0D42"/>
    <w:rsid w:val="00AD7923"/>
    <w:rsid w:val="00AE2593"/>
    <w:rsid w:val="00AE2F57"/>
    <w:rsid w:val="00AF4CCF"/>
    <w:rsid w:val="00B0233D"/>
    <w:rsid w:val="00B02D8E"/>
    <w:rsid w:val="00B165CB"/>
    <w:rsid w:val="00B31C59"/>
    <w:rsid w:val="00B356A6"/>
    <w:rsid w:val="00B37686"/>
    <w:rsid w:val="00B54886"/>
    <w:rsid w:val="00B60D4C"/>
    <w:rsid w:val="00B74148"/>
    <w:rsid w:val="00B87CB1"/>
    <w:rsid w:val="00B9001B"/>
    <w:rsid w:val="00BA3072"/>
    <w:rsid w:val="00BA3B31"/>
    <w:rsid w:val="00BC7802"/>
    <w:rsid w:val="00BD28DB"/>
    <w:rsid w:val="00BE17AB"/>
    <w:rsid w:val="00BF3F93"/>
    <w:rsid w:val="00BF45D8"/>
    <w:rsid w:val="00BF5EC5"/>
    <w:rsid w:val="00BF6749"/>
    <w:rsid w:val="00BF735E"/>
    <w:rsid w:val="00C10698"/>
    <w:rsid w:val="00C11F5F"/>
    <w:rsid w:val="00C14B6A"/>
    <w:rsid w:val="00C211EA"/>
    <w:rsid w:val="00C300A8"/>
    <w:rsid w:val="00C37553"/>
    <w:rsid w:val="00C52281"/>
    <w:rsid w:val="00C56A98"/>
    <w:rsid w:val="00C8218A"/>
    <w:rsid w:val="00CA1E26"/>
    <w:rsid w:val="00CA5259"/>
    <w:rsid w:val="00CC0601"/>
    <w:rsid w:val="00CC421E"/>
    <w:rsid w:val="00CC75E4"/>
    <w:rsid w:val="00CD1162"/>
    <w:rsid w:val="00CD3A81"/>
    <w:rsid w:val="00CD3DC5"/>
    <w:rsid w:val="00CD4A1D"/>
    <w:rsid w:val="00CE2AC6"/>
    <w:rsid w:val="00D0118B"/>
    <w:rsid w:val="00D05248"/>
    <w:rsid w:val="00D1165D"/>
    <w:rsid w:val="00D5098E"/>
    <w:rsid w:val="00D528B1"/>
    <w:rsid w:val="00D602DD"/>
    <w:rsid w:val="00D621EE"/>
    <w:rsid w:val="00D66906"/>
    <w:rsid w:val="00D67AA9"/>
    <w:rsid w:val="00D72769"/>
    <w:rsid w:val="00D80CC6"/>
    <w:rsid w:val="00D80CE4"/>
    <w:rsid w:val="00D92873"/>
    <w:rsid w:val="00D941C5"/>
    <w:rsid w:val="00D94CAC"/>
    <w:rsid w:val="00D95784"/>
    <w:rsid w:val="00D9661F"/>
    <w:rsid w:val="00DA28AD"/>
    <w:rsid w:val="00DA5524"/>
    <w:rsid w:val="00DA6D75"/>
    <w:rsid w:val="00DB1410"/>
    <w:rsid w:val="00DB55BB"/>
    <w:rsid w:val="00DB767B"/>
    <w:rsid w:val="00DC59D9"/>
    <w:rsid w:val="00DE5075"/>
    <w:rsid w:val="00DE574B"/>
    <w:rsid w:val="00E033AA"/>
    <w:rsid w:val="00E05AA7"/>
    <w:rsid w:val="00E23206"/>
    <w:rsid w:val="00E24982"/>
    <w:rsid w:val="00E25456"/>
    <w:rsid w:val="00E25E3D"/>
    <w:rsid w:val="00E40024"/>
    <w:rsid w:val="00E420A5"/>
    <w:rsid w:val="00E473D3"/>
    <w:rsid w:val="00E47B10"/>
    <w:rsid w:val="00E51898"/>
    <w:rsid w:val="00E51EF1"/>
    <w:rsid w:val="00E52EFB"/>
    <w:rsid w:val="00E805A4"/>
    <w:rsid w:val="00E847B0"/>
    <w:rsid w:val="00E84DD0"/>
    <w:rsid w:val="00E84F9D"/>
    <w:rsid w:val="00E85B68"/>
    <w:rsid w:val="00E92CBD"/>
    <w:rsid w:val="00EA2312"/>
    <w:rsid w:val="00EA56FC"/>
    <w:rsid w:val="00EA6CED"/>
    <w:rsid w:val="00EB3C1C"/>
    <w:rsid w:val="00EB3FDD"/>
    <w:rsid w:val="00EB4B8F"/>
    <w:rsid w:val="00EC299D"/>
    <w:rsid w:val="00EC48A4"/>
    <w:rsid w:val="00ED36F8"/>
    <w:rsid w:val="00ED7C92"/>
    <w:rsid w:val="00EE176D"/>
    <w:rsid w:val="00EE7056"/>
    <w:rsid w:val="00EF0A4E"/>
    <w:rsid w:val="00EF125A"/>
    <w:rsid w:val="00EF2439"/>
    <w:rsid w:val="00F00C9F"/>
    <w:rsid w:val="00F03110"/>
    <w:rsid w:val="00F15845"/>
    <w:rsid w:val="00F16930"/>
    <w:rsid w:val="00F261C1"/>
    <w:rsid w:val="00F434C2"/>
    <w:rsid w:val="00F4464E"/>
    <w:rsid w:val="00F44AF0"/>
    <w:rsid w:val="00F60200"/>
    <w:rsid w:val="00F61C48"/>
    <w:rsid w:val="00F66FF1"/>
    <w:rsid w:val="00F72E18"/>
    <w:rsid w:val="00F744A9"/>
    <w:rsid w:val="00F74BC4"/>
    <w:rsid w:val="00F74ED8"/>
    <w:rsid w:val="00F74F87"/>
    <w:rsid w:val="00F8302C"/>
    <w:rsid w:val="00F84AB7"/>
    <w:rsid w:val="00FA176A"/>
    <w:rsid w:val="00FA350E"/>
    <w:rsid w:val="00FA4178"/>
    <w:rsid w:val="00FA6697"/>
    <w:rsid w:val="00FB1A18"/>
    <w:rsid w:val="00FB2557"/>
    <w:rsid w:val="00FB6ADF"/>
    <w:rsid w:val="00FC4A6E"/>
    <w:rsid w:val="00FD1446"/>
    <w:rsid w:val="00FD6D67"/>
    <w:rsid w:val="00FE176C"/>
    <w:rsid w:val="00FE2009"/>
    <w:rsid w:val="00FF37FE"/>
    <w:rsid w:val="00FF5137"/>
    <w:rsid w:val="00FF5303"/>
    <w:rsid w:val="48D25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semiHidden="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1">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23"/>
    <w:semiHidden/>
    <w:unhideWhenUsed/>
    <w:uiPriority w:val="99"/>
    <w:pPr>
      <w:jc w:val="left"/>
    </w:pPr>
  </w:style>
  <w:style w:type="paragraph" w:styleId="3">
    <w:name w:val="Balloon Text"/>
    <w:basedOn w:val="1"/>
    <w:link w:val="16"/>
    <w:semiHidden/>
    <w:unhideWhenUsed/>
    <w:uiPriority w:val="99"/>
    <w:rPr>
      <w:sz w:val="18"/>
      <w:szCs w:val="18"/>
    </w:rPr>
  </w:style>
  <w:style w:type="paragraph" w:styleId="4">
    <w:name w:val="footer"/>
    <w:basedOn w:val="1"/>
    <w:link w:val="18"/>
    <w:unhideWhenUsed/>
    <w:uiPriority w:val="99"/>
    <w:pPr>
      <w:tabs>
        <w:tab w:val="center" w:pos="4153"/>
        <w:tab w:val="right" w:pos="8306"/>
      </w:tabs>
      <w:snapToGrid w:val="0"/>
      <w:jc w:val="left"/>
    </w:pPr>
    <w:rPr>
      <w:sz w:val="18"/>
      <w:szCs w:val="18"/>
    </w:rPr>
  </w:style>
  <w:style w:type="paragraph" w:styleId="5">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footnote text"/>
    <w:basedOn w:val="1"/>
    <w:link w:val="21"/>
    <w:unhideWhenUsed/>
    <w:uiPriority w:val="99"/>
    <w:pPr>
      <w:snapToGrid w:val="0"/>
      <w:jc w:val="left"/>
    </w:pPr>
    <w:rPr>
      <w:sz w:val="18"/>
      <w:szCs w:val="18"/>
    </w:rPr>
  </w:style>
  <w:style w:type="paragraph" w:styleId="7">
    <w:name w:val="annotation subject"/>
    <w:basedOn w:val="2"/>
    <w:next w:val="2"/>
    <w:link w:val="24"/>
    <w:semiHidden/>
    <w:unhideWhenUsed/>
    <w:uiPriority w:val="99"/>
    <w:rPr>
      <w:b/>
      <w:bCs/>
    </w:rPr>
  </w:style>
  <w:style w:type="table" w:styleId="9">
    <w:name w:val="Table Grid"/>
    <w:basedOn w:val="8"/>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
    <w:name w:val="Light Shading"/>
    <w:basedOn w:val="8"/>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character" w:styleId="12">
    <w:name w:val="FollowedHyperlink"/>
    <w:basedOn w:val="11"/>
    <w:semiHidden/>
    <w:unhideWhenUsed/>
    <w:uiPriority w:val="99"/>
    <w:rPr>
      <w:color w:val="800080" w:themeColor="followedHyperlink"/>
      <w:u w:val="single"/>
      <w14:textFill>
        <w14:solidFill>
          <w14:schemeClr w14:val="folHlink"/>
        </w14:solidFill>
      </w14:textFill>
    </w:rPr>
  </w:style>
  <w:style w:type="character" w:styleId="13">
    <w:name w:val="Hyperlink"/>
    <w:basedOn w:val="11"/>
    <w:unhideWhenUsed/>
    <w:uiPriority w:val="99"/>
    <w:rPr>
      <w:color w:val="0000FF" w:themeColor="hyperlink"/>
      <w:u w:val="single"/>
      <w14:textFill>
        <w14:solidFill>
          <w14:schemeClr w14:val="hlink"/>
        </w14:solidFill>
      </w14:textFill>
    </w:rPr>
  </w:style>
  <w:style w:type="character" w:styleId="14">
    <w:name w:val="annotation reference"/>
    <w:basedOn w:val="11"/>
    <w:semiHidden/>
    <w:unhideWhenUsed/>
    <w:uiPriority w:val="99"/>
    <w:rPr>
      <w:sz w:val="21"/>
      <w:szCs w:val="21"/>
    </w:rPr>
  </w:style>
  <w:style w:type="character" w:styleId="15">
    <w:name w:val="footnote reference"/>
    <w:basedOn w:val="11"/>
    <w:unhideWhenUsed/>
    <w:uiPriority w:val="99"/>
    <w:rPr>
      <w:vertAlign w:val="superscript"/>
    </w:rPr>
  </w:style>
  <w:style w:type="character" w:customStyle="1" w:styleId="16">
    <w:name w:val="批注框文本 字符"/>
    <w:basedOn w:val="11"/>
    <w:link w:val="3"/>
    <w:semiHidden/>
    <w:uiPriority w:val="99"/>
    <w:rPr>
      <w:sz w:val="18"/>
      <w:szCs w:val="18"/>
    </w:rPr>
  </w:style>
  <w:style w:type="character" w:customStyle="1" w:styleId="17">
    <w:name w:val="页眉 字符"/>
    <w:basedOn w:val="11"/>
    <w:link w:val="5"/>
    <w:qFormat/>
    <w:uiPriority w:val="99"/>
    <w:rPr>
      <w:sz w:val="18"/>
      <w:szCs w:val="18"/>
    </w:rPr>
  </w:style>
  <w:style w:type="character" w:customStyle="1" w:styleId="18">
    <w:name w:val="页脚 字符"/>
    <w:basedOn w:val="11"/>
    <w:link w:val="4"/>
    <w:uiPriority w:val="99"/>
    <w:rPr>
      <w:sz w:val="18"/>
      <w:szCs w:val="18"/>
    </w:rPr>
  </w:style>
  <w:style w:type="paragraph" w:customStyle="1" w:styleId="19">
    <w:name w:val="Default"/>
    <w:uiPriority w:val="0"/>
    <w:pPr>
      <w:widowControl w:val="0"/>
      <w:autoSpaceDE w:val="0"/>
      <w:autoSpaceDN w:val="0"/>
      <w:adjustRightInd w:val="0"/>
    </w:pPr>
    <w:rPr>
      <w:rFonts w:ascii="宋体" w:eastAsia="宋体" w:cs="宋体" w:hAnsiTheme="minorHAnsi"/>
      <w:color w:val="000000"/>
      <w:kern w:val="0"/>
      <w:sz w:val="24"/>
      <w:szCs w:val="24"/>
      <w:lang w:val="en-US" w:eastAsia="zh-CN" w:bidi="ar-SA"/>
    </w:rPr>
  </w:style>
  <w:style w:type="character" w:styleId="20">
    <w:name w:val="Placeholder Text"/>
    <w:basedOn w:val="11"/>
    <w:semiHidden/>
    <w:uiPriority w:val="99"/>
    <w:rPr>
      <w:color w:val="808080"/>
    </w:rPr>
  </w:style>
  <w:style w:type="character" w:customStyle="1" w:styleId="21">
    <w:name w:val="脚注文本 字符"/>
    <w:basedOn w:val="11"/>
    <w:link w:val="6"/>
    <w:uiPriority w:val="99"/>
    <w:rPr>
      <w:sz w:val="18"/>
      <w:szCs w:val="18"/>
    </w:rPr>
  </w:style>
  <w:style w:type="character" w:customStyle="1" w:styleId="22">
    <w:name w:val="15"/>
    <w:basedOn w:val="11"/>
    <w:uiPriority w:val="0"/>
    <w:rPr>
      <w:rFonts w:hint="default" w:ascii="Calibri" w:hAnsi="Calibri"/>
      <w:vertAlign w:val="superscript"/>
    </w:rPr>
  </w:style>
  <w:style w:type="character" w:customStyle="1" w:styleId="23">
    <w:name w:val="批注文字 字符"/>
    <w:basedOn w:val="11"/>
    <w:link w:val="2"/>
    <w:semiHidden/>
    <w:uiPriority w:val="99"/>
  </w:style>
  <w:style w:type="character" w:customStyle="1" w:styleId="24">
    <w:name w:val="批注主题 字符"/>
    <w:basedOn w:val="23"/>
    <w:link w:val="7"/>
    <w:semiHidden/>
    <w:uiPriority w:val="99"/>
    <w:rPr>
      <w:b/>
      <w:bCs/>
    </w:rPr>
  </w:style>
  <w:style w:type="paragraph" w:styleId="2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8176ED-D6A9-4185-9C44-43BA5558406B}">
  <ds:schemaRefs/>
</ds:datastoreItem>
</file>

<file path=docProps/app.xml><?xml version="1.0" encoding="utf-8"?>
<Properties xmlns="http://schemas.openxmlformats.org/officeDocument/2006/extended-properties" xmlns:vt="http://schemas.openxmlformats.org/officeDocument/2006/docPropsVTypes">
  <Template>Normal</Template>
  <Company>MS</Company>
  <Pages>3</Pages>
  <Words>402</Words>
  <Characters>914</Characters>
  <Lines>12</Lines>
  <Paragraphs>3</Paragraphs>
  <TotalTime>12</TotalTime>
  <ScaleCrop>false</ScaleCrop>
  <LinksUpToDate>false</LinksUpToDate>
  <CharactersWithSpaces>1027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2020-05-19T01:48:00Z</dcterms:created>
  <dc:creator>USER-</dc:creator>
  <cp:lastModifiedBy>傅宇轩</cp:lastModifiedBy>
  <dcterms:modified xsi:type="dcterms:W3CDTF">2026-08-24T09:30:42Z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95E7BBC65A2148C199F1550A590EC1DF_13</vt:lpwstr>
  </property>
</Properties>
</file>