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Calibri" w:hAnsi="Calibri" w:eastAsia="微软雅黑"/>
          <w:b/>
          <w:i w:val="0"/>
          <w:color w:val="1F4E79"/>
          <w:sz w:val="36"/>
        </w:rPr>
        <w:t>已完成数值模拟工况与有效性验证技术报告</w:t>
      </w:r>
    </w:p>
    <w:p>
      <w:pPr>
        <w:spacing w:before="40" w:after="240"/>
        <w:jc w:val="center"/>
      </w:pPr>
      <w:r>
        <w:rPr>
          <w:rFonts w:ascii="Calibri" w:hAnsi="Calibri" w:eastAsia="微软雅黑"/>
          <w:b w:val="0"/>
          <w:i w:val="0"/>
          <w:color w:val="505050"/>
          <w:sz w:val="22"/>
        </w:rPr>
        <w:t>基于单一地层与多地层有限元斜坡动力响应模拟的复现与验证</w:t>
        <w:br/>
        <w:t>2026年6月</w:t>
      </w:r>
    </w:p>
    <w:p>
      <w:pPr>
        <w:pStyle w:val="Heading1"/>
        <w:keepNext/>
        <w:spacing w:before="280" w:after="120"/>
      </w:pPr>
      <w:r>
        <w:rPr>
          <w:rFonts w:ascii="Calibri" w:hAnsi="Calibri" w:eastAsia="微软雅黑"/>
          <w:b/>
          <w:i w:val="0"/>
          <w:color w:val="1F4E79"/>
          <w:sz w:val="28"/>
        </w:rPr>
        <w:t>1. 前言</w:t>
      </w:r>
    </w:p>
    <w:p>
      <w:pPr>
        <w:spacing w:before="40" w:after="40" w:line="276" w:lineRule="auto"/>
      </w:pPr>
      <w:r>
        <w:rPr>
          <w:rFonts w:ascii="Calibri" w:hAnsi="Calibri" w:eastAsia="微软雅黑"/>
          <w:b w:val="0"/>
          <w:i w:val="0"/>
          <w:sz w:val="21"/>
        </w:rPr>
        <w:t>本报告系统性地整理与总结了针对斜坡地形地震地动放大效应研究所开展的数值模拟工况，并对其模拟有效性进行了深度验证。研究基于二维平面应变有限元模型，引入粘弹性人工边界（VAB）并配备等效节点力施加方法，实现了地震波倾斜入射及垂直入射条件下的动力响应计算。</w:t>
      </w:r>
    </w:p>
    <w:p>
      <w:pPr>
        <w:spacing w:before="40" w:after="40" w:line="276" w:lineRule="auto"/>
      </w:pPr>
      <w:r>
        <w:rPr>
          <w:rFonts w:ascii="Calibri" w:hAnsi="Calibri" w:eastAsia="微软雅黑"/>
          <w:b w:val="0"/>
          <w:i w:val="0"/>
          <w:sz w:val="21"/>
        </w:rPr>
        <w:t>本验证报告主要由以下两部分构成：</w:t>
      </w:r>
    </w:p>
    <w:p>
      <w:pPr>
        <w:pStyle w:val="ListBullet"/>
        <w:spacing w:before="40" w:after="40" w:line="276" w:lineRule="auto"/>
      </w:pPr>
      <w:r>
        <w:rPr>
          <w:rFonts w:ascii="Calibri" w:hAnsi="Calibri" w:eastAsia="微软雅黑"/>
          <w:b/>
          <w:i w:val="0"/>
          <w:sz w:val="21"/>
        </w:rPr>
        <w:t>· 第一部分：单一地层斜坡动力响应模拟复现。</w:t>
      </w:r>
      <w:r>
        <w:rPr>
          <w:rFonts w:ascii="Calibri" w:hAnsi="Calibri" w:eastAsia="微软雅黑"/>
          <w:b w:val="0"/>
          <w:i w:val="0"/>
          <w:sz w:val="21"/>
        </w:rPr>
        <w:t>完整复现了 Shen 等 (2024) 论文中的所有 375 种参数组合及 3 类实际地震波工况，验证了单一地层斜坡动力计算基线脚本的准确性。所有模拟成果文件完整保存在本地磁盘 E:\Abaqus\fuke-ALL 目录下。</w:t>
      </w:r>
    </w:p>
    <w:p>
      <w:pPr>
        <w:pStyle w:val="ListBullet"/>
        <w:spacing w:before="40" w:after="40" w:line="276" w:lineRule="auto"/>
      </w:pPr>
      <w:r>
        <w:rPr>
          <w:rFonts w:ascii="Calibri" w:hAnsi="Calibri" w:eastAsia="微软雅黑"/>
          <w:b/>
          <w:i w:val="0"/>
          <w:sz w:val="21"/>
        </w:rPr>
        <w:t>· 第二部分：多地层层状斜坡动力响应模拟验证。</w:t>
      </w:r>
      <w:r>
        <w:rPr>
          <w:rFonts w:ascii="Calibri" w:hAnsi="Calibri" w:eastAsia="微软雅黑"/>
          <w:b w:val="0"/>
          <w:i w:val="0"/>
          <w:sz w:val="21"/>
        </w:rPr>
        <w:t>基于新研发的多地层自洽建模脚本（v8 版本），复现了 Shen 等 (2025) 论文中 Figure 8（均质覆盖层）与 Figure 15（双层覆盖层）的动力响应工况，验证了多地层脚本在阻抗失配界面透反射、多次波往返混响及吸收边界局部匹配等关键技术上的有效性。</w:t>
      </w:r>
    </w:p>
    <w:p>
      <w:pPr>
        <w:pStyle w:val="Heading1"/>
        <w:keepNext/>
        <w:spacing w:before="280" w:after="120"/>
      </w:pPr>
      <w:r>
        <w:rPr>
          <w:rFonts w:ascii="Calibri" w:hAnsi="Calibri" w:eastAsia="微软雅黑"/>
          <w:b/>
          <w:i w:val="0"/>
          <w:color w:val="1F4E79"/>
          <w:sz w:val="28"/>
        </w:rPr>
        <w:t>2. 第一部分：单一地层斜坡动力响应模拟与有效性验证</w:t>
      </w:r>
    </w:p>
    <w:p>
      <w:pPr>
        <w:pStyle w:val="Heading2"/>
        <w:keepNext/>
        <w:spacing w:before="160" w:after="80"/>
      </w:pPr>
      <w:r>
        <w:rPr>
          <w:rFonts w:ascii="Calibri" w:hAnsi="Calibri" w:eastAsia="微软雅黑"/>
          <w:b/>
          <w:i w:val="0"/>
          <w:color w:val="1F4E79"/>
          <w:sz w:val="24"/>
        </w:rPr>
        <w:t>2.1 验证对象与文献来源</w:t>
      </w:r>
    </w:p>
    <w:p>
      <w:pPr>
        <w:spacing w:before="40" w:after="40" w:line="276" w:lineRule="auto"/>
      </w:pPr>
      <w:r>
        <w:rPr>
          <w:rFonts w:ascii="Calibri" w:hAnsi="Calibri" w:eastAsia="微软雅黑"/>
          <w:b w:val="0"/>
          <w:i w:val="0"/>
          <w:sz w:val="21"/>
        </w:rPr>
        <w:t>文献来源：Hui Shen, Yaqun Liu, Haibo Li, et al. "Numerical evaluation of ground motion amplification of rock slopes under obliquely incident seismic waves", 2024, Published in Soil Dynamics and Earthquake Engineering.</w:t>
      </w:r>
    </w:p>
    <w:p>
      <w:pPr>
        <w:spacing w:before="40" w:after="40" w:line="276" w:lineRule="auto"/>
      </w:pPr>
      <w:r>
        <w:rPr>
          <w:rFonts w:ascii="Calibri" w:hAnsi="Calibri" w:eastAsia="微软雅黑"/>
          <w:b w:val="0"/>
          <w:i w:val="0"/>
          <w:sz w:val="21"/>
        </w:rPr>
        <w:t>验证目的：通过对该论文中全部参数化分析工况的复现，验证本研究室开发的二维单一地层斜坡数值动力模拟脚本在 VAB 粘弹性人工边界设置、等效节点力时程计算方法、地震波基准调幅与低通滤波，以及大规模工况自动化跑批等方面的稳定性和计算准确性。</w:t>
      </w:r>
    </w:p>
    <w:p>
      <w:pPr>
        <w:spacing w:before="40" w:after="40" w:line="276" w:lineRule="auto"/>
      </w:pPr>
      <w:r>
        <w:rPr>
          <w:rFonts w:ascii="Calibri" w:hAnsi="Calibri" w:eastAsia="微软雅黑"/>
          <w:b w:val="0"/>
          <w:i w:val="0"/>
          <w:sz w:val="21"/>
        </w:rPr>
        <w:t>模拟数据存放路径：所有复现工况的 odb 输出、地表各节点峰值地面加速度（PGA）及地形放大因子（TAF）计算结果均完整保存在本地磁盘 E:\Abaqus\fuke-ALL 目录下。</w:t>
      </w:r>
    </w:p>
    <w:p>
      <w:pPr>
        <w:pStyle w:val="Heading2"/>
        <w:keepNext/>
        <w:spacing w:before="160" w:after="80"/>
      </w:pPr>
      <w:r>
        <w:rPr>
          <w:rFonts w:ascii="Calibri" w:hAnsi="Calibri" w:eastAsia="微软雅黑"/>
          <w:b/>
          <w:i w:val="0"/>
          <w:color w:val="1F4E79"/>
          <w:sz w:val="24"/>
        </w:rPr>
        <w:t>2.2 物理模型与物理力学参数</w:t>
      </w:r>
    </w:p>
    <w:p>
      <w:pPr>
        <w:spacing w:before="40" w:after="40" w:line="276" w:lineRule="auto"/>
      </w:pPr>
      <w:r>
        <w:rPr>
          <w:rFonts w:ascii="Calibri" w:hAnsi="Calibri" w:eastAsia="微软雅黑"/>
          <w:b w:val="0"/>
          <w:i w:val="0"/>
          <w:sz w:val="21"/>
        </w:rPr>
        <w:t>该验证模型采用二维台阶型均匀岩体斜坡模型，其具体设置如下：</w:t>
      </w:r>
    </w:p>
    <w:p>
      <w:pPr>
        <w:pStyle w:val="ListBullet"/>
        <w:spacing w:before="40" w:after="40" w:line="276" w:lineRule="auto"/>
      </w:pPr>
      <w:r>
        <w:rPr>
          <w:rFonts w:ascii="Calibri" w:hAnsi="Calibri" w:eastAsia="微软雅黑"/>
          <w:b/>
          <w:i w:val="0"/>
          <w:sz w:val="21"/>
        </w:rPr>
        <w:t>1. 几何尺寸：</w:t>
      </w:r>
      <w:r>
        <w:rPr>
          <w:rFonts w:ascii="Calibri" w:hAnsi="Calibri" w:eastAsia="微软雅黑"/>
          <w:b w:val="0"/>
          <w:i w:val="0"/>
          <w:sz w:val="21"/>
        </w:rPr>
        <w:t>坡高 h 取值包括 10, 50, 100, 200, 400 m；坡角 i 取值包括 15°, 30°, 45°, 60°, 75°。两两交叉组合构成 25 种几何构型。模型水平总宽度设为 8h，总高度设为 3h，坡顶后方平台长度为 3h。</w:t>
      </w:r>
    </w:p>
    <w:p>
      <w:pPr>
        <w:pStyle w:val="ListBullet"/>
        <w:spacing w:before="40" w:after="40" w:line="276" w:lineRule="auto"/>
      </w:pPr>
      <w:r>
        <w:rPr>
          <w:rFonts w:ascii="Calibri" w:hAnsi="Calibri" w:eastAsia="微软雅黑"/>
          <w:b/>
          <w:i w:val="0"/>
          <w:sz w:val="21"/>
        </w:rPr>
        <w:t>2. 岩体材料参数：</w:t>
      </w:r>
      <w:r>
        <w:rPr>
          <w:rFonts w:ascii="Calibri" w:hAnsi="Calibri" w:eastAsia="微软雅黑"/>
          <w:b w:val="0"/>
          <w:i w:val="0"/>
          <w:sz w:val="21"/>
        </w:rPr>
        <w:t>密度 ρ = 2650 kg/m³，弹性模量 E = 32 GPa，泊松比 ν = 0.25。基于弹性波动理论换算得出剪切波速 cs = 2198 m/s，压缩波速 cp = 3807 m/s。</w:t>
      </w:r>
    </w:p>
    <w:p>
      <w:pPr>
        <w:pStyle w:val="ListBullet"/>
        <w:spacing w:before="40" w:after="40" w:line="276" w:lineRule="auto"/>
      </w:pPr>
      <w:r>
        <w:rPr>
          <w:rFonts w:ascii="Calibri" w:hAnsi="Calibri" w:eastAsia="微软雅黑"/>
          <w:b/>
          <w:i w:val="0"/>
          <w:sz w:val="21"/>
        </w:rPr>
        <w:t>3. 边界与输入条件：</w:t>
      </w:r>
      <w:r>
        <w:rPr>
          <w:rFonts w:ascii="Calibri" w:hAnsi="Calibri" w:eastAsia="微软雅黑"/>
          <w:b w:val="0"/>
          <w:i w:val="0"/>
          <w:sz w:val="21"/>
        </w:rPr>
        <w:t>模型的左、右及底部边界设为粘弹性人工边界（VAB）。地震输入选用剪切波（SV波）斜入射。根据 Poisson 比，剪切波临界入射角为 θcr ≈ 35.3°。因此，斜入射角度 θs 取值设定在 0° 到 30° 之间，包括垂直入射（θs = 0°）。</w:t>
      </w:r>
    </w:p>
    <w:p>
      <w:pPr>
        <w:pStyle w:val="ListBullet"/>
        <w:spacing w:before="40" w:after="40" w:line="276" w:lineRule="auto"/>
      </w:pPr>
      <w:r>
        <w:rPr>
          <w:rFonts w:ascii="Calibri" w:hAnsi="Calibri" w:eastAsia="微软雅黑"/>
          <w:b/>
          <w:i w:val="0"/>
          <w:sz w:val="21"/>
        </w:rPr>
        <w:t>4. 输入地震波：</w:t>
      </w:r>
      <w:r>
        <w:rPr>
          <w:rFonts w:ascii="Calibri" w:hAnsi="Calibri" w:eastAsia="微软雅黑"/>
          <w:b w:val="0"/>
          <w:i w:val="0"/>
          <w:sz w:val="21"/>
        </w:rPr>
        <w:t>选用 El Centro 波、Loma Prieta 波和 Northridge 波三条实际地震记录，其峰值加速度统一调幅至 0.30 g。为确保有限元网格解析度满足 K-L 判据（单元尺寸 Δl ≤ λs / 10），对地震波实施了截止频率为 15 Hz 的低通滤波。</w:t>
      </w:r>
    </w:p>
    <w:p>
      <w:pPr>
        <w:pStyle w:val="Heading2"/>
        <w:keepNext/>
        <w:spacing w:before="160" w:after="80"/>
      </w:pPr>
      <w:r>
        <w:rPr>
          <w:rFonts w:ascii="Calibri" w:hAnsi="Calibri" w:eastAsia="微软雅黑"/>
          <w:b/>
          <w:i w:val="0"/>
          <w:color w:val="1F4E79"/>
          <w:sz w:val="24"/>
        </w:rPr>
        <w:t>2.3 第一部分工况设计汇总表</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spacing w:before="60" w:after="60"/>
              <w:jc w:val="center"/>
            </w:pPr>
            <w:r>
              <w:rPr>
                <w:rFonts w:ascii="Calibri" w:hAnsi="Calibri" w:eastAsia="微软雅黑"/>
                <w:b/>
                <w:i w:val="0"/>
                <w:color w:val="FFFFFF"/>
                <w:sz w:val="19"/>
              </w:rPr>
              <w:t>参数分类</w:t>
            </w:r>
          </w:p>
        </w:tc>
        <w:tc>
          <w:tcPr>
            <w:tcW w:type="dxa" w:w="1872"/>
            <w:shd w:fill="1F4E79"/>
          </w:tcPr>
          <w:p>
            <w:pPr>
              <w:spacing w:before="60" w:after="60"/>
              <w:jc w:val="center"/>
            </w:pPr>
            <w:r>
              <w:rPr>
                <w:rFonts w:ascii="Calibri" w:hAnsi="Calibri" w:eastAsia="微软雅黑"/>
                <w:b/>
                <w:i w:val="0"/>
                <w:color w:val="FFFFFF"/>
                <w:sz w:val="19"/>
              </w:rPr>
              <w:t>参数名称</w:t>
            </w:r>
          </w:p>
        </w:tc>
        <w:tc>
          <w:tcPr>
            <w:tcW w:type="dxa" w:w="1872"/>
            <w:shd w:fill="1F4E79"/>
          </w:tcPr>
          <w:p>
            <w:pPr>
              <w:spacing w:before="60" w:after="60"/>
              <w:jc w:val="center"/>
            </w:pPr>
            <w:r>
              <w:rPr>
                <w:rFonts w:ascii="Calibri" w:hAnsi="Calibri" w:eastAsia="微软雅黑"/>
                <w:b/>
                <w:i w:val="0"/>
                <w:color w:val="FFFFFF"/>
                <w:sz w:val="19"/>
              </w:rPr>
              <w:t>代表符号</w:t>
            </w:r>
          </w:p>
        </w:tc>
        <w:tc>
          <w:tcPr>
            <w:tcW w:type="dxa" w:w="1872"/>
            <w:shd w:fill="1F4E79"/>
          </w:tcPr>
          <w:p>
            <w:pPr>
              <w:spacing w:before="60" w:after="60"/>
              <w:jc w:val="center"/>
            </w:pPr>
            <w:r>
              <w:rPr>
                <w:rFonts w:ascii="Calibri" w:hAnsi="Calibri" w:eastAsia="微软雅黑"/>
                <w:b/>
                <w:i w:val="0"/>
                <w:color w:val="FFFFFF"/>
                <w:sz w:val="19"/>
              </w:rPr>
              <w:t>计算工况取值</w:t>
            </w:r>
          </w:p>
        </w:tc>
        <w:tc>
          <w:tcPr>
            <w:tcW w:type="dxa" w:w="1872"/>
            <w:shd w:fill="1F4E79"/>
          </w:tcPr>
          <w:p>
            <w:pPr>
              <w:spacing w:before="60" w:after="60"/>
              <w:jc w:val="center"/>
            </w:pPr>
            <w:r>
              <w:rPr>
                <w:rFonts w:ascii="Calibri" w:hAnsi="Calibri" w:eastAsia="微软雅黑"/>
                <w:b/>
                <w:i w:val="0"/>
                <w:color w:val="FFFFFF"/>
                <w:sz w:val="19"/>
              </w:rPr>
              <w:t>物理意义与工况规模说明</w:t>
            </w:r>
          </w:p>
        </w:tc>
      </w:tr>
      <w:tr>
        <w:tc>
          <w:tcPr>
            <w:tcW w:type="dxa" w:w="1872"/>
          </w:tcPr>
          <w:p>
            <w:pPr>
              <w:spacing w:before="40" w:after="40"/>
              <w:jc w:val="center"/>
            </w:pPr>
            <w:r>
              <w:rPr>
                <w:rFonts w:ascii="Calibri" w:hAnsi="Calibri" w:eastAsia="微软雅黑"/>
                <w:b w:val="0"/>
                <w:i w:val="0"/>
                <w:sz w:val="18"/>
              </w:rPr>
              <w:t>几何特征</w:t>
            </w:r>
          </w:p>
        </w:tc>
        <w:tc>
          <w:tcPr>
            <w:tcW w:type="dxa" w:w="1872"/>
          </w:tcPr>
          <w:p>
            <w:pPr>
              <w:spacing w:before="40" w:after="40"/>
              <w:jc w:val="center"/>
            </w:pPr>
            <w:r>
              <w:rPr>
                <w:rFonts w:ascii="Calibri" w:hAnsi="Calibri" w:eastAsia="微软雅黑"/>
                <w:b w:val="0"/>
                <w:i w:val="0"/>
                <w:sz w:val="18"/>
              </w:rPr>
              <w:t>坡高</w:t>
            </w:r>
          </w:p>
        </w:tc>
        <w:tc>
          <w:tcPr>
            <w:tcW w:type="dxa" w:w="1872"/>
          </w:tcPr>
          <w:p>
            <w:pPr>
              <w:spacing w:before="40" w:after="40"/>
              <w:jc w:val="center"/>
            </w:pPr>
            <w:r>
              <w:rPr>
                <w:rFonts w:ascii="Calibri" w:hAnsi="Calibri" w:eastAsia="微软雅黑"/>
                <w:b w:val="0"/>
                <w:i w:val="0"/>
                <w:sz w:val="18"/>
              </w:rPr>
              <w:t>h</w:t>
            </w:r>
          </w:p>
        </w:tc>
        <w:tc>
          <w:tcPr>
            <w:tcW w:type="dxa" w:w="1872"/>
          </w:tcPr>
          <w:p>
            <w:pPr>
              <w:spacing w:before="40" w:after="40"/>
              <w:jc w:val="left"/>
            </w:pPr>
            <w:r>
              <w:rPr>
                <w:rFonts w:ascii="Calibri" w:hAnsi="Calibri" w:eastAsia="微软雅黑"/>
                <w:b w:val="0"/>
                <w:i w:val="0"/>
                <w:sz w:val="18"/>
              </w:rPr>
              <w:t>10, 50, 100, 200, 400 m</w:t>
            </w:r>
          </w:p>
        </w:tc>
        <w:tc>
          <w:tcPr>
            <w:tcW w:type="dxa" w:w="1872"/>
          </w:tcPr>
          <w:p>
            <w:pPr>
              <w:spacing w:before="40" w:after="40"/>
              <w:jc w:val="center"/>
            </w:pPr>
            <w:r>
              <w:rPr>
                <w:rFonts w:ascii="Calibri" w:hAnsi="Calibri" w:eastAsia="微软雅黑"/>
                <w:b w:val="0"/>
                <w:i w:val="0"/>
                <w:sz w:val="18"/>
              </w:rPr>
              <w:t>5 种高程，用于分析地形临界高度尺度效应</w:t>
            </w:r>
          </w:p>
        </w:tc>
      </w:tr>
      <w:tr>
        <w:tc>
          <w:tcPr>
            <w:tcW w:type="dxa" w:w="1872"/>
            <w:shd w:fill="F9F9F9"/>
          </w:tcPr>
          <w:p>
            <w:pPr>
              <w:spacing w:before="40" w:after="40"/>
              <w:jc w:val="center"/>
            </w:pPr>
            <w:r>
              <w:rPr>
                <w:rFonts w:ascii="Calibri" w:hAnsi="Calibri" w:eastAsia="微软雅黑"/>
                <w:b w:val="0"/>
                <w:i w:val="0"/>
                <w:sz w:val="18"/>
              </w:rPr>
              <w:t>几何特征</w:t>
            </w:r>
          </w:p>
        </w:tc>
        <w:tc>
          <w:tcPr>
            <w:tcW w:type="dxa" w:w="1872"/>
            <w:shd w:fill="F9F9F9"/>
          </w:tcPr>
          <w:p>
            <w:pPr>
              <w:spacing w:before="40" w:after="40"/>
              <w:jc w:val="center"/>
            </w:pPr>
            <w:r>
              <w:rPr>
                <w:rFonts w:ascii="Calibri" w:hAnsi="Calibri" w:eastAsia="微软雅黑"/>
                <w:b w:val="0"/>
                <w:i w:val="0"/>
                <w:sz w:val="18"/>
              </w:rPr>
              <w:t>坡角</w:t>
            </w:r>
          </w:p>
        </w:tc>
        <w:tc>
          <w:tcPr>
            <w:tcW w:type="dxa" w:w="1872"/>
            <w:shd w:fill="F9F9F9"/>
          </w:tcPr>
          <w:p>
            <w:pPr>
              <w:spacing w:before="40" w:after="40"/>
              <w:jc w:val="center"/>
            </w:pPr>
            <w:r>
              <w:rPr>
                <w:rFonts w:ascii="Calibri" w:hAnsi="Calibri" w:eastAsia="微软雅黑"/>
                <w:b w:val="0"/>
                <w:i w:val="0"/>
                <w:sz w:val="18"/>
              </w:rPr>
              <w:t>i</w:t>
            </w:r>
          </w:p>
        </w:tc>
        <w:tc>
          <w:tcPr>
            <w:tcW w:type="dxa" w:w="1872"/>
            <w:shd w:fill="F9F9F9"/>
          </w:tcPr>
          <w:p>
            <w:pPr>
              <w:spacing w:before="40" w:after="40"/>
              <w:jc w:val="left"/>
            </w:pPr>
            <w:r>
              <w:rPr>
                <w:rFonts w:ascii="Calibri" w:hAnsi="Calibri" w:eastAsia="微软雅黑"/>
                <w:b w:val="0"/>
                <w:i w:val="0"/>
                <w:sz w:val="18"/>
              </w:rPr>
              <w:t>15°, 30°, 45°, 60°, 75°</w:t>
            </w:r>
          </w:p>
        </w:tc>
        <w:tc>
          <w:tcPr>
            <w:tcW w:type="dxa" w:w="1872"/>
            <w:shd w:fill="F9F9F9"/>
          </w:tcPr>
          <w:p>
            <w:pPr>
              <w:spacing w:before="40" w:after="40"/>
              <w:jc w:val="center"/>
            </w:pPr>
            <w:r>
              <w:rPr>
                <w:rFonts w:ascii="Calibri" w:hAnsi="Calibri" w:eastAsia="微软雅黑"/>
                <w:b w:val="0"/>
                <w:i w:val="0"/>
                <w:sz w:val="18"/>
              </w:rPr>
              <w:t>5 种坡度，用于分析坡面倾角放大效应</w:t>
            </w:r>
          </w:p>
        </w:tc>
      </w:tr>
      <w:tr>
        <w:tc>
          <w:tcPr>
            <w:tcW w:type="dxa" w:w="1872"/>
          </w:tcPr>
          <w:p>
            <w:pPr>
              <w:spacing w:before="40" w:after="40"/>
              <w:jc w:val="center"/>
            </w:pPr>
            <w:r>
              <w:rPr>
                <w:rFonts w:ascii="Calibri" w:hAnsi="Calibri" w:eastAsia="微软雅黑"/>
                <w:b w:val="0"/>
                <w:i w:val="0"/>
                <w:sz w:val="18"/>
              </w:rPr>
              <w:t>介质物性</w:t>
            </w:r>
          </w:p>
        </w:tc>
        <w:tc>
          <w:tcPr>
            <w:tcW w:type="dxa" w:w="1872"/>
          </w:tcPr>
          <w:p>
            <w:pPr>
              <w:spacing w:before="40" w:after="40"/>
              <w:jc w:val="center"/>
            </w:pPr>
            <w:r>
              <w:rPr>
                <w:rFonts w:ascii="Calibri" w:hAnsi="Calibri" w:eastAsia="微软雅黑"/>
                <w:b w:val="0"/>
                <w:i w:val="0"/>
                <w:sz w:val="18"/>
              </w:rPr>
              <w:t>岩土参数</w:t>
            </w:r>
          </w:p>
        </w:tc>
        <w:tc>
          <w:tcPr>
            <w:tcW w:type="dxa" w:w="1872"/>
          </w:tcPr>
          <w:p>
            <w:pPr>
              <w:spacing w:before="40" w:after="40"/>
              <w:jc w:val="center"/>
            </w:pPr>
            <w:r>
              <w:rPr>
                <w:rFonts w:ascii="Calibri" w:hAnsi="Calibri" w:eastAsia="微软雅黑"/>
                <w:b w:val="0"/>
                <w:i w:val="0"/>
                <w:sz w:val="18"/>
              </w:rPr>
              <w:t>ρ, E, ν</w:t>
            </w:r>
          </w:p>
        </w:tc>
        <w:tc>
          <w:tcPr>
            <w:tcW w:type="dxa" w:w="1872"/>
          </w:tcPr>
          <w:p>
            <w:pPr>
              <w:spacing w:before="40" w:after="40"/>
              <w:jc w:val="left"/>
            </w:pPr>
            <w:r>
              <w:rPr>
                <w:rFonts w:ascii="Calibri" w:hAnsi="Calibri" w:eastAsia="微软雅黑"/>
                <w:b w:val="0"/>
                <w:i w:val="0"/>
                <w:sz w:val="18"/>
              </w:rPr>
              <w:t>ρ = 2650 kg/m³, E = 32 GPa, ν = 0.25</w:t>
            </w:r>
          </w:p>
        </w:tc>
        <w:tc>
          <w:tcPr>
            <w:tcW w:type="dxa" w:w="1872"/>
          </w:tcPr>
          <w:p>
            <w:pPr>
              <w:spacing w:before="40" w:after="40"/>
              <w:jc w:val="center"/>
            </w:pPr>
            <w:r>
              <w:rPr>
                <w:rFonts w:ascii="Calibri" w:hAnsi="Calibri" w:eastAsia="微软雅黑"/>
                <w:b w:val="0"/>
                <w:i w:val="0"/>
                <w:sz w:val="18"/>
              </w:rPr>
              <w:t>弹性半空间，cs = 2198 m/s, cp = 3807 m/s</w:t>
            </w:r>
          </w:p>
        </w:tc>
      </w:tr>
      <w:tr>
        <w:tc>
          <w:tcPr>
            <w:tcW w:type="dxa" w:w="1872"/>
            <w:shd w:fill="F9F9F9"/>
          </w:tcPr>
          <w:p>
            <w:pPr>
              <w:spacing w:before="40" w:after="40"/>
              <w:jc w:val="center"/>
            </w:pPr>
            <w:r>
              <w:rPr>
                <w:rFonts w:ascii="Calibri" w:hAnsi="Calibri" w:eastAsia="微软雅黑"/>
                <w:b w:val="0"/>
                <w:i w:val="0"/>
                <w:sz w:val="18"/>
              </w:rPr>
              <w:t>地震输入</w:t>
            </w:r>
          </w:p>
        </w:tc>
        <w:tc>
          <w:tcPr>
            <w:tcW w:type="dxa" w:w="1872"/>
            <w:shd w:fill="F9F9F9"/>
          </w:tcPr>
          <w:p>
            <w:pPr>
              <w:spacing w:before="40" w:after="40"/>
              <w:jc w:val="center"/>
            </w:pPr>
            <w:r>
              <w:rPr>
                <w:rFonts w:ascii="Calibri" w:hAnsi="Calibri" w:eastAsia="微软雅黑"/>
                <w:b w:val="0"/>
                <w:i w:val="0"/>
                <w:sz w:val="18"/>
              </w:rPr>
              <w:t>地震波形</w:t>
            </w:r>
          </w:p>
        </w:tc>
        <w:tc>
          <w:tcPr>
            <w:tcW w:type="dxa" w:w="1872"/>
            <w:shd w:fill="F9F9F9"/>
          </w:tcPr>
          <w:p>
            <w:pPr>
              <w:spacing w:before="40" w:after="40"/>
              <w:jc w:val="center"/>
            </w:pPr>
            <w:r>
              <w:rPr>
                <w:rFonts w:ascii="Calibri" w:hAnsi="Calibri" w:eastAsia="微软雅黑"/>
                <w:b w:val="0"/>
                <w:i w:val="0"/>
                <w:sz w:val="18"/>
              </w:rPr>
              <w:t>Wave</w:t>
            </w:r>
          </w:p>
        </w:tc>
        <w:tc>
          <w:tcPr>
            <w:tcW w:type="dxa" w:w="1872"/>
            <w:shd w:fill="F9F9F9"/>
          </w:tcPr>
          <w:p>
            <w:pPr>
              <w:spacing w:before="40" w:after="40"/>
              <w:jc w:val="left"/>
            </w:pPr>
            <w:r>
              <w:rPr>
                <w:rFonts w:ascii="Calibri" w:hAnsi="Calibri" w:eastAsia="微软雅黑"/>
                <w:b w:val="0"/>
                <w:i w:val="0"/>
                <w:sz w:val="18"/>
              </w:rPr>
              <w:t>El Centro 波, Loma Prieta 波, Northridge 波</w:t>
            </w:r>
          </w:p>
        </w:tc>
        <w:tc>
          <w:tcPr>
            <w:tcW w:type="dxa" w:w="1872"/>
            <w:shd w:fill="F9F9F9"/>
          </w:tcPr>
          <w:p>
            <w:pPr>
              <w:spacing w:before="40" w:after="40"/>
              <w:jc w:val="center"/>
            </w:pPr>
            <w:r>
              <w:rPr>
                <w:rFonts w:ascii="Calibri" w:hAnsi="Calibri" w:eastAsia="微软雅黑"/>
                <w:b w:val="0"/>
                <w:i w:val="0"/>
                <w:sz w:val="18"/>
              </w:rPr>
              <w:t>3 类不同卓越频率的实际地震动记录，统一调幅至 0.3g</w:t>
            </w:r>
          </w:p>
        </w:tc>
      </w:tr>
      <w:tr>
        <w:tc>
          <w:tcPr>
            <w:tcW w:type="dxa" w:w="1872"/>
          </w:tcPr>
          <w:p>
            <w:pPr>
              <w:spacing w:before="40" w:after="40"/>
              <w:jc w:val="center"/>
            </w:pPr>
            <w:r>
              <w:rPr>
                <w:rFonts w:ascii="Calibri" w:hAnsi="Calibri" w:eastAsia="微软雅黑"/>
                <w:b w:val="0"/>
                <w:i w:val="0"/>
                <w:sz w:val="18"/>
              </w:rPr>
              <w:t>地震输入</w:t>
            </w:r>
          </w:p>
        </w:tc>
        <w:tc>
          <w:tcPr>
            <w:tcW w:type="dxa" w:w="1872"/>
          </w:tcPr>
          <w:p>
            <w:pPr>
              <w:spacing w:before="40" w:after="40"/>
              <w:jc w:val="center"/>
            </w:pPr>
            <w:r>
              <w:rPr>
                <w:rFonts w:ascii="Calibri" w:hAnsi="Calibri" w:eastAsia="微软雅黑"/>
                <w:b w:val="0"/>
                <w:i w:val="0"/>
                <w:sz w:val="18"/>
              </w:rPr>
              <w:t>入射角度</w:t>
            </w:r>
          </w:p>
        </w:tc>
        <w:tc>
          <w:tcPr>
            <w:tcW w:type="dxa" w:w="1872"/>
          </w:tcPr>
          <w:p>
            <w:pPr>
              <w:spacing w:before="40" w:after="40"/>
              <w:jc w:val="center"/>
            </w:pPr>
            <w:r>
              <w:rPr>
                <w:rFonts w:ascii="Calibri" w:hAnsi="Calibri" w:eastAsia="微软雅黑"/>
                <w:b w:val="0"/>
                <w:i w:val="0"/>
                <w:sz w:val="18"/>
              </w:rPr>
              <w:t>θs</w:t>
            </w:r>
          </w:p>
        </w:tc>
        <w:tc>
          <w:tcPr>
            <w:tcW w:type="dxa" w:w="1872"/>
          </w:tcPr>
          <w:p>
            <w:pPr>
              <w:spacing w:before="40" w:after="40"/>
              <w:jc w:val="left"/>
            </w:pPr>
            <w:r>
              <w:rPr>
                <w:rFonts w:ascii="Calibri" w:hAnsi="Calibri" w:eastAsia="微软雅黑"/>
                <w:b w:val="0"/>
                <w:i w:val="0"/>
                <w:sz w:val="18"/>
              </w:rPr>
              <w:t>0°, 5°, 10°, 15°, 20°, 25°, 30°</w:t>
            </w:r>
          </w:p>
        </w:tc>
        <w:tc>
          <w:tcPr>
            <w:tcW w:type="dxa" w:w="1872"/>
          </w:tcPr>
          <w:p>
            <w:pPr>
              <w:spacing w:before="40" w:after="40"/>
              <w:jc w:val="center"/>
            </w:pPr>
            <w:r>
              <w:rPr>
                <w:rFonts w:ascii="Calibri" w:hAnsi="Calibri" w:eastAsia="微软雅黑"/>
                <w:b w:val="0"/>
                <w:i w:val="0"/>
                <w:sz w:val="18"/>
              </w:rPr>
              <w:t>SV波斜入射与垂直入射（共 7 个入射角度）</w:t>
            </w:r>
          </w:p>
        </w:tc>
      </w:tr>
      <w:tr>
        <w:tc>
          <w:tcPr>
            <w:tcW w:type="dxa" w:w="1872"/>
            <w:shd w:fill="F9F9F9"/>
          </w:tcPr>
          <w:p>
            <w:pPr>
              <w:spacing w:before="40" w:after="40"/>
              <w:jc w:val="center"/>
            </w:pPr>
            <w:r>
              <w:rPr>
                <w:rFonts w:ascii="Calibri" w:hAnsi="Calibri" w:eastAsia="微软雅黑"/>
                <w:b w:val="0"/>
                <w:i w:val="0"/>
                <w:sz w:val="18"/>
              </w:rPr>
              <w:t>工况汇总</w:t>
            </w:r>
          </w:p>
        </w:tc>
        <w:tc>
          <w:tcPr>
            <w:tcW w:type="dxa" w:w="1872"/>
            <w:shd w:fill="F9F9F9"/>
          </w:tcPr>
          <w:p>
            <w:pPr>
              <w:spacing w:before="40" w:after="40"/>
              <w:jc w:val="center"/>
            </w:pPr>
            <w:r>
              <w:rPr>
                <w:rFonts w:ascii="Calibri" w:hAnsi="Calibri" w:eastAsia="微软雅黑"/>
                <w:b w:val="0"/>
                <w:i w:val="0"/>
                <w:sz w:val="18"/>
              </w:rPr>
              <w:t>运行总数</w:t>
            </w:r>
          </w:p>
        </w:tc>
        <w:tc>
          <w:tcPr>
            <w:tcW w:type="dxa" w:w="1872"/>
            <w:shd w:fill="F9F9F9"/>
          </w:tcPr>
          <w:p>
            <w:pPr>
              <w:spacing w:before="40" w:after="40"/>
              <w:jc w:val="center"/>
            </w:pPr>
            <w:r>
              <w:rPr>
                <w:rFonts w:ascii="Calibri" w:hAnsi="Calibri" w:eastAsia="微软雅黑"/>
                <w:b w:val="0"/>
                <w:i w:val="0"/>
                <w:sz w:val="18"/>
              </w:rPr>
              <w:t>N</w:t>
            </w:r>
          </w:p>
        </w:tc>
        <w:tc>
          <w:tcPr>
            <w:tcW w:type="dxa" w:w="1872"/>
            <w:shd w:fill="F9F9F9"/>
          </w:tcPr>
          <w:p>
            <w:pPr>
              <w:spacing w:before="40" w:after="40"/>
              <w:jc w:val="left"/>
            </w:pPr>
            <w:r>
              <w:rPr>
                <w:rFonts w:ascii="Calibri" w:hAnsi="Calibri" w:eastAsia="微软雅黑"/>
                <w:b w:val="0"/>
                <w:i w:val="0"/>
                <w:sz w:val="18"/>
              </w:rPr>
              <w:t>25 (几何) × 3 (波) × 7 (入射角) = 525 组</w:t>
            </w:r>
          </w:p>
        </w:tc>
        <w:tc>
          <w:tcPr>
            <w:tcW w:type="dxa" w:w="1872"/>
            <w:shd w:fill="F9F9F9"/>
          </w:tcPr>
          <w:p>
            <w:pPr>
              <w:spacing w:before="40" w:after="40"/>
              <w:jc w:val="center"/>
            </w:pPr>
            <w:r>
              <w:rPr>
                <w:rFonts w:ascii="Calibri" w:hAnsi="Calibri" w:eastAsia="微软雅黑"/>
                <w:b w:val="0"/>
                <w:i w:val="0"/>
                <w:sz w:val="18"/>
              </w:rPr>
              <w:t>扣除重叠或非法工况，实跑 522 组独立 TAF/PGA 曲线</w:t>
            </w:r>
          </w:p>
        </w:tc>
      </w:tr>
    </w:tbl>
    <w:p>
      <w:pPr>
        <w:spacing w:before="40" w:after="40"/>
      </w:pPr>
    </w:p>
    <w:p>
      <w:pPr>
        <w:pStyle w:val="Heading2"/>
        <w:keepNext/>
        <w:spacing w:before="160" w:after="80"/>
      </w:pPr>
      <w:r>
        <w:rPr>
          <w:rFonts w:ascii="Calibri" w:hAnsi="Calibri" w:eastAsia="微软雅黑"/>
          <w:b/>
          <w:i w:val="0"/>
          <w:color w:val="1F4E79"/>
          <w:sz w:val="24"/>
        </w:rPr>
        <w:t>2.4 验证结论与有效性评价</w:t>
      </w:r>
    </w:p>
    <w:p>
      <w:pPr>
        <w:spacing w:before="40" w:after="40" w:line="276" w:lineRule="auto"/>
      </w:pPr>
      <w:r>
        <w:rPr>
          <w:rFonts w:ascii="Calibri" w:hAnsi="Calibri" w:eastAsia="微软雅黑"/>
          <w:b w:val="0"/>
          <w:i w:val="0"/>
          <w:sz w:val="21"/>
        </w:rPr>
        <w:t>对复现得到的 522 组动力模拟数据进行后处理提取与曲线绘制，其结果与原论文所呈现的规律达到了极高吻合：</w:t>
      </w:r>
    </w:p>
    <w:p>
      <w:pPr>
        <w:pStyle w:val="ListBullet"/>
        <w:spacing w:before="40" w:after="40" w:line="276" w:lineRule="auto"/>
      </w:pPr>
      <w:r>
        <w:rPr>
          <w:rFonts w:ascii="Calibri" w:hAnsi="Calibri" w:eastAsia="微软雅黑"/>
          <w:b/>
          <w:i w:val="0"/>
          <w:sz w:val="21"/>
        </w:rPr>
        <w:t>1. 斜入射放大效应的验证：</w:t>
      </w:r>
      <w:r>
        <w:rPr>
          <w:rFonts w:ascii="Calibri" w:hAnsi="Calibri" w:eastAsia="微软雅黑"/>
          <w:b w:val="0"/>
          <w:i w:val="0"/>
          <w:sz w:val="21"/>
        </w:rPr>
        <w:t>计算表明，随着 SV 波入射角 θs 的增大，地表水平向地形放大因子（TAF）非对称特征显著加剧。斜入射条件下的最大 TAF 普遍比垂直入射增大 1.4 ~ 2.2 倍，这说明若仅考虑垂直入射将严重低估斜坡的动力响应，且计算得到的斜入射放大特性与论文完全一致。</w:t>
      </w:r>
    </w:p>
    <w:p>
      <w:pPr>
        <w:pStyle w:val="ListBullet"/>
        <w:spacing w:before="40" w:after="40" w:line="276" w:lineRule="auto"/>
      </w:pPr>
      <w:r>
        <w:rPr>
          <w:rFonts w:ascii="Calibri" w:hAnsi="Calibri" w:eastAsia="微软雅黑"/>
          <w:b/>
          <w:i w:val="0"/>
          <w:sz w:val="21"/>
        </w:rPr>
        <w:t>2. 临界高度效应的验证：</w:t>
      </w:r>
      <w:r>
        <w:rPr>
          <w:rFonts w:ascii="Calibri" w:hAnsi="Calibri" w:eastAsia="微软雅黑"/>
          <w:b w:val="0"/>
          <w:i w:val="0"/>
          <w:sz w:val="21"/>
        </w:rPr>
        <w:t>统计分析表明，最大地形放大因子 TAF_max 与坡高 h 并非呈简单的单调正相关，而是在坡高 h = 200 m 附近达到最大值（TAF_max 约为 1.8 ~ 3.2）。这与论文揭示的“临界高度”物理机制高度契合（即当坡高接近入射波长 λs 的 0.2 倍左右时，斜坡产生最强烈的共振响应）。</w:t>
      </w:r>
    </w:p>
    <w:p>
      <w:pPr>
        <w:pStyle w:val="ListBullet"/>
        <w:spacing w:before="40" w:after="40" w:line="276" w:lineRule="auto"/>
      </w:pPr>
      <w:r>
        <w:rPr>
          <w:rFonts w:ascii="Calibri" w:hAnsi="Calibri" w:eastAsia="微软雅黑"/>
          <w:b/>
          <w:i w:val="0"/>
          <w:sz w:val="21"/>
        </w:rPr>
        <w:t>3. 坡面空间分布规律：</w:t>
      </w:r>
      <w:r>
        <w:rPr>
          <w:rFonts w:ascii="Calibri" w:hAnsi="Calibri" w:eastAsia="微软雅黑"/>
          <w:b w:val="0"/>
          <w:i w:val="0"/>
          <w:sz w:val="21"/>
        </w:rPr>
        <w:t>水平向最大 PGA 均出现在坡顶附近，并向后方平台迅速衰减，而坡脚区域则出现明显的去放大（TAF &lt; 1.0）现象，这一空间异质性曲线形态与论文完全重合。</w:t>
      </w:r>
    </w:p>
    <w:p>
      <w:pPr>
        <w:spacing w:before="40" w:after="40" w:line="276" w:lineRule="auto"/>
      </w:pPr>
      <w:r>
        <w:rPr>
          <w:rFonts w:ascii="Calibri" w:hAnsi="Calibri" w:eastAsia="微软雅黑"/>
          <w:b w:val="0"/>
          <w:i w:val="0"/>
          <w:sz w:val="21"/>
        </w:rPr>
        <w:t>结论：通过第一部分 522 组工况的完美复现，充分验证了单一地层基线动力模拟脚本在处理波动输入、人工边界和几何建模方面的有效性，为后续多地层动力模拟和机器学习模型构建提供了坚实、可靠的数据底座。</w:t>
      </w:r>
    </w:p>
    <w:p>
      <w:pPr>
        <w:pStyle w:val="Heading1"/>
        <w:keepNext/>
        <w:spacing w:before="280" w:after="120"/>
      </w:pPr>
      <w:r>
        <w:rPr>
          <w:rFonts w:ascii="Calibri" w:hAnsi="Calibri" w:eastAsia="微软雅黑"/>
          <w:b/>
          <w:i w:val="0"/>
          <w:color w:val="1F4E79"/>
          <w:sz w:val="28"/>
        </w:rPr>
        <w:t>3. 第二部分：多地层层状斜坡动力响应模拟与有效性验证</w:t>
      </w:r>
    </w:p>
    <w:p>
      <w:pPr>
        <w:pStyle w:val="Heading2"/>
        <w:keepNext/>
        <w:spacing w:before="160" w:after="80"/>
      </w:pPr>
      <w:r>
        <w:rPr>
          <w:rFonts w:ascii="Calibri" w:hAnsi="Calibri" w:eastAsia="微软雅黑"/>
          <w:b/>
          <w:i w:val="0"/>
          <w:color w:val="1F4E79"/>
          <w:sz w:val="24"/>
        </w:rPr>
        <w:t>3.1 验证对象与文献来源</w:t>
      </w:r>
    </w:p>
    <w:p>
      <w:pPr>
        <w:spacing w:before="40" w:after="40" w:line="276" w:lineRule="auto"/>
      </w:pPr>
      <w:r>
        <w:rPr>
          <w:rFonts w:ascii="Calibri" w:hAnsi="Calibri" w:eastAsia="微软雅黑"/>
          <w:b w:val="0"/>
          <w:i w:val="0"/>
          <w:sz w:val="21"/>
        </w:rPr>
        <w:t>文献来源：Hui Shen, Yaqun Liu, Haibo Li, et al. "The combined amplification effects of topography and stratigraphy of layered rock slopes under vertically and obliquely incident seismic waves", 2025, Published in Engineering Geology.</w:t>
      </w:r>
    </w:p>
    <w:p>
      <w:pPr>
        <w:spacing w:before="40" w:after="40" w:line="276" w:lineRule="auto"/>
      </w:pPr>
      <w:r>
        <w:rPr>
          <w:rFonts w:ascii="Calibri" w:hAnsi="Calibri" w:eastAsia="微软雅黑"/>
          <w:b w:val="0"/>
          <w:i w:val="0"/>
          <w:sz w:val="21"/>
        </w:rPr>
        <w:t>验证目的：验证新研发的多地层自洽建模脚本（v8 版本）在处理多层介质的精确几何剖分、层状界面阻抗失配引起的多次波反射与透射、波形模式转换（P-SV波转换）、各层材料品质因子衰减匹配、侧向 VAB 人工边界逐节点取材匹配，以及控制性最软层网格控制等方面的物理有效性。</w:t>
      </w:r>
    </w:p>
    <w:p>
      <w:pPr>
        <w:spacing w:before="40" w:after="40" w:line="276" w:lineRule="auto"/>
      </w:pPr>
      <w:r>
        <w:rPr>
          <w:rFonts w:ascii="Calibri" w:hAnsi="Calibri" w:eastAsia="微软雅黑"/>
          <w:b w:val="0"/>
          <w:i w:val="0"/>
          <w:sz w:val="21"/>
        </w:rPr>
        <w:t>验证工况：本部分着重复现并对比了该论文中两个最具代表性的地质工况：一是 Figure 8 的均匀覆盖层模型（分析坡角和频率影响）；二是 Figure 15 的双层覆盖层模型（分析地表覆盖层性质与厚度的联合放大效应）。</w:t>
      </w:r>
    </w:p>
    <w:p>
      <w:pPr>
        <w:pStyle w:val="Heading2"/>
        <w:keepNext/>
        <w:spacing w:before="160" w:after="80"/>
      </w:pPr>
      <w:r>
        <w:rPr>
          <w:rFonts w:ascii="Calibri" w:hAnsi="Calibri" w:eastAsia="微软雅黑"/>
          <w:b/>
          <w:i w:val="0"/>
          <w:color w:val="1F4E79"/>
          <w:sz w:val="24"/>
        </w:rPr>
        <w:t>3.2 物理模型与物理力学参数</w:t>
      </w:r>
    </w:p>
    <w:p>
      <w:pPr>
        <w:spacing w:before="40" w:after="40" w:line="276" w:lineRule="auto"/>
      </w:pPr>
      <w:r>
        <w:rPr>
          <w:rFonts w:ascii="Calibri" w:hAnsi="Calibri" w:eastAsia="微软雅黑"/>
          <w:b w:val="0"/>
          <w:i w:val="0"/>
          <w:sz w:val="21"/>
        </w:rPr>
        <w:t>多地层斜坡验证模型的基本几何与介质参数设定如下：</w:t>
      </w:r>
    </w:p>
    <w:p>
      <w:pPr>
        <w:pStyle w:val="ListBullet"/>
        <w:spacing w:before="40" w:after="40" w:line="276" w:lineRule="auto"/>
      </w:pPr>
      <w:r>
        <w:rPr>
          <w:rFonts w:ascii="Calibri" w:hAnsi="Calibri" w:eastAsia="微软雅黑"/>
          <w:b/>
          <w:i w:val="0"/>
          <w:sz w:val="21"/>
        </w:rPr>
        <w:t>1. 基本几何尺寸：</w:t>
      </w:r>
      <w:r>
        <w:rPr>
          <w:rFonts w:ascii="Calibri" w:hAnsi="Calibri" w:eastAsia="微软雅黑"/>
          <w:b w:val="0"/>
          <w:i w:val="0"/>
          <w:sz w:val="21"/>
        </w:rPr>
        <w:t>坡高差（坡高）恒定为 H - h = 200 m；覆盖层深度比固定为 h/H = 0.50（对应坡脚覆盖层厚度 h = 200 m，坡顶总厚度 H = 400 m）；模型总长度为 1800 m，上平台宽度为 1000 m。</w:t>
      </w:r>
    </w:p>
    <w:p>
      <w:pPr>
        <w:pStyle w:val="ListBullet"/>
        <w:spacing w:before="40" w:after="40" w:line="276" w:lineRule="auto"/>
      </w:pPr>
      <w:r>
        <w:rPr>
          <w:rFonts w:ascii="Calibri" w:hAnsi="Calibri" w:eastAsia="微软雅黑"/>
          <w:b/>
          <w:i w:val="0"/>
          <w:sz w:val="21"/>
        </w:rPr>
        <w:t>2. 基岩与层介质衰减：</w:t>
      </w:r>
      <w:r>
        <w:rPr>
          <w:rFonts w:ascii="Calibri" w:hAnsi="Calibri" w:eastAsia="微软雅黑"/>
          <w:b w:val="0"/>
          <w:i w:val="0"/>
          <w:sz w:val="21"/>
        </w:rPr>
        <w:t>基岩（Bedrock）密度 ρ_R = 2500 kg/m³，泊松比 ν = 0.3，弹性模量 E_R = 26 GPa，剪切波速 V_R = 2000 m/s，质量因子设为 999（忽略衰减）。覆盖层介质考虑材料阻尼，剪切与压缩质量因子按公式 Qs = 0.05 Vs 和 Qp = 0.1 Vs 计算引入。</w:t>
      </w:r>
    </w:p>
    <w:p>
      <w:pPr>
        <w:pStyle w:val="ListBullet"/>
        <w:spacing w:before="40" w:after="40" w:line="276" w:lineRule="auto"/>
      </w:pPr>
      <w:r>
        <w:rPr>
          <w:rFonts w:ascii="Calibri" w:hAnsi="Calibri" w:eastAsia="微软雅黑"/>
          <w:b/>
          <w:i w:val="0"/>
          <w:sz w:val="21"/>
        </w:rPr>
        <w:t>3. 图8 均匀覆盖层工况：</w:t>
      </w:r>
      <w:r>
        <w:rPr>
          <w:rFonts w:ascii="Calibri" w:hAnsi="Calibri" w:eastAsia="微软雅黑"/>
          <w:b w:val="0"/>
          <w:i w:val="0"/>
          <w:sz w:val="21"/>
        </w:rPr>
        <w:t>坡角 i 取 30°（缓坡）和 60°（陡坡）。覆盖层剪切波速 Vs = 1600 m/s（即 Vs/VR = 0.8, E = 16.64 GPa）。无量纲频率 a0 = 2fc(H-h)/Vs 取值包括 0.5, 1.0, 1.5, 2.0，对应输入 Ricker 脉冲波中心频率 fc = 2, 4, 6, 8 Hz。入射角度 θs 为 0° 和 15°。</w:t>
      </w:r>
    </w:p>
    <w:p>
      <w:pPr>
        <w:pStyle w:val="ListBullet"/>
        <w:spacing w:before="40" w:after="40" w:line="276" w:lineRule="auto"/>
      </w:pPr>
      <w:r>
        <w:rPr>
          <w:rFonts w:ascii="Calibri" w:hAnsi="Calibri" w:eastAsia="微软雅黑"/>
          <w:b/>
          <w:i w:val="0"/>
          <w:sz w:val="21"/>
        </w:rPr>
        <w:t>4. 图15 双层覆盖层工况：</w:t>
      </w:r>
      <w:r>
        <w:rPr>
          <w:rFonts w:ascii="Calibri" w:hAnsi="Calibri" w:eastAsia="微软雅黑"/>
          <w:b w:val="0"/>
          <w:i w:val="0"/>
          <w:sz w:val="21"/>
        </w:rPr>
        <w:t>坡角 i = 45°。下覆覆盖层（第2层）剪切波速固定为 Vs2 = 800 m/s。地表层（第1层）相对厚度比 h1/(H-h) 取 0.25 (h1 = 50 m) 和 0.75 (h1 = 150 m)。地表层波速比 Vs1/Vs2 取 0.50（软地表层 Vs1 = 400 m/s）、0.75（中硬地表层 Vs1 = 600 m/s）和 2.00（硬地表层 Vs1 = 1600 m/s）。无量纲频率固定为 a0 = 2.0（以 Vs2 计算，fc = 4.0 Hz）。入射角度 θs 为 0° 和 15°。</w:t>
      </w:r>
    </w:p>
    <w:p>
      <w:pPr>
        <w:pStyle w:val="Heading2"/>
        <w:keepNext/>
        <w:spacing w:before="160" w:after="80"/>
      </w:pPr>
      <w:r>
        <w:rPr>
          <w:rFonts w:ascii="Calibri" w:hAnsi="Calibri" w:eastAsia="微软雅黑"/>
          <w:b/>
          <w:i w:val="0"/>
          <w:color w:val="1F4E79"/>
          <w:sz w:val="24"/>
        </w:rPr>
        <w:t>3.3 第二部分工况设计汇总表</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spacing w:before="60" w:after="60"/>
              <w:jc w:val="center"/>
            </w:pPr>
            <w:r>
              <w:rPr>
                <w:rFonts w:ascii="Calibri" w:hAnsi="Calibri" w:eastAsia="微软雅黑"/>
                <w:b/>
                <w:i w:val="0"/>
                <w:color w:val="FFFFFF"/>
                <w:sz w:val="19"/>
              </w:rPr>
              <w:t>工况大类</w:t>
            </w:r>
          </w:p>
        </w:tc>
        <w:tc>
          <w:tcPr>
            <w:tcW w:type="dxa" w:w="1872"/>
            <w:shd w:fill="1F4E79"/>
          </w:tcPr>
          <w:p>
            <w:pPr>
              <w:spacing w:before="60" w:after="60"/>
              <w:jc w:val="center"/>
            </w:pPr>
            <w:r>
              <w:rPr>
                <w:rFonts w:ascii="Calibri" w:hAnsi="Calibri" w:eastAsia="微软雅黑"/>
                <w:b/>
                <w:i w:val="0"/>
                <w:color w:val="FFFFFF"/>
                <w:sz w:val="19"/>
              </w:rPr>
              <w:t>验证对象 (论文图号)</w:t>
            </w:r>
          </w:p>
        </w:tc>
        <w:tc>
          <w:tcPr>
            <w:tcW w:type="dxa" w:w="1872"/>
            <w:shd w:fill="1F4E79"/>
          </w:tcPr>
          <w:p>
            <w:pPr>
              <w:spacing w:before="60" w:after="60"/>
              <w:jc w:val="center"/>
            </w:pPr>
            <w:r>
              <w:rPr>
                <w:rFonts w:ascii="Calibri" w:hAnsi="Calibri" w:eastAsia="微软雅黑"/>
                <w:b/>
                <w:i w:val="0"/>
                <w:color w:val="FFFFFF"/>
                <w:sz w:val="19"/>
              </w:rPr>
              <w:t>分析变量</w:t>
            </w:r>
          </w:p>
        </w:tc>
        <w:tc>
          <w:tcPr>
            <w:tcW w:type="dxa" w:w="1872"/>
            <w:shd w:fill="1F4E79"/>
          </w:tcPr>
          <w:p>
            <w:pPr>
              <w:spacing w:before="60" w:after="60"/>
              <w:jc w:val="center"/>
            </w:pPr>
            <w:r>
              <w:rPr>
                <w:rFonts w:ascii="Calibri" w:hAnsi="Calibri" w:eastAsia="微软雅黑"/>
                <w:b/>
                <w:i w:val="0"/>
                <w:color w:val="FFFFFF"/>
                <w:sz w:val="19"/>
              </w:rPr>
              <w:t>具体取值及组合参数</w:t>
            </w:r>
          </w:p>
        </w:tc>
        <w:tc>
          <w:tcPr>
            <w:tcW w:type="dxa" w:w="1872"/>
            <w:shd w:fill="1F4E79"/>
          </w:tcPr>
          <w:p>
            <w:pPr>
              <w:spacing w:before="60" w:after="60"/>
              <w:jc w:val="center"/>
            </w:pPr>
            <w:r>
              <w:rPr>
                <w:rFonts w:ascii="Calibri" w:hAnsi="Calibri" w:eastAsia="微软雅黑"/>
                <w:b/>
                <w:i w:val="0"/>
                <w:color w:val="FFFFFF"/>
                <w:sz w:val="19"/>
              </w:rPr>
              <w:t>对应工况编号 (simulation_cases.md)</w:t>
            </w:r>
          </w:p>
        </w:tc>
      </w:tr>
      <w:tr>
        <w:tc>
          <w:tcPr>
            <w:tcW w:type="dxa" w:w="1872"/>
          </w:tcPr>
          <w:p>
            <w:pPr>
              <w:spacing w:before="40" w:after="40"/>
              <w:jc w:val="center"/>
            </w:pPr>
            <w:r>
              <w:rPr>
                <w:rFonts w:ascii="Calibri" w:hAnsi="Calibri" w:eastAsia="微软雅黑"/>
                <w:b w:val="0"/>
                <w:i w:val="0"/>
                <w:sz w:val="18"/>
              </w:rPr>
              <w:t>均匀覆盖层</w:t>
            </w:r>
          </w:p>
        </w:tc>
        <w:tc>
          <w:tcPr>
            <w:tcW w:type="dxa" w:w="1872"/>
          </w:tcPr>
          <w:p>
            <w:pPr>
              <w:spacing w:before="40" w:after="40"/>
              <w:jc w:val="left"/>
            </w:pPr>
            <w:r>
              <w:rPr>
                <w:rFonts w:ascii="Calibri" w:hAnsi="Calibri" w:eastAsia="微软雅黑"/>
                <w:b w:val="0"/>
                <w:i w:val="0"/>
                <w:sz w:val="18"/>
              </w:rPr>
              <w:t>Fig. 8 TAF沿程分布与频响</w:t>
            </w:r>
          </w:p>
        </w:tc>
        <w:tc>
          <w:tcPr>
            <w:tcW w:type="dxa" w:w="1872"/>
          </w:tcPr>
          <w:p>
            <w:pPr>
              <w:spacing w:before="40" w:after="40"/>
              <w:jc w:val="center"/>
            </w:pPr>
            <w:r>
              <w:rPr>
                <w:rFonts w:ascii="Calibri" w:hAnsi="Calibri" w:eastAsia="微软雅黑"/>
                <w:b w:val="0"/>
                <w:i w:val="0"/>
                <w:sz w:val="18"/>
              </w:rPr>
              <w:t>坡角 i</w:t>
            </w:r>
          </w:p>
        </w:tc>
        <w:tc>
          <w:tcPr>
            <w:tcW w:type="dxa" w:w="1872"/>
          </w:tcPr>
          <w:p>
            <w:pPr>
              <w:spacing w:before="40" w:after="40"/>
              <w:jc w:val="left"/>
            </w:pPr>
            <w:r>
              <w:rPr>
                <w:rFonts w:ascii="Calibri" w:hAnsi="Calibri" w:eastAsia="微软雅黑"/>
                <w:b w:val="0"/>
                <w:i w:val="0"/>
                <w:sz w:val="18"/>
              </w:rPr>
              <w:t>i = 30° (缓坡), i = 60° (陡坡)</w:t>
            </w:r>
          </w:p>
        </w:tc>
        <w:tc>
          <w:tcPr>
            <w:tcW w:type="dxa" w:w="1872"/>
          </w:tcPr>
          <w:p>
            <w:pPr>
              <w:spacing w:before="40" w:after="40"/>
              <w:jc w:val="center"/>
            </w:pPr>
            <w:r>
              <w:rPr>
                <w:rFonts w:ascii="Calibri" w:hAnsi="Calibri" w:eastAsia="微软雅黑"/>
                <w:b w:val="0"/>
                <w:i w:val="0"/>
                <w:sz w:val="18"/>
              </w:rPr>
              <w:t>A01~A08 (i=30°), A17~A24 (i=60°)</w:t>
            </w:r>
          </w:p>
        </w:tc>
      </w:tr>
      <w:tr>
        <w:tc>
          <w:tcPr>
            <w:tcW w:type="dxa" w:w="1872"/>
            <w:shd w:fill="F9F9F9"/>
          </w:tcPr>
          <w:p>
            <w:pPr>
              <w:spacing w:before="40" w:after="40"/>
              <w:jc w:val="center"/>
            </w:pPr>
            <w:r>
              <w:rPr>
                <w:rFonts w:ascii="Calibri" w:hAnsi="Calibri" w:eastAsia="微软雅黑"/>
                <w:b w:val="0"/>
                <w:i w:val="0"/>
                <w:sz w:val="18"/>
              </w:rPr>
              <w:t>均匀覆盖层</w:t>
            </w:r>
          </w:p>
        </w:tc>
        <w:tc>
          <w:tcPr>
            <w:tcW w:type="dxa" w:w="1872"/>
            <w:shd w:fill="F9F9F9"/>
          </w:tcPr>
          <w:p>
            <w:pPr>
              <w:spacing w:before="40" w:after="40"/>
              <w:jc w:val="left"/>
            </w:pPr>
            <w:r>
              <w:rPr>
                <w:rFonts w:ascii="Calibri" w:hAnsi="Calibri" w:eastAsia="微软雅黑"/>
                <w:b w:val="0"/>
                <w:i w:val="0"/>
                <w:sz w:val="18"/>
              </w:rPr>
              <w:t>Fig. 8 TAF沿程分布与频响</w:t>
            </w:r>
          </w:p>
        </w:tc>
        <w:tc>
          <w:tcPr>
            <w:tcW w:type="dxa" w:w="1872"/>
            <w:shd w:fill="F9F9F9"/>
          </w:tcPr>
          <w:p>
            <w:pPr>
              <w:spacing w:before="40" w:after="40"/>
              <w:jc w:val="center"/>
            </w:pPr>
            <w:r>
              <w:rPr>
                <w:rFonts w:ascii="Calibri" w:hAnsi="Calibri" w:eastAsia="微软雅黑"/>
                <w:b w:val="0"/>
                <w:i w:val="0"/>
                <w:sz w:val="18"/>
              </w:rPr>
              <w:t>无量纲频率 a0</w:t>
            </w:r>
          </w:p>
        </w:tc>
        <w:tc>
          <w:tcPr>
            <w:tcW w:type="dxa" w:w="1872"/>
            <w:shd w:fill="F9F9F9"/>
          </w:tcPr>
          <w:p>
            <w:pPr>
              <w:spacing w:before="40" w:after="40"/>
              <w:jc w:val="left"/>
            </w:pPr>
            <w:r>
              <w:rPr>
                <w:rFonts w:ascii="Calibri" w:hAnsi="Calibri" w:eastAsia="微软雅黑"/>
                <w:b w:val="0"/>
                <w:i w:val="0"/>
                <w:sz w:val="18"/>
              </w:rPr>
              <w:t>a0 = 0.5, 1.0, 1.5, 2.0 (对应频率 fc = 2, 4, 6, 8 Hz)</w:t>
            </w:r>
          </w:p>
        </w:tc>
        <w:tc>
          <w:tcPr>
            <w:tcW w:type="dxa" w:w="1872"/>
            <w:shd w:fill="F9F9F9"/>
          </w:tcPr>
          <w:p>
            <w:pPr>
              <w:spacing w:before="40" w:after="40"/>
              <w:jc w:val="center"/>
            </w:pPr>
            <w:r>
              <w:rPr>
                <w:rFonts w:ascii="Calibri" w:hAnsi="Calibri" w:eastAsia="微软雅黑"/>
                <w:b w:val="0"/>
                <w:i w:val="0"/>
                <w:sz w:val="18"/>
              </w:rPr>
              <w:t>包含于上述 A 组工况中</w:t>
            </w:r>
          </w:p>
        </w:tc>
      </w:tr>
      <w:tr>
        <w:tc>
          <w:tcPr>
            <w:tcW w:type="dxa" w:w="1872"/>
          </w:tcPr>
          <w:p>
            <w:pPr>
              <w:spacing w:before="40" w:after="40"/>
              <w:jc w:val="center"/>
            </w:pPr>
            <w:r>
              <w:rPr>
                <w:rFonts w:ascii="Calibri" w:hAnsi="Calibri" w:eastAsia="微软雅黑"/>
                <w:b w:val="0"/>
                <w:i w:val="0"/>
                <w:sz w:val="18"/>
              </w:rPr>
              <w:t>均匀覆盖层</w:t>
            </w:r>
          </w:p>
        </w:tc>
        <w:tc>
          <w:tcPr>
            <w:tcW w:type="dxa" w:w="1872"/>
          </w:tcPr>
          <w:p>
            <w:pPr>
              <w:spacing w:before="40" w:after="40"/>
              <w:jc w:val="left"/>
            </w:pPr>
            <w:r>
              <w:rPr>
                <w:rFonts w:ascii="Calibri" w:hAnsi="Calibri" w:eastAsia="微软雅黑"/>
                <w:b w:val="0"/>
                <w:i w:val="0"/>
                <w:sz w:val="18"/>
              </w:rPr>
              <w:t>Fig. 8 TAF沿程分布与频响</w:t>
            </w:r>
          </w:p>
        </w:tc>
        <w:tc>
          <w:tcPr>
            <w:tcW w:type="dxa" w:w="1872"/>
          </w:tcPr>
          <w:p>
            <w:pPr>
              <w:spacing w:before="40" w:after="40"/>
              <w:jc w:val="center"/>
            </w:pPr>
            <w:r>
              <w:rPr>
                <w:rFonts w:ascii="Calibri" w:hAnsi="Calibri" w:eastAsia="微软雅黑"/>
                <w:b w:val="0"/>
                <w:i w:val="0"/>
                <w:sz w:val="18"/>
              </w:rPr>
              <w:t>入射角度 θs</w:t>
            </w:r>
          </w:p>
        </w:tc>
        <w:tc>
          <w:tcPr>
            <w:tcW w:type="dxa" w:w="1872"/>
          </w:tcPr>
          <w:p>
            <w:pPr>
              <w:spacing w:before="40" w:after="40"/>
              <w:jc w:val="left"/>
            </w:pPr>
            <w:r>
              <w:rPr>
                <w:rFonts w:ascii="Calibri" w:hAnsi="Calibri" w:eastAsia="微软雅黑"/>
                <w:b w:val="0"/>
                <w:i w:val="0"/>
                <w:sz w:val="18"/>
              </w:rPr>
              <w:t>θs = 0° (垂直入射), θs = 15° (斜入射)</w:t>
            </w:r>
          </w:p>
        </w:tc>
        <w:tc>
          <w:tcPr>
            <w:tcW w:type="dxa" w:w="1872"/>
          </w:tcPr>
          <w:p>
            <w:pPr>
              <w:spacing w:before="40" w:after="40"/>
              <w:jc w:val="center"/>
            </w:pPr>
            <w:r>
              <w:rPr>
                <w:rFonts w:ascii="Calibri" w:hAnsi="Calibri" w:eastAsia="微软雅黑"/>
                <w:b w:val="0"/>
                <w:i w:val="0"/>
                <w:sz w:val="18"/>
              </w:rPr>
              <w:t>包含于上述 A 组工况中</w:t>
            </w:r>
          </w:p>
        </w:tc>
      </w:tr>
      <w:tr>
        <w:tc>
          <w:tcPr>
            <w:tcW w:type="dxa" w:w="1872"/>
            <w:shd w:fill="F9F9F9"/>
          </w:tcPr>
          <w:p>
            <w:pPr>
              <w:spacing w:before="40" w:after="40"/>
              <w:jc w:val="center"/>
            </w:pPr>
            <w:r>
              <w:rPr>
                <w:rFonts w:ascii="Calibri" w:hAnsi="Calibri" w:eastAsia="微软雅黑"/>
                <w:b w:val="0"/>
                <w:i w:val="0"/>
                <w:sz w:val="18"/>
              </w:rPr>
              <w:t>均匀覆盖层</w:t>
            </w:r>
          </w:p>
        </w:tc>
        <w:tc>
          <w:tcPr>
            <w:tcW w:type="dxa" w:w="1872"/>
            <w:shd w:fill="F9F9F9"/>
          </w:tcPr>
          <w:p>
            <w:pPr>
              <w:spacing w:before="40" w:after="40"/>
              <w:jc w:val="left"/>
            </w:pPr>
            <w:r>
              <w:rPr>
                <w:rFonts w:ascii="Calibri" w:hAnsi="Calibri" w:eastAsia="微软雅黑"/>
                <w:b w:val="0"/>
                <w:i w:val="0"/>
                <w:sz w:val="18"/>
              </w:rPr>
              <w:t>Fig. 8 TAF沿程分布与频响</w:t>
            </w:r>
          </w:p>
        </w:tc>
        <w:tc>
          <w:tcPr>
            <w:tcW w:type="dxa" w:w="1872"/>
            <w:shd w:fill="F9F9F9"/>
          </w:tcPr>
          <w:p>
            <w:pPr>
              <w:spacing w:before="40" w:after="40"/>
              <w:jc w:val="center"/>
            </w:pPr>
            <w:r>
              <w:rPr>
                <w:rFonts w:ascii="Calibri" w:hAnsi="Calibri" w:eastAsia="微软雅黑"/>
                <w:b w:val="0"/>
                <w:i w:val="0"/>
                <w:sz w:val="18"/>
              </w:rPr>
              <w:t>固定参数</w:t>
            </w:r>
          </w:p>
        </w:tc>
        <w:tc>
          <w:tcPr>
            <w:tcW w:type="dxa" w:w="1872"/>
            <w:shd w:fill="F9F9F9"/>
          </w:tcPr>
          <w:p>
            <w:pPr>
              <w:spacing w:before="40" w:after="40"/>
              <w:jc w:val="left"/>
            </w:pPr>
            <w:r>
              <w:rPr>
                <w:rFonts w:ascii="Calibri" w:hAnsi="Calibri" w:eastAsia="微软雅黑"/>
                <w:b w:val="0"/>
                <w:i w:val="0"/>
                <w:sz w:val="18"/>
              </w:rPr>
              <w:t>深度比 h/H = 0.50, 阻抗比 VR/Vs = 1.25 (Vs = 1600 m/s)</w:t>
            </w:r>
          </w:p>
        </w:tc>
        <w:tc>
          <w:tcPr>
            <w:tcW w:type="dxa" w:w="1872"/>
            <w:shd w:fill="F9F9F9"/>
          </w:tcPr>
          <w:p>
            <w:pPr>
              <w:spacing w:before="40" w:after="40"/>
              <w:jc w:val="center"/>
            </w:pPr>
            <w:r>
              <w:rPr>
                <w:rFonts w:ascii="Calibri" w:hAnsi="Calibri" w:eastAsia="微软雅黑"/>
                <w:b w:val="0"/>
                <w:i w:val="0"/>
                <w:sz w:val="18"/>
              </w:rPr>
              <w:t>固定基准参数组合</w:t>
            </w:r>
          </w:p>
        </w:tc>
      </w:tr>
      <w:tr>
        <w:tc>
          <w:tcPr>
            <w:tcW w:type="dxa" w:w="1872"/>
          </w:tcPr>
          <w:p>
            <w:pPr>
              <w:spacing w:before="40" w:after="40"/>
              <w:jc w:val="center"/>
            </w:pPr>
            <w:r>
              <w:rPr>
                <w:rFonts w:ascii="Calibri" w:hAnsi="Calibri" w:eastAsia="微软雅黑"/>
                <w:b w:val="0"/>
                <w:i w:val="0"/>
                <w:sz w:val="18"/>
              </w:rPr>
              <w:t>双层覆盖层</w:t>
            </w:r>
          </w:p>
        </w:tc>
        <w:tc>
          <w:tcPr>
            <w:tcW w:type="dxa" w:w="1872"/>
          </w:tcPr>
          <w:p>
            <w:pPr>
              <w:spacing w:before="40" w:after="40"/>
              <w:jc w:val="left"/>
            </w:pPr>
            <w:r>
              <w:rPr>
                <w:rFonts w:ascii="Calibri" w:hAnsi="Calibri" w:eastAsia="微软雅黑"/>
                <w:b w:val="0"/>
                <w:i w:val="0"/>
                <w:sz w:val="18"/>
              </w:rPr>
              <w:t>Fig. 15 地表层性质与厚度</w:t>
            </w:r>
          </w:p>
        </w:tc>
        <w:tc>
          <w:tcPr>
            <w:tcW w:type="dxa" w:w="1872"/>
          </w:tcPr>
          <w:p>
            <w:pPr>
              <w:spacing w:before="40" w:after="40"/>
              <w:jc w:val="center"/>
            </w:pPr>
            <w:r>
              <w:rPr>
                <w:rFonts w:ascii="Calibri" w:hAnsi="Calibri" w:eastAsia="微软雅黑"/>
                <w:b w:val="0"/>
                <w:i w:val="0"/>
                <w:sz w:val="18"/>
              </w:rPr>
              <w:t>地表层厚度比 h1/(H-h)</w:t>
            </w:r>
          </w:p>
        </w:tc>
        <w:tc>
          <w:tcPr>
            <w:tcW w:type="dxa" w:w="1872"/>
          </w:tcPr>
          <w:p>
            <w:pPr>
              <w:spacing w:before="40" w:after="40"/>
              <w:jc w:val="left"/>
            </w:pPr>
            <w:r>
              <w:rPr>
                <w:rFonts w:ascii="Calibri" w:hAnsi="Calibri" w:eastAsia="微软雅黑"/>
                <w:b w:val="0"/>
                <w:i w:val="0"/>
                <w:sz w:val="18"/>
              </w:rPr>
              <w:t>h1/(H-h) = 0.25 (h1 = 50 m), h1/(H-h) = 0.75 (h1 = 150 m)</w:t>
            </w:r>
          </w:p>
        </w:tc>
        <w:tc>
          <w:tcPr>
            <w:tcW w:type="dxa" w:w="1872"/>
          </w:tcPr>
          <w:p>
            <w:pPr>
              <w:spacing w:before="40" w:after="40"/>
              <w:jc w:val="center"/>
            </w:pPr>
            <w:r>
              <w:rPr>
                <w:rFonts w:ascii="Calibri" w:hAnsi="Calibri" w:eastAsia="微软雅黑"/>
                <w:b w:val="0"/>
                <w:i w:val="0"/>
                <w:sz w:val="18"/>
              </w:rPr>
              <w:t>D01, D03, D05, D07, D09, D11, D13, D15, D17, D19, D21, D23</w:t>
            </w:r>
          </w:p>
        </w:tc>
      </w:tr>
      <w:tr>
        <w:tc>
          <w:tcPr>
            <w:tcW w:type="dxa" w:w="1872"/>
            <w:shd w:fill="F9F9F9"/>
          </w:tcPr>
          <w:p>
            <w:pPr>
              <w:spacing w:before="40" w:after="40"/>
              <w:jc w:val="center"/>
            </w:pPr>
            <w:r>
              <w:rPr>
                <w:rFonts w:ascii="Calibri" w:hAnsi="Calibri" w:eastAsia="微软雅黑"/>
                <w:b w:val="0"/>
                <w:i w:val="0"/>
                <w:sz w:val="18"/>
              </w:rPr>
              <w:t>双层覆盖层</w:t>
            </w:r>
          </w:p>
        </w:tc>
        <w:tc>
          <w:tcPr>
            <w:tcW w:type="dxa" w:w="1872"/>
            <w:shd w:fill="F9F9F9"/>
          </w:tcPr>
          <w:p>
            <w:pPr>
              <w:spacing w:before="40" w:after="40"/>
              <w:jc w:val="left"/>
            </w:pPr>
            <w:r>
              <w:rPr>
                <w:rFonts w:ascii="Calibri" w:hAnsi="Calibri" w:eastAsia="微软雅黑"/>
                <w:b w:val="0"/>
                <w:i w:val="0"/>
                <w:sz w:val="18"/>
              </w:rPr>
              <w:t>Fig. 15 地表层性质与厚度</w:t>
            </w:r>
          </w:p>
        </w:tc>
        <w:tc>
          <w:tcPr>
            <w:tcW w:type="dxa" w:w="1872"/>
            <w:shd w:fill="F9F9F9"/>
          </w:tcPr>
          <w:p>
            <w:pPr>
              <w:spacing w:before="40" w:after="40"/>
              <w:jc w:val="center"/>
            </w:pPr>
            <w:r>
              <w:rPr>
                <w:rFonts w:ascii="Calibri" w:hAnsi="Calibri" w:eastAsia="微软雅黑"/>
                <w:b w:val="0"/>
                <w:i w:val="0"/>
                <w:sz w:val="18"/>
              </w:rPr>
              <w:t>地表波速比 Vs1/Vs2</w:t>
            </w:r>
          </w:p>
        </w:tc>
        <w:tc>
          <w:tcPr>
            <w:tcW w:type="dxa" w:w="1872"/>
            <w:shd w:fill="F9F9F9"/>
          </w:tcPr>
          <w:p>
            <w:pPr>
              <w:spacing w:before="40" w:after="40"/>
              <w:jc w:val="left"/>
            </w:pPr>
            <w:r>
              <w:rPr>
                <w:rFonts w:ascii="Calibri" w:hAnsi="Calibri" w:eastAsia="微软雅黑"/>
                <w:b w:val="0"/>
                <w:i w:val="0"/>
                <w:sz w:val="18"/>
              </w:rPr>
              <w:t>Vs1/Vs2 = 0.50 (软), 0.75 (较软), 2.00 (硬)</w:t>
            </w:r>
          </w:p>
        </w:tc>
        <w:tc>
          <w:tcPr>
            <w:tcW w:type="dxa" w:w="1872"/>
            <w:shd w:fill="F9F9F9"/>
          </w:tcPr>
          <w:p>
            <w:pPr>
              <w:spacing w:before="40" w:after="40"/>
              <w:jc w:val="center"/>
            </w:pPr>
            <w:r>
              <w:rPr>
                <w:rFonts w:ascii="Calibri" w:hAnsi="Calibri" w:eastAsia="微软雅黑"/>
                <w:b w:val="0"/>
                <w:i w:val="0"/>
                <w:sz w:val="18"/>
              </w:rPr>
              <w:t>对应地表层 Vs1 = 400 m/s, 600 m/s, 1600 m/s</w:t>
            </w:r>
          </w:p>
        </w:tc>
      </w:tr>
      <w:tr>
        <w:tc>
          <w:tcPr>
            <w:tcW w:type="dxa" w:w="1872"/>
          </w:tcPr>
          <w:p>
            <w:pPr>
              <w:spacing w:before="40" w:after="40"/>
              <w:jc w:val="center"/>
            </w:pPr>
            <w:r>
              <w:rPr>
                <w:rFonts w:ascii="Calibri" w:hAnsi="Calibri" w:eastAsia="微软雅黑"/>
                <w:b w:val="0"/>
                <w:i w:val="0"/>
                <w:sz w:val="18"/>
              </w:rPr>
              <w:t>双层覆盖层</w:t>
            </w:r>
          </w:p>
        </w:tc>
        <w:tc>
          <w:tcPr>
            <w:tcW w:type="dxa" w:w="1872"/>
          </w:tcPr>
          <w:p>
            <w:pPr>
              <w:spacing w:before="40" w:after="40"/>
              <w:jc w:val="left"/>
            </w:pPr>
            <w:r>
              <w:rPr>
                <w:rFonts w:ascii="Calibri" w:hAnsi="Calibri" w:eastAsia="微软雅黑"/>
                <w:b w:val="0"/>
                <w:i w:val="0"/>
                <w:sz w:val="18"/>
              </w:rPr>
              <w:t>Fig. 15 地表层性质与厚度</w:t>
            </w:r>
          </w:p>
        </w:tc>
        <w:tc>
          <w:tcPr>
            <w:tcW w:type="dxa" w:w="1872"/>
          </w:tcPr>
          <w:p>
            <w:pPr>
              <w:spacing w:before="40" w:after="40"/>
              <w:jc w:val="center"/>
            </w:pPr>
            <w:r>
              <w:rPr>
                <w:rFonts w:ascii="Calibri" w:hAnsi="Calibri" w:eastAsia="微软雅黑"/>
                <w:b w:val="0"/>
                <w:i w:val="0"/>
                <w:sz w:val="18"/>
              </w:rPr>
              <w:t>入射角度 θs</w:t>
            </w:r>
          </w:p>
        </w:tc>
        <w:tc>
          <w:tcPr>
            <w:tcW w:type="dxa" w:w="1872"/>
          </w:tcPr>
          <w:p>
            <w:pPr>
              <w:spacing w:before="40" w:after="40"/>
              <w:jc w:val="left"/>
            </w:pPr>
            <w:r>
              <w:rPr>
                <w:rFonts w:ascii="Calibri" w:hAnsi="Calibri" w:eastAsia="微软雅黑"/>
                <w:b w:val="0"/>
                <w:i w:val="0"/>
                <w:sz w:val="18"/>
              </w:rPr>
              <w:t>θs = 0° (垂直入射), θs = 15° (斜入射)</w:t>
            </w:r>
          </w:p>
        </w:tc>
        <w:tc>
          <w:tcPr>
            <w:tcW w:type="dxa" w:w="1872"/>
          </w:tcPr>
          <w:p>
            <w:pPr>
              <w:spacing w:before="40" w:after="40"/>
              <w:jc w:val="center"/>
            </w:pPr>
            <w:r>
              <w:rPr>
                <w:rFonts w:ascii="Calibri" w:hAnsi="Calibri" w:eastAsia="微软雅黑"/>
                <w:b w:val="0"/>
                <w:i w:val="0"/>
                <w:sz w:val="18"/>
              </w:rPr>
              <w:t>D01~D24 交叉组合工况</w:t>
            </w:r>
          </w:p>
        </w:tc>
      </w:tr>
      <w:tr>
        <w:tc>
          <w:tcPr>
            <w:tcW w:type="dxa" w:w="1872"/>
            <w:shd w:fill="F9F9F9"/>
          </w:tcPr>
          <w:p>
            <w:pPr>
              <w:spacing w:before="40" w:after="40"/>
              <w:jc w:val="center"/>
            </w:pPr>
            <w:r>
              <w:rPr>
                <w:rFonts w:ascii="Calibri" w:hAnsi="Calibri" w:eastAsia="微软雅黑"/>
                <w:b w:val="0"/>
                <w:i w:val="0"/>
                <w:sz w:val="18"/>
              </w:rPr>
              <w:t>双层覆盖层</w:t>
            </w:r>
          </w:p>
        </w:tc>
        <w:tc>
          <w:tcPr>
            <w:tcW w:type="dxa" w:w="1872"/>
            <w:shd w:fill="F9F9F9"/>
          </w:tcPr>
          <w:p>
            <w:pPr>
              <w:spacing w:before="40" w:after="40"/>
              <w:jc w:val="left"/>
            </w:pPr>
            <w:r>
              <w:rPr>
                <w:rFonts w:ascii="Calibri" w:hAnsi="Calibri" w:eastAsia="微软雅黑"/>
                <w:b w:val="0"/>
                <w:i w:val="0"/>
                <w:sz w:val="18"/>
              </w:rPr>
              <w:t>Fig. 15 地表层性质与厚度</w:t>
            </w:r>
          </w:p>
        </w:tc>
        <w:tc>
          <w:tcPr>
            <w:tcW w:type="dxa" w:w="1872"/>
            <w:shd w:fill="F9F9F9"/>
          </w:tcPr>
          <w:p>
            <w:pPr>
              <w:spacing w:before="40" w:after="40"/>
              <w:jc w:val="center"/>
            </w:pPr>
            <w:r>
              <w:rPr>
                <w:rFonts w:ascii="Calibri" w:hAnsi="Calibri" w:eastAsia="微软雅黑"/>
                <w:b w:val="0"/>
                <w:i w:val="0"/>
                <w:sz w:val="18"/>
              </w:rPr>
              <w:t>固定参数</w:t>
            </w:r>
          </w:p>
        </w:tc>
        <w:tc>
          <w:tcPr>
            <w:tcW w:type="dxa" w:w="1872"/>
            <w:shd w:fill="F9F9F9"/>
          </w:tcPr>
          <w:p>
            <w:pPr>
              <w:spacing w:before="40" w:after="40"/>
              <w:jc w:val="left"/>
            </w:pPr>
            <w:r>
              <w:rPr>
                <w:rFonts w:ascii="Calibri" w:hAnsi="Calibri" w:eastAsia="微软雅黑"/>
                <w:b w:val="0"/>
                <w:i w:val="0"/>
                <w:sz w:val="18"/>
              </w:rPr>
              <w:t>坡角 i = 45°, 深度比 h/H = 0.50, 基底波速比 VR/Vs2 = 2.50</w:t>
            </w:r>
          </w:p>
        </w:tc>
        <w:tc>
          <w:tcPr>
            <w:tcW w:type="dxa" w:w="1872"/>
            <w:shd w:fill="F9F9F9"/>
          </w:tcPr>
          <w:p>
            <w:pPr>
              <w:spacing w:before="40" w:after="40"/>
              <w:jc w:val="center"/>
            </w:pPr>
            <w:r>
              <w:rPr>
                <w:rFonts w:ascii="Calibri" w:hAnsi="Calibri" w:eastAsia="微软雅黑"/>
                <w:b w:val="0"/>
                <w:i w:val="0"/>
                <w:sz w:val="18"/>
              </w:rPr>
              <w:t>下覆层 Vs2 = 800 m/s, 基岩 VR = 2000 m/s</w:t>
            </w:r>
          </w:p>
        </w:tc>
      </w:tr>
    </w:tbl>
    <w:p>
      <w:pPr>
        <w:spacing w:before="40" w:after="40"/>
      </w:pPr>
    </w:p>
    <w:p>
      <w:pPr>
        <w:pStyle w:val="Heading2"/>
        <w:keepNext/>
        <w:spacing w:before="160" w:after="80"/>
      </w:pPr>
      <w:r>
        <w:rPr>
          <w:rFonts w:ascii="Calibri" w:hAnsi="Calibri" w:eastAsia="微软雅黑"/>
          <w:b/>
          <w:i w:val="0"/>
          <w:color w:val="1F4E79"/>
          <w:sz w:val="24"/>
        </w:rPr>
        <w:t>3.4 验证结论与有效性评价</w:t>
      </w:r>
    </w:p>
    <w:p>
      <w:pPr>
        <w:spacing w:before="40" w:after="40" w:line="276" w:lineRule="auto"/>
      </w:pPr>
      <w:r>
        <w:rPr>
          <w:rFonts w:ascii="Calibri" w:hAnsi="Calibri" w:eastAsia="微软雅黑"/>
          <w:b w:val="0"/>
          <w:i w:val="0"/>
          <w:sz w:val="21"/>
        </w:rPr>
        <w:t>多地层脚本（v8 版本）对图 8 与图 15 进行有限元动力计算，提取地表的 TAF 分布特征，结果显示出高度的一致性：</w:t>
      </w:r>
    </w:p>
    <w:p>
      <w:pPr>
        <w:pStyle w:val="ListBullet"/>
        <w:spacing w:before="40" w:after="40" w:line="276" w:lineRule="auto"/>
      </w:pPr>
      <w:r>
        <w:rPr>
          <w:rFonts w:ascii="Calibri" w:hAnsi="Calibri" w:eastAsia="微软雅黑"/>
          <w:b/>
          <w:i w:val="0"/>
          <w:sz w:val="21"/>
        </w:rPr>
        <w:t>1. Figure 8（均匀覆盖层）复现结论：</w:t>
      </w:r>
      <w:r>
        <w:rPr>
          <w:rFonts w:ascii="Calibri" w:hAnsi="Calibri" w:eastAsia="微软雅黑"/>
          <w:b w:val="0"/>
          <w:i w:val="0"/>
          <w:sz w:val="21"/>
        </w:rPr>
        <w:t>① 缓坡 (i=30°) 在垂直入射下峰值 TAF 随频率变化出现位置偏移，而斜入射 (15°) 下峰值均牢牢锁定在坡顶；② 陡坡 (i=60°) 的斜入射效应十分强烈，在高频段（a0=2.0）其坡顶水平 TAF_h 出现因波散射衍射导致的系统性回落，而垂直向 TAF_v 却因强烈的地表瑞利波激发而显著拉升，最大值逼近 1.0。上述复杂的波场干涉形态与曲线走势完全符合原论文。</w:t>
      </w:r>
    </w:p>
    <w:p>
      <w:pPr>
        <w:pStyle w:val="ListBullet"/>
        <w:spacing w:before="40" w:after="40" w:line="276" w:lineRule="auto"/>
      </w:pPr>
      <w:r>
        <w:rPr>
          <w:rFonts w:ascii="Calibri" w:hAnsi="Calibri" w:eastAsia="微软雅黑"/>
          <w:b/>
          <w:i w:val="0"/>
          <w:sz w:val="21"/>
        </w:rPr>
        <w:t>2. Figure 15（双层覆盖层）复现结论：</w:t>
      </w:r>
      <w:r>
        <w:rPr>
          <w:rFonts w:ascii="Calibri" w:hAnsi="Calibri" w:eastAsia="微软雅黑"/>
          <w:b w:val="0"/>
          <w:i w:val="0"/>
          <w:sz w:val="21"/>
        </w:rPr>
        <w:t>① 地表软弱夹层的阻抗放大：当地表层较软时（Vs1/Vs2 = 0.5），地表 TAF 显著大于坚硬表层（Vs1/Vs2 = 2.0），且随着软地表层厚度从 50 m 增加至 150 m，波的能量在表层多次共振，放大因子呈数倍剧烈增长；② 斜入射对软弱场地放大效应的剧烈加剧：在垂直入射下，软硬表层的最大地形放大倍数比为 2.5 ~ 4.2 倍，而斜入射（15°）下这一差距拉大至 4.8 ~ 7.4 倍，完美重现了波形斜入射下阻抗失配的多重干涉放大物理现象；③ 峰值偏置：软表层的 TAF 最大值始终发生在坡顶，而硬表层由于对入射能量的强烈向下反射，其最大放大值通常发生在坡脚后方的开阔区域，与论文结论完全吻合。</w:t>
      </w:r>
    </w:p>
    <w:p>
      <w:pPr>
        <w:spacing w:before="40" w:after="40" w:line="276" w:lineRule="auto"/>
      </w:pPr>
      <w:r>
        <w:rPr>
          <w:rFonts w:ascii="Calibri" w:hAnsi="Calibri" w:eastAsia="微软雅黑"/>
          <w:b w:val="0"/>
          <w:i w:val="0"/>
          <w:sz w:val="21"/>
        </w:rPr>
        <w:t>基本有效性结论：利用多地层 v8 脚本计算所得的曲线，在各特征点幅值、空间变化趋势及频响极值方面，均与论文 Fig. 8 和 Fig. 15 的数值结果在误差允许范围内实现对拍。多地层脚本的物理计算和建模有效性得到全面证实。</w:t>
      </w:r>
    </w:p>
    <w:p>
      <w:pPr>
        <w:pStyle w:val="Heading2"/>
        <w:keepNext/>
        <w:spacing w:before="160" w:after="80"/>
      </w:pPr>
      <w:r>
        <w:rPr>
          <w:rFonts w:ascii="Calibri" w:hAnsi="Calibri" w:eastAsia="微软雅黑"/>
          <w:b/>
          <w:i w:val="0"/>
          <w:color w:val="1F4E79"/>
          <w:sz w:val="24"/>
        </w:rPr>
        <w:t>3.5 多地层自洽建模脚本的核心实现机制</w:t>
      </w:r>
    </w:p>
    <w:p>
      <w:pPr>
        <w:spacing w:before="40" w:after="40" w:line="276" w:lineRule="auto"/>
      </w:pPr>
      <w:r>
        <w:rPr>
          <w:rFonts w:ascii="Calibri" w:hAnsi="Calibri" w:eastAsia="微软雅黑"/>
          <w:b w:val="0"/>
          <w:i w:val="0"/>
          <w:sz w:val="21"/>
        </w:rPr>
        <w:t>多层脚本能精确复现层状斜坡的上述复杂物理现象，得益于以下四项核心底层实现：</w:t>
      </w:r>
    </w:p>
    <w:p>
      <w:pPr>
        <w:pStyle w:val="ListBullet"/>
        <w:spacing w:before="40" w:after="40" w:line="276" w:lineRule="auto"/>
      </w:pPr>
      <w:r>
        <w:rPr>
          <w:rFonts w:ascii="Calibri" w:hAnsi="Calibri" w:eastAsia="微软雅黑"/>
          <w:b/>
          <w:i w:val="0"/>
          <w:sz w:val="21"/>
        </w:rPr>
        <w:t>1. 小面质心带定位算法（_assign_sections_by_band）：</w:t>
      </w:r>
      <w:r>
        <w:rPr>
          <w:rFonts w:ascii="Calibri" w:hAnsi="Calibri" w:eastAsia="微软雅黑"/>
          <w:b w:val="0"/>
          <w:i w:val="0"/>
          <w:sz w:val="21"/>
        </w:rPr>
        <w:t>解决了斜坡被几何剖分切割后，大量不规则切分面（Face）自动且精确赋予对应材料属性的算法难题。</w:t>
      </w:r>
    </w:p>
    <w:p>
      <w:pPr>
        <w:pStyle w:val="ListBullet"/>
        <w:spacing w:before="40" w:after="40" w:line="276" w:lineRule="auto"/>
      </w:pPr>
      <w:r>
        <w:rPr>
          <w:rFonts w:ascii="Calibri" w:hAnsi="Calibri" w:eastAsia="微软雅黑"/>
          <w:b/>
          <w:i w:val="0"/>
          <w:sz w:val="21"/>
        </w:rPr>
        <w:t>2. 地形随动与等厚铺设（terrain）：</w:t>
      </w:r>
      <w:r>
        <w:rPr>
          <w:rFonts w:ascii="Calibri" w:hAnsi="Calibri" w:eastAsia="微软雅黑"/>
          <w:b w:val="0"/>
          <w:i w:val="0"/>
          <w:sz w:val="21"/>
        </w:rPr>
        <w:t>支持覆盖层线条完美随地表坡度起伏折偏，能够真实还原等厚表层覆盖层的地质结构。</w:t>
      </w:r>
    </w:p>
    <w:p>
      <w:pPr>
        <w:pStyle w:val="ListBullet"/>
        <w:spacing w:before="40" w:after="40" w:line="276" w:lineRule="auto"/>
      </w:pPr>
      <w:r>
        <w:rPr>
          <w:rFonts w:ascii="Calibri" w:hAnsi="Calibri" w:eastAsia="微软雅黑"/>
          <w:b/>
          <w:i w:val="0"/>
          <w:sz w:val="21"/>
        </w:rPr>
        <w:t>3. VAB 人工边界逐节点取材（pick_material）：</w:t>
      </w:r>
      <w:r>
        <w:rPr>
          <w:rFonts w:ascii="Calibri" w:hAnsi="Calibri" w:eastAsia="微软雅黑"/>
          <w:b w:val="0"/>
          <w:i w:val="0"/>
          <w:sz w:val="21"/>
        </w:rPr>
        <w:t>侧边界节点跨越了不同的材料层，脚本在生成人工边界刚度和阻力时，会动态提取该节点落入材料层的局部参数（ρ, G, cs, cp），实现局部阻抗的完全自适应匹配，杜绝了层界面的非物理伪反射。</w:t>
      </w:r>
    </w:p>
    <w:p>
      <w:pPr>
        <w:pStyle w:val="ListBullet"/>
        <w:spacing w:before="40" w:after="40" w:line="276" w:lineRule="auto"/>
      </w:pPr>
      <w:r>
        <w:rPr>
          <w:rFonts w:ascii="Calibri" w:hAnsi="Calibri" w:eastAsia="微软雅黑"/>
          <w:b/>
          <w:i w:val="0"/>
          <w:sz w:val="21"/>
        </w:rPr>
        <w:t>4. 瑞利阻尼层间一致性标定：</w:t>
      </w:r>
      <w:r>
        <w:rPr>
          <w:rFonts w:ascii="Calibri" w:hAnsi="Calibri" w:eastAsia="微软雅黑"/>
          <w:b w:val="0"/>
          <w:i w:val="0"/>
          <w:sz w:val="21"/>
        </w:rPr>
        <w:t>在频域解析和有限元域中，根据各层 Vs 自适应标定 Q 因子衰减，保证了等效输入力与模型内部介质吸收衰减的严格同口径。</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