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018ED0">
      <w:pPr>
        <w:spacing w:before="468" w:after="0"/>
        <w:ind w:left="420" w:right="420"/>
        <w:jc w:val="center"/>
      </w:pPr>
      <w:r>
        <w:rPr>
          <w:rFonts w:hint="eastAsia" w:ascii="Times New Roman" w:hAnsi="Times New Roman" w:eastAsia="宋体" w:cs="Times New Roman"/>
          <w:b/>
          <w:i w:val="0"/>
          <w:sz w:val="32"/>
        </w:rPr>
        <w:t>成层坡地地震动放大效应的幅值—相位联合表征、代理预测与真实地震动重构</w:t>
      </w:r>
      <w:r>
        <w:footnoteReference w:id="0"/>
      </w:r>
    </w:p>
    <w:p w14:paraId="3BE53207">
      <w:pPr>
        <w:spacing w:before="156" w:after="0"/>
        <w:ind w:left="420" w:right="420"/>
        <w:jc w:val="center"/>
      </w:pPr>
      <w:r>
        <w:rPr>
          <w:rFonts w:hint="eastAsia" w:ascii="Times New Roman" w:hAnsi="Times New Roman" w:eastAsia="仿宋" w:cs="Times New Roman"/>
          <w:b w:val="0"/>
          <w:i w:val="0"/>
          <w:sz w:val="24"/>
        </w:rPr>
        <w:t>【作者一】</w:t>
      </w:r>
      <w:r>
        <w:rPr>
          <w:rFonts w:hint="eastAsia" w:ascii="Times New Roman" w:hAnsi="Times New Roman" w:eastAsia="仿宋" w:cs="Times New Roman"/>
          <w:b w:val="0"/>
          <w:i w:val="0"/>
          <w:sz w:val="24"/>
          <w:vertAlign w:val="superscript"/>
        </w:rPr>
        <w:t>1</w:t>
      </w:r>
      <w:r>
        <w:rPr>
          <w:rFonts w:hint="eastAsia" w:ascii="Times New Roman" w:hAnsi="Times New Roman" w:eastAsia="仿宋" w:cs="Times New Roman"/>
          <w:b w:val="0"/>
          <w:i w:val="0"/>
          <w:sz w:val="24"/>
        </w:rPr>
        <w:t>，【作者二】</w:t>
      </w:r>
      <w:r>
        <w:rPr>
          <w:rFonts w:hint="eastAsia" w:ascii="Times New Roman" w:hAnsi="Times New Roman" w:eastAsia="仿宋" w:cs="Times New Roman"/>
          <w:b w:val="0"/>
          <w:i w:val="0"/>
          <w:sz w:val="24"/>
          <w:vertAlign w:val="superscript"/>
        </w:rPr>
        <w:t>1</w:t>
      </w:r>
      <w:r>
        <w:rPr>
          <w:rFonts w:hint="eastAsia" w:ascii="Times New Roman" w:hAnsi="Times New Roman" w:eastAsia="仿宋" w:cs="Times New Roman"/>
          <w:b w:val="0"/>
          <w:i w:val="0"/>
          <w:sz w:val="24"/>
        </w:rPr>
        <w:t>，【作者三】</w:t>
      </w:r>
      <w:r>
        <w:rPr>
          <w:rFonts w:hint="eastAsia" w:ascii="Times New Roman" w:hAnsi="Times New Roman" w:eastAsia="仿宋" w:cs="Times New Roman"/>
          <w:b w:val="0"/>
          <w:i w:val="0"/>
          <w:sz w:val="24"/>
          <w:vertAlign w:val="superscript"/>
        </w:rPr>
        <w:t>1</w:t>
      </w:r>
    </w:p>
    <w:p w14:paraId="5A1C23CE">
      <w:pPr>
        <w:spacing w:before="0" w:after="156"/>
        <w:ind w:left="420" w:right="420"/>
        <w:jc w:val="center"/>
      </w:pPr>
      <w:r>
        <w:rPr>
          <w:rFonts w:hint="eastAsia" w:ascii="Times New Roman" w:hAnsi="Times New Roman" w:eastAsia="宋体" w:cs="Times New Roman"/>
          <w:b w:val="0"/>
          <w:i w:val="0"/>
          <w:sz w:val="21"/>
        </w:rPr>
        <w:t>（1. 【单位全称，省 市 邮编】）</w:t>
      </w:r>
    </w:p>
    <w:p w14:paraId="7DB9FA43">
      <w:pPr>
        <w:ind w:left="420" w:right="420"/>
        <w:jc w:val="both"/>
      </w:pPr>
      <w:r>
        <w:rPr>
          <w:rFonts w:hint="eastAsia" w:ascii="Times New Roman" w:hAnsi="Times New Roman" w:eastAsia="黑体" w:cs="Times New Roman"/>
          <w:b w:val="0"/>
          <w:i w:val="0"/>
          <w:sz w:val="21"/>
        </w:rPr>
        <w:t>摘  要：</w:t>
      </w:r>
      <w:r>
        <w:rPr>
          <w:rFonts w:hint="eastAsia" w:ascii="Times New Roman" w:hAnsi="Times New Roman" w:eastAsia="楷体" w:cs="Times New Roman"/>
          <w:b w:val="0"/>
          <w:i w:val="0"/>
          <w:sz w:val="21"/>
        </w:rPr>
        <w:t xml:space="preserve">坡地地震动放大效应的现有研究多以峰值加速度（PGA）放大系数等标量指标刻画，场地传递函数所携带的相位信息长期被丢弃。本文以二维成层坡地地表水平复频响函数 </w:t>
      </w:r>
      <m:oMath>
        <m:sSub>
          <m:sSubPr/>
          <m:e>
            <m:r>
              <m:rPr/>
              <m:t>G</m:t>
            </m:r>
          </m:e>
          <m:sub>
            <m:r>
              <m:rPr/>
              <m:t>h</m:t>
            </m:r>
          </m:sub>
        </m:sSub>
        <m:r>
          <m:rPr>
            <m:sty m:val="p"/>
          </m:rPr>
          <m:t>(</m:t>
        </m:r>
        <m:r>
          <m:rPr/>
          <m:t>f</m:t>
        </m:r>
        <m:r>
          <m:rPr>
            <m:sty m:val="p"/>
          </m:rPr>
          <m:t>,</m:t>
        </m:r>
        <m:r>
          <m:rPr/>
          <m:t>s</m:t>
        </m:r>
        <m:r>
          <m:rPr>
            <m:sty m:val="p"/>
          </m:rPr>
          <m:t>)</m:t>
        </m:r>
      </m:oMath>
      <w:r>
        <w:rPr>
          <w:rFonts w:hint="eastAsia" w:ascii="Times New Roman" w:hAnsi="Times New Roman" w:eastAsia="楷体" w:cs="Times New Roman"/>
          <w:b w:val="0"/>
          <w:i w:val="0"/>
          <w:sz w:val="21"/>
        </w:rPr>
        <w:t xml:space="preserve"> 为主要研究对象：其幅值描述二维地表响应相对统一左侧一维自由场的放大，其解缠绕相位描述相对迟滞，二者联合构成对坡地线性地震响应的完整刻画。采用宽频多正弦信号对 4 个均质坡和 64 个成层坡主构型在 0.5～10 Hz 频带内进行系统识别，构型覆盖坡角 </w:t>
      </w:r>
      <m:oMath>
        <m:r>
          <m:rPr/>
          <m:t>i</m:t>
        </m:r>
        <m:r>
          <m:rPr>
            <m:sty m:val="p"/>
          </m:rPr>
          <m:t>=</m:t>
        </m:r>
        <m:sSup>
          <m:sSupPr/>
          <m:e>
            <m:r>
              <m:rPr/>
              <m:t>15</m:t>
            </m:r>
          </m:e>
          <m:sup>
            <m:r>
              <m:rPr>
                <m:sty m:val="p"/>
              </m:rPr>
              <m:t>∘</m:t>
            </m:r>
          </m:sup>
        </m:sSup>
        <m:r>
          <m:rPr>
            <m:sty m:val="p"/>
          </m:rPr>
          <m:t>∼</m:t>
        </m:r>
        <m:sSup>
          <m:sSupPr/>
          <m:e>
            <m:r>
              <m:rPr/>
              <m:t>60</m:t>
            </m:r>
          </m:e>
          <m:sup>
            <m:r>
              <m:rPr>
                <m:sty m:val="p"/>
              </m:rPr>
              <m:t>∘</m:t>
            </m:r>
          </m:sup>
        </m:sSup>
      </m:oMath>
      <w:r>
        <w:rPr>
          <w:rFonts w:hint="eastAsia" w:ascii="Times New Roman" w:hAnsi="Times New Roman" w:eastAsia="楷体" w:cs="Times New Roman"/>
          <w:b w:val="0"/>
          <w:i w:val="0"/>
          <w:sz w:val="21"/>
        </w:rPr>
        <w:t xml:space="preserve">、覆盖层厚度比 </w:t>
      </w:r>
      <m:oMath>
        <m:r>
          <m:rPr/>
          <m:t>d</m:t>
        </m:r>
        <m:r>
          <m:rPr>
            <m:sty m:val="p"/>
          </m:rPr>
          <m:t>/</m:t>
        </m:r>
        <m:r>
          <m:rPr/>
          <m:t>h</m:t>
        </m:r>
        <m:r>
          <m:rPr>
            <m:sty m:val="p"/>
          </m:rPr>
          <m:t>=</m:t>
        </m:r>
        <m:r>
          <m:rPr/>
          <m:t>0.20</m:t>
        </m:r>
        <m:r>
          <m:rPr>
            <m:sty m:val="p"/>
          </m:rPr>
          <m:t>∼</m:t>
        </m:r>
        <m:r>
          <m:rPr/>
          <m:t>1.40</m:t>
        </m:r>
      </m:oMath>
      <w:r>
        <w:rPr>
          <w:rFonts w:hint="eastAsia" w:ascii="Times New Roman" w:hAnsi="Times New Roman" w:eastAsia="楷体" w:cs="Times New Roman"/>
          <w:b w:val="0"/>
          <w:i w:val="0"/>
          <w:sz w:val="21"/>
        </w:rPr>
        <w:t xml:space="preserve">、波速比 </w:t>
      </w:r>
      <m:oMath>
        <m:sSub>
          <m:sSubPr/>
          <m:e>
            <m:r>
              <m:rPr/>
              <m:t>r</m:t>
            </m:r>
          </m:e>
          <m:sub>
            <m:r>
              <m:rPr/>
              <m:t>v</m:t>
            </m:r>
          </m:sub>
        </m:sSub>
        <m:r>
          <m:rPr>
            <m:sty m:val="p"/>
          </m:rPr>
          <m:t>=</m:t>
        </m:r>
        <m:r>
          <m:rPr/>
          <m:t>0.30</m:t>
        </m:r>
        <m:r>
          <m:rPr>
            <m:sty m:val="p"/>
          </m:rPr>
          <m:t>∼</m:t>
        </m:r>
        <m:r>
          <m:rPr/>
          <m:t>0.75</m:t>
        </m:r>
      </m:oMath>
      <w:r>
        <w:rPr>
          <w:rFonts w:hint="eastAsia" w:ascii="Times New Roman" w:hAnsi="Times New Roman" w:eastAsia="楷体" w:cs="Times New Roman"/>
          <w:b w:val="0"/>
          <w:i w:val="0"/>
          <w:sz w:val="21"/>
        </w:rPr>
        <w:t>，并另设 12 个训练外中间参数组合。主要结论如下：（1）16 条厚度参数序列中 9 条峰值放大呈非单调变化，</w:t>
      </w:r>
      <m:oMath>
        <m:r>
          <m:rPr/>
          <m:t>d</m:t>
        </m:r>
        <m:r>
          <m:rPr>
            <m:sty m:val="p"/>
          </m:rPr>
          <m:t>/</m:t>
        </m:r>
        <m:r>
          <m:rPr/>
          <m:t>h</m:t>
        </m:r>
      </m:oMath>
      <w:r>
        <w:rPr>
          <w:rFonts w:hint="eastAsia" w:ascii="Times New Roman" w:hAnsi="Times New Roman" w:eastAsia="楷体" w:cs="Times New Roman"/>
          <w:b w:val="0"/>
          <w:i w:val="0"/>
          <w:sz w:val="21"/>
        </w:rPr>
        <w:t xml:space="preserve"> 与 </w:t>
      </w:r>
      <m:oMath>
        <m:sSub>
          <m:sSubPr/>
          <m:e>
            <m:r>
              <m:rPr/>
              <m:t>r</m:t>
            </m:r>
          </m:e>
          <m:sub>
            <m:r>
              <m:rPr/>
              <m:t>v</m:t>
            </m:r>
          </m:sub>
        </m:sSub>
      </m:oMath>
      <w:r>
        <w:rPr>
          <w:rFonts w:hint="eastAsia" w:ascii="Times New Roman" w:hAnsi="Times New Roman" w:eastAsia="楷体" w:cs="Times New Roman"/>
          <w:b w:val="0"/>
          <w:i w:val="0"/>
          <w:sz w:val="21"/>
        </w:rPr>
        <w:t xml:space="preserve"> 联合驱动主峰频率迁移，固定坡角和波速比时的最大峰频跨度为 7.3 Hz；（2）无量纲场地特征频率 </w:t>
      </w:r>
      <m:oMath>
        <m:r>
          <m:rPr/>
          <m:t>χ</m:t>
        </m:r>
        <m:r>
          <m:rPr>
            <m:sty m:val="p"/>
          </m:rPr>
          <m:t>=</m:t>
        </m:r>
        <m:sSub>
          <m:sSubPr/>
          <m:e>
            <m:r>
              <m:rPr/>
              <m:t>r</m:t>
            </m:r>
          </m:e>
          <m:sub>
            <m:r>
              <m:rPr/>
              <m:t>v</m:t>
            </m:r>
          </m:sub>
        </m:sSub>
        <m:r>
          <m:rPr>
            <m:sty m:val="p"/>
          </m:rPr>
          <m:t>/[</m:t>
        </m:r>
        <m:r>
          <m:rPr/>
          <m:t>4</m:t>
        </m:r>
        <m:r>
          <m:rPr>
            <m:sty m:val="p"/>
          </m:rPr>
          <m:t>(</m:t>
        </m:r>
        <m:r>
          <m:rPr/>
          <m:t>d</m:t>
        </m:r>
        <m:r>
          <m:rPr>
            <m:sty m:val="p"/>
          </m:rPr>
          <m:t>/</m:t>
        </m:r>
        <m:r>
          <m:rPr/>
          <m:t>h</m:t>
        </m:r>
        <m:r>
          <m:rPr>
            <m:sty m:val="p"/>
          </m:rPr>
          <m:t>)]</m:t>
        </m:r>
      </m:oMath>
      <w:r>
        <w:rPr>
          <w:rFonts w:hint="eastAsia" w:ascii="Times New Roman" w:hAnsi="Times New Roman" w:eastAsia="楷体" w:cs="Times New Roman"/>
          <w:b w:val="0"/>
          <w:i w:val="0"/>
          <w:sz w:val="21"/>
        </w:rPr>
        <w:t xml:space="preserve"> 与覆盖层引起的相位、群时延修正具有强相关（Spearman 相关系数分别为 </w:t>
      </w:r>
      <m:oMath>
        <m:r>
          <m:rPr>
            <m:sty m:val="p"/>
          </m:rPr>
          <m:t>−</m:t>
        </m:r>
        <m:r>
          <m:rPr/>
          <m:t>0.940</m:t>
        </m:r>
      </m:oMath>
      <w:r>
        <w:rPr>
          <w:rFonts w:hint="eastAsia" w:ascii="Times New Roman" w:hAnsi="Times New Roman" w:eastAsia="楷体" w:cs="Times New Roman"/>
          <w:b w:val="0"/>
          <w:i w:val="0"/>
          <w:sz w:val="21"/>
        </w:rPr>
        <w:t xml:space="preserve"> 与 </w:t>
      </w:r>
      <m:oMath>
        <m:r>
          <m:rPr>
            <m:sty m:val="p"/>
          </m:rPr>
          <m:t>−</m:t>
        </m:r>
        <m:r>
          <m:rPr/>
          <m:t>0.922</m:t>
        </m:r>
      </m:oMath>
      <w:r>
        <w:rPr>
          <w:rFonts w:hint="eastAsia" w:ascii="Times New Roman" w:hAnsi="Times New Roman" w:eastAsia="楷体" w:cs="Times New Roman"/>
          <w:b w:val="0"/>
          <w:i w:val="0"/>
          <w:sz w:val="21"/>
        </w:rPr>
        <w:t>），明显强于其与净幅值修正的相关（</w:t>
      </w:r>
      <m:oMath>
        <m:r>
          <m:rPr/>
          <m:t>ρ</m:t>
        </m:r>
        <m:r>
          <m:rPr>
            <m:sty m:val="p"/>
          </m:rPr>
          <m:t>=−</m:t>
        </m:r>
        <m:r>
          <m:rPr/>
          <m:t>0.300</m:t>
        </m:r>
      </m:oMath>
      <w:r>
        <w:rPr>
          <w:rFonts w:hint="eastAsia" w:ascii="Times New Roman" w:hAnsi="Times New Roman" w:eastAsia="楷体" w:cs="Times New Roman"/>
          <w:b w:val="0"/>
          <w:i w:val="0"/>
          <w:sz w:val="21"/>
        </w:rPr>
        <w:t>）；（3）所建立的本征正交分解—高斯过程（POD-GPR）代理模型对 96×161 完整复数场的预测，在整工况五折交叉验证下中位加权复数误差为 27.1%，在 12 组训练外组合上为 26.4%；（4）基于代理复频响重构的 El Centro、Kobe 与 Chi-Chi 地震动，在 10 个不平衡的体系—记录组合上取得 9.8%的中位时程归一化均方根误差、0.995的相关系数、2.5%的PGA误差和0.002 s的峰值时刻误差，但4/10个组合以及52.8%的地表位置时程误差超过10%。误差集中于软厚覆盖层、坡面—下平台及高频段；提高 POD 截断阶数可降低交叉验证中位误差，但不能消除误差上尾，本文据此限定了模型的适用范围。</w:t>
      </w:r>
    </w:p>
    <w:p w14:paraId="57EB231F">
      <w:pPr>
        <w:ind w:left="420" w:right="420"/>
        <w:jc w:val="both"/>
      </w:pPr>
      <w:r>
        <w:rPr>
          <w:rFonts w:hint="eastAsia" w:ascii="Times New Roman" w:hAnsi="Times New Roman" w:eastAsia="黑体" w:cs="Times New Roman"/>
          <w:b w:val="0"/>
          <w:i w:val="0"/>
          <w:sz w:val="21"/>
        </w:rPr>
        <w:t>关键词：</w:t>
      </w:r>
      <w:r>
        <w:rPr>
          <w:rFonts w:hint="eastAsia" w:ascii="Times New Roman" w:hAnsi="Times New Roman" w:eastAsia="楷体" w:cs="Times New Roman"/>
          <w:b w:val="0"/>
          <w:i w:val="0"/>
          <w:sz w:val="21"/>
        </w:rPr>
        <w:t>成层坡地；地形效应；复频响函数；相位；代理模型；本征正交分解；高斯过程；地震动重构</w:t>
      </w:r>
    </w:p>
    <w:p w14:paraId="795E0C2F">
      <w:pPr>
        <w:ind w:left="420" w:right="420"/>
        <w:jc w:val="both"/>
      </w:pPr>
      <w:r>
        <w:rPr>
          <w:rFonts w:hint="eastAsia" w:ascii="Times New Roman" w:hAnsi="Times New Roman" w:eastAsia="黑体" w:cs="Times New Roman"/>
          <w:b w:val="0"/>
          <w:i w:val="0"/>
          <w:sz w:val="21"/>
        </w:rPr>
        <w:t>中图分类号：</w:t>
      </w:r>
      <w:r>
        <w:rPr>
          <w:rFonts w:hint="eastAsia" w:ascii="Times New Roman" w:hAnsi="Times New Roman" w:eastAsia="宋体" w:cs="Times New Roman"/>
          <w:b w:val="0"/>
          <w:i w:val="0"/>
          <w:sz w:val="21"/>
        </w:rPr>
        <w:t xml:space="preserve">TU43                </w:t>
      </w:r>
      <w:r>
        <w:rPr>
          <w:rFonts w:hint="eastAsia" w:ascii="Times New Roman" w:hAnsi="Times New Roman" w:eastAsia="黑体" w:cs="Times New Roman"/>
          <w:b w:val="0"/>
          <w:i w:val="0"/>
          <w:sz w:val="21"/>
        </w:rPr>
        <w:t>文献标志码：</w:t>
      </w:r>
      <w:r>
        <w:rPr>
          <w:rFonts w:hint="eastAsia" w:ascii="Times New Roman" w:hAnsi="Times New Roman" w:eastAsia="Times New Roman" w:cs="Times New Roman"/>
          <w:b w:val="0"/>
          <w:i w:val="0"/>
          <w:sz w:val="21"/>
        </w:rPr>
        <w:t>A</w:t>
      </w:r>
    </w:p>
    <w:p w14:paraId="2740878C">
      <w:pPr>
        <w:spacing w:before="312" w:after="0"/>
        <w:jc w:val="center"/>
      </w:pPr>
      <w:r>
        <w:rPr>
          <w:rFonts w:hint="eastAsia" w:ascii="Times New Roman" w:hAnsi="Times New Roman" w:eastAsia="Times New Roman" w:cs="Times New Roman"/>
          <w:b/>
          <w:i w:val="0"/>
          <w:sz w:val="28"/>
        </w:rPr>
        <w:t>Amplitude–phase joint characterization, surrogate prediction and ground-motion reconstruction of seismic amplification effects of layered slopes</w:t>
      </w:r>
    </w:p>
    <w:p w14:paraId="6563C9E4">
      <w:pPr>
        <w:spacing w:before="156" w:after="0"/>
        <w:jc w:val="center"/>
      </w:pPr>
      <w:r>
        <w:rPr>
          <w:rFonts w:hint="eastAsia" w:ascii="Times New Roman" w:hAnsi="Times New Roman" w:eastAsia="Times New Roman" w:cs="Times New Roman"/>
          <w:b w:val="0"/>
          <w:i w:val="0"/>
          <w:sz w:val="24"/>
        </w:rPr>
        <w:t>【AUTHOR 1】</w:t>
      </w:r>
      <w:r>
        <w:rPr>
          <w:rFonts w:hint="eastAsia" w:ascii="Times New Roman" w:hAnsi="Times New Roman" w:eastAsia="Times New Roman" w:cs="Times New Roman"/>
          <w:b w:val="0"/>
          <w:i w:val="0"/>
          <w:sz w:val="24"/>
          <w:vertAlign w:val="superscript"/>
        </w:rPr>
        <w:t>1</w:t>
      </w:r>
      <w:r>
        <w:rPr>
          <w:rFonts w:hint="eastAsia" w:ascii="Times New Roman" w:hAnsi="Times New Roman" w:eastAsia="Times New Roman" w:cs="Times New Roman"/>
          <w:b w:val="0"/>
          <w:i w:val="0"/>
          <w:sz w:val="24"/>
        </w:rPr>
        <w:t>, 【AUTHOR 2】</w:t>
      </w:r>
      <w:r>
        <w:rPr>
          <w:rFonts w:hint="eastAsia" w:ascii="Times New Roman" w:hAnsi="Times New Roman" w:eastAsia="Times New Roman" w:cs="Times New Roman"/>
          <w:b w:val="0"/>
          <w:i w:val="0"/>
          <w:sz w:val="24"/>
          <w:vertAlign w:val="superscript"/>
        </w:rPr>
        <w:t>1</w:t>
      </w:r>
      <w:r>
        <w:rPr>
          <w:rFonts w:hint="eastAsia" w:ascii="Times New Roman" w:hAnsi="Times New Roman" w:eastAsia="Times New Roman" w:cs="Times New Roman"/>
          <w:b w:val="0"/>
          <w:i w:val="0"/>
          <w:sz w:val="24"/>
        </w:rPr>
        <w:t>, 【AUTHOR 3】</w:t>
      </w:r>
      <w:r>
        <w:rPr>
          <w:rFonts w:hint="eastAsia" w:ascii="Times New Roman" w:hAnsi="Times New Roman" w:eastAsia="Times New Roman" w:cs="Times New Roman"/>
          <w:b w:val="0"/>
          <w:i w:val="0"/>
          <w:sz w:val="24"/>
          <w:vertAlign w:val="superscript"/>
        </w:rPr>
        <w:t>1</w:t>
      </w:r>
    </w:p>
    <w:p w14:paraId="27AB00E5">
      <w:pPr>
        <w:spacing w:before="0" w:after="156"/>
        <w:jc w:val="center"/>
      </w:pPr>
      <w:r>
        <w:rPr>
          <w:rFonts w:hint="eastAsia" w:ascii="Times New Roman" w:hAnsi="Times New Roman" w:eastAsia="Times New Roman" w:cs="Times New Roman"/>
          <w:b w:val="0"/>
          <w:i w:val="0"/>
          <w:sz w:val="21"/>
        </w:rPr>
        <w:t>(1. 【Affiliation, City, Postcode, China】)</w:t>
      </w:r>
    </w:p>
    <w:p w14:paraId="09B6D612">
      <w:pPr>
        <w:jc w:val="both"/>
      </w:pPr>
      <w:r>
        <w:rPr>
          <w:rFonts w:hint="eastAsia" w:ascii="Times New Roman" w:hAnsi="Times New Roman" w:eastAsia="Times New Roman" w:cs="Times New Roman"/>
          <w:b/>
          <w:i w:val="0"/>
          <w:sz w:val="21"/>
        </w:rPr>
        <w:t xml:space="preserve">Abstract: </w:t>
      </w:r>
      <w:r>
        <w:rPr>
          <w:rFonts w:hint="eastAsia" w:ascii="Times New Roman" w:hAnsi="Times New Roman" w:eastAsia="Times New Roman" w:cs="Times New Roman"/>
          <w:b w:val="0"/>
          <w:i w:val="0"/>
          <w:sz w:val="21"/>
        </w:rPr>
        <w:t>Topographic seismic amplification is routinely quantified by scalar measures such as the peak ground acceleration (PGA) amplification factor, while the phase information carried by the site transfer function is usually discarded. This paper takes the horizontal complex frequency-response function (FRF) G_h(f,s) of two-dimensional layered slopes as the primary object: its amplitude describes the two-dimensional surface response relative to a single left-side one-dimensional free field, and its unwrapped phase describes the corresponding relative delay. A broadband multi-sine signal is used to identify the linear system over 0.5–10 Hz for four homogeneous and 64 layered primary configurations spanning slope angle i=15°–60°, cover-layer thickness ratio d/h=0.20–1.40 and velocity ratio r_v=0.30–0.75; 12 training-excluded intermediate combinations are additionally evaluated. The main findings are as follows. (1) Nine of the 16 thickness-parameter sequences show non-monotonic peak amplification, and the largest dominant-frequency span at fixed slope angle and velocity ratio is 7.3 Hz. (2) The dimensionless site frequency χ=r_v/(4·d/h) is strongly correlated with the phase and group-delay corrections (Spearman ρ=−0.940 and −0.922), much more strongly than with the net amplitude correction (ρ=−0.300). (3) The proposed proper orthogonal decomposition–Gaussian process (POD-GPR) surrogate predicts the full 96×161 complex field with a median weighted complex error of 27.1% in five-fold cross-validation and 26.4% on the 12 training-excluded combinations. (4) For ten unbalanced system–record combinations involving El Centro, Kobe and Chi-Chi motions, surrogate-FRF reconstruction yields a median time-history normalized root-mean-square error of 9.8%, a correlation of 0.995, a PGA error of 2.5% and a peak-time error of 0.002 s; nevertheless, the time-history error exceeds 10% in four of ten combinations and at 52.8% of all surface locations. Errors concentrate in soft-thick cover, slope and lower-platform regions, and the high-frequency band. Increasing the POD truncation order reduces the cross-validation median but does not remove the upper error tail, thereby delimiting the surrogate's applicable range.</w:t>
      </w:r>
    </w:p>
    <w:p w14:paraId="251F2404">
      <w:pPr>
        <w:spacing w:after="120"/>
        <w:jc w:val="both"/>
        <w:sectPr>
          <w:type w:val="continuous"/>
          <w:pgSz w:w="11906" w:h="16838"/>
          <w:pgMar w:top="1418" w:right="1134" w:bottom="1418" w:left="1134" w:header="851" w:footer="992" w:gutter="0"/>
          <w:cols w:space="425" w:num="1"/>
          <w:docGrid w:type="lines" w:linePitch="312" w:charSpace="0"/>
        </w:sectPr>
      </w:pPr>
      <w:r>
        <w:rPr>
          <w:rFonts w:hint="eastAsia" w:ascii="Times New Roman" w:hAnsi="Times New Roman" w:eastAsia="Times New Roman" w:cs="Times New Roman"/>
          <w:b/>
          <w:i w:val="0"/>
          <w:sz w:val="21"/>
        </w:rPr>
        <w:t xml:space="preserve">Keywords: </w:t>
      </w:r>
      <w:r>
        <w:rPr>
          <w:rFonts w:hint="eastAsia" w:ascii="Times New Roman" w:hAnsi="Times New Roman" w:eastAsia="Times New Roman" w:cs="Times New Roman"/>
          <w:b w:val="0"/>
          <w:i w:val="0"/>
          <w:sz w:val="21"/>
        </w:rPr>
        <w:t>layered slope; topographic effect; complex frequency-response function; phase; surrogate model; proper orthogonal decomposition; Gaussian process; ground-motion reconstruction</w:t>
      </w:r>
    </w:p>
    <w:p w14:paraId="5805809B">
      <w:pPr>
        <w:keepNext w:val="0"/>
        <w:keepLines w:val="0"/>
        <w:pageBreakBefore w:val="0"/>
        <w:widowControl w:val="0"/>
        <w:kinsoku/>
        <w:wordWrap/>
        <w:overflowPunct/>
        <w:topLinePunct w:val="0"/>
        <w:autoSpaceDE/>
        <w:autoSpaceDN/>
        <w:bidi w:val="0"/>
        <w:adjustRightInd/>
        <w:snapToGrid/>
        <w:spacing w:before="312" w:after="60"/>
        <w:ind w:firstLine="0"/>
        <w:jc w:val="left"/>
        <w:textAlignment w:val="auto"/>
        <w:outlineLvl w:val="0"/>
      </w:pPr>
      <w:r>
        <w:rPr>
          <w:rFonts w:hint="eastAsia" w:ascii="Times New Roman" w:hAnsi="Times New Roman" w:eastAsia="宋体" w:cs="Times New Roman"/>
          <w:b/>
          <w:i w:val="0"/>
          <w:sz w:val="28"/>
        </w:rPr>
        <w:t>1 引 言</w:t>
      </w:r>
    </w:p>
    <w:p w14:paraId="50C5B31E">
      <w:pPr>
        <w:spacing w:before="0" w:after="0"/>
        <w:ind w:firstLine="420"/>
        <w:jc w:val="both"/>
      </w:pPr>
      <w:r>
        <w:rPr>
          <w:rFonts w:hint="eastAsia" w:ascii="Times New Roman" w:hAnsi="Times New Roman" w:eastAsia="宋体" w:cs="Times New Roman"/>
          <w:b w:val="0"/>
          <w:i w:val="0"/>
          <w:sz w:val="21"/>
        </w:rPr>
        <w:t>山地地震中，相隔很近的坡顶、坡脚和平台位置常出现明显不同的地震动与震害。1971年 San Fernando 地震余震观测表明，当地震波长与山体尺度接近时，山顶响应最为显著</w:t>
      </w:r>
      <w:r>
        <w:rPr>
          <w:rFonts w:hint="eastAsia" w:ascii="Times New Roman" w:hAnsi="Times New Roman" w:eastAsia="宋体" w:cs="Times New Roman"/>
          <w:b w:val="0"/>
          <w:i w:val="0"/>
          <w:sz w:val="21"/>
          <w:vertAlign w:val="superscript"/>
        </w:rPr>
        <w:t>[1]</w:t>
      </w:r>
      <w:r>
        <w:rPr>
          <w:rFonts w:hint="eastAsia" w:ascii="Times New Roman" w:hAnsi="Times New Roman" w:eastAsia="宋体" w:cs="Times New Roman"/>
          <w:b w:val="0"/>
          <w:i w:val="0"/>
          <w:sz w:val="21"/>
        </w:rPr>
        <w:t>；1985年智利地震后的谱比分析在受损山脊定位到稳定放大</w:t>
      </w:r>
      <w:r>
        <w:rPr>
          <w:rFonts w:hint="eastAsia" w:ascii="Times New Roman" w:hAnsi="Times New Roman" w:eastAsia="宋体" w:cs="Times New Roman"/>
          <w:b w:val="0"/>
          <w:i w:val="0"/>
          <w:sz w:val="21"/>
          <w:vertAlign w:val="superscript"/>
        </w:rPr>
        <w:t>[2]</w:t>
      </w:r>
      <w:r>
        <w:rPr>
          <w:rFonts w:hint="eastAsia" w:ascii="Times New Roman" w:hAnsi="Times New Roman" w:eastAsia="宋体" w:cs="Times New Roman"/>
          <w:b w:val="0"/>
          <w:i w:val="0"/>
          <w:sz w:val="21"/>
        </w:rPr>
        <w:t>；Geli等</w:t>
      </w:r>
      <w:r>
        <w:rPr>
          <w:rFonts w:hint="eastAsia" w:ascii="Times New Roman" w:hAnsi="Times New Roman" w:eastAsia="宋体" w:cs="Times New Roman"/>
          <w:b w:val="0"/>
          <w:i w:val="0"/>
          <w:sz w:val="21"/>
          <w:vertAlign w:val="superscript"/>
        </w:rPr>
        <w:t>[3]</w:t>
      </w:r>
      <w:r>
        <w:rPr>
          <w:rFonts w:hint="eastAsia" w:ascii="Times New Roman" w:hAnsi="Times New Roman" w:eastAsia="宋体" w:cs="Times New Roman"/>
          <w:b w:val="0"/>
          <w:i w:val="0"/>
          <w:sz w:val="21"/>
        </w:rPr>
        <w:t>对观测和数值结果的综述进一步指出，地形效应与山体几何、波长及入射方向共同有关。国内震害调查也记录到孤立山体山顶加速度接近山脚两倍的现象</w:t>
      </w:r>
      <w:r>
        <w:rPr>
          <w:rFonts w:hint="eastAsia" w:ascii="Times New Roman" w:hAnsi="Times New Roman" w:eastAsia="宋体" w:cs="Times New Roman"/>
          <w:b w:val="0"/>
          <w:i w:val="0"/>
          <w:sz w:val="21"/>
          <w:vertAlign w:val="superscript"/>
        </w:rPr>
        <w:t>[4]</w:t>
      </w:r>
      <w:r>
        <w:rPr>
          <w:rFonts w:hint="eastAsia" w:ascii="Times New Roman" w:hAnsi="Times New Roman" w:eastAsia="宋体" w:cs="Times New Roman"/>
          <w:b w:val="0"/>
          <w:i w:val="0"/>
          <w:sz w:val="21"/>
        </w:rPr>
        <w:t>。这些证据促使抗震规范采用地形放大系数修正平坦场地设计地震动。欧洲抗震设计规范（Eurocode 8，EC8）对孤立悬崖、边坡和山脊给出不小于1.2～1.4的建议值</w:t>
      </w:r>
      <w:r>
        <w:rPr>
          <w:rFonts w:hint="eastAsia" w:ascii="Times New Roman" w:hAnsi="Times New Roman" w:eastAsia="宋体" w:cs="Times New Roman"/>
          <w:b w:val="0"/>
          <w:i w:val="0"/>
          <w:sz w:val="21"/>
          <w:vertAlign w:val="superscript"/>
        </w:rPr>
        <w:t>[5]</w:t>
      </w:r>
      <w:r>
        <w:rPr>
          <w:rFonts w:hint="eastAsia" w:ascii="Times New Roman" w:hAnsi="Times New Roman" w:eastAsia="宋体" w:cs="Times New Roman"/>
          <w:b w:val="0"/>
          <w:i w:val="0"/>
          <w:sz w:val="21"/>
        </w:rPr>
        <w:t>；我国《建筑抗震设计规范》按地形突出程度、坡度和场地条件采用1.1～1.6的增大系数</w:t>
      </w:r>
      <w:r>
        <w:rPr>
          <w:rFonts w:hint="eastAsia" w:ascii="Times New Roman" w:hAnsi="Times New Roman" w:eastAsia="宋体" w:cs="Times New Roman"/>
          <w:b w:val="0"/>
          <w:i w:val="0"/>
          <w:sz w:val="21"/>
          <w:vertAlign w:val="superscript"/>
        </w:rPr>
        <w:t>[6]</w:t>
      </w:r>
      <w:r>
        <w:rPr>
          <w:rFonts w:hint="eastAsia" w:ascii="Times New Roman" w:hAnsi="Times New Roman" w:eastAsia="宋体" w:cs="Times New Roman"/>
          <w:b w:val="0"/>
          <w:i w:val="0"/>
          <w:sz w:val="21"/>
        </w:rPr>
        <w:t>。标量系数便于设计使用，却把原本随频率和空间变化的波动问题压缩为一个数。</w:t>
      </w:r>
    </w:p>
    <w:p w14:paraId="03B4CBAF">
      <w:pPr>
        <w:spacing w:before="0" w:after="0"/>
        <w:ind w:firstLine="420"/>
        <w:jc w:val="both"/>
      </w:pPr>
      <w:r>
        <w:rPr>
          <w:rFonts w:hint="eastAsia" w:ascii="Times New Roman" w:hAnsi="Times New Roman" w:eastAsia="宋体" w:cs="Times New Roman"/>
          <w:b w:val="0"/>
          <w:i w:val="0"/>
          <w:sz w:val="21"/>
        </w:rPr>
        <w:t>这种压缩在工程初筛中有其合理性，却难以回答两个更具体的问题。一是同一坡体上究竟哪些位置、哪些频率构成不利组合；二是当输入波的频谱组成改变时，既有的放大系数能否继续代表实际时程。对于一座给定边坡，坡顶的最大加速度可能主要由中频成分控制，坡面局部峰值却可能出现在更高频带；即使两处的谱幅接近，传播路径造成的相位差也会改变峰值叠加。因此，从规范系数进一步走向频率—空间联合描述，并不是否定标量指标，而是要说明标量结果从何而来、在何种输入和位置上成立，以及它在设计域之外为何可能失效。</w:t>
      </w:r>
    </w:p>
    <w:p w14:paraId="2D1A4743">
      <w:pPr>
        <w:spacing w:before="0" w:after="0"/>
        <w:ind w:firstLine="420"/>
        <w:jc w:val="both"/>
      </w:pPr>
      <w:r>
        <w:rPr>
          <w:rFonts w:hint="eastAsia" w:ascii="Times New Roman" w:hAnsi="Times New Roman" w:eastAsia="宋体" w:cs="Times New Roman"/>
          <w:b w:val="0"/>
          <w:i w:val="0"/>
          <w:sz w:val="21"/>
        </w:rPr>
        <w:t>数值模拟和近年震害资料均提示，单一规范系数未必覆盖所有不利组合。均质弹性岩坡在特定几何参数下的峰值放大可达1.93</w:t>
      </w:r>
      <w:r>
        <w:rPr>
          <w:rFonts w:hint="eastAsia" w:ascii="Times New Roman" w:hAnsi="Times New Roman" w:eastAsia="宋体" w:cs="Times New Roman"/>
          <w:b w:val="0"/>
          <w:i w:val="0"/>
          <w:sz w:val="21"/>
          <w:vertAlign w:val="superscript"/>
        </w:rPr>
        <w:t>[7]</w:t>
      </w:r>
      <w:r>
        <w:rPr>
          <w:rFonts w:hint="eastAsia" w:ascii="Times New Roman" w:hAnsi="Times New Roman" w:eastAsia="宋体" w:cs="Times New Roman"/>
          <w:b w:val="0"/>
          <w:i w:val="0"/>
          <w:sz w:val="21"/>
        </w:rPr>
        <w:t>；考虑斜入射后，竖直偏振剪切波（SV波）30°入射的平均谱放大可超过2，最大PGA放大可达到垂直入射的1.4～2.2倍</w:t>
      </w:r>
      <w:r>
        <w:rPr>
          <w:rFonts w:hint="eastAsia" w:ascii="Times New Roman" w:hAnsi="Times New Roman" w:eastAsia="宋体" w:cs="Times New Roman"/>
          <w:b w:val="0"/>
          <w:i w:val="0"/>
          <w:sz w:val="21"/>
          <w:vertAlign w:val="superscript"/>
        </w:rPr>
        <w:t>[8,24]</w:t>
      </w:r>
      <w:r>
        <w:rPr>
          <w:rFonts w:hint="eastAsia" w:ascii="Times New Roman" w:hAnsi="Times New Roman" w:eastAsia="宋体" w:cs="Times New Roman"/>
          <w:b w:val="0"/>
          <w:i w:val="0"/>
          <w:sz w:val="21"/>
        </w:rPr>
        <w:t>。2022年泸定6.8级地震中，磨西台地边缘附近结构与远离台缘结构呈现显著不同的破坏程度</w:t>
      </w:r>
      <w:r>
        <w:rPr>
          <w:rFonts w:hint="eastAsia" w:ascii="Times New Roman" w:hAnsi="Times New Roman" w:eastAsia="宋体" w:cs="Times New Roman"/>
          <w:b w:val="0"/>
          <w:i w:val="0"/>
          <w:sz w:val="21"/>
          <w:vertAlign w:val="superscript"/>
        </w:rPr>
        <w:t>[9-11]</w:t>
      </w:r>
      <w:r>
        <w:rPr>
          <w:rFonts w:hint="eastAsia" w:ascii="Times New Roman" w:hAnsi="Times New Roman" w:eastAsia="宋体" w:cs="Times New Roman"/>
          <w:b w:val="0"/>
          <w:i w:val="0"/>
          <w:sz w:val="21"/>
        </w:rPr>
        <w:t>，说明地形边缘效应能够在很短距离内改变工程输入。此类差异不是把平坦场地时程整体乘以固定系数就能完全描述：不同位置的控制频带可能不同，某一位置在一段频率内放大，在另一段频率内又可能削弱；最大响应位置也可能随频率在坡顶、坡面和平台之间迁移。</w:t>
      </w:r>
    </w:p>
    <w:p w14:paraId="3694C6A7">
      <w:pPr>
        <w:spacing w:before="0" w:after="0"/>
        <w:ind w:firstLine="420"/>
        <w:jc w:val="both"/>
      </w:pPr>
      <w:r>
        <w:rPr>
          <w:rFonts w:hint="eastAsia" w:ascii="Times New Roman" w:hAnsi="Times New Roman" w:eastAsia="宋体" w:cs="Times New Roman"/>
          <w:b w:val="0"/>
          <w:i w:val="0"/>
          <w:sz w:val="21"/>
        </w:rPr>
        <w:t>要比较这些空间差异，首先还需明确“相对于什么放大”。坡地表面没有与每个二维监测点一一对应的天然平坦场地，数值研究通常用一维自由场作为基准。如果上、下平台分别除以不同的一维柱响应，所得比值同时包含坡体作用和参考场切换，两侧自由场之间哪怕只有有限的幅相差，也会在分区交界处表现为突变。这样的分界不是坡体本身突然改变了传播规律，而是归一化分母发生了变化。本文因而把左侧一维自由场固定为全地表唯一参考：上平台、坡面和下平台都使用同一复数分母。统一参考并不要求两侧绝对运动相同，其作用是使空间曲线的变化只由二维响应本身决定，从而可以连续追踪控制位置由上平台向坡面或下平台迁移的过程。</w:t>
      </w:r>
    </w:p>
    <w:p w14:paraId="2AE9CDEC">
      <w:pPr>
        <w:spacing w:before="0" w:after="0"/>
        <w:ind w:firstLine="420"/>
        <w:jc w:val="both"/>
      </w:pPr>
      <w:r>
        <w:rPr>
          <w:rFonts w:hint="eastAsia" w:ascii="Times New Roman" w:hAnsi="Times New Roman" w:eastAsia="宋体" w:cs="Times New Roman"/>
          <w:b w:val="0"/>
          <w:i w:val="0"/>
          <w:sz w:val="21"/>
        </w:rPr>
        <w:t>需要说明的是，在已有左、右一维结果中选取哪一个作为归一化分母，属于响应提取阶段，不会改变有限元模型内已经求得的位移、速度或加速度，也不会反向影响波在坡体中的传播。改变参考分母会改变放大倍数及其幅相表示，却不会改变二维地表绝对响应。本文采用左侧自由场，并不是认定它在所有位置都等同于局部平坦场地，而是选择一个贯穿全域、物理含义固定的入射基准。这样既保留了上下平台相对该基准的真实差异，也避免把两个不同基准的商拼接成一条貌似连续的空间曲线。因而后文所有“放大”“削弱”和“修正量”均应理解为相对统一左侧自由场的结果。</w:t>
      </w:r>
    </w:p>
    <w:p w14:paraId="04A18AAA">
      <w:pPr>
        <w:spacing w:before="0" w:after="0"/>
        <w:ind w:firstLine="420"/>
        <w:jc w:val="both"/>
      </w:pPr>
      <w:r>
        <w:rPr>
          <w:rFonts w:hint="eastAsia" w:ascii="Times New Roman" w:hAnsi="Times New Roman" w:eastAsia="宋体" w:cs="Times New Roman"/>
          <w:b w:val="0"/>
          <w:i w:val="0"/>
          <w:sz w:val="21"/>
        </w:rPr>
        <w:t>空间位置的表达同样影响参数之间能否比较。不同坡角对应不同坡面长度，直接按水平坐标作图，会把几何尺寸变化和响应位置变化混在一起。本文采用沿折线地表分段定义的无量纲坐标，将上平台、坡面和下平台映射到共同的分段坐标中。这样处理后，“坡顶”“坡面中部”和“坡脚外侧”在不同构型间具有一致的物理含义，既能比较固定位置的频谱，也能比较固定频率下峰值位置的迁移。统一参考场和统一空间坐标共同构成后续参数分析的口径基础，二者缺一都会削弱不同构型之间的可比性。</w:t>
      </w:r>
    </w:p>
    <w:p w14:paraId="395F40B3">
      <w:pPr>
        <w:spacing w:before="0" w:after="0"/>
        <w:ind w:firstLine="420"/>
        <w:jc w:val="both"/>
      </w:pPr>
      <w:r>
        <w:rPr>
          <w:rFonts w:hint="eastAsia" w:ascii="Times New Roman" w:hAnsi="Times New Roman" w:eastAsia="宋体" w:cs="Times New Roman"/>
          <w:b w:val="0"/>
          <w:i w:val="0"/>
          <w:sz w:val="21"/>
        </w:rPr>
        <w:t>现有坡地研究最常使用PGA放大系数、反应谱比或若干频率处的傅里叶谱比</w:t>
      </w:r>
      <w:r>
        <w:rPr>
          <w:rFonts w:hint="eastAsia" w:ascii="Times New Roman" w:hAnsi="Times New Roman" w:eastAsia="宋体" w:cs="Times New Roman"/>
          <w:b w:val="0"/>
          <w:i w:val="0"/>
          <w:sz w:val="21"/>
          <w:vertAlign w:val="superscript"/>
        </w:rPr>
        <w:t>[12-13]</w:t>
      </w:r>
      <w:r>
        <w:rPr>
          <w:rFonts w:hint="eastAsia" w:ascii="Times New Roman" w:hAnsi="Times New Roman" w:eastAsia="宋体" w:cs="Times New Roman"/>
          <w:b w:val="0"/>
          <w:i w:val="0"/>
          <w:sz w:val="21"/>
        </w:rPr>
        <w:t>。这些指标回答了“响应有多大”，但通常没有保留二维响应相对于参考场的复数相位。对线性系统而言，幅值和相位共同决定输出时程：幅值确定各频率分量的权重，相位确定它们在时间域如何叠加。两条传递函数即使幅值完全相同，只要相位不同，也会产生不同的峰值时刻、波形和反应谱。坡顶PGA是所有频率分量在一个时刻叠加后的结果，无法反推出每个频带的传播迟滞；在相同线性假定和适用频带内，只预测谱幅也不能唯一重构不同输入地震动。因此，将坡地作用表述为完整复频响函数，不是增加一个附属指标，而是把“参数规律”和“真实波时程预测”置于同一线性系统框架中的必要条件。</w:t>
      </w:r>
    </w:p>
    <w:p w14:paraId="012C043B">
      <w:pPr>
        <w:spacing w:before="0" w:after="0"/>
        <w:ind w:firstLine="420"/>
        <w:jc w:val="both"/>
      </w:pPr>
      <w:r>
        <w:rPr>
          <w:rFonts w:hint="eastAsia" w:ascii="Times New Roman" w:hAnsi="Times New Roman" w:eastAsia="宋体" w:cs="Times New Roman"/>
          <w:b w:val="0"/>
          <w:i w:val="0"/>
          <w:sz w:val="21"/>
        </w:rPr>
        <w:t>在这一框架中，复频响的幅值给出二维地表运动相对统一自由场的放大或削弱，相位则保留传播、散射与局部共振共同造成的相对时移。对展开相位沿频率求导，可以进一步得到群时延，用于辨认某一频带内波包是相对提前还是滞后；对复频响沿地表坐标求梯度，则可以定位响应变化最集中的空间区段。幅值峰值、峰值频率、峰值位置、相位和群时延并非彼此独立的五套指标，而是同一复数场从不同角度给出的描述。把它们放在同一张频率—空间图上，才能判断某个高幅值究竟是稳定的宽频放大，还是由窄带峰值、相位快速旋转或边界频率截断造成的表观极值。</w:t>
      </w:r>
    </w:p>
    <w:p w14:paraId="691FEC27">
      <w:pPr>
        <w:spacing w:before="0" w:after="0"/>
        <w:ind w:firstLine="420"/>
        <w:jc w:val="both"/>
      </w:pPr>
      <w:r>
        <w:rPr>
          <w:rFonts w:hint="eastAsia" w:ascii="Times New Roman" w:hAnsi="Times New Roman" w:eastAsia="宋体" w:cs="Times New Roman"/>
          <w:b w:val="0"/>
          <w:i w:val="0"/>
          <w:sz w:val="21"/>
        </w:rPr>
        <w:t>复频响还提供了连接宽频系统识别和真实地震波响应的直接通道。宽频输入用于一次性激发研究频带内的多个频率成分，由输入与输出的复谱比识别坡地传递关系；在线性、相同入射条件且输入主要能量位于0.5～10 Hz的前提下，该传递关系可用于其他地震记录。将真实波对应的一维自由场频谱与预测复频响相乘，便可恢复二维地表频谱和时程。由此，参数研究阶段不必为每条地震波重复遍历全部几何与材料组合，真实波闭环又能检验频域误差经过输入能量加权后是否会影响PGA、峰值时刻和反应谱。物理分析定义并解释代理模型要学习的对象，代理预测则检验这一对象是否足以服务时域计算。</w:t>
      </w:r>
    </w:p>
    <w:p w14:paraId="3892DD22">
      <w:pPr>
        <w:spacing w:before="0" w:after="0"/>
        <w:ind w:firstLine="420"/>
        <w:jc w:val="both"/>
      </w:pPr>
      <w:r>
        <w:rPr>
          <w:rFonts w:hint="eastAsia" w:ascii="Times New Roman" w:hAnsi="Times New Roman" w:eastAsia="宋体" w:cs="Times New Roman"/>
          <w:b w:val="0"/>
          <w:i w:val="0"/>
          <w:sz w:val="21"/>
        </w:rPr>
        <w:t>天然坡地还常有厚度和刚度不均的近地表覆盖层。现场观测将部分山脊异常响应归因于地形与近地表成层的共同作用</w:t>
      </w:r>
      <w:r>
        <w:rPr>
          <w:rFonts w:hint="eastAsia" w:ascii="Times New Roman" w:hAnsi="Times New Roman" w:eastAsia="宋体" w:cs="Times New Roman"/>
          <w:b w:val="0"/>
          <w:i w:val="0"/>
          <w:sz w:val="21"/>
          <w:vertAlign w:val="superscript"/>
        </w:rPr>
        <w:t>[14-15]</w:t>
      </w:r>
      <w:r>
        <w:rPr>
          <w:rFonts w:hint="eastAsia" w:ascii="Times New Roman" w:hAnsi="Times New Roman" w:eastAsia="宋体" w:cs="Times New Roman"/>
          <w:b w:val="0"/>
          <w:i w:val="0"/>
          <w:sz w:val="21"/>
        </w:rPr>
        <w:t>；数值研究表明，软弱表层可以显著重塑纯地形放大，地形与地层效应并不总能按两个独立系数相乘或相加</w:t>
      </w:r>
      <w:r>
        <w:rPr>
          <w:rFonts w:hint="eastAsia" w:ascii="Times New Roman" w:hAnsi="Times New Roman" w:eastAsia="宋体" w:cs="Times New Roman"/>
          <w:b w:val="0"/>
          <w:i w:val="0"/>
          <w:sz w:val="21"/>
          <w:vertAlign w:val="superscript"/>
        </w:rPr>
        <w:t>[16-19]</w:t>
      </w:r>
      <w:r>
        <w:rPr>
          <w:rFonts w:hint="eastAsia" w:ascii="Times New Roman" w:hAnsi="Times New Roman" w:eastAsia="宋体" w:cs="Times New Roman"/>
          <w:b w:val="0"/>
          <w:i w:val="0"/>
          <w:sz w:val="21"/>
        </w:rPr>
        <w:t>。2008年希腊 Achaia-Ilia 地震的坡地震害分析发现，规范式解耦处理会在特定周期带低估响应</w:t>
      </w:r>
      <w:r>
        <w:rPr>
          <w:rFonts w:hint="eastAsia" w:ascii="Times New Roman" w:hAnsi="Times New Roman" w:eastAsia="宋体" w:cs="Times New Roman"/>
          <w:b w:val="0"/>
          <w:i w:val="0"/>
          <w:sz w:val="21"/>
          <w:vertAlign w:val="superscript"/>
        </w:rPr>
        <w:t>[20]</w:t>
      </w:r>
      <w:r>
        <w:rPr>
          <w:rFonts w:hint="eastAsia" w:ascii="Times New Roman" w:hAnsi="Times New Roman" w:eastAsia="宋体" w:cs="Times New Roman"/>
          <w:b w:val="0"/>
          <w:i w:val="0"/>
          <w:sz w:val="21"/>
        </w:rPr>
        <w:t>；现场监测与高分辨率模拟的联合研究甚至给出近地表成层使局部放大由不足3增至5～6的情形</w:t>
      </w:r>
      <w:r>
        <w:rPr>
          <w:rFonts w:hint="eastAsia" w:ascii="Times New Roman" w:hAnsi="Times New Roman" w:eastAsia="宋体" w:cs="Times New Roman"/>
          <w:b w:val="0"/>
          <w:i w:val="0"/>
          <w:sz w:val="21"/>
          <w:vertAlign w:val="superscript"/>
        </w:rPr>
        <w:t>[21]</w:t>
      </w:r>
      <w:r>
        <w:rPr>
          <w:rFonts w:hint="eastAsia" w:ascii="Times New Roman" w:hAnsi="Times New Roman" w:eastAsia="宋体" w:cs="Times New Roman"/>
          <w:b w:val="0"/>
          <w:i w:val="0"/>
          <w:sz w:val="21"/>
        </w:rPr>
        <w:t>。覆盖层四分之一波长频率随厚度和剪切波速改变，坡体散射频率又受坡高、坡角和坡面尺度控制。当两类频率接近时，局部幅值、相位和峰位都可能发生重排，因而“覆盖层越厚放大越强”或“波速越低放大越强”只能作为待检验的局部趋势，不能预设为整个参数域的结论。</w:t>
      </w:r>
    </w:p>
    <w:p w14:paraId="1B87295D">
      <w:pPr>
        <w:spacing w:before="0" w:after="0"/>
        <w:ind w:firstLine="420"/>
        <w:jc w:val="both"/>
      </w:pPr>
      <w:r>
        <w:rPr>
          <w:rFonts w:hint="eastAsia" w:ascii="Times New Roman" w:hAnsi="Times New Roman" w:eastAsia="宋体" w:cs="Times New Roman"/>
          <w:b w:val="0"/>
          <w:i w:val="0"/>
          <w:sz w:val="21"/>
        </w:rPr>
        <w:t>这也决定了参数研究不能只沿单条曲线逐项改变变量。坡角改变坡面尺度和散射路径，厚度比控制覆盖层特征尺度，波速比同时改变波长、阻抗差和近地表驻波条件；三者对主峰幅值的作用可能相互增强，也可能把控制峰推向另一频率或另一空间区段。只比较少数“典型工况”，容易把局部单调段误写为普遍规律，也无法区分参数主效应与交互效应。本文采用覆盖设计域的全因子构型，并把全场峰值、分区统计量和分频带响应放在一起考察。这样得到的不是一条孤立的最不利曲线，而是能说明参数改变通过何种频带、何种空间位置影响最终峰值的证据链。</w:t>
      </w:r>
    </w:p>
    <w:p w14:paraId="10AC3234">
      <w:pPr>
        <w:spacing w:before="0" w:after="0"/>
        <w:ind w:firstLine="420"/>
        <w:jc w:val="both"/>
      </w:pPr>
      <w:r>
        <w:rPr>
          <w:rFonts w:hint="eastAsia" w:ascii="Times New Roman" w:hAnsi="Times New Roman" w:eastAsia="宋体" w:cs="Times New Roman"/>
          <w:b w:val="0"/>
          <w:i w:val="0"/>
          <w:sz w:val="21"/>
        </w:rPr>
        <w:t>斜入射进一步使这一问题具有明确的空间方向。1994年 Northridge 地震 Tarzana 台站的异常响应需要考虑斜入射才能合理解释</w:t>
      </w:r>
      <w:r>
        <w:rPr>
          <w:rFonts w:hint="eastAsia" w:ascii="Times New Roman" w:hAnsi="Times New Roman" w:eastAsia="宋体" w:cs="Times New Roman"/>
          <w:b w:val="0"/>
          <w:i w:val="0"/>
          <w:sz w:val="21"/>
          <w:vertAlign w:val="superscript"/>
        </w:rPr>
        <w:t>[22]</w:t>
      </w:r>
      <w:r>
        <w:rPr>
          <w:rFonts w:hint="eastAsia" w:ascii="Times New Roman" w:hAnsi="Times New Roman" w:eastAsia="宋体" w:cs="Times New Roman"/>
          <w:b w:val="0"/>
          <w:i w:val="0"/>
          <w:sz w:val="21"/>
        </w:rPr>
        <w:t>；陡峭海岸崖坡分析表明，斜入射剪切波的放大可达到垂直入射的两倍以上</w:t>
      </w:r>
      <w:r>
        <w:rPr>
          <w:rFonts w:hint="eastAsia" w:ascii="Times New Roman" w:hAnsi="Times New Roman" w:eastAsia="宋体" w:cs="Times New Roman"/>
          <w:b w:val="0"/>
          <w:i w:val="0"/>
          <w:sz w:val="21"/>
          <w:vertAlign w:val="superscript"/>
        </w:rPr>
        <w:t>[23]</w:t>
      </w:r>
      <w:r>
        <w:rPr>
          <w:rFonts w:hint="eastAsia" w:ascii="Times New Roman" w:hAnsi="Times New Roman" w:eastAsia="宋体" w:cs="Times New Roman"/>
          <w:b w:val="0"/>
          <w:i w:val="0"/>
          <w:sz w:val="21"/>
        </w:rPr>
        <w:t>；申辉等</w:t>
      </w:r>
      <w:r>
        <w:rPr>
          <w:rFonts w:hint="eastAsia" w:ascii="Times New Roman" w:hAnsi="Times New Roman" w:eastAsia="宋体" w:cs="Times New Roman"/>
          <w:b w:val="0"/>
          <w:i w:val="0"/>
          <w:sz w:val="21"/>
          <w:vertAlign w:val="superscript"/>
        </w:rPr>
        <w:t>[24]</w:t>
      </w:r>
      <w:r>
        <w:rPr>
          <w:rFonts w:hint="eastAsia" w:ascii="Times New Roman" w:hAnsi="Times New Roman" w:eastAsia="宋体" w:cs="Times New Roman"/>
          <w:b w:val="0"/>
          <w:i w:val="0"/>
          <w:sz w:val="21"/>
        </w:rPr>
        <w:t>系统比较了不同坡角和入射角下均质岩坡的水平、竖向PGA及谱比，显示入射角会改变峰值大小和峰位。本文不把入射角作为参数变量，而是固定采用15° SV波斜入射，使水平传播相位在全部构型中保持一致，在此基础上集中研究坡角、覆盖层厚度比和波速比。固定入射角也限定了结论范围：本文得到的参数排序不能外推为其他入射角下的普遍规律。</w:t>
      </w:r>
    </w:p>
    <w:p w14:paraId="4313AF04">
      <w:pPr>
        <w:spacing w:before="0" w:after="0"/>
        <w:ind w:firstLine="420"/>
        <w:jc w:val="both"/>
      </w:pPr>
      <w:r>
        <w:rPr>
          <w:rFonts w:hint="eastAsia" w:ascii="Times New Roman" w:hAnsi="Times New Roman" w:eastAsia="宋体" w:cs="Times New Roman"/>
          <w:b w:val="0"/>
          <w:i w:val="0"/>
          <w:sz w:val="21"/>
        </w:rPr>
        <w:t>这一取舍体现了本文研究问题的边界。斜入射本身当然值得单独展开，但若同时改变入射角、坡角和成层参数，有限的数值样本很难既覆盖高维空间，又保留足够密度识别厚度比与波速比的交互。固定15°并不意味着忽略方向性，而是把所有构型置于同一具有水平传播相位的入射条件下，使坡角和覆盖层参数的比较不再受入射条件变化干扰。相应地，本文讨论的是“在给定斜入射条件下，构型参数怎样重排复频响”，而不是建立适用于任意波型和任意入射角的通用边坡模型。</w:t>
      </w:r>
    </w:p>
    <w:p w14:paraId="03B63149">
      <w:pPr>
        <w:spacing w:before="0" w:after="0"/>
        <w:ind w:firstLine="420"/>
        <w:jc w:val="both"/>
      </w:pPr>
      <w:r>
        <w:rPr>
          <w:rFonts w:hint="eastAsia" w:ascii="Times New Roman" w:hAnsi="Times New Roman" w:eastAsia="宋体" w:cs="Times New Roman"/>
          <w:b w:val="0"/>
          <w:i w:val="0"/>
          <w:sz w:val="21"/>
        </w:rPr>
        <w:t>表1概括了与本文主线直接相关的几类研究。既有工作已经从观测、解析和数值角度证明了地形效应、成层效应和斜入射的重要性，也形成了PGA空间曲线、谱比和反应谱等成熟评价方式。仍有两个相互关联的空缺。其一，多数参数研究以单点或标量峰值为对象，幅值、相位和空间位置之间的对应关系没有被完整保存；即使绘制傅里叶谱比，也往往只分析坡顶少数点。其二，在本文检索的相关坡地与复杂场地机器学习研究中，预测对象仍以放大系数或有限数量的谱值为主，公共频率—空间网格上的完整复数场较少见，也较少分别用训练外参数组合和直接有限元真实波结果检验参数插值能力与时域可用性。</w:t>
      </w:r>
    </w:p>
    <w:p w14:paraId="2B27DC42">
      <w:pPr>
        <w:spacing w:before="156" w:after="0"/>
        <w:ind w:firstLine="0"/>
        <w:jc w:val="center"/>
      </w:pPr>
      <w:r>
        <w:rPr>
          <w:rFonts w:hint="eastAsia" w:ascii="Times New Roman" w:hAnsi="Times New Roman" w:eastAsia="宋体" w:cs="Times New Roman"/>
          <w:b w:val="0"/>
          <w:i w:val="0"/>
          <w:sz w:val="18"/>
        </w:rPr>
        <w:t>表1 既有代表性研究与本文研究范围对比</w:t>
      </w:r>
    </w:p>
    <w:p w14:paraId="08474C1A">
      <w:pPr>
        <w:spacing w:before="0" w:after="40"/>
        <w:ind w:firstLine="0"/>
        <w:jc w:val="center"/>
      </w:pPr>
      <w:r>
        <w:rPr>
          <w:rFonts w:hint="eastAsia" w:ascii="Times New Roman" w:hAnsi="Times New Roman" w:eastAsia="Times New Roman" w:cs="Times New Roman"/>
          <w:b w:val="0"/>
          <w:i w:val="0"/>
          <w:sz w:val="18"/>
        </w:rPr>
        <w:t>Table 1 Comparison of representative previous studies with the scope of this work</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6"/>
        <w:gridCol w:w="1606"/>
        <w:gridCol w:w="1606"/>
        <w:gridCol w:w="1606"/>
        <w:gridCol w:w="1606"/>
        <w:gridCol w:w="1606"/>
      </w:tblGrid>
      <w:tr w14:paraId="1FC5F7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tcBorders>
              <w:bottom w:val="single" w:color="auto" w:sz="6" w:space="0"/>
            </w:tcBorders>
            <w:vAlign w:val="center"/>
          </w:tcPr>
          <w:p w14:paraId="19E15B43">
            <w:pPr>
              <w:spacing w:before="30" w:after="30"/>
              <w:ind w:firstLine="0"/>
              <w:jc w:val="center"/>
            </w:pPr>
            <w:r>
              <w:rPr>
                <w:rFonts w:hint="eastAsia" w:ascii="Times New Roman" w:hAnsi="Times New Roman" w:eastAsia="宋体" w:cs="Times New Roman"/>
                <w:b/>
                <w:i w:val="0"/>
                <w:sz w:val="18"/>
              </w:rPr>
              <w:t>研究</w:t>
            </w:r>
          </w:p>
        </w:tc>
        <w:tc>
          <w:tcPr>
            <w:tcW w:w="1606" w:type="dxa"/>
            <w:tcBorders>
              <w:bottom w:val="single" w:color="auto" w:sz="6" w:space="0"/>
            </w:tcBorders>
            <w:vAlign w:val="center"/>
          </w:tcPr>
          <w:p w14:paraId="4C1AC054">
            <w:pPr>
              <w:spacing w:before="30" w:after="30"/>
              <w:ind w:firstLine="0"/>
              <w:jc w:val="center"/>
            </w:pPr>
            <w:r>
              <w:rPr>
                <w:rFonts w:hint="eastAsia" w:ascii="Times New Roman" w:hAnsi="Times New Roman" w:eastAsia="宋体" w:cs="Times New Roman"/>
                <w:b/>
                <w:i w:val="0"/>
                <w:sz w:val="18"/>
              </w:rPr>
              <w:t>主要对象</w:t>
            </w:r>
          </w:p>
        </w:tc>
        <w:tc>
          <w:tcPr>
            <w:tcW w:w="1606" w:type="dxa"/>
            <w:tcBorders>
              <w:bottom w:val="single" w:color="auto" w:sz="6" w:space="0"/>
            </w:tcBorders>
            <w:vAlign w:val="center"/>
          </w:tcPr>
          <w:p w14:paraId="268626CD">
            <w:pPr>
              <w:spacing w:before="30" w:after="30"/>
              <w:ind w:firstLine="0"/>
              <w:jc w:val="center"/>
            </w:pPr>
            <w:r>
              <w:rPr>
                <w:rFonts w:hint="eastAsia" w:ascii="Times New Roman" w:hAnsi="Times New Roman" w:eastAsia="宋体" w:cs="Times New Roman"/>
                <w:b/>
                <w:i w:val="0"/>
                <w:sz w:val="18"/>
              </w:rPr>
              <w:t>主要评价量</w:t>
            </w:r>
          </w:p>
        </w:tc>
        <w:tc>
          <w:tcPr>
            <w:tcW w:w="1606" w:type="dxa"/>
            <w:tcBorders>
              <w:bottom w:val="single" w:color="auto" w:sz="6" w:space="0"/>
            </w:tcBorders>
            <w:vAlign w:val="center"/>
          </w:tcPr>
          <w:p w14:paraId="4B682831">
            <w:pPr>
              <w:spacing w:before="30" w:after="30"/>
              <w:ind w:firstLine="0"/>
              <w:jc w:val="center"/>
            </w:pPr>
            <w:r>
              <w:rPr>
                <w:rFonts w:hint="eastAsia" w:ascii="Times New Roman" w:hAnsi="Times New Roman" w:eastAsia="宋体" w:cs="Times New Roman"/>
                <w:b/>
                <w:i w:val="0"/>
                <w:sz w:val="18"/>
              </w:rPr>
              <w:t>成层与地形耦合</w:t>
            </w:r>
          </w:p>
        </w:tc>
        <w:tc>
          <w:tcPr>
            <w:tcW w:w="1606" w:type="dxa"/>
            <w:tcBorders>
              <w:bottom w:val="single" w:color="auto" w:sz="6" w:space="0"/>
            </w:tcBorders>
            <w:vAlign w:val="center"/>
          </w:tcPr>
          <w:p w14:paraId="3AE7669C">
            <w:pPr>
              <w:spacing w:before="30" w:after="30"/>
              <w:ind w:firstLine="0"/>
              <w:jc w:val="center"/>
            </w:pPr>
            <w:r>
              <w:rPr>
                <w:rFonts w:hint="eastAsia" w:ascii="Times New Roman" w:hAnsi="Times New Roman" w:eastAsia="宋体" w:cs="Times New Roman"/>
                <w:b/>
                <w:i w:val="0"/>
                <w:sz w:val="18"/>
              </w:rPr>
              <w:t>验证或对照</w:t>
            </w:r>
          </w:p>
        </w:tc>
        <w:tc>
          <w:tcPr>
            <w:tcW w:w="1606" w:type="dxa"/>
            <w:tcBorders>
              <w:bottom w:val="single" w:color="auto" w:sz="6" w:space="0"/>
            </w:tcBorders>
            <w:vAlign w:val="center"/>
          </w:tcPr>
          <w:p w14:paraId="2CAE46F8">
            <w:pPr>
              <w:spacing w:before="30" w:after="30"/>
              <w:ind w:firstLine="0"/>
              <w:jc w:val="center"/>
            </w:pPr>
            <w:r>
              <w:rPr>
                <w:rFonts w:hint="eastAsia" w:ascii="Times New Roman" w:hAnsi="Times New Roman" w:eastAsia="宋体" w:cs="Times New Roman"/>
                <w:b/>
                <w:i w:val="0"/>
                <w:sz w:val="18"/>
              </w:rPr>
              <w:t>是否预测完整复数场</w:t>
            </w:r>
          </w:p>
        </w:tc>
      </w:tr>
      <w:tr w14:paraId="44DD1D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vAlign w:val="center"/>
          </w:tcPr>
          <w:p w14:paraId="042B8BCA">
            <w:pPr>
              <w:spacing w:before="30" w:after="30"/>
              <w:ind w:firstLine="0"/>
              <w:jc w:val="center"/>
            </w:pPr>
            <w:r>
              <w:rPr>
                <w:rFonts w:hint="eastAsia" w:ascii="Times New Roman" w:hAnsi="Times New Roman" w:eastAsia="宋体" w:cs="Times New Roman"/>
                <w:b w:val="0"/>
                <w:i w:val="0"/>
                <w:sz w:val="18"/>
              </w:rPr>
              <w:t>Geli等</w:t>
            </w:r>
            <w:r>
              <w:rPr>
                <w:rFonts w:hint="eastAsia" w:ascii="Times New Roman" w:hAnsi="Times New Roman" w:eastAsia="宋体" w:cs="Times New Roman"/>
                <w:b w:val="0"/>
                <w:i w:val="0"/>
                <w:sz w:val="18"/>
                <w:vertAlign w:val="superscript"/>
              </w:rPr>
              <w:t>[3]</w:t>
            </w:r>
          </w:p>
        </w:tc>
        <w:tc>
          <w:tcPr>
            <w:tcW w:w="1606" w:type="dxa"/>
            <w:vAlign w:val="center"/>
          </w:tcPr>
          <w:p w14:paraId="43E02624">
            <w:pPr>
              <w:spacing w:before="30" w:after="30"/>
              <w:ind w:firstLine="0"/>
              <w:jc w:val="center"/>
            </w:pPr>
            <w:r>
              <w:rPr>
                <w:rFonts w:hint="eastAsia" w:ascii="Times New Roman" w:hAnsi="Times New Roman" w:eastAsia="宋体" w:cs="Times New Roman"/>
                <w:b w:val="0"/>
                <w:i w:val="0"/>
                <w:sz w:val="18"/>
              </w:rPr>
              <w:t>地形效应观测与数值综述</w:t>
            </w:r>
          </w:p>
        </w:tc>
        <w:tc>
          <w:tcPr>
            <w:tcW w:w="1606" w:type="dxa"/>
            <w:vAlign w:val="center"/>
          </w:tcPr>
          <w:p w14:paraId="3D052A27">
            <w:pPr>
              <w:spacing w:before="30" w:after="30"/>
              <w:ind w:firstLine="0"/>
              <w:jc w:val="center"/>
            </w:pPr>
            <w:r>
              <w:rPr>
                <w:rFonts w:hint="eastAsia" w:ascii="Times New Roman" w:hAnsi="Times New Roman" w:eastAsia="宋体" w:cs="Times New Roman"/>
                <w:b w:val="0"/>
                <w:i w:val="0"/>
                <w:sz w:val="18"/>
              </w:rPr>
              <w:t>谱比、放大现象</w:t>
            </w:r>
          </w:p>
        </w:tc>
        <w:tc>
          <w:tcPr>
            <w:tcW w:w="1606" w:type="dxa"/>
            <w:vAlign w:val="center"/>
          </w:tcPr>
          <w:p w14:paraId="2C19B9F8">
            <w:pPr>
              <w:spacing w:before="30" w:after="30"/>
              <w:ind w:firstLine="0"/>
              <w:jc w:val="center"/>
            </w:pPr>
            <w:r>
              <w:rPr>
                <w:rFonts w:hint="eastAsia" w:ascii="Times New Roman" w:hAnsi="Times New Roman" w:eastAsia="宋体" w:cs="Times New Roman"/>
                <w:b w:val="0"/>
                <w:i w:val="0"/>
                <w:sz w:val="18"/>
              </w:rPr>
              <w:t>部分涉及</w:t>
            </w:r>
          </w:p>
        </w:tc>
        <w:tc>
          <w:tcPr>
            <w:tcW w:w="1606" w:type="dxa"/>
            <w:vAlign w:val="center"/>
          </w:tcPr>
          <w:p w14:paraId="1DE846F9">
            <w:pPr>
              <w:spacing w:before="30" w:after="30"/>
              <w:ind w:firstLine="0"/>
              <w:jc w:val="center"/>
            </w:pPr>
            <w:r>
              <w:rPr>
                <w:rFonts w:hint="eastAsia" w:ascii="Times New Roman" w:hAnsi="Times New Roman" w:eastAsia="宋体" w:cs="Times New Roman"/>
                <w:b w:val="0"/>
                <w:i w:val="0"/>
                <w:sz w:val="18"/>
              </w:rPr>
              <w:t>多震例与既有模型</w:t>
            </w:r>
          </w:p>
        </w:tc>
        <w:tc>
          <w:tcPr>
            <w:tcW w:w="1606" w:type="dxa"/>
            <w:vAlign w:val="center"/>
          </w:tcPr>
          <w:p w14:paraId="28B6FD2E">
            <w:pPr>
              <w:spacing w:before="30" w:after="30"/>
              <w:ind w:firstLine="0"/>
              <w:jc w:val="center"/>
            </w:pPr>
            <w:r>
              <w:rPr>
                <w:rFonts w:hint="eastAsia" w:ascii="Times New Roman" w:hAnsi="Times New Roman" w:eastAsia="宋体" w:cs="Times New Roman"/>
                <w:b w:val="0"/>
                <w:i w:val="0"/>
                <w:sz w:val="18"/>
              </w:rPr>
              <w:t>否</w:t>
            </w:r>
          </w:p>
        </w:tc>
      </w:tr>
      <w:tr w14:paraId="4C5D8E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vAlign w:val="center"/>
          </w:tcPr>
          <w:p w14:paraId="288D3290">
            <w:pPr>
              <w:spacing w:before="30" w:after="30"/>
              <w:ind w:firstLine="0"/>
              <w:jc w:val="center"/>
            </w:pPr>
            <w:r>
              <w:rPr>
                <w:rFonts w:hint="eastAsia" w:ascii="Times New Roman" w:hAnsi="Times New Roman" w:eastAsia="宋体" w:cs="Times New Roman"/>
                <w:b w:val="0"/>
                <w:i w:val="0"/>
                <w:sz w:val="18"/>
              </w:rPr>
              <w:t>Ashford和Sitar</w:t>
            </w:r>
            <w:r>
              <w:rPr>
                <w:rFonts w:hint="eastAsia" w:ascii="Times New Roman" w:hAnsi="Times New Roman" w:eastAsia="宋体" w:cs="Times New Roman"/>
                <w:b w:val="0"/>
                <w:i w:val="0"/>
                <w:sz w:val="18"/>
                <w:vertAlign w:val="superscript"/>
              </w:rPr>
              <w:t>[23]</w:t>
            </w:r>
            <w:r>
              <w:rPr>
                <w:rFonts w:hint="eastAsia" w:ascii="Times New Roman" w:hAnsi="Times New Roman" w:eastAsia="宋体" w:cs="Times New Roman"/>
                <w:b w:val="0"/>
                <w:i w:val="0"/>
                <w:sz w:val="18"/>
              </w:rPr>
              <w:t>、申辉等</w:t>
            </w:r>
            <w:r>
              <w:rPr>
                <w:rFonts w:hint="eastAsia" w:ascii="Times New Roman" w:hAnsi="Times New Roman" w:eastAsia="宋体" w:cs="Times New Roman"/>
                <w:b w:val="0"/>
                <w:i w:val="0"/>
                <w:sz w:val="18"/>
                <w:vertAlign w:val="superscript"/>
              </w:rPr>
              <w:t>[24]</w:t>
            </w:r>
          </w:p>
        </w:tc>
        <w:tc>
          <w:tcPr>
            <w:tcW w:w="1606" w:type="dxa"/>
            <w:vAlign w:val="center"/>
          </w:tcPr>
          <w:p w14:paraId="0600F614">
            <w:pPr>
              <w:spacing w:before="30" w:after="30"/>
              <w:ind w:firstLine="0"/>
              <w:jc w:val="center"/>
            </w:pPr>
            <w:r>
              <w:rPr>
                <w:rFonts w:hint="eastAsia" w:ascii="Times New Roman" w:hAnsi="Times New Roman" w:eastAsia="宋体" w:cs="Times New Roman"/>
                <w:b w:val="0"/>
                <w:i w:val="0"/>
                <w:sz w:val="18"/>
              </w:rPr>
              <w:t>斜入射均质坡</w:t>
            </w:r>
          </w:p>
        </w:tc>
        <w:tc>
          <w:tcPr>
            <w:tcW w:w="1606" w:type="dxa"/>
            <w:vAlign w:val="center"/>
          </w:tcPr>
          <w:p w14:paraId="6639FC7E">
            <w:pPr>
              <w:spacing w:before="30" w:after="30"/>
              <w:ind w:firstLine="0"/>
              <w:jc w:val="center"/>
            </w:pPr>
            <w:r>
              <w:rPr>
                <w:rFonts w:hint="eastAsia" w:ascii="Times New Roman" w:hAnsi="Times New Roman" w:eastAsia="宋体" w:cs="Times New Roman"/>
                <w:b w:val="0"/>
                <w:i w:val="0"/>
                <w:sz w:val="18"/>
              </w:rPr>
              <w:t>PGA、傅里叶谱比</w:t>
            </w:r>
          </w:p>
        </w:tc>
        <w:tc>
          <w:tcPr>
            <w:tcW w:w="1606" w:type="dxa"/>
            <w:vAlign w:val="center"/>
          </w:tcPr>
          <w:p w14:paraId="4B176706">
            <w:pPr>
              <w:spacing w:before="30" w:after="30"/>
              <w:ind w:firstLine="0"/>
              <w:jc w:val="center"/>
            </w:pPr>
            <w:r>
              <w:rPr>
                <w:rFonts w:hint="eastAsia" w:ascii="Times New Roman" w:hAnsi="Times New Roman" w:eastAsia="宋体" w:cs="Times New Roman"/>
                <w:b w:val="0"/>
                <w:i w:val="0"/>
                <w:sz w:val="18"/>
              </w:rPr>
              <w:t>否</w:t>
            </w:r>
          </w:p>
        </w:tc>
        <w:tc>
          <w:tcPr>
            <w:tcW w:w="1606" w:type="dxa"/>
            <w:vAlign w:val="center"/>
          </w:tcPr>
          <w:p w14:paraId="452E052A">
            <w:pPr>
              <w:spacing w:before="30" w:after="30"/>
              <w:ind w:firstLine="0"/>
              <w:jc w:val="center"/>
            </w:pPr>
            <w:r>
              <w:rPr>
                <w:rFonts w:hint="eastAsia" w:ascii="Times New Roman" w:hAnsi="Times New Roman" w:eastAsia="宋体" w:cs="Times New Roman"/>
                <w:b w:val="0"/>
                <w:i w:val="0"/>
                <w:sz w:val="18"/>
              </w:rPr>
              <w:t>参数化数值对比</w:t>
            </w:r>
          </w:p>
        </w:tc>
        <w:tc>
          <w:tcPr>
            <w:tcW w:w="1606" w:type="dxa"/>
            <w:vAlign w:val="center"/>
          </w:tcPr>
          <w:p w14:paraId="7CAB14BC">
            <w:pPr>
              <w:spacing w:before="30" w:after="30"/>
              <w:ind w:firstLine="0"/>
              <w:jc w:val="center"/>
            </w:pPr>
            <w:r>
              <w:rPr>
                <w:rFonts w:hint="eastAsia" w:ascii="Times New Roman" w:hAnsi="Times New Roman" w:eastAsia="宋体" w:cs="Times New Roman"/>
                <w:b w:val="0"/>
                <w:i w:val="0"/>
                <w:sz w:val="18"/>
              </w:rPr>
              <w:t>否</w:t>
            </w:r>
          </w:p>
        </w:tc>
      </w:tr>
      <w:tr w14:paraId="0162C9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vAlign w:val="center"/>
          </w:tcPr>
          <w:p w14:paraId="02DC5CEF">
            <w:pPr>
              <w:spacing w:before="30" w:after="30"/>
              <w:ind w:firstLine="0"/>
              <w:jc w:val="center"/>
            </w:pPr>
            <w:r>
              <w:rPr>
                <w:rFonts w:hint="eastAsia" w:ascii="Times New Roman" w:hAnsi="Times New Roman" w:eastAsia="宋体" w:cs="Times New Roman"/>
                <w:b w:val="0"/>
                <w:i w:val="0"/>
                <w:sz w:val="18"/>
              </w:rPr>
              <w:t>Tripe等</w:t>
            </w:r>
            <w:r>
              <w:rPr>
                <w:rFonts w:hint="eastAsia" w:ascii="Times New Roman" w:hAnsi="Times New Roman" w:eastAsia="宋体" w:cs="Times New Roman"/>
                <w:b w:val="0"/>
                <w:i w:val="0"/>
                <w:sz w:val="18"/>
                <w:vertAlign w:val="superscript"/>
              </w:rPr>
              <w:t>[16]</w:t>
            </w:r>
            <w:r>
              <w:rPr>
                <w:rFonts w:hint="eastAsia" w:ascii="Times New Roman" w:hAnsi="Times New Roman" w:eastAsia="宋体" w:cs="Times New Roman"/>
                <w:b w:val="0"/>
                <w:i w:val="0"/>
                <w:sz w:val="18"/>
              </w:rPr>
              <w:t>、Rizzitano等</w:t>
            </w:r>
            <w:r>
              <w:rPr>
                <w:rFonts w:hint="eastAsia" w:ascii="Times New Roman" w:hAnsi="Times New Roman" w:eastAsia="宋体" w:cs="Times New Roman"/>
                <w:b w:val="0"/>
                <w:i w:val="0"/>
                <w:sz w:val="18"/>
                <w:vertAlign w:val="superscript"/>
              </w:rPr>
              <w:t>[19]</w:t>
            </w:r>
          </w:p>
        </w:tc>
        <w:tc>
          <w:tcPr>
            <w:tcW w:w="1606" w:type="dxa"/>
            <w:vAlign w:val="center"/>
          </w:tcPr>
          <w:p w14:paraId="1CBD0E83">
            <w:pPr>
              <w:spacing w:before="30" w:after="30"/>
              <w:ind w:firstLine="0"/>
              <w:jc w:val="center"/>
            </w:pPr>
            <w:r>
              <w:rPr>
                <w:rFonts w:hint="eastAsia" w:ascii="Times New Roman" w:hAnsi="Times New Roman" w:eastAsia="宋体" w:cs="Times New Roman"/>
                <w:b w:val="0"/>
                <w:i w:val="0"/>
                <w:sz w:val="18"/>
              </w:rPr>
              <w:t>覆盖层坡地</w:t>
            </w:r>
          </w:p>
        </w:tc>
        <w:tc>
          <w:tcPr>
            <w:tcW w:w="1606" w:type="dxa"/>
            <w:vAlign w:val="center"/>
          </w:tcPr>
          <w:p w14:paraId="09E77A45">
            <w:pPr>
              <w:spacing w:before="30" w:after="30"/>
              <w:ind w:firstLine="0"/>
              <w:jc w:val="center"/>
            </w:pPr>
            <w:r>
              <w:rPr>
                <w:rFonts w:hint="eastAsia" w:ascii="Times New Roman" w:hAnsi="Times New Roman" w:eastAsia="宋体" w:cs="Times New Roman"/>
                <w:b w:val="0"/>
                <w:i w:val="0"/>
                <w:sz w:val="18"/>
              </w:rPr>
              <w:t>放大系数、谱响应</w:t>
            </w:r>
          </w:p>
        </w:tc>
        <w:tc>
          <w:tcPr>
            <w:tcW w:w="1606" w:type="dxa"/>
            <w:vAlign w:val="center"/>
          </w:tcPr>
          <w:p w14:paraId="5F2B31C3">
            <w:pPr>
              <w:spacing w:before="30" w:after="30"/>
              <w:ind w:firstLine="0"/>
              <w:jc w:val="center"/>
            </w:pPr>
            <w:r>
              <w:rPr>
                <w:rFonts w:hint="eastAsia" w:ascii="Times New Roman" w:hAnsi="Times New Roman" w:eastAsia="宋体" w:cs="Times New Roman"/>
                <w:b w:val="0"/>
                <w:i w:val="0"/>
                <w:sz w:val="18"/>
              </w:rPr>
              <w:t>是</w:t>
            </w:r>
          </w:p>
        </w:tc>
        <w:tc>
          <w:tcPr>
            <w:tcW w:w="1606" w:type="dxa"/>
            <w:vAlign w:val="center"/>
          </w:tcPr>
          <w:p w14:paraId="0279424A">
            <w:pPr>
              <w:spacing w:before="30" w:after="30"/>
              <w:ind w:firstLine="0"/>
              <w:jc w:val="center"/>
            </w:pPr>
            <w:r>
              <w:rPr>
                <w:rFonts w:hint="eastAsia" w:ascii="Times New Roman" w:hAnsi="Times New Roman" w:eastAsia="宋体" w:cs="Times New Roman"/>
                <w:b w:val="0"/>
                <w:i w:val="0"/>
                <w:sz w:val="18"/>
              </w:rPr>
              <w:t>二维数值对比</w:t>
            </w:r>
          </w:p>
        </w:tc>
        <w:tc>
          <w:tcPr>
            <w:tcW w:w="1606" w:type="dxa"/>
            <w:vAlign w:val="center"/>
          </w:tcPr>
          <w:p w14:paraId="4BD90718">
            <w:pPr>
              <w:spacing w:before="30" w:after="30"/>
              <w:ind w:firstLine="0"/>
              <w:jc w:val="center"/>
            </w:pPr>
            <w:r>
              <w:rPr>
                <w:rFonts w:hint="eastAsia" w:ascii="Times New Roman" w:hAnsi="Times New Roman" w:eastAsia="宋体" w:cs="Times New Roman"/>
                <w:b w:val="0"/>
                <w:i w:val="0"/>
                <w:sz w:val="18"/>
              </w:rPr>
              <w:t>否</w:t>
            </w:r>
          </w:p>
        </w:tc>
      </w:tr>
      <w:tr w14:paraId="7A5DC3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vAlign w:val="center"/>
          </w:tcPr>
          <w:p w14:paraId="33660C0C">
            <w:pPr>
              <w:spacing w:before="30" w:after="30"/>
              <w:ind w:firstLine="0"/>
              <w:jc w:val="center"/>
            </w:pPr>
            <w:r>
              <w:rPr>
                <w:rFonts w:hint="eastAsia" w:ascii="Times New Roman" w:hAnsi="Times New Roman" w:eastAsia="宋体" w:cs="Times New Roman"/>
                <w:b w:val="0"/>
                <w:i w:val="0"/>
                <w:sz w:val="18"/>
              </w:rPr>
              <w:t>Luo等</w:t>
            </w:r>
            <w:r>
              <w:rPr>
                <w:rFonts w:hint="eastAsia" w:ascii="Times New Roman" w:hAnsi="Times New Roman" w:eastAsia="宋体" w:cs="Times New Roman"/>
                <w:b w:val="0"/>
                <w:i w:val="0"/>
                <w:sz w:val="18"/>
                <w:vertAlign w:val="superscript"/>
              </w:rPr>
              <w:t>[21]</w:t>
            </w:r>
          </w:p>
        </w:tc>
        <w:tc>
          <w:tcPr>
            <w:tcW w:w="1606" w:type="dxa"/>
            <w:vAlign w:val="center"/>
          </w:tcPr>
          <w:p w14:paraId="0AF1620E">
            <w:pPr>
              <w:spacing w:before="30" w:after="30"/>
              <w:ind w:firstLine="0"/>
              <w:jc w:val="center"/>
            </w:pPr>
            <w:r>
              <w:rPr>
                <w:rFonts w:hint="eastAsia" w:ascii="Times New Roman" w:hAnsi="Times New Roman" w:eastAsia="宋体" w:cs="Times New Roman"/>
                <w:b w:val="0"/>
                <w:i w:val="0"/>
                <w:sz w:val="18"/>
              </w:rPr>
              <w:t>天然山坡与近地表地层</w:t>
            </w:r>
          </w:p>
        </w:tc>
        <w:tc>
          <w:tcPr>
            <w:tcW w:w="1606" w:type="dxa"/>
            <w:vAlign w:val="center"/>
          </w:tcPr>
          <w:p w14:paraId="69613032">
            <w:pPr>
              <w:spacing w:before="30" w:after="30"/>
              <w:ind w:firstLine="0"/>
              <w:jc w:val="center"/>
            </w:pPr>
            <w:r>
              <w:rPr>
                <w:rFonts w:hint="eastAsia" w:ascii="Times New Roman" w:hAnsi="Times New Roman" w:eastAsia="宋体" w:cs="Times New Roman"/>
                <w:b w:val="0"/>
                <w:i w:val="0"/>
                <w:sz w:val="18"/>
              </w:rPr>
              <w:t>监测谱比、模拟响应</w:t>
            </w:r>
          </w:p>
        </w:tc>
        <w:tc>
          <w:tcPr>
            <w:tcW w:w="1606" w:type="dxa"/>
            <w:vAlign w:val="center"/>
          </w:tcPr>
          <w:p w14:paraId="3382CEE6">
            <w:pPr>
              <w:spacing w:before="30" w:after="30"/>
              <w:ind w:firstLine="0"/>
              <w:jc w:val="center"/>
            </w:pPr>
            <w:r>
              <w:rPr>
                <w:rFonts w:hint="eastAsia" w:ascii="Times New Roman" w:hAnsi="Times New Roman" w:eastAsia="宋体" w:cs="Times New Roman"/>
                <w:b w:val="0"/>
                <w:i w:val="0"/>
                <w:sz w:val="18"/>
              </w:rPr>
              <w:t>是</w:t>
            </w:r>
          </w:p>
        </w:tc>
        <w:tc>
          <w:tcPr>
            <w:tcW w:w="1606" w:type="dxa"/>
            <w:vAlign w:val="center"/>
          </w:tcPr>
          <w:p w14:paraId="4C255562">
            <w:pPr>
              <w:spacing w:before="30" w:after="30"/>
              <w:ind w:firstLine="0"/>
              <w:jc w:val="center"/>
            </w:pPr>
            <w:r>
              <w:rPr>
                <w:rFonts w:hint="eastAsia" w:ascii="Times New Roman" w:hAnsi="Times New Roman" w:eastAsia="宋体" w:cs="Times New Roman"/>
                <w:b w:val="0"/>
                <w:i w:val="0"/>
                <w:sz w:val="18"/>
              </w:rPr>
              <w:t>现场监测与数值模拟</w:t>
            </w:r>
          </w:p>
        </w:tc>
        <w:tc>
          <w:tcPr>
            <w:tcW w:w="1606" w:type="dxa"/>
            <w:vAlign w:val="center"/>
          </w:tcPr>
          <w:p w14:paraId="595303F6">
            <w:pPr>
              <w:spacing w:before="30" w:after="30"/>
              <w:ind w:firstLine="0"/>
              <w:jc w:val="center"/>
            </w:pPr>
            <w:r>
              <w:rPr>
                <w:rFonts w:hint="eastAsia" w:ascii="Times New Roman" w:hAnsi="Times New Roman" w:eastAsia="宋体" w:cs="Times New Roman"/>
                <w:b w:val="0"/>
                <w:i w:val="0"/>
                <w:sz w:val="18"/>
              </w:rPr>
              <w:t>否</w:t>
            </w:r>
          </w:p>
        </w:tc>
      </w:tr>
      <w:tr w14:paraId="64C21F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vAlign w:val="center"/>
          </w:tcPr>
          <w:p w14:paraId="7B1B1C93">
            <w:pPr>
              <w:spacing w:before="30" w:after="30"/>
              <w:ind w:firstLine="0"/>
              <w:jc w:val="center"/>
            </w:pPr>
            <w:r>
              <w:rPr>
                <w:rFonts w:hint="eastAsia" w:ascii="Times New Roman" w:hAnsi="Times New Roman" w:eastAsia="宋体" w:cs="Times New Roman"/>
                <w:b w:val="0"/>
                <w:i w:val="0"/>
                <w:sz w:val="18"/>
              </w:rPr>
              <w:t>机器学习场地研究</w:t>
            </w:r>
            <w:r>
              <w:rPr>
                <w:rFonts w:hint="eastAsia" w:ascii="Times New Roman" w:hAnsi="Times New Roman" w:eastAsia="宋体" w:cs="Times New Roman"/>
                <w:b w:val="0"/>
                <w:i w:val="0"/>
                <w:sz w:val="18"/>
                <w:vertAlign w:val="superscript"/>
              </w:rPr>
              <w:t>[25-30]</w:t>
            </w:r>
          </w:p>
        </w:tc>
        <w:tc>
          <w:tcPr>
            <w:tcW w:w="1606" w:type="dxa"/>
            <w:vAlign w:val="center"/>
          </w:tcPr>
          <w:p w14:paraId="743A464D">
            <w:pPr>
              <w:spacing w:before="30" w:after="30"/>
              <w:ind w:firstLine="0"/>
              <w:jc w:val="center"/>
            </w:pPr>
            <w:r>
              <w:rPr>
                <w:rFonts w:hint="eastAsia" w:ascii="Times New Roman" w:hAnsi="Times New Roman" w:eastAsia="宋体" w:cs="Times New Roman"/>
                <w:b w:val="0"/>
                <w:i w:val="0"/>
                <w:sz w:val="18"/>
              </w:rPr>
              <w:t>盆地、复杂场地或地形参数</w:t>
            </w:r>
          </w:p>
        </w:tc>
        <w:tc>
          <w:tcPr>
            <w:tcW w:w="1606" w:type="dxa"/>
            <w:vAlign w:val="center"/>
          </w:tcPr>
          <w:p w14:paraId="57711C06">
            <w:pPr>
              <w:spacing w:before="30" w:after="30"/>
              <w:ind w:firstLine="0"/>
              <w:jc w:val="center"/>
            </w:pPr>
            <w:r>
              <w:rPr>
                <w:rFonts w:hint="eastAsia" w:ascii="Times New Roman" w:hAnsi="Times New Roman" w:eastAsia="宋体" w:cs="Times New Roman"/>
                <w:b w:val="0"/>
                <w:i w:val="0"/>
                <w:sz w:val="18"/>
              </w:rPr>
              <w:t>标量放大、局部谱值</w:t>
            </w:r>
          </w:p>
        </w:tc>
        <w:tc>
          <w:tcPr>
            <w:tcW w:w="1606" w:type="dxa"/>
            <w:vAlign w:val="center"/>
          </w:tcPr>
          <w:p w14:paraId="32CA0795">
            <w:pPr>
              <w:spacing w:before="30" w:after="30"/>
              <w:ind w:firstLine="0"/>
              <w:jc w:val="center"/>
            </w:pPr>
            <w:r>
              <w:rPr>
                <w:rFonts w:hint="eastAsia" w:ascii="Times New Roman" w:hAnsi="Times New Roman" w:eastAsia="宋体" w:cs="Times New Roman"/>
                <w:b w:val="0"/>
                <w:i w:val="0"/>
                <w:sz w:val="18"/>
              </w:rPr>
              <w:t>视数据而定</w:t>
            </w:r>
          </w:p>
        </w:tc>
        <w:tc>
          <w:tcPr>
            <w:tcW w:w="1606" w:type="dxa"/>
            <w:vAlign w:val="center"/>
          </w:tcPr>
          <w:p w14:paraId="72F49A59">
            <w:pPr>
              <w:spacing w:before="30" w:after="30"/>
              <w:ind w:firstLine="0"/>
              <w:jc w:val="center"/>
            </w:pPr>
            <w:r>
              <w:rPr>
                <w:rFonts w:hint="eastAsia" w:ascii="Times New Roman" w:hAnsi="Times New Roman" w:eastAsia="宋体" w:cs="Times New Roman"/>
                <w:b w:val="0"/>
                <w:i w:val="0"/>
                <w:sz w:val="18"/>
              </w:rPr>
              <w:t>训练/测试数据</w:t>
            </w:r>
          </w:p>
        </w:tc>
        <w:tc>
          <w:tcPr>
            <w:tcW w:w="1606" w:type="dxa"/>
            <w:vAlign w:val="center"/>
          </w:tcPr>
          <w:p w14:paraId="602127E1">
            <w:pPr>
              <w:spacing w:before="30" w:after="30"/>
              <w:ind w:firstLine="0"/>
              <w:jc w:val="center"/>
            </w:pPr>
            <w:r>
              <w:rPr>
                <w:rFonts w:hint="eastAsia" w:ascii="Times New Roman" w:hAnsi="Times New Roman" w:eastAsia="宋体" w:cs="Times New Roman"/>
                <w:b w:val="0"/>
                <w:i w:val="0"/>
                <w:sz w:val="18"/>
              </w:rPr>
              <w:t>通常否</w:t>
            </w:r>
          </w:p>
        </w:tc>
      </w:tr>
      <w:tr w14:paraId="01E689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vAlign w:val="center"/>
          </w:tcPr>
          <w:p w14:paraId="2E1832AD">
            <w:pPr>
              <w:spacing w:before="30" w:after="30"/>
              <w:ind w:firstLine="0"/>
              <w:jc w:val="center"/>
            </w:pPr>
            <w:r>
              <w:rPr>
                <w:rFonts w:hint="eastAsia" w:ascii="Times New Roman" w:hAnsi="Times New Roman" w:eastAsia="宋体" w:cs="Times New Roman"/>
                <w:b w:val="0"/>
                <w:i w:val="0"/>
                <w:sz w:val="18"/>
              </w:rPr>
              <w:t>本文</w:t>
            </w:r>
          </w:p>
        </w:tc>
        <w:tc>
          <w:tcPr>
            <w:tcW w:w="1606" w:type="dxa"/>
            <w:vAlign w:val="center"/>
          </w:tcPr>
          <w:p w14:paraId="5E00D149">
            <w:pPr>
              <w:spacing w:before="30" w:after="30"/>
              <w:ind w:firstLine="0"/>
              <w:jc w:val="center"/>
            </w:pPr>
            <w:r>
              <w:rPr>
                <w:rFonts w:hint="eastAsia" w:ascii="Times New Roman" w:hAnsi="Times New Roman" w:eastAsia="宋体" w:cs="Times New Roman"/>
                <w:b w:val="0"/>
                <w:i w:val="0"/>
                <w:sz w:val="18"/>
              </w:rPr>
              <w:t>二维线性两层坡地</w:t>
            </w:r>
          </w:p>
        </w:tc>
        <w:tc>
          <w:tcPr>
            <w:tcW w:w="1606" w:type="dxa"/>
            <w:vAlign w:val="center"/>
          </w:tcPr>
          <w:p w14:paraId="1CDBFF6B">
            <w:pPr>
              <w:spacing w:before="30" w:after="30"/>
              <w:ind w:firstLine="0"/>
              <w:jc w:val="center"/>
            </w:pPr>
            <w:r>
              <w:rPr>
                <w:rFonts w:hint="eastAsia" w:ascii="Times New Roman" w:hAnsi="Times New Roman" w:eastAsia="宋体" w:cs="Times New Roman"/>
                <w:b w:val="0"/>
                <w:i w:val="0"/>
                <w:sz w:val="18"/>
              </w:rPr>
              <w:t>幅值、相位、群时延和空间梯度</w:t>
            </w:r>
          </w:p>
        </w:tc>
        <w:tc>
          <w:tcPr>
            <w:tcW w:w="1606" w:type="dxa"/>
            <w:vAlign w:val="center"/>
          </w:tcPr>
          <w:p w14:paraId="6D279861">
            <w:pPr>
              <w:spacing w:before="30" w:after="30"/>
              <w:ind w:firstLine="0"/>
              <w:jc w:val="center"/>
            </w:pPr>
            <w:r>
              <w:rPr>
                <w:rFonts w:hint="eastAsia" w:ascii="Times New Roman" w:hAnsi="Times New Roman" w:eastAsia="宋体" w:cs="Times New Roman"/>
                <w:b w:val="0"/>
                <w:i w:val="0"/>
                <w:sz w:val="18"/>
              </w:rPr>
              <w:t>是</w:t>
            </w:r>
          </w:p>
        </w:tc>
        <w:tc>
          <w:tcPr>
            <w:tcW w:w="1606" w:type="dxa"/>
            <w:vAlign w:val="center"/>
          </w:tcPr>
          <w:p w14:paraId="415F27E0">
            <w:pPr>
              <w:spacing w:before="30" w:after="30"/>
              <w:ind w:firstLine="0"/>
              <w:jc w:val="center"/>
            </w:pPr>
            <w:r>
              <w:rPr>
                <w:rFonts w:hint="eastAsia" w:ascii="Times New Roman" w:hAnsi="Times New Roman" w:eastAsia="宋体" w:cs="Times New Roman"/>
                <w:b w:val="0"/>
                <w:i w:val="0"/>
                <w:sz w:val="18"/>
              </w:rPr>
              <w:t>数值敏感性、跨软件、训练外组合、真实波闭环</w:t>
            </w:r>
          </w:p>
        </w:tc>
        <w:tc>
          <w:tcPr>
            <w:tcW w:w="1606" w:type="dxa"/>
            <w:vAlign w:val="center"/>
          </w:tcPr>
          <w:p w14:paraId="49313454">
            <w:pPr>
              <w:spacing w:before="30" w:after="30"/>
              <w:ind w:firstLine="0"/>
              <w:jc w:val="center"/>
            </w:pPr>
            <w:r>
              <w:rPr>
                <w:rFonts w:hint="eastAsia" w:ascii="Times New Roman" w:hAnsi="Times New Roman" w:eastAsia="宋体" w:cs="Times New Roman"/>
                <w:b w:val="0"/>
                <w:i w:val="0"/>
                <w:sz w:val="18"/>
              </w:rPr>
              <w:t>是，96×161复数场</w:t>
            </w:r>
          </w:p>
        </w:tc>
      </w:tr>
    </w:tbl>
    <w:p w14:paraId="4227274A">
      <w:pPr>
        <w:spacing w:before="0" w:after="0"/>
        <w:ind w:firstLine="420"/>
        <w:jc w:val="both"/>
      </w:pPr>
      <w:r>
        <w:rPr>
          <w:rFonts w:hint="eastAsia" w:ascii="Times New Roman" w:hAnsi="Times New Roman" w:eastAsia="宋体" w:cs="Times New Roman"/>
          <w:b w:val="0"/>
          <w:i w:val="0"/>
          <w:sz w:val="21"/>
        </w:rPr>
        <w:t>由表1可见，本文试图补充的并非又一个单点放大系数公式，而是从参考场定义到时域回代的一整套可复核路线。该路线需要同时满足三个条件：数值模型能够稳定地给出不同构型间的相对差异；复频响指标能够把这些差异解释为频带、位置及参数交互；压缩后的代理仍能在未参加训练的构型和真实波输入下恢复工程量。任何一层缺失都会使结论停留在较弱的意义上。只有参数云图而缺少数值验证，规律可能来自离散误差或边界反射；只有交叉验证分数而缺少物理分层，无法知道误差集中在哪里；只有代理频域误差而没有真实波闭环，也不能判断统计误差是否会在时域叠加中被放大。</w:t>
      </w:r>
    </w:p>
    <w:p w14:paraId="23FAE431">
      <w:pPr>
        <w:spacing w:before="0" w:after="0"/>
        <w:ind w:firstLine="420"/>
        <w:jc w:val="both"/>
      </w:pPr>
      <w:r>
        <w:rPr>
          <w:rFonts w:hint="eastAsia" w:ascii="Times New Roman" w:hAnsi="Times New Roman" w:eastAsia="宋体" w:cs="Times New Roman"/>
          <w:b w:val="0"/>
          <w:i w:val="0"/>
          <w:sz w:val="21"/>
        </w:rPr>
        <w:t xml:space="preserve">完整复数场的预测难度显著高于标量回归。本文每个工况包含96个频率点和161个地表位置，共15 456个复数网格点；频率和位置之间具有强相关结构，相位还存在 </w:t>
      </w:r>
      <m:oMath>
        <m:r>
          <m:rPr/>
          <m:t>2π</m:t>
        </m:r>
      </m:oMath>
      <w:r>
        <w:rPr>
          <w:rFonts w:hint="eastAsia" w:ascii="Times New Roman" w:hAnsi="Times New Roman" w:eastAsia="宋体" w:cs="Times New Roman"/>
          <w:b w:val="0"/>
          <w:i w:val="0"/>
          <w:sz w:val="21"/>
        </w:rPr>
        <w:t xml:space="preserve"> 卷绕。若把每个网格点拆成独立样本，训练集数量会被虚增，并破坏“一个构型是一个物理样本”的基本事实。卷积神经网络、人工神经网络、支持向量机和随机森林已经被用于盆地或复杂场地的放大预测</w:t>
      </w:r>
      <w:r>
        <w:rPr>
          <w:rFonts w:hint="eastAsia" w:ascii="Times New Roman" w:hAnsi="Times New Roman" w:eastAsia="宋体" w:cs="Times New Roman"/>
          <w:b w:val="0"/>
          <w:i w:val="0"/>
          <w:sz w:val="21"/>
          <w:vertAlign w:val="superscript"/>
        </w:rPr>
        <w:t>[25-30]</w:t>
      </w:r>
      <w:r>
        <w:rPr>
          <w:rFonts w:hint="eastAsia" w:ascii="Times New Roman" w:hAnsi="Times New Roman" w:eastAsia="宋体" w:cs="Times New Roman"/>
          <w:b w:val="0"/>
          <w:i w:val="0"/>
          <w:sz w:val="21"/>
        </w:rPr>
        <w:t>，说明数据驱动方法具有可行性；但从三个物理参数映射到整个复数场，需要先压缩场内结构，再预测低维系数，并使用对复数相位有意义的误差度量。模型是否有用，也不能只看训练误差：同一参数网格内的交叉验证、位于网格中间的训练外组合，以及真实地震记录作用下的时域闭环分别回答不同问题，不能合并成一个“验证通过”的笼统结论。</w:t>
      </w:r>
    </w:p>
    <w:p w14:paraId="23487325">
      <w:pPr>
        <w:spacing w:before="0" w:after="0"/>
        <w:ind w:firstLine="420"/>
        <w:jc w:val="both"/>
      </w:pPr>
      <w:r>
        <w:rPr>
          <w:rFonts w:hint="eastAsia" w:ascii="Times New Roman" w:hAnsi="Times New Roman" w:eastAsia="宋体" w:cs="Times New Roman"/>
          <w:b w:val="0"/>
          <w:i w:val="0"/>
          <w:sz w:val="21"/>
        </w:rPr>
        <w:t>本征正交分解适合这一任务，是因为它利用整个频率—空间场内部的相关性，用少量模态表达主要变化，再由回归模型学习构型参数到模态系数的映射。但降维并不会自动消除预测困难。模态数受上限约束时，累计能量目标未必真正达到；提高模态数可以减少截断误差，却不一定改善由样本稀疏和参数插值造成的尾部误差。高斯过程给出的平滑映射也不能替代独立验证。本文因此把保留能量、候选回归器的工况级交叉验证、误差的频带与空间分层以及训练外组合排序分别报告，并通过增加模态数的敏感性计算区分“场压缩不足”和“回归泛化不足”。这种区分比单纯宣称某种算法精度更高更重要，因为它直接指出下一步应增加模态容量，还是应在高误差参数区域补充训练样本。</w:t>
      </w:r>
    </w:p>
    <w:p w14:paraId="2D112E82">
      <w:pPr>
        <w:spacing w:before="0" w:after="0"/>
        <w:ind w:firstLine="420"/>
        <w:jc w:val="both"/>
      </w:pPr>
      <w:r>
        <w:rPr>
          <w:rFonts w:hint="eastAsia" w:ascii="Times New Roman" w:hAnsi="Times New Roman" w:eastAsia="宋体" w:cs="Times New Roman"/>
          <w:b w:val="0"/>
          <w:i w:val="0"/>
          <w:sz w:val="21"/>
        </w:rPr>
        <w:t xml:space="preserve">相位处理是完整复数场代理中的另一项约束。直接回归包裹相位，会在 </w:t>
      </w:r>
      <m:oMath>
        <m:r>
          <m:rPr>
            <m:sty m:val="p"/>
          </m:rPr>
          <m:t>−</m:t>
        </m:r>
        <m:r>
          <m:rPr/>
          <m:t>π</m:t>
        </m:r>
      </m:oMath>
      <w:r>
        <w:rPr>
          <w:rFonts w:hint="eastAsia" w:ascii="Times New Roman" w:hAnsi="Times New Roman" w:eastAsia="宋体" w:cs="Times New Roman"/>
          <w:b w:val="0"/>
          <w:i w:val="0"/>
          <w:sz w:val="21"/>
        </w:rPr>
        <w:t xml:space="preserve"> 与 </w:t>
      </w:r>
      <m:oMath>
        <m:r>
          <m:rPr/>
          <m:t>π</m:t>
        </m:r>
      </m:oMath>
      <w:r>
        <w:rPr>
          <w:rFonts w:hint="eastAsia" w:ascii="Times New Roman" w:hAnsi="Times New Roman" w:eastAsia="宋体" w:cs="Times New Roman"/>
          <w:b w:val="0"/>
          <w:i w:val="0"/>
          <w:sz w:val="21"/>
        </w:rPr>
        <w:t xml:space="preserve"> 的人为切口两侧制造数值不连续；分别回归幅值和展开相位，又可能破坏二者作为同一复数响应的耦合。本文在统一网格上组织完整复数输出并以复数场误差评价重构结果，同时单列对数幅值、圆周相位、峰值频率、峰值位置和群时延误差。综合误差用于选模，分项指标用于解释模型为何在某些频带或空间区段表现较弱。这一安排使“模型优劣”不再由单个中位数决定，也避免幅值较小位置的相位波动被不加区分地解读为同等重要的工程误差。</w:t>
      </w:r>
    </w:p>
    <w:p w14:paraId="2EF1B265">
      <w:pPr>
        <w:spacing w:before="0" w:after="0"/>
        <w:ind w:firstLine="420"/>
        <w:jc w:val="both"/>
      </w:pPr>
      <w:r>
        <w:rPr>
          <w:rFonts w:hint="eastAsia" w:ascii="Times New Roman" w:hAnsi="Times New Roman" w:eastAsia="宋体" w:cs="Times New Roman"/>
          <w:b w:val="0"/>
          <w:i w:val="0"/>
          <w:sz w:val="21"/>
        </w:rPr>
        <w:t xml:space="preserve">基于上述认识，本文以二维线性“覆盖层—基岩”坡地为对象，将水平复频响函数 </w:t>
      </w:r>
      <m:oMath>
        <m:sSub>
          <m:sSubPr/>
          <m:e>
            <m:r>
              <m:rPr/>
              <m:t>G</m:t>
            </m:r>
          </m:e>
          <m:sub>
            <m:r>
              <m:rPr/>
              <m:t>h</m:t>
            </m:r>
          </m:sub>
        </m:sSub>
        <m:r>
          <m:rPr>
            <m:sty m:val="p"/>
          </m:rPr>
          <m:t>(</m:t>
        </m:r>
        <m:r>
          <m:rPr/>
          <m:t>f</m:t>
        </m:r>
        <m:r>
          <m:rPr>
            <m:sty m:val="p"/>
          </m:rPr>
          <m:t>,</m:t>
        </m:r>
        <m:r>
          <m:rPr/>
          <m:t>s</m:t>
        </m:r>
        <m:r>
          <m:rPr>
            <m:sty m:val="p"/>
          </m:rPr>
          <m:t>)</m:t>
        </m:r>
      </m:oMath>
      <w:r>
        <w:rPr>
          <w:rFonts w:hint="eastAsia" w:ascii="Times New Roman" w:hAnsi="Times New Roman" w:eastAsia="宋体" w:cs="Times New Roman"/>
          <w:b w:val="0"/>
          <w:i w:val="0"/>
          <w:sz w:val="21"/>
        </w:rPr>
        <w:t xml:space="preserve"> 定义为二维地表响应相对于统一左侧一维自由场的复数比值。全地表共用一个分母，避免在坡脚切换左右一维柱造成非物理分界；幅值描述相对放大或削弱，展开相位及其频率导数描述相对迟滞和群时延。采用宽频多正弦信号对4个均质基准和64个成层全因子构型作系统识别，参数范围为坡角 </w:t>
      </w:r>
      <m:oMath>
        <m:r>
          <m:rPr/>
          <m:t>i</m:t>
        </m:r>
        <m:r>
          <m:rPr>
            <m:sty m:val="p"/>
          </m:rPr>
          <m:t>=</m:t>
        </m:r>
        <m:sSup>
          <m:sSupPr/>
          <m:e>
            <m:r>
              <m:rPr/>
              <m:t>15</m:t>
            </m:r>
          </m:e>
          <m:sup>
            <m:r>
              <m:rPr>
                <m:sty m:val="p"/>
              </m:rPr>
              <m:t>∘</m:t>
            </m:r>
          </m:sup>
        </m:sSup>
      </m:oMath>
      <w:r>
        <w:rPr>
          <w:rFonts w:hint="eastAsia" w:ascii="Times New Roman" w:hAnsi="Times New Roman" w:eastAsia="宋体" w:cs="Times New Roman"/>
          <w:b w:val="0"/>
          <w:i w:val="0"/>
          <w:sz w:val="21"/>
        </w:rPr>
        <w:t>～</w:t>
      </w:r>
      <m:oMath>
        <m:sSup>
          <m:sSupPr/>
          <m:e>
            <m:r>
              <m:rPr/>
              <m:t>60</m:t>
            </m:r>
          </m:e>
          <m:sup>
            <m:r>
              <m:rPr>
                <m:sty m:val="p"/>
              </m:rPr>
              <m:t>∘</m:t>
            </m:r>
          </m:sup>
        </m:sSup>
      </m:oMath>
      <w:r>
        <w:rPr>
          <w:rFonts w:hint="eastAsia" w:ascii="Times New Roman" w:hAnsi="Times New Roman" w:eastAsia="宋体" w:cs="Times New Roman"/>
          <w:b w:val="0"/>
          <w:i w:val="0"/>
          <w:sz w:val="21"/>
        </w:rPr>
        <w:t xml:space="preserve">、厚度比 </w:t>
      </w:r>
      <m:oMath>
        <m:r>
          <m:rPr/>
          <m:t>d</m:t>
        </m:r>
        <m:r>
          <m:rPr>
            <m:sty m:val="p"/>
          </m:rPr>
          <m:t>/</m:t>
        </m:r>
        <m:r>
          <m:rPr/>
          <m:t>h</m:t>
        </m:r>
        <m:r>
          <m:rPr>
            <m:sty m:val="p"/>
          </m:rPr>
          <m:t>=</m:t>
        </m:r>
        <m:r>
          <m:rPr/>
          <m:t>0.20</m:t>
        </m:r>
      </m:oMath>
      <w:r>
        <w:rPr>
          <w:rFonts w:hint="eastAsia" w:ascii="Times New Roman" w:hAnsi="Times New Roman" w:eastAsia="宋体" w:cs="Times New Roman"/>
          <w:b w:val="0"/>
          <w:i w:val="0"/>
          <w:sz w:val="21"/>
        </w:rPr>
        <w:t xml:space="preserve">～1.40、波速比 </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～0.75。分析不只比较全场峰值，还沿上平台、坡面和下平台以及低、中、高频带分层，检验单调趋势、控制峰换位和参数交互。</w:t>
      </w:r>
    </w:p>
    <w:p w14:paraId="01AAEC6A">
      <w:pPr>
        <w:spacing w:before="0" w:after="0"/>
        <w:ind w:firstLine="420"/>
        <w:jc w:val="both"/>
      </w:pPr>
      <w:r>
        <w:rPr>
          <w:rFonts w:hint="eastAsia" w:ascii="Times New Roman" w:hAnsi="Times New Roman" w:eastAsia="宋体" w:cs="Times New Roman"/>
          <w:b w:val="0"/>
          <w:i w:val="0"/>
          <w:sz w:val="21"/>
        </w:rPr>
        <w:t xml:space="preserve">在此基础上，本文建立从 </w:t>
      </w:r>
      <m:oMath>
        <m:r>
          <m:rPr>
            <m:sty m:val="p"/>
          </m:rPr>
          <m:t>(</m:t>
        </m:r>
        <m:r>
          <m:rPr/>
          <m:t>i</m:t>
        </m:r>
        <m:r>
          <m:rPr>
            <m:sty m:val="p"/>
          </m:rPr>
          <m:t>,</m:t>
        </m:r>
        <m:r>
          <m:rPr/>
          <m:t>d</m:t>
        </m:r>
        <m:r>
          <m:rPr>
            <m:sty m:val="p"/>
          </m:rPr>
          <m:t>/</m:t>
        </m:r>
        <m:r>
          <m:rPr/>
          <m:t>h</m:t>
        </m:r>
        <m:r>
          <m:rPr>
            <m:sty m:val="p"/>
          </m:rPr>
          <m:t>,</m:t>
        </m:r>
        <m:sSub>
          <m:sSubPr/>
          <m:e>
            <m:r>
              <m:rPr/>
              <m:t>r</m:t>
            </m:r>
          </m:e>
          <m:sub>
            <m:r>
              <m:rPr/>
              <m:t>v</m:t>
            </m:r>
          </m:sub>
        </m:sSub>
        <m:r>
          <m:rPr>
            <m:sty m:val="p"/>
          </m:rPr>
          <m:t>)</m:t>
        </m:r>
      </m:oMath>
      <w:r>
        <w:rPr>
          <w:rFonts w:hint="eastAsia" w:ascii="Times New Roman" w:hAnsi="Times New Roman" w:eastAsia="宋体" w:cs="Times New Roman"/>
          <w:b w:val="0"/>
          <w:i w:val="0"/>
          <w:sz w:val="21"/>
        </w:rPr>
        <w:t xml:space="preserve"> 到96×161完整复数场的本征正交分解—高斯过程回归代理。64个P组构型用于工况级五折交叉验证和最终拟合，12个处于中间参数水平的B组组合不参与训练或选模，用于评价训练网格之间的泛化。参考场定义并非在B组结果完全封存前冻结，因此B组仅称为训练外组合，不称为严格盲测。最终将代理复频响与 El Centro、Kobe和Chi-Chi三条真实地震记录对应的左侧一维自由场相乘，经逆变换重构二维地表时程，并与10个直接有限元工况比较，从而检验频域场误差在实际输入能量加权后会形成怎样的时域误差。</w:t>
      </w:r>
    </w:p>
    <w:p w14:paraId="18513825">
      <w:pPr>
        <w:spacing w:before="0" w:after="0"/>
        <w:ind w:firstLine="420"/>
        <w:jc w:val="both"/>
      </w:pPr>
      <w:r>
        <w:rPr>
          <w:rFonts w:hint="eastAsia" w:ascii="Times New Roman" w:hAnsi="Times New Roman" w:eastAsia="宋体" w:cs="Times New Roman"/>
          <w:b w:val="0"/>
          <w:i w:val="0"/>
          <w:sz w:val="21"/>
        </w:rPr>
        <w:t>三条真实波在低、中、高频带的能量分配并不相同，因而闭环验证不是把宽频识别结果换一种画法展示。某些在等权频率统计中较明显的高频误差，遇到高频能量较弱的输入时，对PGA和反应谱的影响可能有限；反之，若误差恰好落在真实波能量集中的频带，即便全场平均指标不差，也可能造成局部时程偏差。将代理重构与直接有限元结果逐位置比较，可以同时观察这种输入能量加权、空间误差聚集和峰值叠加效应。闭环阶段因此承担的是独立的工程检验，而不是再次证明代理在训练数据上能够拟合。</w:t>
      </w:r>
    </w:p>
    <w:p w14:paraId="66BA98DC">
      <w:pPr>
        <w:spacing w:before="0" w:after="0"/>
        <w:ind w:firstLine="420"/>
        <w:jc w:val="both"/>
      </w:pPr>
      <w:r>
        <w:rPr>
          <w:rFonts w:hint="eastAsia" w:ascii="Times New Roman" w:hAnsi="Times New Roman" w:eastAsia="宋体" w:cs="Times New Roman"/>
          <w:b w:val="0"/>
          <w:i w:val="0"/>
          <w:sz w:val="21"/>
        </w:rPr>
        <w:t>本文拟回答四个相互衔接的问题：当前数值模型和斜入射输入在网格、计算域及不同求解器下是否足以支撑参数比较；坡角、厚度比和波速比怎样共同改变复频响幅值、相位、主峰频率与控制位置；低维代理能在多大程度上恢复完整复数场，其误差集中于哪些参数、频带和空间区段；频域预测在真实地震波下能否重构工程关心的时程、PGA、地形放大系数和反应谱。全文按这条证据链组织：第2章建立并验证数值模型，第3章在首次使用处定义复频响指标并分析参数规律，第4章连续介绍代理构建、交叉验证、训练外组合和真实波闭环，第5章归纳在当前证据范围内成立的结论。</w:t>
      </w:r>
    </w:p>
    <w:p w14:paraId="7B39426A">
      <w:pPr>
        <w:spacing w:before="0" w:after="0"/>
        <w:ind w:firstLine="420"/>
        <w:jc w:val="both"/>
      </w:pPr>
      <w:r>
        <w:rPr>
          <w:rFonts w:hint="eastAsia" w:ascii="Times New Roman" w:hAnsi="Times New Roman" w:eastAsia="宋体" w:cs="Times New Roman"/>
          <w:b w:val="0"/>
          <w:i w:val="0"/>
          <w:sz w:val="21"/>
        </w:rPr>
        <w:t>本文结论严格限定于二维平面应变、线性两层介质、坡高100 m、15° SV斜入射、覆盖层与基岩密度比0.85、本文给定阻尼和0.5～10 Hz频带。研究没有改变入射角、密度比和地层数，也未考虑土体非线性、孔压耦合或三维绕射；跨软件对照只覆盖代表性均质/成层构型和 Ricker 有效频带。明确这些边界并非削弱参数研究，而是避免把有限设计域内的确定性规律写成天然坡地的一般常数，也为后续扩展入射角、材料非线性和三维地形提供可复核的基线。</w:t>
      </w:r>
    </w:p>
    <w:p w14:paraId="6974BB0E">
      <w:pPr>
        <w:keepNext w:val="0"/>
        <w:keepLines w:val="0"/>
        <w:pageBreakBefore w:val="0"/>
        <w:widowControl w:val="0"/>
        <w:kinsoku/>
        <w:wordWrap/>
        <w:overflowPunct/>
        <w:topLinePunct w:val="0"/>
        <w:autoSpaceDE/>
        <w:autoSpaceDN/>
        <w:bidi w:val="0"/>
        <w:adjustRightInd/>
        <w:snapToGrid/>
        <w:spacing w:before="312" w:after="60"/>
        <w:ind w:firstLine="0"/>
        <w:jc w:val="left"/>
        <w:textAlignment w:val="auto"/>
        <w:outlineLvl w:val="0"/>
      </w:pPr>
      <w:bookmarkStart w:id="0" w:name="_GoBack"/>
      <w:bookmarkEnd w:id="0"/>
      <w:r>
        <w:rPr>
          <w:rFonts w:hint="eastAsia" w:ascii="Times New Roman" w:hAnsi="Times New Roman" w:eastAsia="宋体" w:cs="Times New Roman"/>
          <w:b/>
          <w:i w:val="0"/>
          <w:sz w:val="28"/>
        </w:rPr>
        <w:t>2 数值模型建立与验证</w:t>
      </w:r>
    </w:p>
    <w:p w14:paraId="016952AA">
      <w:pPr>
        <w:spacing w:before="0" w:after="0"/>
        <w:ind w:firstLine="420"/>
        <w:jc w:val="both"/>
      </w:pPr>
      <w:r>
        <w:rPr>
          <w:rFonts w:hint="eastAsia" w:ascii="Times New Roman" w:hAnsi="Times New Roman" w:eastAsia="宋体" w:cs="Times New Roman"/>
          <w:b w:val="0"/>
          <w:i w:val="0"/>
          <w:sz w:val="21"/>
        </w:rPr>
        <w:t>本章说明后续参数分析所依据的数值样本如何产生，以及这些样本在何种范围内可信。模型建立部分固定几何、材料、网格、边界和输入口径，使任一P组参数构型可由三个研究参数唯一确定；验证部分先在同一求解器内逐项扰动网格、时窗和计算域，再以另一种离散方法重算代表性均质坡与成层坡。前者检验关键响应对数值设置是否敏感，后者检验地表响应的主要空间分布是否依赖 Abaqus 这一单一求解器。复频响函数、覆盖层复数修正和代理建模方法均在其首次使用的后续章节介绍，本章仅在验证时采用与后文一致的统一左侧一维自由场归一化口径。</w:t>
      </w:r>
    </w:p>
    <w:p w14:paraId="1BF6FE5E">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pPr>
      <w:r>
        <w:rPr>
          <w:rFonts w:hint="eastAsia" w:ascii="Times New Roman" w:hAnsi="Times New Roman" w:eastAsia="宋体" w:cs="Times New Roman"/>
          <w:b/>
          <w:i w:val="0"/>
          <w:sz w:val="24"/>
        </w:rPr>
        <w:t>2.1 数值模型与计算方案</w:t>
      </w:r>
    </w:p>
    <w:p w14:paraId="24F5E599">
      <w:pPr>
        <w:keepNext w:val="0"/>
        <w:keepLines w:val="0"/>
        <w:pageBreakBefore w:val="0"/>
        <w:widowControl w:val="0"/>
        <w:kinsoku/>
        <w:wordWrap/>
        <w:overflowPunct/>
        <w:topLinePunct w:val="0"/>
        <w:autoSpaceDE/>
        <w:autoSpaceDN/>
        <w:bidi w:val="0"/>
        <w:adjustRightInd/>
        <w:snapToGrid/>
        <w:spacing w:before="80" w:after="20"/>
        <w:ind w:firstLine="0"/>
        <w:jc w:val="left"/>
        <w:textAlignment w:val="auto"/>
        <w:outlineLvl w:val="2"/>
      </w:pPr>
      <w:r>
        <w:rPr>
          <w:rFonts w:hint="eastAsia" w:ascii="Times New Roman" w:hAnsi="Times New Roman" w:eastAsia="宋体" w:cs="Times New Roman"/>
          <w:b/>
          <w:i w:val="0"/>
          <w:sz w:val="21"/>
        </w:rPr>
        <w:t>2.1.1 模型几何、材料及工况</w:t>
      </w:r>
    </w:p>
    <w:p w14:paraId="3B10E02A">
      <w:pPr>
        <w:spacing w:before="0" w:after="0"/>
        <w:ind w:firstLine="420"/>
        <w:jc w:val="both"/>
      </w:pPr>
      <w:r>
        <w:rPr>
          <w:rFonts w:hint="eastAsia" w:ascii="Times New Roman" w:hAnsi="Times New Roman" w:eastAsia="宋体" w:cs="Times New Roman"/>
          <w:b w:val="0"/>
          <w:i w:val="0"/>
          <w:sz w:val="21"/>
        </w:rPr>
        <w:t>研究对象为 SV 波斜入射下的二维“上土下岩”坡地。全部模型采用平面应变假定，并在小变形线弹性范围内求解。该假定有意排除了材料屈服、模量随应变退化、孔压发展及坡体失稳，使本研究可以把频率—空间响应的变化归因于坡形、覆盖层厚度和波速差异，而不把本构非线性引入的强度依赖混入参数效应。计算采用 Abaqus/Standard 2021 隐式动力求解器</w:t>
      </w:r>
      <w:r>
        <w:rPr>
          <w:rFonts w:hint="eastAsia" w:ascii="Times New Roman" w:hAnsi="Times New Roman" w:eastAsia="宋体" w:cs="Times New Roman"/>
          <w:b w:val="0"/>
          <w:i w:val="0"/>
          <w:sz w:val="21"/>
          <w:vertAlign w:val="superscript"/>
        </w:rPr>
        <w:t>[31]</w:t>
      </w:r>
      <w:r>
        <w:rPr>
          <w:rFonts w:hint="eastAsia" w:ascii="Times New Roman" w:hAnsi="Times New Roman" w:eastAsia="宋体" w:cs="Times New Roman"/>
          <w:b w:val="0"/>
          <w:i w:val="0"/>
          <w:sz w:val="21"/>
        </w:rPr>
        <w:t>，主体以四节点减缩积分平面应变单元 CPE4R 离散；成层界面或坡面附近无法保持规则映射时，网格以自由四边形为主并允许少量三节点平面应变单元 CPE3 过渡。模型单位制统一为 m、kg、s，后处理不再进行隐含的长度或加速度单位换算。</w:t>
      </w:r>
    </w:p>
    <w:p w14:paraId="1DC42F14">
      <w:pPr>
        <w:spacing w:before="0" w:after="0"/>
        <w:ind w:firstLine="420"/>
        <w:jc w:val="both"/>
      </w:pPr>
      <w:r>
        <w:rPr>
          <w:rFonts w:hint="eastAsia" w:ascii="Times New Roman" w:hAnsi="Times New Roman" w:eastAsia="宋体" w:cs="Times New Roman"/>
          <w:b w:val="0"/>
          <w:i w:val="0"/>
          <w:sz w:val="21"/>
        </w:rPr>
        <w:t xml:space="preserve">坡高固定为 </w:t>
      </w:r>
      <m:oMath>
        <m:r>
          <m:rPr/>
          <m:t>h</m:t>
        </m:r>
        <m:r>
          <m:rPr>
            <m:sty m:val="p"/>
          </m:rPr>
          <m:t>=</m:t>
        </m:r>
        <m:r>
          <m:rPr/>
          <m:t>100 </m:t>
        </m:r>
        <m:r>
          <m:rPr>
            <m:sty m:val="p"/>
          </m:rPr>
          <m:t>m</m:t>
        </m:r>
      </m:oMath>
      <w:r>
        <w:rPr>
          <w:rFonts w:hint="eastAsia" w:ascii="Times New Roman" w:hAnsi="Times New Roman" w:eastAsia="宋体" w:cs="Times New Roman"/>
          <w:b w:val="0"/>
          <w:i w:val="0"/>
          <w:sz w:val="21"/>
        </w:rPr>
        <w:t xml:space="preserve">，坡角记为 </w:t>
      </w:r>
      <m:oMath>
        <m:r>
          <m:rPr/>
          <m:t>i</m:t>
        </m:r>
      </m:oMath>
      <w:r>
        <w:rPr>
          <w:rFonts w:hint="eastAsia" w:ascii="Times New Roman" w:hAnsi="Times New Roman" w:eastAsia="宋体" w:cs="Times New Roman"/>
          <w:b w:val="0"/>
          <w:i w:val="0"/>
          <w:sz w:val="21"/>
        </w:rPr>
        <w:t xml:space="preserve">。取 </w:t>
      </w:r>
      <m:oMath>
        <m:r>
          <m:rPr/>
          <m:t>x</m:t>
        </m:r>
      </m:oMath>
      <w:r>
        <w:rPr>
          <w:rFonts w:hint="eastAsia" w:ascii="Times New Roman" w:hAnsi="Times New Roman" w:eastAsia="宋体" w:cs="Times New Roman"/>
          <w:b w:val="0"/>
          <w:i w:val="0"/>
          <w:sz w:val="21"/>
        </w:rPr>
        <w:t xml:space="preserve"> 轴水平向右、</w:t>
      </w:r>
      <m:oMath>
        <m:r>
          <m:rPr/>
          <m:t>y</m:t>
        </m:r>
      </m:oMath>
      <w:r>
        <w:rPr>
          <w:rFonts w:hint="eastAsia" w:ascii="Times New Roman" w:hAnsi="Times New Roman" w:eastAsia="宋体" w:cs="Times New Roman"/>
          <w:b w:val="0"/>
          <w:i w:val="0"/>
          <w:sz w:val="21"/>
        </w:rPr>
        <w:t xml:space="preserve"> 轴竖直向上，坡顶与坡脚的水平坐标分别为 </w:t>
      </w:r>
      <m:oMath>
        <m:sSub>
          <m:sSubPr/>
          <m:e>
            <m:r>
              <m:rPr/>
              <m:t>x</m:t>
            </m:r>
          </m:e>
          <m:sub>
            <m:r>
              <m:rPr>
                <m:sty m:val="p"/>
              </m:rPr>
              <m:t>c</m:t>
            </m:r>
          </m:sub>
        </m:sSub>
      </m:oMath>
      <w:r>
        <w:rPr>
          <w:rFonts w:hint="eastAsia" w:ascii="Times New Roman" w:hAnsi="Times New Roman" w:eastAsia="宋体" w:cs="Times New Roman"/>
          <w:b w:val="0"/>
          <w:i w:val="0"/>
          <w:sz w:val="21"/>
        </w:rPr>
        <w:t xml:space="preserve"> 和 </w:t>
      </w:r>
      <m:oMath>
        <m:sSub>
          <m:sSubPr/>
          <m:e>
            <m:r>
              <m:rPr/>
              <m:t>x</m:t>
            </m:r>
          </m:e>
          <m:sub>
            <m:r>
              <m:rPr>
                <m:sty m:val="p"/>
              </m:rPr>
              <m:t>t</m:t>
            </m:r>
          </m:sub>
        </m:sSub>
      </m:oMath>
      <w:r>
        <w:rPr>
          <w:rFonts w:hint="eastAsia" w:ascii="Times New Roman" w:hAnsi="Times New Roman" w:eastAsia="宋体" w:cs="Times New Roman"/>
          <w:b w:val="0"/>
          <w:i w:val="0"/>
          <w:sz w:val="21"/>
        </w:rPr>
        <w:t xml:space="preserve">。上平台观测窗向坡顶后方延伸 </w:t>
      </w:r>
      <m:oMath>
        <m:r>
          <m:rPr/>
          <m:t>4h</m:t>
        </m:r>
      </m:oMath>
      <w:r>
        <w:rPr>
          <w:rFonts w:hint="eastAsia" w:ascii="Times New Roman" w:hAnsi="Times New Roman" w:eastAsia="宋体" w:cs="Times New Roman"/>
          <w:b w:val="0"/>
          <w:i w:val="0"/>
          <w:sz w:val="21"/>
        </w:rPr>
        <w:t xml:space="preserve">，下平台观测窗从坡脚向前延伸 </w:t>
      </w:r>
      <m:oMath>
        <m:r>
          <m:rPr/>
          <m:t>3h</m:t>
        </m:r>
      </m:oMath>
      <w:r>
        <w:rPr>
          <w:rFonts w:hint="eastAsia" w:ascii="Times New Roman" w:hAnsi="Times New Roman" w:eastAsia="宋体" w:cs="Times New Roman"/>
          <w:b w:val="0"/>
          <w:i w:val="0"/>
          <w:sz w:val="21"/>
        </w:rPr>
        <w:t xml:space="preserve">；观测窗外的左右两侧各保留 </w:t>
      </w:r>
      <m:oMath>
        <m:r>
          <m:rPr/>
          <m:t>1h</m:t>
        </m:r>
      </m:oMath>
      <w:r>
        <w:rPr>
          <w:rFonts w:hint="eastAsia" w:ascii="Times New Roman" w:hAnsi="Times New Roman" w:eastAsia="宋体" w:cs="Times New Roman"/>
          <w:b w:val="0"/>
          <w:i w:val="0"/>
          <w:sz w:val="21"/>
        </w:rPr>
        <w:t xml:space="preserve"> 边界净空，坡脚地表以下保留 </w:t>
      </w:r>
      <m:oMath>
        <m:r>
          <m:rPr/>
          <m:t>3h</m:t>
        </m:r>
      </m:oMath>
      <w:r>
        <w:rPr>
          <w:rFonts w:hint="eastAsia" w:ascii="Times New Roman" w:hAnsi="Times New Roman" w:eastAsia="宋体" w:cs="Times New Roman"/>
          <w:b w:val="0"/>
          <w:i w:val="0"/>
          <w:sz w:val="21"/>
        </w:rPr>
        <w:t xml:space="preserve"> 基底深度。因此，上平台、坡面和下平台三段的建模长度以及模型总长满足</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470C8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20E3A336">
            <w:pPr>
              <w:spacing w:before="60" w:after="60"/>
              <w:jc w:val="center"/>
            </w:pPr>
            <m:oMathPara>
              <m:oMath>
                <m:sSub>
                  <m:sSubPr/>
                  <m:e>
                    <m:r>
                      <m:rPr/>
                      <m:t>L</m:t>
                    </m:r>
                  </m:e>
                  <m:sub>
                    <m:r>
                      <m:rPr>
                        <m:sty m:val="p"/>
                      </m:rPr>
                      <m:t>A</m:t>
                    </m:r>
                  </m:sub>
                </m:sSub>
                <m:r>
                  <m:rPr>
                    <m:sty m:val="p"/>
                  </m:rPr>
                  <m:t>=(</m:t>
                </m:r>
                <m:r>
                  <m:rPr/>
                  <m:t>4</m:t>
                </m:r>
                <m:r>
                  <m:rPr>
                    <m:sty m:val="p"/>
                  </m:rPr>
                  <m:t>+</m:t>
                </m:r>
                <m:r>
                  <m:rPr/>
                  <m:t>1</m:t>
                </m:r>
                <m:r>
                  <m:rPr>
                    <m:sty m:val="p"/>
                  </m:rPr>
                  <m:t>)</m:t>
                </m:r>
                <m:r>
                  <m:rPr/>
                  <m:t>h</m:t>
                </m:r>
                <m:r>
                  <m:rPr>
                    <m:sty m:val="p"/>
                  </m:rPr>
                  <m:t>=</m:t>
                </m:r>
                <m:r>
                  <m:rPr/>
                  <m:t>5h</m:t>
                </m:r>
                <m:r>
                  <m:rPr>
                    <m:sty m:val="p"/>
                  </m:rPr>
                  <m:t>,</m:t>
                </m:r>
                <m:r>
                  <m:rPr/>
                  <m:t>  </m:t>
                </m:r>
                <m:sSub>
                  <m:sSubPr/>
                  <m:e>
                    <m:r>
                      <m:rPr/>
                      <m:t>L</m:t>
                    </m:r>
                  </m:e>
                  <m:sub>
                    <m:r>
                      <m:rPr>
                        <m:sty m:val="p"/>
                      </m:rPr>
                      <m:t>B</m:t>
                    </m:r>
                  </m:sub>
                </m:sSub>
                <m:r>
                  <m:rPr>
                    <m:sty m:val="p"/>
                  </m:rPr>
                  <m:t>=</m:t>
                </m:r>
                <m:f>
                  <m:fPr/>
                  <m:num>
                    <m:r>
                      <m:rPr/>
                      <m:t>h</m:t>
                    </m:r>
                  </m:num>
                  <m:den>
                    <m:r>
                      <m:rPr>
                        <m:sty m:val="p"/>
                      </m:rPr>
                      <m:t>tan</m:t>
                    </m:r>
                    <m:r>
                      <m:rPr/>
                      <m:t>i</m:t>
                    </m:r>
                  </m:den>
                </m:f>
                <m:r>
                  <m:rPr>
                    <m:sty m:val="p"/>
                  </m:rPr>
                  <m:t>,</m:t>
                </m:r>
                <m:r>
                  <m:rPr/>
                  <m:t>  </m:t>
                </m:r>
                <m:sSub>
                  <m:sSubPr/>
                  <m:e>
                    <m:r>
                      <m:rPr/>
                      <m:t>L</m:t>
                    </m:r>
                  </m:e>
                  <m:sub>
                    <m:r>
                      <m:rPr>
                        <m:sty m:val="p"/>
                      </m:rPr>
                      <m:t>C</m:t>
                    </m:r>
                  </m:sub>
                </m:sSub>
                <m:r>
                  <m:rPr>
                    <m:sty m:val="p"/>
                  </m:rPr>
                  <m:t>=(</m:t>
                </m:r>
                <m:r>
                  <m:rPr/>
                  <m:t>3</m:t>
                </m:r>
                <m:r>
                  <m:rPr>
                    <m:sty m:val="p"/>
                  </m:rPr>
                  <m:t>+</m:t>
                </m:r>
                <m:r>
                  <m:rPr/>
                  <m:t>1</m:t>
                </m:r>
                <m:r>
                  <m:rPr>
                    <m:sty m:val="p"/>
                  </m:rPr>
                  <m:t>)</m:t>
                </m:r>
                <m:r>
                  <m:rPr/>
                  <m:t>h</m:t>
                </m:r>
                <m:r>
                  <m:rPr>
                    <m:sty m:val="p"/>
                  </m:rPr>
                  <m:t>=</m:t>
                </m:r>
                <m:r>
                  <m:rPr/>
                  <m:t>4h</m:t>
                </m:r>
                <m:r>
                  <m:rPr>
                    <m:sty m:val="p"/>
                  </m:rPr>
                  <m:t>,</m:t>
                </m:r>
                <m:r>
                  <m:rPr/>
                  <m:t>  L</m:t>
                </m:r>
                <m:r>
                  <m:rPr>
                    <m:sty m:val="p"/>
                  </m:rPr>
                  <m:t>=(</m:t>
                </m:r>
                <m:r>
                  <m:rPr/>
                  <m:t>9</m:t>
                </m:r>
                <m:r>
                  <m:rPr>
                    <m:sty m:val="p"/>
                  </m:rPr>
                  <m:t>+cot</m:t>
                </m:r>
                <m:r>
                  <m:rPr/>
                  <m:t>i</m:t>
                </m:r>
                <m:r>
                  <m:rPr>
                    <m:sty m:val="p"/>
                  </m:rPr>
                  <m:t>)</m:t>
                </m:r>
                <m:r>
                  <m:rPr/>
                  <m:t>h</m:t>
                </m:r>
                <m:r>
                  <m:rPr>
                    <m:sty m:val="p"/>
                  </m:rPr>
                  <m:t>.</m:t>
                </m:r>
              </m:oMath>
            </m:oMathPara>
          </w:p>
        </w:tc>
        <w:tc>
          <w:tcPr>
            <w:tcW w:w="4819" w:type="dxa"/>
          </w:tcPr>
          <w:p w14:paraId="0D8CCBE6">
            <w:pPr>
              <w:spacing w:before="60" w:after="60"/>
              <w:jc w:val="right"/>
            </w:pPr>
            <w:r>
              <w:rPr>
                <w:rFonts w:hint="eastAsia" w:ascii="Times New Roman" w:hAnsi="Times New Roman" w:eastAsia="Times New Roman" w:cs="Times New Roman"/>
                <w:b w:val="0"/>
                <w:i w:val="0"/>
                <w:sz w:val="21"/>
              </w:rPr>
              <w:t>(1)</w:t>
            </w:r>
          </w:p>
        </w:tc>
      </w:tr>
    </w:tbl>
    <w:p w14:paraId="01733038">
      <w:pPr>
        <w:spacing w:before="0" w:after="0"/>
        <w:ind w:firstLine="420"/>
        <w:jc w:val="both"/>
      </w:pPr>
      <w:r>
        <w:rPr>
          <w:rFonts w:hint="eastAsia" w:ascii="Times New Roman" w:hAnsi="Times New Roman" w:eastAsia="宋体" w:cs="Times New Roman"/>
          <w:b w:val="0"/>
          <w:i w:val="0"/>
          <w:sz w:val="21"/>
        </w:rPr>
        <w:t xml:space="preserve">式（1）将观测范围与人工边界净空明确分开：改变坡角只改变坡面的水平投影，不改变坡顶后方和坡脚前方用于统计的物理范围。以模型底边为 </w:t>
      </w:r>
      <m:oMath>
        <m:r>
          <m:rPr/>
          <m:t>y</m:t>
        </m:r>
        <m:r>
          <m:rPr>
            <m:sty m:val="p"/>
          </m:rPr>
          <m:t>=</m:t>
        </m:r>
        <m:r>
          <m:rPr/>
          <m:t>0</m:t>
        </m:r>
      </m:oMath>
      <w:r>
        <w:rPr>
          <w:rFonts w:hint="eastAsia" w:ascii="Times New Roman" w:hAnsi="Times New Roman" w:eastAsia="宋体" w:cs="Times New Roman"/>
          <w:b w:val="0"/>
          <w:i w:val="0"/>
          <w:sz w:val="21"/>
        </w:rPr>
        <w:t xml:space="preserve"> 时，坡脚地表高程为 </w:t>
      </w:r>
      <m:oMath>
        <m:r>
          <m:rPr/>
          <m:t>3h</m:t>
        </m:r>
      </m:oMath>
      <w:r>
        <w:rPr>
          <w:rFonts w:hint="eastAsia" w:ascii="Times New Roman" w:hAnsi="Times New Roman" w:eastAsia="宋体" w:cs="Times New Roman"/>
          <w:b w:val="0"/>
          <w:i w:val="0"/>
          <w:sz w:val="21"/>
        </w:rPr>
        <w:t xml:space="preserve">，坡顶地表高程为 </w:t>
      </w:r>
      <m:oMath>
        <m:r>
          <m:rPr/>
          <m:t>4h</m:t>
        </m:r>
      </m:oMath>
      <w:r>
        <w:rPr>
          <w:rFonts w:hint="eastAsia" w:ascii="Times New Roman" w:hAnsi="Times New Roman" w:eastAsia="宋体" w:cs="Times New Roman"/>
          <w:b w:val="0"/>
          <w:i w:val="0"/>
          <w:sz w:val="21"/>
        </w:rPr>
        <w:t xml:space="preserve">，故模型竖向总尺寸为 </w:t>
      </w:r>
      <m:oMath>
        <m:r>
          <m:rPr/>
          <m:t>4h</m:t>
        </m:r>
      </m:oMath>
      <w:r>
        <w:rPr>
          <w:rFonts w:hint="eastAsia" w:ascii="Times New Roman" w:hAnsi="Times New Roman" w:eastAsia="宋体" w:cs="Times New Roman"/>
          <w:b w:val="0"/>
          <w:i w:val="0"/>
          <w:sz w:val="21"/>
        </w:rPr>
        <w:t xml:space="preserve">。对于 </w:t>
      </w:r>
      <m:oMath>
        <m:r>
          <m:rPr/>
          <m:t>i</m:t>
        </m:r>
        <m:r>
          <m:rPr>
            <m:sty m:val="p"/>
          </m:rPr>
          <m:t>=</m:t>
        </m:r>
        <m:sSup>
          <m:sSupPr/>
          <m:e>
            <m:r>
              <m:rPr/>
              <m:t>15</m:t>
            </m:r>
          </m:e>
          <m:sup>
            <m:r>
              <m:rPr>
                <m:sty m:val="p"/>
              </m:rPr>
              <m:t>∘</m:t>
            </m:r>
          </m:sup>
        </m:sSup>
      </m:oMath>
      <w:r>
        <w:rPr>
          <w:rFonts w:hint="eastAsia" w:ascii="Times New Roman" w:hAnsi="Times New Roman" w:eastAsia="宋体" w:cs="Times New Roman"/>
          <w:b w:val="0"/>
          <w:i w:val="0"/>
          <w:sz w:val="21"/>
        </w:rPr>
        <w:t>、</w:t>
      </w:r>
      <m:oMath>
        <m:sSup>
          <m:sSupPr/>
          <m:e>
            <m:r>
              <m:rPr/>
              <m:t>30</m:t>
            </m:r>
          </m:e>
          <m:sup>
            <m:r>
              <m:rPr>
                <m:sty m:val="p"/>
              </m:rPr>
              <m:t>∘</m:t>
            </m:r>
          </m:sup>
        </m:sSup>
      </m:oMath>
      <w:r>
        <w:rPr>
          <w:rFonts w:hint="eastAsia" w:ascii="Times New Roman" w:hAnsi="Times New Roman" w:eastAsia="宋体" w:cs="Times New Roman"/>
          <w:b w:val="0"/>
          <w:i w:val="0"/>
          <w:sz w:val="21"/>
        </w:rPr>
        <w:t>、</w:t>
      </w:r>
      <m:oMath>
        <m:sSup>
          <m:sSupPr/>
          <m:e>
            <m:r>
              <m:rPr/>
              <m:t>45</m:t>
            </m:r>
          </m:e>
          <m:sup>
            <m:r>
              <m:rPr>
                <m:sty m:val="p"/>
              </m:rPr>
              <m:t>∘</m:t>
            </m:r>
          </m:sup>
        </m:sSup>
      </m:oMath>
      <w:r>
        <w:rPr>
          <w:rFonts w:hint="eastAsia" w:ascii="Times New Roman" w:hAnsi="Times New Roman" w:eastAsia="宋体" w:cs="Times New Roman"/>
          <w:b w:val="0"/>
          <w:i w:val="0"/>
          <w:sz w:val="21"/>
        </w:rPr>
        <w:t xml:space="preserve"> 和 </w:t>
      </w:r>
      <m:oMath>
        <m:sSup>
          <m:sSupPr/>
          <m:e>
            <m:r>
              <m:rPr/>
              <m:t>60</m:t>
            </m:r>
          </m:e>
          <m:sup>
            <m:r>
              <m:rPr>
                <m:sty m:val="p"/>
              </m:rPr>
              <m:t>∘</m:t>
            </m:r>
          </m:sup>
        </m:sSup>
      </m:oMath>
      <w:r>
        <w:rPr>
          <w:rFonts w:hint="eastAsia" w:ascii="Times New Roman" w:hAnsi="Times New Roman" w:eastAsia="宋体" w:cs="Times New Roman"/>
          <w:b w:val="0"/>
          <w:i w:val="0"/>
          <w:sz w:val="21"/>
        </w:rPr>
        <w:t xml:space="preserve">，坡面水平投影分别约为 </w:t>
      </w:r>
      <m:oMath>
        <m:r>
          <m:rPr/>
          <m:t>3.73h</m:t>
        </m:r>
      </m:oMath>
      <w:r>
        <w:rPr>
          <w:rFonts w:hint="eastAsia" w:ascii="Times New Roman" w:hAnsi="Times New Roman" w:eastAsia="宋体" w:cs="Times New Roman"/>
          <w:b w:val="0"/>
          <w:i w:val="0"/>
          <w:sz w:val="21"/>
        </w:rPr>
        <w:t>、</w:t>
      </w:r>
      <m:oMath>
        <m:r>
          <m:rPr/>
          <m:t>1.73h</m:t>
        </m:r>
      </m:oMath>
      <w:r>
        <w:rPr>
          <w:rFonts w:hint="eastAsia" w:ascii="Times New Roman" w:hAnsi="Times New Roman" w:eastAsia="宋体" w:cs="Times New Roman"/>
          <w:b w:val="0"/>
          <w:i w:val="0"/>
          <w:sz w:val="21"/>
        </w:rPr>
        <w:t>、</w:t>
      </w:r>
      <m:oMath>
        <m:r>
          <m:rPr/>
          <m:t>1.00h</m:t>
        </m:r>
      </m:oMath>
      <w:r>
        <w:rPr>
          <w:rFonts w:hint="eastAsia" w:ascii="Times New Roman" w:hAnsi="Times New Roman" w:eastAsia="宋体" w:cs="Times New Roman"/>
          <w:b w:val="0"/>
          <w:i w:val="0"/>
          <w:sz w:val="21"/>
        </w:rPr>
        <w:t xml:space="preserve"> 和 </w:t>
      </w:r>
      <m:oMath>
        <m:r>
          <m:rPr/>
          <m:t>0.58h</m:t>
        </m:r>
      </m:oMath>
      <w:r>
        <w:rPr>
          <w:rFonts w:hint="eastAsia" w:ascii="Times New Roman" w:hAnsi="Times New Roman" w:eastAsia="宋体" w:cs="Times New Roman"/>
          <w:b w:val="0"/>
          <w:i w:val="0"/>
          <w:sz w:val="21"/>
        </w:rPr>
        <w:t>；这种随坡角变化的真实几何差异被保留，而两侧观测窗始终具有相同的归一化长度。</w:t>
      </w:r>
    </w:p>
    <w:p w14:paraId="43BFF703">
      <w:pPr>
        <w:spacing w:before="0" w:after="0"/>
        <w:ind w:firstLine="420"/>
        <w:jc w:val="both"/>
      </w:pPr>
      <w:r>
        <w:rPr>
          <w:rFonts w:hint="eastAsia" w:ascii="Times New Roman" w:hAnsi="Times New Roman" w:eastAsia="宋体" w:cs="Times New Roman"/>
          <w:b w:val="0"/>
          <w:i w:val="0"/>
          <w:sz w:val="21"/>
        </w:rPr>
        <w:t xml:space="preserve">按 </w:t>
      </w:r>
      <m:oMath>
        <m:r>
          <m:rPr/>
          <m:t>h</m:t>
        </m:r>
        <m:r>
          <m:rPr>
            <m:sty m:val="p"/>
          </m:rPr>
          <m:t>=</m:t>
        </m:r>
        <m:r>
          <m:rPr/>
          <m:t>100 </m:t>
        </m:r>
        <m:r>
          <m:rPr>
            <m:sty m:val="p"/>
          </m:rPr>
          <m:t>m</m:t>
        </m:r>
      </m:oMath>
      <w:r>
        <w:rPr>
          <w:rFonts w:hint="eastAsia" w:ascii="Times New Roman" w:hAnsi="Times New Roman" w:eastAsia="宋体" w:cs="Times New Roman"/>
          <w:b w:val="0"/>
          <w:i w:val="0"/>
          <w:sz w:val="21"/>
        </w:rPr>
        <w:t xml:space="preserve"> 换算，四种坡角的模型总长分别为 1273.2、1073.2、1000.0 和 957.7 m，竖向高度均为 400 m。这样处理有两个作用：缓坡因坡面投影较长而自然拥有更大的总计算域，不会为了统一总长而压缩其上、下平台；陡坡虽具有较短坡面，观测点仍通过式（2）映射到同一 </w:t>
      </w:r>
      <m:oMath>
        <m:r>
          <m:rPr/>
          <m:t>0</m:t>
        </m:r>
        <m:r>
          <m:rPr>
            <m:sty m:val="p"/>
          </m:rPr>
          <m:t>&lt;</m:t>
        </m:r>
        <m:r>
          <m:rPr/>
          <m:t>s</m:t>
        </m:r>
        <m:r>
          <m:rPr>
            <m:sty m:val="p"/>
          </m:rPr>
          <m:t>&lt;</m:t>
        </m:r>
        <m:r>
          <m:rPr/>
          <m:t>1</m:t>
        </m:r>
      </m:oMath>
      <w:r>
        <w:rPr>
          <w:rFonts w:hint="eastAsia" w:ascii="Times New Roman" w:hAnsi="Times New Roman" w:eastAsia="宋体" w:cs="Times New Roman"/>
          <w:b w:val="0"/>
          <w:i w:val="0"/>
          <w:sz w:val="21"/>
        </w:rPr>
        <w:t xml:space="preserve"> 区间。因而，共同 </w:t>
      </w:r>
      <m:oMath>
        <m:r>
          <m:rPr/>
          <m:t>s</m:t>
        </m:r>
      </m:oMath>
      <w:r>
        <w:rPr>
          <w:rFonts w:hint="eastAsia" w:ascii="Times New Roman" w:hAnsi="Times New Roman" w:eastAsia="宋体" w:cs="Times New Roman"/>
          <w:b w:val="0"/>
          <w:i w:val="0"/>
          <w:sz w:val="21"/>
        </w:rPr>
        <w:t xml:space="preserve"> 坐标表达的是相对地貌位置，而不是把不同坡角的水平距离误认为相等。后文在固定 </w:t>
      </w:r>
      <m:oMath>
        <m:r>
          <m:rPr/>
          <m:t>s</m:t>
        </m:r>
      </m:oMath>
      <w:r>
        <w:rPr>
          <w:rFonts w:hint="eastAsia" w:ascii="Times New Roman" w:hAnsi="Times New Roman" w:eastAsia="宋体" w:cs="Times New Roman"/>
          <w:b w:val="0"/>
          <w:i w:val="0"/>
          <w:sz w:val="21"/>
        </w:rPr>
        <w:t xml:space="preserve"> 处进行比较时，比较对象是“同一坡段位置”，并不意味着各点具有相同的绝对 </w:t>
      </w:r>
      <m:oMath>
        <m:r>
          <m:rPr/>
          <m:t>x</m:t>
        </m:r>
      </m:oMath>
      <w:r>
        <w:rPr>
          <w:rFonts w:hint="eastAsia" w:ascii="Times New Roman" w:hAnsi="Times New Roman" w:eastAsia="宋体" w:cs="Times New Roman"/>
          <w:b w:val="0"/>
          <w:i w:val="0"/>
          <w:sz w:val="21"/>
        </w:rPr>
        <w:t xml:space="preserve"> 坐标或相同的水平传播时间。</w:t>
      </w:r>
    </w:p>
    <w:p w14:paraId="73AED2A8">
      <w:pPr>
        <w:spacing w:before="0" w:after="0"/>
        <w:ind w:firstLine="420"/>
        <w:jc w:val="both"/>
      </w:pPr>
      <w:r>
        <w:rPr>
          <w:rFonts w:hint="eastAsia" w:ascii="Times New Roman" w:hAnsi="Times New Roman" w:eastAsia="宋体" w:cs="Times New Roman"/>
          <w:b w:val="0"/>
          <w:i w:val="0"/>
          <w:sz w:val="21"/>
        </w:rPr>
        <w:t xml:space="preserve">为把不同坡角下的折线地表映射到共同空间坐标，本文采用三段归一化坐标 </w:t>
      </w:r>
      <m:oMath>
        <m:r>
          <m:rPr/>
          <m:t>s</m:t>
        </m:r>
      </m:oMath>
      <w:r>
        <w:rPr>
          <w:rFonts w:hint="eastAsia" w:ascii="Times New Roman" w:hAnsi="Times New Roman" w:eastAsia="宋体" w:cs="Times New Roman"/>
          <w:b w:val="0"/>
          <w:i w:val="0"/>
          <w:sz w:val="21"/>
        </w:rPr>
        <w:t>。上平台以坡高归一化水平距离，坡面以坡顶至坡脚的沿段进程归一化，下平台继续以坡高为尺度：</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26259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6F8C44F6">
            <w:pPr>
              <w:spacing w:before="60" w:after="60"/>
              <w:jc w:val="center"/>
            </w:pPr>
            <m:oMathPara>
              <m:oMath>
                <m:r>
                  <m:rPr/>
                  <m:t>s</m:t>
                </m:r>
                <m:r>
                  <m:rPr>
                    <m:sty m:val="p"/>
                  </m:rPr>
                  <m:t>=</m:t>
                </m:r>
                <m:d>
                  <m:dPr>
                    <m:begChr m:val="{"/>
                    <m:sepChr m:val=""/>
                    <m:endChr m:val=""/>
                  </m:dPr>
                  <m:e>
                    <m:m>
                      <m:mPr>
                        <m:mcs>
                          <m:mc>
                            <m:mcPr>
                              <m:count m:val="2"/>
                              <m:mcJc m:val="left"/>
                            </m:mcPr>
                          </m:mc>
                        </m:mcs>
                        <m:plcHide m:val="1"/>
                      </m:mPr>
                      <m:mr>
                        <m:e>
                          <m:r>
                            <m:rPr>
                              <m:sty m:val="p"/>
                            </m:rPr>
                            <m:t>(</m:t>
                          </m:r>
                          <m:r>
                            <m:rPr/>
                            <m:t>x</m:t>
                          </m:r>
                          <m:r>
                            <m:rPr>
                              <m:sty m:val="p"/>
                            </m:rPr>
                            <m:t>−</m:t>
                          </m:r>
                          <m:sSub>
                            <m:sSubPr/>
                            <m:e>
                              <m:r>
                                <m:rPr/>
                                <m:t>x</m:t>
                              </m:r>
                            </m:e>
                            <m:sub>
                              <m:r>
                                <m:rPr>
                                  <m:sty m:val="p"/>
                                </m:rPr>
                                <m:t>c</m:t>
                              </m:r>
                            </m:sub>
                          </m:sSub>
                          <m:r>
                            <m:rPr>
                              <m:sty m:val="p"/>
                            </m:rPr>
                            <m:t>)/</m:t>
                          </m:r>
                          <m:r>
                            <m:rPr/>
                            <m:t>h</m:t>
                          </m:r>
                          <m:r>
                            <m:rPr>
                              <m:sty m:val="p"/>
                            </m:rPr>
                            <m:t>,</m:t>
                          </m:r>
                        </m:e>
                        <m:e>
                          <m:r>
                            <m:rPr/>
                            <m:t>x</m:t>
                          </m:r>
                          <m:r>
                            <m:rPr>
                              <m:sty m:val="p"/>
                            </m:rPr>
                            <m:t>≤</m:t>
                          </m:r>
                          <m:sSub>
                            <m:sSubPr/>
                            <m:e>
                              <m:r>
                                <m:rPr/>
                                <m:t>x</m:t>
                              </m:r>
                            </m:e>
                            <m:sub>
                              <m:r>
                                <m:rPr>
                                  <m:sty m:val="p"/>
                                </m:rPr>
                                <m:t>c</m:t>
                              </m:r>
                            </m:sub>
                          </m:sSub>
                          <m:r>
                            <m:rPr>
                              <m:sty m:val="p"/>
                            </m:rPr>
                            <m:t>,</m:t>
                          </m:r>
                        </m:e>
                      </m:mr>
                      <m:mr>
                        <m:e>
                          <m:r>
                            <m:rPr>
                              <m:sty m:val="p"/>
                            </m:rPr>
                            <m:t>(</m:t>
                          </m:r>
                          <m:r>
                            <m:rPr/>
                            <m:t>x</m:t>
                          </m:r>
                          <m:r>
                            <m:rPr>
                              <m:sty m:val="p"/>
                            </m:rPr>
                            <m:t>−</m:t>
                          </m:r>
                          <m:sSub>
                            <m:sSubPr/>
                            <m:e>
                              <m:r>
                                <m:rPr/>
                                <m:t>x</m:t>
                              </m:r>
                            </m:e>
                            <m:sub>
                              <m:r>
                                <m:rPr>
                                  <m:sty m:val="p"/>
                                </m:rPr>
                                <m:t>c</m:t>
                              </m:r>
                            </m:sub>
                          </m:sSub>
                          <m:r>
                            <m:rPr>
                              <m:sty m:val="p"/>
                            </m:rPr>
                            <m:t>)/(</m:t>
                          </m:r>
                          <m:sSub>
                            <m:sSubPr/>
                            <m:e>
                              <m:r>
                                <m:rPr/>
                                <m:t>x</m:t>
                              </m:r>
                            </m:e>
                            <m:sub>
                              <m:r>
                                <m:rPr>
                                  <m:sty m:val="p"/>
                                </m:rPr>
                                <m:t>t</m:t>
                              </m:r>
                            </m:sub>
                          </m:sSub>
                          <m:r>
                            <m:rPr>
                              <m:sty m:val="p"/>
                            </m:rPr>
                            <m:t>−</m:t>
                          </m:r>
                          <m:sSub>
                            <m:sSubPr/>
                            <m:e>
                              <m:r>
                                <m:rPr/>
                                <m:t>x</m:t>
                              </m:r>
                            </m:e>
                            <m:sub>
                              <m:r>
                                <m:rPr>
                                  <m:sty m:val="p"/>
                                </m:rPr>
                                <m:t>c</m:t>
                              </m:r>
                            </m:sub>
                          </m:sSub>
                          <m:r>
                            <m:rPr>
                              <m:sty m:val="p"/>
                            </m:rPr>
                            <m:t>),</m:t>
                          </m:r>
                        </m:e>
                        <m:e>
                          <m:sSub>
                            <m:sSubPr/>
                            <m:e>
                              <m:r>
                                <m:rPr/>
                                <m:t>x</m:t>
                              </m:r>
                            </m:e>
                            <m:sub>
                              <m:r>
                                <m:rPr>
                                  <m:sty m:val="p"/>
                                </m:rPr>
                                <m:t>c</m:t>
                              </m:r>
                            </m:sub>
                          </m:sSub>
                          <m:r>
                            <m:rPr>
                              <m:sty m:val="p"/>
                            </m:rPr>
                            <m:t>&lt;</m:t>
                          </m:r>
                          <m:r>
                            <m:rPr/>
                            <m:t>x</m:t>
                          </m:r>
                          <m:r>
                            <m:rPr>
                              <m:sty m:val="p"/>
                            </m:rPr>
                            <m:t>&lt;</m:t>
                          </m:r>
                          <m:sSub>
                            <m:sSubPr/>
                            <m:e>
                              <m:r>
                                <m:rPr/>
                                <m:t>x</m:t>
                              </m:r>
                            </m:e>
                            <m:sub>
                              <m:r>
                                <m:rPr>
                                  <m:sty m:val="p"/>
                                </m:rPr>
                                <m:t>t</m:t>
                              </m:r>
                            </m:sub>
                          </m:sSub>
                          <m:r>
                            <m:rPr>
                              <m:sty m:val="p"/>
                            </m:rPr>
                            <m:t>,</m:t>
                          </m:r>
                        </m:e>
                      </m:mr>
                      <m:mr>
                        <m:e>
                          <m:r>
                            <m:rPr/>
                            <m:t>1</m:t>
                          </m:r>
                          <m:r>
                            <m:rPr>
                              <m:sty m:val="p"/>
                            </m:rPr>
                            <m:t>+(</m:t>
                          </m:r>
                          <m:r>
                            <m:rPr/>
                            <m:t>x</m:t>
                          </m:r>
                          <m:r>
                            <m:rPr>
                              <m:sty m:val="p"/>
                            </m:rPr>
                            <m:t>−</m:t>
                          </m:r>
                          <m:sSub>
                            <m:sSubPr/>
                            <m:e>
                              <m:r>
                                <m:rPr/>
                                <m:t>x</m:t>
                              </m:r>
                            </m:e>
                            <m:sub>
                              <m:r>
                                <m:rPr>
                                  <m:sty m:val="p"/>
                                </m:rPr>
                                <m:t>t</m:t>
                              </m:r>
                            </m:sub>
                          </m:sSub>
                          <m:r>
                            <m:rPr>
                              <m:sty m:val="p"/>
                            </m:rPr>
                            <m:t>)/</m:t>
                          </m:r>
                          <m:r>
                            <m:rPr/>
                            <m:t>h</m:t>
                          </m:r>
                          <m:r>
                            <m:rPr>
                              <m:sty m:val="p"/>
                            </m:rPr>
                            <m:t>,</m:t>
                          </m:r>
                        </m:e>
                        <m:e>
                          <m:r>
                            <m:rPr/>
                            <m:t>x</m:t>
                          </m:r>
                          <m:r>
                            <m:rPr>
                              <m:sty m:val="p"/>
                            </m:rPr>
                            <m:t>≥</m:t>
                          </m:r>
                          <m:sSub>
                            <m:sSubPr/>
                            <m:e>
                              <m:r>
                                <m:rPr/>
                                <m:t>x</m:t>
                              </m:r>
                            </m:e>
                            <m:sub>
                              <m:r>
                                <m:rPr>
                                  <m:sty m:val="p"/>
                                </m:rPr>
                                <m:t>t</m:t>
                              </m:r>
                            </m:sub>
                          </m:sSub>
                          <m:r>
                            <m:rPr>
                              <m:sty m:val="p"/>
                            </m:rPr>
                            <m:t>.</m:t>
                          </m:r>
                        </m:e>
                      </m:mr>
                    </m:m>
                  </m:e>
                </m:d>
              </m:oMath>
            </m:oMathPara>
          </w:p>
        </w:tc>
        <w:tc>
          <w:tcPr>
            <w:tcW w:w="4819" w:type="dxa"/>
          </w:tcPr>
          <w:p w14:paraId="2EB4B8C6">
            <w:pPr>
              <w:spacing w:before="60" w:after="60"/>
              <w:jc w:val="right"/>
            </w:pPr>
            <w:r>
              <w:rPr>
                <w:rFonts w:hint="eastAsia" w:ascii="Times New Roman" w:hAnsi="Times New Roman" w:eastAsia="Times New Roman" w:cs="Times New Roman"/>
                <w:b w:val="0"/>
                <w:i w:val="0"/>
                <w:sz w:val="21"/>
              </w:rPr>
              <w:t>(2)</w:t>
            </w:r>
          </w:p>
        </w:tc>
      </w:tr>
    </w:tbl>
    <w:p w14:paraId="577C59E8">
      <w:pPr>
        <w:spacing w:before="0" w:after="0"/>
        <w:ind w:firstLine="420"/>
        <w:jc w:val="both"/>
      </w:pPr>
      <w:r>
        <w:rPr>
          <w:rFonts w:hint="eastAsia" w:ascii="Times New Roman" w:hAnsi="Times New Roman" w:eastAsia="宋体" w:cs="Times New Roman"/>
          <w:b w:val="0"/>
          <w:i w:val="0"/>
          <w:sz w:val="21"/>
        </w:rPr>
        <w:t xml:space="preserve">由此，正式观测范围统一为 </w:t>
      </w:r>
      <m:oMath>
        <m:r>
          <m:rPr/>
          <m:t>s</m:t>
        </m:r>
        <m:r>
          <m:rPr>
            <m:sty m:val="p"/>
          </m:rPr>
          <m:t>∈[−</m:t>
        </m:r>
        <m:r>
          <m:rPr/>
          <m:t>4</m:t>
        </m:r>
        <m:r>
          <m:rPr>
            <m:sty m:val="p"/>
          </m:rPr>
          <m:t>,</m:t>
        </m:r>
        <m:r>
          <m:rPr/>
          <m:t>4</m:t>
        </m:r>
        <m:r>
          <m:rPr>
            <m:sty m:val="p"/>
          </m:rPr>
          <m:t>]</m:t>
        </m:r>
      </m:oMath>
      <w:r>
        <w:rPr>
          <w:rFonts w:hint="eastAsia" w:ascii="Times New Roman" w:hAnsi="Times New Roman" w:eastAsia="宋体" w:cs="Times New Roman"/>
          <w:b w:val="0"/>
          <w:i w:val="0"/>
          <w:sz w:val="21"/>
        </w:rPr>
        <w:t xml:space="preserve">，其中 </w:t>
      </w:r>
      <m:oMath>
        <m:r>
          <m:rPr/>
          <m:t>s</m:t>
        </m:r>
        <m:r>
          <m:rPr>
            <m:sty m:val="p"/>
          </m:rPr>
          <m:t>=</m:t>
        </m:r>
        <m:r>
          <m:rPr/>
          <m:t>0</m:t>
        </m:r>
      </m:oMath>
      <w:r>
        <w:rPr>
          <w:rFonts w:hint="eastAsia" w:ascii="Times New Roman" w:hAnsi="Times New Roman" w:eastAsia="宋体" w:cs="Times New Roman"/>
          <w:b w:val="0"/>
          <w:i w:val="0"/>
          <w:sz w:val="21"/>
        </w:rPr>
        <w:t xml:space="preserve"> 为坡顶，</w:t>
      </w:r>
      <m:oMath>
        <m:r>
          <m:rPr/>
          <m:t>0</m:t>
        </m:r>
        <m:r>
          <m:rPr>
            <m:sty m:val="p"/>
          </m:rPr>
          <m:t>&lt;</m:t>
        </m:r>
        <m:r>
          <m:rPr/>
          <m:t>s</m:t>
        </m:r>
        <m:r>
          <m:rPr>
            <m:sty m:val="p"/>
          </m:rPr>
          <m:t>&lt;</m:t>
        </m:r>
        <m:r>
          <m:rPr/>
          <m:t>1</m:t>
        </m:r>
      </m:oMath>
      <w:r>
        <w:rPr>
          <w:rFonts w:hint="eastAsia" w:ascii="Times New Roman" w:hAnsi="Times New Roman" w:eastAsia="宋体" w:cs="Times New Roman"/>
          <w:b w:val="0"/>
          <w:i w:val="0"/>
          <w:sz w:val="21"/>
        </w:rPr>
        <w:t xml:space="preserve"> 为坡面，</w:t>
      </w:r>
      <m:oMath>
        <m:r>
          <m:rPr/>
          <m:t>s</m:t>
        </m:r>
        <m:r>
          <m:rPr>
            <m:sty m:val="p"/>
          </m:rPr>
          <m:t>=</m:t>
        </m:r>
        <m:r>
          <m:rPr/>
          <m:t>1</m:t>
        </m:r>
      </m:oMath>
      <w:r>
        <w:rPr>
          <w:rFonts w:hint="eastAsia" w:ascii="Times New Roman" w:hAnsi="Times New Roman" w:eastAsia="宋体" w:cs="Times New Roman"/>
          <w:b w:val="0"/>
          <w:i w:val="0"/>
          <w:sz w:val="21"/>
        </w:rPr>
        <w:t xml:space="preserve"> 为坡脚，</w:t>
      </w:r>
      <m:oMath>
        <m:r>
          <m:rPr/>
          <m:t>1</m:t>
        </m:r>
        <m:r>
          <m:rPr>
            <m:sty m:val="p"/>
          </m:rPr>
          <m:t>&lt;</m:t>
        </m:r>
        <m:r>
          <m:rPr/>
          <m:t>s</m:t>
        </m:r>
        <m:r>
          <m:rPr>
            <m:sty m:val="p"/>
          </m:rPr>
          <m:t>≤</m:t>
        </m:r>
        <m:r>
          <m:rPr/>
          <m:t>4</m:t>
        </m:r>
      </m:oMath>
      <w:r>
        <w:rPr>
          <w:rFonts w:hint="eastAsia" w:ascii="Times New Roman" w:hAnsi="Times New Roman" w:eastAsia="宋体" w:cs="Times New Roman"/>
          <w:b w:val="0"/>
          <w:i w:val="0"/>
          <w:sz w:val="21"/>
        </w:rPr>
        <w:t xml:space="preserve"> 为下平台。左右各 </w:t>
      </w:r>
      <m:oMath>
        <m:r>
          <m:rPr/>
          <m:t>1h</m:t>
        </m:r>
      </m:oMath>
      <w:r>
        <w:rPr>
          <w:rFonts w:hint="eastAsia" w:ascii="Times New Roman" w:hAnsi="Times New Roman" w:eastAsia="宋体" w:cs="Times New Roman"/>
          <w:b w:val="0"/>
          <w:i w:val="0"/>
          <w:sz w:val="21"/>
        </w:rPr>
        <w:t xml:space="preserve"> 的净空只服务于人工边界与坡体散射区的空间隔离，不纳入统计坐标。坡顶、坡面中部和坡脚的代表位置分别取 </w:t>
      </w:r>
      <m:oMath>
        <m:r>
          <m:rPr/>
          <m:t>s</m:t>
        </m:r>
        <m:r>
          <m:rPr>
            <m:sty m:val="p"/>
          </m:rPr>
          <m:t>=</m:t>
        </m:r>
        <m:r>
          <m:rPr/>
          <m:t>0</m:t>
        </m:r>
      </m:oMath>
      <w:r>
        <w:rPr>
          <w:rFonts w:hint="eastAsia" w:ascii="Times New Roman" w:hAnsi="Times New Roman" w:eastAsia="宋体" w:cs="Times New Roman"/>
          <w:b w:val="0"/>
          <w:i w:val="0"/>
          <w:sz w:val="21"/>
        </w:rPr>
        <w:t xml:space="preserve">、0.5 和 1，坡顶后方与坡脚前方的远场检查位置可取 </w:t>
      </w:r>
      <m:oMath>
        <m:r>
          <m:rPr/>
          <m:t>s</m:t>
        </m:r>
        <m:r>
          <m:rPr>
            <m:sty m:val="p"/>
          </m:rPr>
          <m:t>=−</m:t>
        </m:r>
        <m:r>
          <m:rPr/>
          <m:t>1</m:t>
        </m:r>
      </m:oMath>
      <w:r>
        <w:rPr>
          <w:rFonts w:hint="eastAsia" w:ascii="Times New Roman" w:hAnsi="Times New Roman" w:eastAsia="宋体" w:cs="Times New Roman"/>
          <w:b w:val="0"/>
          <w:i w:val="0"/>
          <w:sz w:val="21"/>
        </w:rPr>
        <w:t xml:space="preserve"> 和 2。图1同时给出了几何尺度、材料分区、三段坐标和地表接收点布置。</w:t>
      </w:r>
    </w:p>
    <w:p w14:paraId="67E87F42">
      <w:pPr>
        <w:spacing w:before="80" w:after="40"/>
        <w:ind w:firstLine="0"/>
        <w:jc w:val="center"/>
      </w:pPr>
      <w:r>
        <w:drawing>
          <wp:inline distT="0" distB="0" distL="114300" distR="114300">
            <wp:extent cx="2880360" cy="1664335"/>
            <wp:effectExtent l="0" t="0" r="1524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880360" cy="1664861"/>
                    </a:xfrm>
                    <a:prstGeom prst="rect">
                      <a:avLst/>
                    </a:prstGeom>
                  </pic:spPr>
                </pic:pic>
              </a:graphicData>
            </a:graphic>
          </wp:inline>
        </w:drawing>
      </w:r>
    </w:p>
    <w:p w14:paraId="3F9A1F11">
      <w:pPr>
        <w:spacing w:before="0" w:after="0"/>
        <w:ind w:firstLine="0"/>
        <w:jc w:val="center"/>
      </w:pPr>
      <w:r>
        <w:rPr>
          <w:rFonts w:hint="eastAsia" w:ascii="Times New Roman" w:hAnsi="Times New Roman" w:eastAsia="宋体" w:cs="Times New Roman"/>
          <w:b w:val="0"/>
          <w:i w:val="0"/>
          <w:sz w:val="18"/>
        </w:rPr>
        <w:t>图1 二维成层坡地数值模型与监测布置。（a）P061 全域几何、水平材料界面和三侧黏弹性人工边界，浅蓝区域为观测窗外的左右边界净空；该模型含 11175 个节点、11038 个单元和 255 个地表监测节点。（b）地表监测节点与三段归一化坐标，</w:t>
      </w:r>
      <m:oMath>
        <m:r>
          <m:rPr/>
          <m:t>s</m:t>
        </m:r>
        <m:r>
          <m:rPr>
            <m:sty m:val="p"/>
          </m:rPr>
          <m:t>=</m:t>
        </m:r>
        <m:r>
          <m:rPr/>
          <m:t>0</m:t>
        </m:r>
      </m:oMath>
      <w:r>
        <w:rPr>
          <w:rFonts w:hint="eastAsia" w:ascii="Times New Roman" w:hAnsi="Times New Roman" w:eastAsia="宋体" w:cs="Times New Roman"/>
          <w:b w:val="0"/>
          <w:i w:val="0"/>
          <w:sz w:val="18"/>
        </w:rPr>
        <w:t>、0.5 和 1 分别对应坡顶、坡面中部和坡脚。全部地表点在后处理中使用同一左侧一维自由场参考。</w:t>
      </w:r>
    </w:p>
    <w:p w14:paraId="4CCA8D81">
      <w:pPr>
        <w:spacing w:before="0" w:after="60"/>
        <w:ind w:firstLine="0"/>
        <w:jc w:val="center"/>
      </w:pPr>
      <w:r>
        <w:rPr>
          <w:rFonts w:hint="eastAsia" w:ascii="Times New Roman" w:hAnsi="Times New Roman" w:eastAsia="Times New Roman" w:cs="Times New Roman"/>
          <w:b w:val="0"/>
          <w:i w:val="0"/>
          <w:sz w:val="18"/>
        </w:rPr>
        <w:t>Fig. 1 Numerical model and surface monitoring layout of the two-dimensional layered slope</w:t>
      </w:r>
    </w:p>
    <w:p w14:paraId="754BFEAF">
      <w:pPr>
        <w:spacing w:before="0" w:after="0"/>
        <w:ind w:firstLine="420"/>
        <w:jc w:val="both"/>
      </w:pPr>
      <w:r>
        <w:rPr>
          <w:rFonts w:hint="eastAsia" w:ascii="Times New Roman" w:hAnsi="Times New Roman" w:eastAsia="宋体" w:cs="Times New Roman"/>
          <w:b w:val="0"/>
          <w:i w:val="0"/>
          <w:sz w:val="21"/>
        </w:rPr>
        <w:t xml:space="preserve">成层工况采用水平覆盖层—基岩界面。参数 </w:t>
      </w:r>
      <m:oMath>
        <m:r>
          <m:rPr/>
          <m:t>d</m:t>
        </m:r>
      </m:oMath>
      <w:r>
        <w:rPr>
          <w:rFonts w:hint="eastAsia" w:ascii="Times New Roman" w:hAnsi="Times New Roman" w:eastAsia="宋体" w:cs="Times New Roman"/>
          <w:b w:val="0"/>
          <w:i w:val="0"/>
          <w:sz w:val="21"/>
        </w:rPr>
        <w:t xml:space="preserve"> 表示从上平台地表向下量取的覆盖层厚度，因此 </w:t>
      </w:r>
      <m:oMath>
        <m:r>
          <m:rPr/>
          <m:t>d</m:t>
        </m:r>
        <m:r>
          <m:rPr>
            <m:sty m:val="p"/>
          </m:rPr>
          <m:t>/</m:t>
        </m:r>
        <m:r>
          <m:rPr/>
          <m:t>h</m:t>
        </m:r>
        <m:r>
          <m:rPr>
            <m:sty m:val="p"/>
          </m:rPr>
          <m:t>&lt;</m:t>
        </m:r>
        <m:r>
          <m:rPr/>
          <m:t>1</m:t>
        </m:r>
      </m:oMath>
      <w:r>
        <w:rPr>
          <w:rFonts w:hint="eastAsia" w:ascii="Times New Roman" w:hAnsi="Times New Roman" w:eastAsia="宋体" w:cs="Times New Roman"/>
          <w:b w:val="0"/>
          <w:i w:val="0"/>
          <w:sz w:val="21"/>
        </w:rPr>
        <w:t xml:space="preserve"> 时水平界面会在坡面出露，坡脚一侧可由基岩直接出露；</w:t>
      </w:r>
      <m:oMath>
        <m:r>
          <m:rPr/>
          <m:t>d</m:t>
        </m:r>
        <m:r>
          <m:rPr>
            <m:sty m:val="p"/>
          </m:rPr>
          <m:t>/</m:t>
        </m:r>
        <m:r>
          <m:rPr/>
          <m:t>h</m:t>
        </m:r>
        <m:r>
          <m:rPr>
            <m:sty m:val="p"/>
          </m:rPr>
          <m:t>&gt;</m:t>
        </m:r>
        <m:r>
          <m:rPr/>
          <m:t>1</m:t>
        </m:r>
      </m:oMath>
      <w:r>
        <w:rPr>
          <w:rFonts w:hint="eastAsia" w:ascii="Times New Roman" w:hAnsi="Times New Roman" w:eastAsia="宋体" w:cs="Times New Roman"/>
          <w:b w:val="0"/>
          <w:i w:val="0"/>
          <w:sz w:val="21"/>
        </w:rPr>
        <w:t xml:space="preserve"> 时覆盖层越过坡脚，下平台处的局部厚度为 </w:t>
      </w:r>
      <m:oMath>
        <m:r>
          <m:rPr/>
          <m:t>d</m:t>
        </m:r>
        <m:r>
          <m:rPr>
            <m:sty m:val="p"/>
          </m:rPr>
          <m:t>−</m:t>
        </m:r>
        <m:r>
          <m:rPr/>
          <m:t>h</m:t>
        </m:r>
      </m:oMath>
      <w:r>
        <w:rPr>
          <w:rFonts w:hint="eastAsia" w:ascii="Times New Roman" w:hAnsi="Times New Roman" w:eastAsia="宋体" w:cs="Times New Roman"/>
          <w:b w:val="0"/>
          <w:i w:val="0"/>
          <w:sz w:val="21"/>
        </w:rPr>
        <w:t>。这一几何口径不同于“沿地表保持等厚”的随地形成层，能够用同一水平界面表达覆盖层由坡顶向坡脚逐渐变薄并可能出露的概化地质。均质 H 工况不设置材料界面，整个域均取基岩参数，因而可作为同坡角条件下剥离覆盖层影响的几何基线。</w:t>
      </w:r>
    </w:p>
    <w:p w14:paraId="0515DE35">
      <w:pPr>
        <w:spacing w:before="0" w:after="0"/>
        <w:ind w:firstLine="420"/>
        <w:jc w:val="both"/>
      </w:pPr>
      <w:r>
        <w:rPr>
          <w:rFonts w:hint="eastAsia" w:ascii="Times New Roman" w:hAnsi="Times New Roman" w:eastAsia="宋体" w:cs="Times New Roman"/>
          <w:b w:val="0"/>
          <w:i w:val="0"/>
          <w:sz w:val="21"/>
        </w:rPr>
        <w:t>四个厚度水平还对应不同的材料拓扑。</w:t>
      </w:r>
      <m:oMath>
        <m:r>
          <m:rPr/>
          <m:t>d</m:t>
        </m:r>
        <m:r>
          <m:rPr>
            <m:sty m:val="p"/>
          </m:rPr>
          <m:t>/</m:t>
        </m:r>
        <m:r>
          <m:rPr/>
          <m:t>h</m:t>
        </m:r>
        <m:r>
          <m:rPr>
            <m:sty m:val="p"/>
          </m:rPr>
          <m:t>=</m:t>
        </m:r>
        <m:r>
          <m:rPr/>
          <m:t>0.20</m:t>
        </m:r>
      </m:oMath>
      <w:r>
        <w:rPr>
          <w:rFonts w:hint="eastAsia" w:ascii="Times New Roman" w:hAnsi="Times New Roman" w:eastAsia="宋体" w:cs="Times New Roman"/>
          <w:b w:val="0"/>
          <w:i w:val="0"/>
          <w:sz w:val="21"/>
        </w:rPr>
        <w:t xml:space="preserve"> 和 0.60 时，界面分别位于坡顶地表以下 20 m 和 60 m，并在坡面内部出露，下平台属于基岩地表；</w:t>
      </w:r>
      <m:oMath>
        <m:r>
          <m:rPr/>
          <m:t>d</m:t>
        </m:r>
        <m:r>
          <m:rPr>
            <m:sty m:val="p"/>
          </m:rPr>
          <m:t>/</m:t>
        </m:r>
        <m:r>
          <m:rPr/>
          <m:t>h</m:t>
        </m:r>
        <m:r>
          <m:rPr>
            <m:sty m:val="p"/>
          </m:rPr>
          <m:t>=</m:t>
        </m:r>
        <m:r>
          <m:rPr/>
          <m:t>1.00</m:t>
        </m:r>
      </m:oMath>
      <w:r>
        <w:rPr>
          <w:rFonts w:hint="eastAsia" w:ascii="Times New Roman" w:hAnsi="Times New Roman" w:eastAsia="宋体" w:cs="Times New Roman"/>
          <w:b w:val="0"/>
          <w:i w:val="0"/>
          <w:sz w:val="21"/>
        </w:rPr>
        <w:t xml:space="preserve"> 时界面恰好到达坡脚高程；</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 xml:space="preserve"> 时界面低于坡脚 40 m，覆盖层连续跨过整个坡面并延伸至下平台。厚度变化因此不仅改变一维传播距离，也改变材料界面与坡面交点的位置。本文把这种界面出露状态视为 </w:t>
      </w:r>
      <m:oMath>
        <m:r>
          <m:rPr/>
          <m:t>d</m:t>
        </m:r>
        <m:r>
          <m:rPr>
            <m:sty m:val="p"/>
          </m:rPr>
          <m:t>/</m:t>
        </m:r>
        <m:r>
          <m:rPr/>
          <m:t>h</m:t>
        </m:r>
      </m:oMath>
      <w:r>
        <w:rPr>
          <w:rFonts w:hint="eastAsia" w:ascii="Times New Roman" w:hAnsi="Times New Roman" w:eastAsia="宋体" w:cs="Times New Roman"/>
          <w:b w:val="0"/>
          <w:i w:val="0"/>
          <w:sz w:val="21"/>
        </w:rPr>
        <w:t xml:space="preserve"> 所代表的真实几何效应，而没有通过保持下平台覆盖层厚度不变来人为消除它。相应地，后文观察到的厚度效应应理解为这一水平成层模型中的综合效应，不能直接外推到沿坡面等厚覆盖层。</w:t>
      </w:r>
    </w:p>
    <w:p w14:paraId="1DBC8F44">
      <w:pPr>
        <w:spacing w:before="0" w:after="0"/>
        <w:ind w:firstLine="420"/>
        <w:jc w:val="both"/>
      </w:pPr>
      <w:r>
        <w:rPr>
          <w:rFonts w:hint="eastAsia" w:ascii="Times New Roman" w:hAnsi="Times New Roman" w:eastAsia="宋体" w:cs="Times New Roman"/>
          <w:b w:val="0"/>
          <w:i w:val="0"/>
          <w:sz w:val="21"/>
        </w:rPr>
        <w:t xml:space="preserve">基岩剪切波速为 </w:t>
      </w:r>
      <m:oMath>
        <m:sSub>
          <m:sSubPr/>
          <m:e>
            <m:r>
              <m:rPr/>
              <m:t>V</m:t>
            </m:r>
          </m:e>
          <m:sub>
            <m:r>
              <m:rPr>
                <m:sty m:val="p"/>
              </m:rPr>
              <m:t>s,b</m:t>
            </m:r>
          </m:sub>
        </m:sSub>
        <m:r>
          <m:rPr>
            <m:sty m:val="p"/>
          </m:rPr>
          <m:t>=</m:t>
        </m:r>
        <m:r>
          <m:rPr/>
          <m:t>2000 </m:t>
        </m:r>
        <m:r>
          <m:rPr>
            <m:sty m:val="p"/>
          </m:rPr>
          <m:t>m/s</m:t>
        </m:r>
      </m:oMath>
      <w:r>
        <w:rPr>
          <w:rFonts w:hint="eastAsia" w:ascii="Times New Roman" w:hAnsi="Times New Roman" w:eastAsia="宋体" w:cs="Times New Roman"/>
          <w:b w:val="0"/>
          <w:i w:val="0"/>
          <w:sz w:val="21"/>
        </w:rPr>
        <w:t xml:space="preserve">，密度为 </w:t>
      </w:r>
      <m:oMath>
        <m:r>
          <m:rPr/>
          <m:t>2500 </m:t>
        </m:r>
        <m:r>
          <m:rPr>
            <m:sty m:val="p"/>
          </m:rPr>
          <m:t>kg/</m:t>
        </m:r>
        <m:sSup>
          <m:sSupPr/>
          <m:e>
            <m:r>
              <m:rPr>
                <m:sty m:val="p"/>
              </m:rPr>
              <m:t>m</m:t>
            </m:r>
          </m:e>
          <m:sup>
            <m:r>
              <m:rPr>
                <m:sty m:val="p"/>
              </m:rPr>
              <m:t>3</m:t>
            </m:r>
          </m:sup>
        </m:sSup>
      </m:oMath>
      <w:r>
        <w:rPr>
          <w:rFonts w:hint="eastAsia" w:ascii="Times New Roman" w:hAnsi="Times New Roman" w:eastAsia="宋体" w:cs="Times New Roman"/>
          <w:b w:val="0"/>
          <w:i w:val="0"/>
          <w:sz w:val="21"/>
        </w:rPr>
        <w:t xml:space="preserve">，泊松比为 0.30；覆盖层密度固定为基岩的 0.85 倍，即 </w:t>
      </w:r>
      <m:oMath>
        <m:r>
          <m:rPr/>
          <m:t>2125 </m:t>
        </m:r>
        <m:r>
          <m:rPr>
            <m:sty m:val="p"/>
          </m:rPr>
          <m:t>kg/</m:t>
        </m:r>
        <m:sSup>
          <m:sSupPr/>
          <m:e>
            <m:r>
              <m:rPr>
                <m:sty m:val="p"/>
              </m:rPr>
              <m:t>m</m:t>
            </m:r>
          </m:e>
          <m:sup>
            <m:r>
              <m:rPr>
                <m:sty m:val="p"/>
              </m:rPr>
              <m:t>3</m:t>
            </m:r>
          </m:sup>
        </m:sSup>
      </m:oMath>
      <w:r>
        <w:rPr>
          <w:rFonts w:hint="eastAsia" w:ascii="Times New Roman" w:hAnsi="Times New Roman" w:eastAsia="宋体" w:cs="Times New Roman"/>
          <w:b w:val="0"/>
          <w:i w:val="0"/>
          <w:sz w:val="21"/>
        </w:rPr>
        <w:t xml:space="preserve">，泊松比为 0.35，剪切波速由速度比 </w:t>
      </w:r>
      <m:oMath>
        <m:sSub>
          <m:sSubPr/>
          <m:e>
            <m:r>
              <m:rPr/>
              <m:t>r</m:t>
            </m:r>
          </m:e>
          <m:sub>
            <m:r>
              <m:rPr/>
              <m:t>v</m:t>
            </m:r>
          </m:sub>
        </m:sSub>
        <m:r>
          <m:rPr>
            <m:sty m:val="p"/>
          </m:rPr>
          <m:t>=</m:t>
        </m:r>
        <m:sSub>
          <m:sSubPr/>
          <m:e>
            <m:r>
              <m:rPr/>
              <m:t>V</m:t>
            </m:r>
          </m:e>
          <m:sub>
            <m:r>
              <m:rPr>
                <m:sty m:val="p"/>
              </m:rPr>
              <m:t>s,c</m:t>
            </m:r>
          </m:sub>
        </m:sSub>
        <m:r>
          <m:rPr>
            <m:sty m:val="p"/>
          </m:rPr>
          <m:t>/</m:t>
        </m:r>
        <m:sSub>
          <m:sSubPr/>
          <m:e>
            <m:r>
              <m:rPr/>
              <m:t>V</m:t>
            </m:r>
          </m:e>
          <m:sub>
            <m:r>
              <m:rPr>
                <m:sty m:val="p"/>
              </m:rPr>
              <m:t>s,b</m:t>
            </m:r>
          </m:sub>
        </m:sSub>
      </m:oMath>
      <w:r>
        <w:rPr>
          <w:rFonts w:hint="eastAsia" w:ascii="Times New Roman" w:hAnsi="Times New Roman" w:eastAsia="宋体" w:cs="Times New Roman"/>
          <w:b w:val="0"/>
          <w:i w:val="0"/>
          <w:sz w:val="21"/>
        </w:rPr>
        <w:t xml:space="preserve"> 控制。材料的剪切模量、弹性模量和压缩波速均由波速、密度与泊松比一致换算，而非彼此独立指定：</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32ED9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30390543">
            <w:pPr>
              <w:spacing w:before="60" w:after="60"/>
              <w:jc w:val="center"/>
            </w:pPr>
            <m:oMathPara>
              <m:oMath>
                <m:r>
                  <m:rPr/>
                  <m:t>G</m:t>
                </m:r>
                <m:r>
                  <m:rPr>
                    <m:sty m:val="p"/>
                  </m:rPr>
                  <m:t>=</m:t>
                </m:r>
                <m:r>
                  <m:rPr/>
                  <m:t>ρ</m:t>
                </m:r>
                <m:sSubSup>
                  <m:sSubSupPr/>
                  <m:e>
                    <m:r>
                      <m:rPr/>
                      <m:t>V</m:t>
                    </m:r>
                  </m:e>
                  <m:sub>
                    <m:r>
                      <m:rPr>
                        <m:sty m:val="p"/>
                      </m:rPr>
                      <m:t>s</m:t>
                    </m:r>
                  </m:sub>
                  <m:sup>
                    <m:r>
                      <m:rPr/>
                      <m:t>2</m:t>
                    </m:r>
                  </m:sup>
                </m:sSubSup>
                <m:r>
                  <m:rPr>
                    <m:sty m:val="p"/>
                  </m:rPr>
                  <m:t>,</m:t>
                </m:r>
                <m:r>
                  <m:rPr/>
                  <m:t>  E</m:t>
                </m:r>
                <m:r>
                  <m:rPr>
                    <m:sty m:val="p"/>
                  </m:rPr>
                  <m:t>=</m:t>
                </m:r>
                <m:r>
                  <m:rPr/>
                  <m:t>2G</m:t>
                </m:r>
                <m:r>
                  <m:rPr>
                    <m:sty m:val="p"/>
                  </m:rPr>
                  <m:t>(</m:t>
                </m:r>
                <m:r>
                  <m:rPr/>
                  <m:t>1</m:t>
                </m:r>
                <m:r>
                  <m:rPr>
                    <m:sty m:val="p"/>
                  </m:rPr>
                  <m:t>+</m:t>
                </m:r>
                <m:r>
                  <m:rPr/>
                  <m:t>ν</m:t>
                </m:r>
                <m:r>
                  <m:rPr>
                    <m:sty m:val="p"/>
                  </m:rPr>
                  <m:t>),</m:t>
                </m:r>
                <m:r>
                  <m:rPr/>
                  <m:t>  </m:t>
                </m:r>
                <m:sSub>
                  <m:sSubPr/>
                  <m:e>
                    <m:r>
                      <m:rPr/>
                      <m:t>V</m:t>
                    </m:r>
                  </m:e>
                  <m:sub>
                    <m:r>
                      <m:rPr>
                        <m:sty m:val="p"/>
                      </m:rPr>
                      <m:t>p</m:t>
                    </m:r>
                  </m:sub>
                </m:sSub>
                <m:r>
                  <m:rPr>
                    <m:sty m:val="p"/>
                  </m:rPr>
                  <m:t>=</m:t>
                </m:r>
                <m:sSub>
                  <m:sSubPr/>
                  <m:e>
                    <m:r>
                      <m:rPr/>
                      <m:t>V</m:t>
                    </m:r>
                  </m:e>
                  <m:sub>
                    <m:r>
                      <m:rPr>
                        <m:sty m:val="p"/>
                      </m:rPr>
                      <m:t>s</m:t>
                    </m:r>
                  </m:sub>
                </m:sSub>
                <m:rad>
                  <m:radPr>
                    <m:degHide m:val="1"/>
                  </m:radPr>
                  <m:deg/>
                  <m:e>
                    <m:f>
                      <m:fPr/>
                      <m:num>
                        <m:r>
                          <m:rPr/>
                          <m:t>2</m:t>
                        </m:r>
                        <m:r>
                          <m:rPr>
                            <m:sty m:val="p"/>
                          </m:rPr>
                          <m:t>(</m:t>
                        </m:r>
                        <m:r>
                          <m:rPr/>
                          <m:t>1</m:t>
                        </m:r>
                        <m:r>
                          <m:rPr>
                            <m:sty m:val="p"/>
                          </m:rPr>
                          <m:t>−</m:t>
                        </m:r>
                        <m:r>
                          <m:rPr/>
                          <m:t>ν</m:t>
                        </m:r>
                        <m:r>
                          <m:rPr>
                            <m:sty m:val="p"/>
                          </m:rPr>
                          <m:t>)</m:t>
                        </m:r>
                      </m:num>
                      <m:den>
                        <m:r>
                          <m:rPr/>
                          <m:t>1</m:t>
                        </m:r>
                        <m:r>
                          <m:rPr>
                            <m:sty m:val="p"/>
                          </m:rPr>
                          <m:t>−</m:t>
                        </m:r>
                        <m:r>
                          <m:rPr/>
                          <m:t>2ν</m:t>
                        </m:r>
                      </m:den>
                    </m:f>
                  </m:e>
                </m:rad>
                <m:r>
                  <m:rPr>
                    <m:sty m:val="p"/>
                  </m:rPr>
                  <m:t>.</m:t>
                </m:r>
              </m:oMath>
            </m:oMathPara>
          </w:p>
        </w:tc>
        <w:tc>
          <w:tcPr>
            <w:tcW w:w="4819" w:type="dxa"/>
          </w:tcPr>
          <w:p w14:paraId="37634AEF">
            <w:pPr>
              <w:spacing w:before="60" w:after="60"/>
              <w:jc w:val="right"/>
            </w:pPr>
            <w:r>
              <w:rPr>
                <w:rFonts w:hint="eastAsia" w:ascii="Times New Roman" w:hAnsi="Times New Roman" w:eastAsia="Times New Roman" w:cs="Times New Roman"/>
                <w:b w:val="0"/>
                <w:i w:val="0"/>
                <w:sz w:val="21"/>
              </w:rPr>
              <w:t>(3)</w:t>
            </w:r>
          </w:p>
        </w:tc>
      </w:tr>
    </w:tbl>
    <w:p w14:paraId="02F7987D">
      <w:pPr>
        <w:spacing w:before="0" w:after="0"/>
        <w:ind w:firstLine="420"/>
        <w:jc w:val="both"/>
      </w:pPr>
      <w:r>
        <w:rPr>
          <w:rFonts w:hint="eastAsia" w:ascii="Times New Roman" w:hAnsi="Times New Roman" w:eastAsia="宋体" w:cs="Times New Roman"/>
          <w:b w:val="0"/>
          <w:i w:val="0"/>
          <w:sz w:val="21"/>
        </w:rPr>
        <w:t xml:space="preserve">式（3）保证改变 </w:t>
      </w:r>
      <m:oMath>
        <m:sSub>
          <m:sSubPr/>
          <m:e>
            <m:r>
              <m:rPr/>
              <m:t>r</m:t>
            </m:r>
          </m:e>
          <m:sub>
            <m:r>
              <m:rPr/>
              <m:t>v</m:t>
            </m:r>
          </m:sub>
        </m:sSub>
      </m:oMath>
      <w:r>
        <w:rPr>
          <w:rFonts w:hint="eastAsia" w:ascii="Times New Roman" w:hAnsi="Times New Roman" w:eastAsia="宋体" w:cs="Times New Roman"/>
          <w:b w:val="0"/>
          <w:i w:val="0"/>
          <w:sz w:val="21"/>
        </w:rPr>
        <w:t xml:space="preserve"> 时材料刚度与波速定义相容。覆盖层与基岩的阻尼分别取 3% 和 0.05%，均通过 Rayleigh 质量与刚度比例项实现。目标阻尼比与圆频率的关系为</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3A686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340083A0">
            <w:pPr>
              <w:spacing w:before="60" w:after="60"/>
              <w:jc w:val="center"/>
            </w:pPr>
            <m:oMathPara>
              <m:oMath>
                <m:r>
                  <m:rPr/>
                  <m:t>ξ</m:t>
                </m:r>
                <m:r>
                  <m:rPr>
                    <m:sty m:val="p"/>
                  </m:rPr>
                  <m:t>(</m:t>
                </m:r>
                <m:r>
                  <m:rPr/>
                  <m:t>ω</m:t>
                </m:r>
                <m:r>
                  <m:rPr>
                    <m:sty m:val="p"/>
                  </m:rPr>
                  <m:t>)=</m:t>
                </m:r>
                <m:f>
                  <m:fPr/>
                  <m:num>
                    <m:sSub>
                      <m:sSubPr/>
                      <m:e>
                        <m:r>
                          <m:rPr/>
                          <m:t>α</m:t>
                        </m:r>
                      </m:e>
                      <m:sub>
                        <m:r>
                          <m:rPr>
                            <m:sty m:val="p"/>
                          </m:rPr>
                          <m:t>R</m:t>
                        </m:r>
                      </m:sub>
                    </m:sSub>
                  </m:num>
                  <m:den>
                    <m:r>
                      <m:rPr/>
                      <m:t>2ω</m:t>
                    </m:r>
                  </m:den>
                </m:f>
                <m:r>
                  <m:rPr>
                    <m:sty m:val="p"/>
                  </m:rPr>
                  <m:t>+</m:t>
                </m:r>
                <m:f>
                  <m:fPr/>
                  <m:num>
                    <m:sSub>
                      <m:sSubPr/>
                      <m:e>
                        <m:r>
                          <m:rPr/>
                          <m:t>β</m:t>
                        </m:r>
                      </m:e>
                      <m:sub>
                        <m:r>
                          <m:rPr>
                            <m:sty m:val="p"/>
                          </m:rPr>
                          <m:t>R</m:t>
                        </m:r>
                      </m:sub>
                    </m:sSub>
                    <m:r>
                      <m:rPr/>
                      <m:t>ω</m:t>
                    </m:r>
                  </m:num>
                  <m:den>
                    <m:r>
                      <m:rPr/>
                      <m:t>2</m:t>
                    </m:r>
                  </m:den>
                </m:f>
                <m:r>
                  <m:rPr>
                    <m:sty m:val="p"/>
                  </m:rPr>
                  <m:t>,</m:t>
                </m:r>
              </m:oMath>
            </m:oMathPara>
          </w:p>
        </w:tc>
        <w:tc>
          <w:tcPr>
            <w:tcW w:w="4819" w:type="dxa"/>
          </w:tcPr>
          <w:p w14:paraId="5AF4504F">
            <w:pPr>
              <w:spacing w:before="60" w:after="60"/>
              <w:jc w:val="right"/>
            </w:pPr>
            <w:r>
              <w:rPr>
                <w:rFonts w:hint="eastAsia" w:ascii="Times New Roman" w:hAnsi="Times New Roman" w:eastAsia="Times New Roman" w:cs="Times New Roman"/>
                <w:b w:val="0"/>
                <w:i w:val="0"/>
                <w:sz w:val="21"/>
              </w:rPr>
              <w:t>(4)</w:t>
            </w:r>
          </w:p>
        </w:tc>
      </w:tr>
    </w:tbl>
    <w:p w14:paraId="2DB07501">
      <w:pPr>
        <w:spacing w:before="0" w:after="0"/>
        <w:ind w:firstLine="420"/>
        <w:jc w:val="both"/>
      </w:pPr>
      <w:r>
        <w:rPr>
          <w:rFonts w:hint="eastAsia" w:ascii="Times New Roman" w:hAnsi="Times New Roman" w:eastAsia="宋体" w:cs="Times New Roman"/>
          <w:b w:val="0"/>
          <w:i w:val="0"/>
          <w:sz w:val="21"/>
        </w:rPr>
        <w:t xml:space="preserve">其中 </w:t>
      </w:r>
      <m:oMath>
        <m:sSub>
          <m:sSubPr/>
          <m:e>
            <m:r>
              <m:rPr/>
              <m:t>α</m:t>
            </m:r>
          </m:e>
          <m:sub>
            <m:r>
              <m:rPr>
                <m:sty m:val="p"/>
              </m:rPr>
              <m:t>R</m:t>
            </m:r>
          </m:sub>
        </m:sSub>
      </m:oMath>
      <w:r>
        <w:rPr>
          <w:rFonts w:hint="eastAsia" w:ascii="Times New Roman" w:hAnsi="Times New Roman" w:eastAsia="宋体" w:cs="Times New Roman"/>
          <w:b w:val="0"/>
          <w:i w:val="0"/>
          <w:sz w:val="21"/>
        </w:rPr>
        <w:t xml:space="preserve"> 和 </w:t>
      </w:r>
      <m:oMath>
        <m:sSub>
          <m:sSubPr/>
          <m:e>
            <m:r>
              <m:rPr/>
              <m:t>β</m:t>
            </m:r>
          </m:e>
          <m:sub>
            <m:r>
              <m:rPr>
                <m:sty m:val="p"/>
              </m:rPr>
              <m:t>R</m:t>
            </m:r>
          </m:sub>
        </m:sSub>
      </m:oMath>
      <w:r>
        <w:rPr>
          <w:rFonts w:hint="eastAsia" w:ascii="Times New Roman" w:hAnsi="Times New Roman" w:eastAsia="宋体" w:cs="Times New Roman"/>
          <w:b w:val="0"/>
          <w:i w:val="0"/>
          <w:sz w:val="21"/>
        </w:rPr>
        <w:t xml:space="preserve"> 采用双频等阻尼拟合。令 </w:t>
      </w:r>
      <m:oMath>
        <m:sSub>
          <m:sSubPr/>
          <m:e>
            <m:r>
              <m:rPr/>
              <m:t>ω</m:t>
            </m:r>
          </m:e>
          <m:sub>
            <m:r>
              <m:rPr/>
              <m:t>j</m:t>
            </m:r>
          </m:sub>
        </m:sSub>
        <m:r>
          <m:rPr>
            <m:sty m:val="p"/>
          </m:rPr>
          <m:t>=</m:t>
        </m:r>
        <m:r>
          <m:rPr/>
          <m:t>2π</m:t>
        </m:r>
        <m:sSub>
          <m:sSubPr/>
          <m:e>
            <m:r>
              <m:rPr/>
              <m:t>f</m:t>
            </m:r>
          </m:e>
          <m:sub>
            <m:r>
              <m:rPr/>
              <m:t>j</m:t>
            </m:r>
          </m:sub>
        </m:sSub>
      </m:oMath>
      <w:r>
        <w:rPr>
          <w:rFonts w:hint="eastAsia" w:ascii="Times New Roman" w:hAnsi="Times New Roman" w:eastAsia="宋体" w:cs="Times New Roman"/>
          <w:b w:val="0"/>
          <w:i w:val="0"/>
          <w:sz w:val="21"/>
        </w:rPr>
        <w:t xml:space="preserve">，则 </w:t>
      </w:r>
      <m:oMath>
        <m:sSub>
          <m:sSubPr/>
          <m:e>
            <m:r>
              <m:rPr/>
              <m:t>α</m:t>
            </m:r>
          </m:e>
          <m:sub>
            <m:r>
              <m:rPr>
                <m:sty m:val="p"/>
              </m:rPr>
              <m:t>R</m:t>
            </m:r>
          </m:sub>
        </m:sSub>
        <m:r>
          <m:rPr>
            <m:sty m:val="p"/>
          </m:rPr>
          <m:t>=</m:t>
        </m:r>
        <m:r>
          <m:rPr/>
          <m:t>2ξ</m:t>
        </m:r>
        <m:sSub>
          <m:sSubPr/>
          <m:e>
            <m:r>
              <m:rPr/>
              <m:t>ω</m:t>
            </m:r>
          </m:e>
          <m:sub>
            <m:r>
              <m:rPr/>
              <m:t>1</m:t>
            </m:r>
          </m:sub>
        </m:sSub>
        <m:sSub>
          <m:sSubPr/>
          <m:e>
            <m:r>
              <m:rPr/>
              <m:t>ω</m:t>
            </m:r>
          </m:e>
          <m:sub>
            <m:r>
              <m:rPr/>
              <m:t>2</m:t>
            </m:r>
          </m:sub>
        </m:sSub>
        <m:r>
          <m:rPr>
            <m:sty m:val="p"/>
          </m:rPr>
          <m:t>/(</m:t>
        </m:r>
        <m:sSub>
          <m:sSubPr/>
          <m:e>
            <m:r>
              <m:rPr/>
              <m:t>ω</m:t>
            </m:r>
          </m:e>
          <m:sub>
            <m:r>
              <m:rPr/>
              <m:t>1</m:t>
            </m:r>
          </m:sub>
        </m:sSub>
        <m:r>
          <m:rPr>
            <m:sty m:val="p"/>
          </m:rPr>
          <m:t>+</m:t>
        </m:r>
        <m:sSub>
          <m:sSubPr/>
          <m:e>
            <m:r>
              <m:rPr/>
              <m:t>ω</m:t>
            </m:r>
          </m:e>
          <m:sub>
            <m:r>
              <m:rPr/>
              <m:t>2</m:t>
            </m:r>
          </m:sub>
        </m:sSub>
        <m:r>
          <m:rPr>
            <m:sty m:val="p"/>
          </m:rPr>
          <m:t>)</m:t>
        </m:r>
      </m:oMath>
      <w:r>
        <w:rPr>
          <w:rFonts w:hint="eastAsia" w:ascii="Times New Roman" w:hAnsi="Times New Roman" w:eastAsia="宋体" w:cs="Times New Roman"/>
          <w:b w:val="0"/>
          <w:i w:val="0"/>
          <w:sz w:val="21"/>
        </w:rPr>
        <w:t>、</w:t>
      </w:r>
      <m:oMath>
        <m:sSub>
          <m:sSubPr/>
          <m:e>
            <m:r>
              <m:rPr/>
              <m:t>β</m:t>
            </m:r>
          </m:e>
          <m:sub>
            <m:r>
              <m:rPr>
                <m:sty m:val="p"/>
              </m:rPr>
              <m:t>R</m:t>
            </m:r>
          </m:sub>
        </m:sSub>
        <m:r>
          <m:rPr>
            <m:sty m:val="p"/>
          </m:rPr>
          <m:t>=</m:t>
        </m:r>
        <m:r>
          <m:rPr/>
          <m:t>2ξ</m:t>
        </m:r>
        <m:r>
          <m:rPr>
            <m:sty m:val="p"/>
          </m:rPr>
          <m:t>/(</m:t>
        </m:r>
        <m:sSub>
          <m:sSubPr/>
          <m:e>
            <m:r>
              <m:rPr/>
              <m:t>ω</m:t>
            </m:r>
          </m:e>
          <m:sub>
            <m:r>
              <m:rPr/>
              <m:t>1</m:t>
            </m:r>
          </m:sub>
        </m:sSub>
        <m:r>
          <m:rPr>
            <m:sty m:val="p"/>
          </m:rPr>
          <m:t>+</m:t>
        </m:r>
        <m:sSub>
          <m:sSubPr/>
          <m:e>
            <m:r>
              <m:rPr/>
              <m:t>ω</m:t>
            </m:r>
          </m:e>
          <m:sub>
            <m:r>
              <m:rPr/>
              <m:t>2</m:t>
            </m:r>
          </m:sub>
        </m:sSub>
        <m:r>
          <m:rPr>
            <m:sty m:val="p"/>
          </m:rPr>
          <m:t>)</m:t>
        </m:r>
      </m:oMath>
      <w:r>
        <w:rPr>
          <w:rFonts w:hint="eastAsia" w:ascii="Times New Roman" w:hAnsi="Times New Roman" w:eastAsia="宋体" w:cs="Times New Roman"/>
          <w:b w:val="0"/>
          <w:i w:val="0"/>
          <w:sz w:val="21"/>
        </w:rPr>
        <w:t>，</w:t>
      </w:r>
      <m:oMath>
        <m:sSub>
          <m:sSubPr/>
          <m:e>
            <m:r>
              <m:rPr/>
              <m:t>f</m:t>
            </m:r>
          </m:e>
          <m:sub>
            <m:r>
              <m:rPr/>
              <m:t>c</m:t>
            </m:r>
          </m:sub>
        </m:sSub>
      </m:oMath>
      <w:r>
        <w:rPr>
          <w:rFonts w:hint="eastAsia" w:ascii="Times New Roman" w:hAnsi="Times New Roman" w:eastAsia="宋体" w:cs="Times New Roman"/>
          <w:b w:val="0"/>
          <w:i w:val="0"/>
          <w:sz w:val="21"/>
        </w:rPr>
        <w:t xml:space="preserve"> 为由G1b输入谱估计的主频。基岩取 </w:t>
      </w:r>
      <m:oMath>
        <m:sSub>
          <m:sSubPr/>
          <m:e>
            <m:r>
              <m:rPr/>
              <m:t>f</m:t>
            </m:r>
          </m:e>
          <m:sub>
            <m:r>
              <m:rPr/>
              <m:t>1</m:t>
            </m:r>
          </m:sub>
        </m:sSub>
        <m:r>
          <m:rPr>
            <m:sty m:val="p"/>
          </m:rPr>
          <m:t>=</m:t>
        </m:r>
        <m:r>
          <m:rPr/>
          <m:t>0.5</m:t>
        </m:r>
        <m:sSub>
          <m:sSubPr/>
          <m:e>
            <m:r>
              <m:rPr/>
              <m:t>f</m:t>
            </m:r>
          </m:e>
          <m:sub>
            <m:r>
              <m:rPr/>
              <m:t>c</m:t>
            </m:r>
          </m:sub>
        </m:sSub>
      </m:oMath>
      <w:r>
        <w:rPr>
          <w:rFonts w:hint="eastAsia" w:ascii="Times New Roman" w:hAnsi="Times New Roman" w:eastAsia="宋体" w:cs="Times New Roman"/>
          <w:b w:val="0"/>
          <w:i w:val="0"/>
          <w:sz w:val="21"/>
        </w:rPr>
        <w:t>、</w:t>
      </w:r>
      <m:oMath>
        <m:sSub>
          <m:sSubPr/>
          <m:e>
            <m:r>
              <m:rPr/>
              <m:t>f</m:t>
            </m:r>
          </m:e>
          <m:sub>
            <m:r>
              <m:rPr/>
              <m:t>2</m:t>
            </m:r>
          </m:sub>
        </m:sSub>
        <m:r>
          <m:rPr>
            <m:sty m:val="p"/>
          </m:rPr>
          <m:t>=</m:t>
        </m:r>
        <m:r>
          <m:rPr/>
          <m:t>2.5</m:t>
        </m:r>
        <m:sSub>
          <m:sSubPr/>
          <m:e>
            <m:r>
              <m:rPr/>
              <m:t>f</m:t>
            </m:r>
          </m:e>
          <m:sub>
            <m:r>
              <m:rPr/>
              <m:t>c</m:t>
            </m:r>
          </m:sub>
        </m:sSub>
      </m:oMath>
      <w:r>
        <w:rPr>
          <w:rFonts w:hint="eastAsia" w:ascii="Times New Roman" w:hAnsi="Times New Roman" w:eastAsia="宋体" w:cs="Times New Roman"/>
          <w:b w:val="0"/>
          <w:i w:val="0"/>
          <w:sz w:val="21"/>
        </w:rPr>
        <w:t xml:space="preserve">；覆盖层另以 </w:t>
      </w:r>
      <m:oMath>
        <m:sSub>
          <m:sSubPr/>
          <m:e>
            <m:r>
              <m:rPr/>
              <m:t>f</m:t>
            </m:r>
          </m:e>
          <m:sub>
            <m:r>
              <m:rPr/>
              <m:t>s</m:t>
            </m:r>
          </m:sub>
        </m:sSub>
        <m:r>
          <m:rPr>
            <m:sty m:val="p"/>
          </m:rPr>
          <m:t>=</m:t>
        </m:r>
        <m:sSub>
          <m:sSubPr/>
          <m:e>
            <m:r>
              <m:rPr/>
              <m:t>V</m:t>
            </m:r>
          </m:e>
          <m:sub>
            <m:r>
              <m:rPr>
                <m:sty m:val="p"/>
              </m:rPr>
              <m:t>s,c</m:t>
            </m:r>
          </m:sub>
        </m:sSub>
        <m:r>
          <m:rPr>
            <m:sty m:val="p"/>
          </m:rPr>
          <m:t>/(</m:t>
        </m:r>
        <m:r>
          <m:rPr/>
          <m:t>4d</m:t>
        </m:r>
        <m:r>
          <m:rPr>
            <m:sty m:val="p"/>
          </m:rPr>
          <m:t>)</m:t>
        </m:r>
      </m:oMath>
      <w:r>
        <w:rPr>
          <w:rFonts w:hint="eastAsia" w:ascii="Times New Roman" w:hAnsi="Times New Roman" w:eastAsia="宋体" w:cs="Times New Roman"/>
          <w:b w:val="0"/>
          <w:i w:val="0"/>
          <w:sz w:val="21"/>
        </w:rPr>
        <w:t xml:space="preserve"> 约束标定带，取 </w:t>
      </w:r>
      <m:oMath>
        <m:sSub>
          <m:sSubPr/>
          <m:e>
            <m:r>
              <m:rPr/>
              <m:t>f</m:t>
            </m:r>
          </m:e>
          <m:sub>
            <m:r>
              <m:rPr/>
              <m:t>1</m:t>
            </m:r>
          </m:sub>
        </m:sSub>
        <m:r>
          <m:rPr>
            <m:sty m:val="p"/>
          </m:rPr>
          <m:t>=min(</m:t>
        </m:r>
        <m:r>
          <m:rPr/>
          <m:t>0.5</m:t>
        </m:r>
        <m:sSub>
          <m:sSubPr/>
          <m:e>
            <m:r>
              <m:rPr/>
              <m:t>f</m:t>
            </m:r>
          </m:e>
          <m:sub>
            <m:r>
              <m:rPr/>
              <m:t>c</m:t>
            </m:r>
          </m:sub>
        </m:sSub>
        <m:r>
          <m:rPr>
            <m:sty m:val="p"/>
          </m:rPr>
          <m:t>,</m:t>
        </m:r>
        <m:sSub>
          <m:sSubPr/>
          <m:e>
            <m:r>
              <m:rPr/>
              <m:t>f</m:t>
            </m:r>
          </m:e>
          <m:sub>
            <m:r>
              <m:rPr/>
              <m:t>s</m:t>
            </m:r>
          </m:sub>
        </m:sSub>
        <m:r>
          <m:rPr>
            <m:sty m:val="p"/>
          </m:rPr>
          <m:t>)</m:t>
        </m:r>
      </m:oMath>
      <w:r>
        <w:rPr>
          <w:rFonts w:hint="eastAsia" w:ascii="Times New Roman" w:hAnsi="Times New Roman" w:eastAsia="宋体" w:cs="Times New Roman"/>
          <w:b w:val="0"/>
          <w:i w:val="0"/>
          <w:sz w:val="21"/>
        </w:rPr>
        <w:t>、</w:t>
      </w:r>
      <m:oMath>
        <m:sSub>
          <m:sSubPr/>
          <m:e>
            <m:r>
              <m:rPr/>
              <m:t>f</m:t>
            </m:r>
          </m:e>
          <m:sub>
            <m:r>
              <m:rPr/>
              <m:t>2</m:t>
            </m:r>
          </m:sub>
        </m:sSub>
        <m:r>
          <m:rPr>
            <m:sty m:val="p"/>
          </m:rPr>
          <m:t>=max(</m:t>
        </m:r>
        <m:r>
          <m:rPr/>
          <m:t>2.5</m:t>
        </m:r>
        <m:sSub>
          <m:sSubPr/>
          <m:e>
            <m:r>
              <m:rPr/>
              <m:t>f</m:t>
            </m:r>
          </m:e>
          <m:sub>
            <m:r>
              <m:rPr/>
              <m:t>c</m:t>
            </m:r>
          </m:sub>
        </m:sSub>
        <m:r>
          <m:rPr>
            <m:sty m:val="p"/>
          </m:rPr>
          <m:t>,</m:t>
        </m:r>
        <m:r>
          <m:rPr/>
          <m:t>3</m:t>
        </m:r>
        <m:sSub>
          <m:sSubPr/>
          <m:e>
            <m:r>
              <m:rPr/>
              <m:t>f</m:t>
            </m:r>
          </m:e>
          <m:sub>
            <m:r>
              <m:rPr/>
              <m:t>s</m:t>
            </m:r>
          </m:sub>
        </m:sSub>
        <m:r>
          <m:rPr>
            <m:sty m:val="p"/>
          </m:rPr>
          <m:t>)</m:t>
        </m:r>
      </m:oMath>
      <w:r>
        <w:rPr>
          <w:rFonts w:hint="eastAsia" w:ascii="Times New Roman" w:hAnsi="Times New Roman" w:eastAsia="宋体" w:cs="Times New Roman"/>
          <w:b w:val="0"/>
          <w:i w:val="0"/>
          <w:sz w:val="21"/>
        </w:rPr>
        <w:t xml:space="preserve">。例如P061的 </w:t>
      </w:r>
      <m:oMath>
        <m:sSub>
          <m:sSubPr/>
          <m:e>
            <m:r>
              <m:rPr/>
              <m:t>f</m:t>
            </m:r>
          </m:e>
          <m:sub>
            <m:r>
              <m:rPr/>
              <m:t>c</m:t>
            </m:r>
          </m:sub>
        </m:sSub>
        <m:r>
          <m:rPr>
            <m:sty m:val="p"/>
          </m:rPr>
          <m:t>=</m:t>
        </m:r>
        <m:r>
          <m:rPr/>
          <m:t>1.953125</m:t>
        </m:r>
      </m:oMath>
      <w:r>
        <w:rPr>
          <w:rFonts w:hint="eastAsia" w:ascii="Times New Roman" w:hAnsi="Times New Roman" w:eastAsia="宋体" w:cs="Times New Roman"/>
          <w:b w:val="0"/>
          <w:i w:val="0"/>
          <w:sz w:val="21"/>
        </w:rPr>
        <w:t xml:space="preserve"> Hz、</w:t>
      </w:r>
      <m:oMath>
        <m:sSub>
          <m:sSubPr/>
          <m:e>
            <m:r>
              <m:rPr/>
              <m:t>f</m:t>
            </m:r>
          </m:e>
          <m:sub>
            <m:r>
              <m:rPr/>
              <m:t>s</m:t>
            </m:r>
          </m:sub>
        </m:sSub>
        <m:r>
          <m:rPr>
            <m:sty m:val="p"/>
          </m:rPr>
          <m:t>=</m:t>
        </m:r>
        <m:r>
          <m:rPr/>
          <m:t>1.07143</m:t>
        </m:r>
      </m:oMath>
      <w:r>
        <w:rPr>
          <w:rFonts w:hint="eastAsia" w:ascii="Times New Roman" w:hAnsi="Times New Roman" w:eastAsia="宋体" w:cs="Times New Roman"/>
          <w:b w:val="0"/>
          <w:i w:val="0"/>
          <w:sz w:val="21"/>
        </w:rPr>
        <w:t xml:space="preserve"> Hz，基岩 </w:t>
      </w:r>
      <m:oMath>
        <m:sSub>
          <m:sSubPr/>
          <m:e>
            <m:r>
              <m:rPr/>
              <m:t>α</m:t>
            </m:r>
          </m:e>
          <m:sub>
            <m:r>
              <m:rPr>
                <m:sty m:val="p"/>
              </m:rPr>
              <m:t>R</m:t>
            </m:r>
          </m:sub>
        </m:sSub>
        <m:r>
          <m:rPr>
            <m:sty m:val="p"/>
          </m:rPr>
          <m:t>=</m:t>
        </m:r>
        <m:r>
          <m:rPr/>
          <m:t>0.005113</m:t>
        </m:r>
      </m:oMath>
      <w:r>
        <w:rPr>
          <w:rFonts w:hint="eastAsia" w:ascii="Times New Roman" w:hAnsi="Times New Roman" w:eastAsia="宋体" w:cs="Times New Roman"/>
          <w:b w:val="0"/>
          <w:i w:val="0"/>
          <w:sz w:val="21"/>
        </w:rPr>
        <w:t xml:space="preserve"> s</w:t>
      </w:r>
      <m:oMath>
        <m:sSup>
          <m:sSupPr/>
          <m:e>
            <m:r>
              <m:rPr/>
              <m:t>​</m:t>
            </m:r>
          </m:e>
          <m:sup>
            <m:r>
              <m:rPr>
                <m:sty m:val="p"/>
              </m:rPr>
              <m:t>−</m:t>
            </m:r>
            <m:r>
              <m:rPr/>
              <m:t>1</m:t>
            </m:r>
          </m:sup>
        </m:sSup>
      </m:oMath>
      <w:r>
        <w:rPr>
          <w:rFonts w:hint="eastAsia" w:ascii="Times New Roman" w:hAnsi="Times New Roman" w:eastAsia="宋体" w:cs="Times New Roman"/>
          <w:b w:val="0"/>
          <w:i w:val="0"/>
          <w:sz w:val="21"/>
        </w:rPr>
        <w:t>、</w:t>
      </w:r>
      <m:oMath>
        <m:sSub>
          <m:sSubPr/>
          <m:e>
            <m:r>
              <m:rPr/>
              <m:t>β</m:t>
            </m:r>
          </m:e>
          <m:sub>
            <m:r>
              <m:rPr>
                <m:sty m:val="p"/>
              </m:rPr>
              <m:t>R</m:t>
            </m:r>
          </m:sub>
        </m:sSub>
        <m:r>
          <m:rPr>
            <m:sty m:val="p"/>
          </m:rPr>
          <m:t>=</m:t>
        </m:r>
        <m:r>
          <m:rPr/>
          <m:t>2.716</m:t>
        </m:r>
        <m:r>
          <m:rPr>
            <m:sty m:val="p"/>
          </m:rPr>
          <m:t>×</m:t>
        </m:r>
        <m:sSup>
          <m:sSupPr/>
          <m:e>
            <m:r>
              <m:rPr/>
              <m:t>10</m:t>
            </m:r>
          </m:e>
          <m:sup>
            <m:r>
              <m:rPr>
                <m:sty m:val="p"/>
              </m:rPr>
              <m:t>−</m:t>
            </m:r>
            <m:r>
              <m:rPr/>
              <m:t>5</m:t>
            </m:r>
          </m:sup>
        </m:sSup>
      </m:oMath>
      <w:r>
        <w:rPr>
          <w:rFonts w:hint="eastAsia" w:ascii="Times New Roman" w:hAnsi="Times New Roman" w:eastAsia="宋体" w:cs="Times New Roman"/>
          <w:b w:val="0"/>
          <w:i w:val="0"/>
          <w:sz w:val="21"/>
        </w:rPr>
        <w:t xml:space="preserve"> s，覆盖层分别为0.306796 s</w:t>
      </w:r>
      <m:oMath>
        <m:sSup>
          <m:sSupPr/>
          <m:e>
            <m:r>
              <m:rPr/>
              <m:t>​</m:t>
            </m:r>
          </m:e>
          <m:sup>
            <m:r>
              <m:rPr>
                <m:sty m:val="p"/>
              </m:rPr>
              <m:t>−</m:t>
            </m:r>
            <m:r>
              <m:rPr/>
              <m:t>1</m:t>
            </m:r>
          </m:sup>
        </m:sSup>
      </m:oMath>
      <w:r>
        <w:rPr>
          <w:rFonts w:hint="eastAsia" w:ascii="Times New Roman" w:hAnsi="Times New Roman" w:eastAsia="宋体" w:cs="Times New Roman"/>
          <w:b w:val="0"/>
          <w:i w:val="0"/>
          <w:sz w:val="21"/>
        </w:rPr>
        <w:t>和</w:t>
      </w:r>
      <m:oMath>
        <m:r>
          <m:rPr/>
          <m:t>1.630</m:t>
        </m:r>
        <m:r>
          <m:rPr>
            <m:sty m:val="p"/>
          </m:rPr>
          <m:t>×</m:t>
        </m:r>
        <m:sSup>
          <m:sSupPr/>
          <m:e>
            <m:r>
              <m:rPr/>
              <m:t>10</m:t>
            </m:r>
          </m:e>
          <m:sup>
            <m:r>
              <m:rPr>
                <m:sty m:val="p"/>
              </m:rPr>
              <m:t>−</m:t>
            </m:r>
            <m:r>
              <m:rPr/>
              <m:t>3</m:t>
            </m:r>
          </m:sup>
        </m:sSup>
      </m:oMath>
      <w:r>
        <w:rPr>
          <w:rFonts w:hint="eastAsia" w:ascii="Times New Roman" w:hAnsi="Times New Roman" w:eastAsia="宋体" w:cs="Times New Roman"/>
          <w:b w:val="0"/>
          <w:i w:val="0"/>
          <w:sz w:val="21"/>
        </w:rPr>
        <w:t xml:space="preserve"> s。本文研究的是低阻尼基岩上的软覆盖层线性波动，3% 覆盖层阻尼用于抑制不现实的无限尖锐共振，但不代表强震下随应变变化的等效阻尼。模型的材料、几何与输入参数汇总于表2。</w:t>
      </w:r>
    </w:p>
    <w:p w14:paraId="7A29E715">
      <w:pPr>
        <w:spacing w:before="0" w:after="0"/>
        <w:ind w:firstLine="420"/>
        <w:jc w:val="both"/>
      </w:pPr>
      <w:r>
        <w:rPr>
          <w:rFonts w:hint="eastAsia" w:ascii="Times New Roman" w:hAnsi="Times New Roman" w:eastAsia="宋体" w:cs="Times New Roman"/>
          <w:b w:val="0"/>
          <w:i w:val="0"/>
          <w:sz w:val="21"/>
        </w:rPr>
        <w:t xml:space="preserve">由式（3）可得，基岩剪切模量和弹性模量分别为 10.0 GPa 和 26.0 GPa，压缩波速约为 3742 m/s。覆盖层在 </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—0.75 范围内的剪切模量为 0.765—4.781 GPa，弹性模量为 2.066—12.909 GPa，压缩波速约为 1249—3122 m/s。即使在最硬覆盖层水平，其密度、泊松比和波阻抗仍与基岩不同；</w:t>
      </w:r>
      <m:oMath>
        <m:sSub>
          <m:sSubPr/>
          <m:e>
            <m:r>
              <m:rPr/>
              <m:t>r</m:t>
            </m:r>
          </m:e>
          <m:sub>
            <m:r>
              <m:rPr/>
              <m:t>v</m:t>
            </m:r>
          </m:sub>
        </m:sSub>
        <m:r>
          <m:rPr>
            <m:sty m:val="p"/>
          </m:rPr>
          <m:t>=</m:t>
        </m:r>
        <m:r>
          <m:rPr/>
          <m:t>0.75</m:t>
        </m:r>
      </m:oMath>
      <w:r>
        <w:rPr>
          <w:rFonts w:hint="eastAsia" w:ascii="Times New Roman" w:hAnsi="Times New Roman" w:eastAsia="宋体" w:cs="Times New Roman"/>
          <w:b w:val="0"/>
          <w:i w:val="0"/>
          <w:sz w:val="21"/>
        </w:rPr>
        <w:t xml:space="preserve"> 不能被视为均质退化工况。真正的均质参照必须使用 H 组，因为只有 H 组同时消除了速度、密度、泊松比、阻尼及材料界面差异。</w:t>
      </w:r>
    </w:p>
    <w:p w14:paraId="5C12BEE6">
      <w:pPr>
        <w:spacing w:before="156" w:after="0"/>
        <w:ind w:firstLine="0"/>
        <w:jc w:val="center"/>
      </w:pPr>
      <w:r>
        <w:rPr>
          <w:rFonts w:hint="eastAsia" w:ascii="Times New Roman" w:hAnsi="Times New Roman" w:eastAsia="宋体" w:cs="Times New Roman"/>
          <w:b w:val="0"/>
          <w:i w:val="0"/>
          <w:sz w:val="18"/>
        </w:rPr>
        <w:t>表2 数值模型的材料、几何与输入参数</w:t>
      </w:r>
    </w:p>
    <w:p w14:paraId="7167C888">
      <w:pPr>
        <w:spacing w:before="0" w:after="40"/>
        <w:ind w:firstLine="0"/>
        <w:jc w:val="center"/>
      </w:pPr>
      <w:r>
        <w:rPr>
          <w:rFonts w:hint="eastAsia" w:ascii="Times New Roman" w:hAnsi="Times New Roman" w:eastAsia="Times New Roman" w:cs="Times New Roman"/>
          <w:b w:val="0"/>
          <w:i w:val="0"/>
          <w:sz w:val="18"/>
        </w:rPr>
        <w:t>Table 2 Material, geometric and input parameters of the numerical model</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9"/>
        <w:gridCol w:w="2409"/>
        <w:gridCol w:w="2409"/>
        <w:gridCol w:w="2409"/>
      </w:tblGrid>
      <w:tr w14:paraId="556023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Borders>
              <w:bottom w:val="single" w:color="auto" w:sz="6" w:space="0"/>
            </w:tcBorders>
            <w:vAlign w:val="center"/>
          </w:tcPr>
          <w:p w14:paraId="6B4F44F8">
            <w:pPr>
              <w:spacing w:before="30" w:after="30"/>
              <w:ind w:firstLine="0"/>
              <w:jc w:val="center"/>
            </w:pPr>
            <w:r>
              <w:rPr>
                <w:rFonts w:hint="eastAsia" w:ascii="Times New Roman" w:hAnsi="Times New Roman" w:eastAsia="宋体" w:cs="Times New Roman"/>
                <w:b/>
                <w:i w:val="0"/>
                <w:sz w:val="18"/>
              </w:rPr>
              <w:t>类别</w:t>
            </w:r>
          </w:p>
        </w:tc>
        <w:tc>
          <w:tcPr>
            <w:tcW w:w="2409" w:type="dxa"/>
            <w:tcBorders>
              <w:bottom w:val="single" w:color="auto" w:sz="6" w:space="0"/>
            </w:tcBorders>
            <w:vAlign w:val="center"/>
          </w:tcPr>
          <w:p w14:paraId="1AFA5D62">
            <w:pPr>
              <w:spacing w:before="30" w:after="30"/>
              <w:ind w:firstLine="0"/>
              <w:jc w:val="center"/>
            </w:pPr>
            <w:r>
              <w:rPr>
                <w:rFonts w:hint="eastAsia" w:ascii="Times New Roman" w:hAnsi="Times New Roman" w:eastAsia="宋体" w:cs="Times New Roman"/>
                <w:b/>
                <w:i w:val="0"/>
                <w:sz w:val="18"/>
              </w:rPr>
              <w:t>参数</w:t>
            </w:r>
          </w:p>
        </w:tc>
        <w:tc>
          <w:tcPr>
            <w:tcW w:w="2409" w:type="dxa"/>
            <w:tcBorders>
              <w:bottom w:val="single" w:color="auto" w:sz="6" w:space="0"/>
            </w:tcBorders>
            <w:vAlign w:val="center"/>
          </w:tcPr>
          <w:p w14:paraId="0BEDB77D">
            <w:pPr>
              <w:spacing w:before="30" w:after="30"/>
              <w:ind w:firstLine="0"/>
              <w:jc w:val="center"/>
            </w:pPr>
            <w:r>
              <w:rPr>
                <w:rFonts w:hint="eastAsia" w:ascii="Times New Roman" w:hAnsi="Times New Roman" w:eastAsia="宋体" w:cs="Times New Roman"/>
                <w:b/>
                <w:i w:val="0"/>
                <w:sz w:val="18"/>
              </w:rPr>
              <w:t>基岩或固定值</w:t>
            </w:r>
          </w:p>
        </w:tc>
        <w:tc>
          <w:tcPr>
            <w:tcW w:w="2409" w:type="dxa"/>
            <w:tcBorders>
              <w:bottom w:val="single" w:color="auto" w:sz="6" w:space="0"/>
            </w:tcBorders>
            <w:vAlign w:val="center"/>
          </w:tcPr>
          <w:p w14:paraId="2E63DF7A">
            <w:pPr>
              <w:spacing w:before="30" w:after="30"/>
              <w:ind w:firstLine="0"/>
              <w:jc w:val="center"/>
            </w:pPr>
            <w:r>
              <w:rPr>
                <w:rFonts w:hint="eastAsia" w:ascii="Times New Roman" w:hAnsi="Times New Roman" w:eastAsia="宋体" w:cs="Times New Roman"/>
                <w:b/>
                <w:i w:val="0"/>
                <w:sz w:val="18"/>
              </w:rPr>
              <w:t>覆盖层或变化范围</w:t>
            </w:r>
          </w:p>
        </w:tc>
      </w:tr>
      <w:tr w14:paraId="5AC750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1083DEF2">
            <w:pPr>
              <w:spacing w:before="30" w:after="30"/>
              <w:ind w:firstLine="0"/>
              <w:jc w:val="center"/>
            </w:pPr>
            <w:r>
              <w:rPr>
                <w:rFonts w:hint="eastAsia" w:ascii="Times New Roman" w:hAnsi="Times New Roman" w:eastAsia="宋体" w:cs="Times New Roman"/>
                <w:b w:val="0"/>
                <w:i w:val="0"/>
                <w:sz w:val="18"/>
              </w:rPr>
              <w:t>几何</w:t>
            </w:r>
          </w:p>
        </w:tc>
        <w:tc>
          <w:tcPr>
            <w:tcW w:w="2409" w:type="dxa"/>
            <w:vAlign w:val="center"/>
          </w:tcPr>
          <w:p w14:paraId="5095B61B">
            <w:pPr>
              <w:spacing w:before="30" w:after="30"/>
              <w:ind w:firstLine="0"/>
              <w:jc w:val="center"/>
            </w:pPr>
            <w:r>
              <w:rPr>
                <w:rFonts w:hint="eastAsia" w:ascii="Times New Roman" w:hAnsi="Times New Roman" w:eastAsia="宋体" w:cs="Times New Roman"/>
                <w:b w:val="0"/>
                <w:i w:val="0"/>
                <w:sz w:val="18"/>
              </w:rPr>
              <w:t xml:space="preserve">坡高 </w:t>
            </w:r>
            <m:oMath>
              <m:r>
                <m:rPr/>
                <m:t>h</m:t>
              </m:r>
            </m:oMath>
            <w:r>
              <w:rPr>
                <w:rFonts w:hint="eastAsia" w:ascii="Times New Roman" w:hAnsi="Times New Roman" w:eastAsia="宋体" w:cs="Times New Roman"/>
                <w:b w:val="0"/>
                <w:i w:val="0"/>
                <w:sz w:val="18"/>
              </w:rPr>
              <w:t>/m</w:t>
            </w:r>
          </w:p>
        </w:tc>
        <w:tc>
          <w:tcPr>
            <w:tcW w:w="2409" w:type="dxa"/>
            <w:vAlign w:val="center"/>
          </w:tcPr>
          <w:p w14:paraId="571CDDC5">
            <w:pPr>
              <w:spacing w:before="30" w:after="30"/>
              <w:ind w:firstLine="0"/>
              <w:jc w:val="center"/>
            </w:pPr>
            <w:r>
              <w:rPr>
                <w:rFonts w:hint="eastAsia" w:ascii="Times New Roman" w:hAnsi="Times New Roman" w:eastAsia="宋体" w:cs="Times New Roman"/>
                <w:b w:val="0"/>
                <w:i w:val="0"/>
                <w:sz w:val="18"/>
              </w:rPr>
              <w:t>100</w:t>
            </w:r>
          </w:p>
        </w:tc>
        <w:tc>
          <w:tcPr>
            <w:tcW w:w="2409" w:type="dxa"/>
            <w:vAlign w:val="center"/>
          </w:tcPr>
          <w:p w14:paraId="2FA7CF84">
            <w:pPr>
              <w:spacing w:before="30" w:after="30"/>
              <w:ind w:firstLine="0"/>
              <w:jc w:val="center"/>
            </w:pPr>
            <w:r>
              <w:rPr>
                <w:rFonts w:hint="eastAsia" w:ascii="Times New Roman" w:hAnsi="Times New Roman" w:eastAsia="宋体" w:cs="Times New Roman"/>
                <w:b w:val="0"/>
                <w:i w:val="0"/>
                <w:sz w:val="18"/>
              </w:rPr>
              <w:t>100</w:t>
            </w:r>
          </w:p>
        </w:tc>
      </w:tr>
      <w:tr w14:paraId="232695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4ABA1404">
            <w:pPr>
              <w:spacing w:before="30" w:after="30"/>
              <w:ind w:firstLine="0"/>
              <w:jc w:val="center"/>
            </w:pPr>
            <w:r>
              <w:rPr>
                <w:rFonts w:hint="eastAsia" w:ascii="Times New Roman" w:hAnsi="Times New Roman" w:eastAsia="宋体" w:cs="Times New Roman"/>
                <w:b w:val="0"/>
                <w:i w:val="0"/>
                <w:sz w:val="18"/>
              </w:rPr>
              <w:t>几何</w:t>
            </w:r>
          </w:p>
        </w:tc>
        <w:tc>
          <w:tcPr>
            <w:tcW w:w="2409" w:type="dxa"/>
            <w:vAlign w:val="center"/>
          </w:tcPr>
          <w:p w14:paraId="6AAEACE7">
            <w:pPr>
              <w:spacing w:before="30" w:after="30"/>
              <w:ind w:firstLine="0"/>
              <w:jc w:val="center"/>
            </w:pPr>
            <w:r>
              <w:rPr>
                <w:rFonts w:hint="eastAsia" w:ascii="Times New Roman" w:hAnsi="Times New Roman" w:eastAsia="宋体" w:cs="Times New Roman"/>
                <w:b w:val="0"/>
                <w:i w:val="0"/>
                <w:sz w:val="18"/>
              </w:rPr>
              <w:t xml:space="preserve">坡角 </w:t>
            </w:r>
            <m:oMath>
              <m:r>
                <m:rPr/>
                <m:t>i</m:t>
              </m:r>
            </m:oMath>
            <w:r>
              <w:rPr>
                <w:rFonts w:hint="eastAsia" w:ascii="Times New Roman" w:hAnsi="Times New Roman" w:eastAsia="宋体" w:cs="Times New Roman"/>
                <w:b w:val="0"/>
                <w:i w:val="0"/>
                <w:sz w:val="18"/>
              </w:rPr>
              <w:t>/(°)</w:t>
            </w:r>
          </w:p>
        </w:tc>
        <w:tc>
          <w:tcPr>
            <w:tcW w:w="2409" w:type="dxa"/>
            <w:vAlign w:val="center"/>
          </w:tcPr>
          <w:p w14:paraId="121DB729">
            <w:pPr>
              <w:spacing w:before="30" w:after="30"/>
              <w:ind w:firstLine="0"/>
              <w:jc w:val="center"/>
            </w:pPr>
            <w:r>
              <w:rPr>
                <w:rFonts w:hint="eastAsia" w:ascii="Times New Roman" w:hAnsi="Times New Roman" w:eastAsia="宋体" w:cs="Times New Roman"/>
                <w:b w:val="0"/>
                <w:i w:val="0"/>
                <w:sz w:val="18"/>
              </w:rPr>
              <w:t>15、30、45、60</w:t>
            </w:r>
          </w:p>
        </w:tc>
        <w:tc>
          <w:tcPr>
            <w:tcW w:w="2409" w:type="dxa"/>
            <w:vAlign w:val="center"/>
          </w:tcPr>
          <w:p w14:paraId="10365E86">
            <w:pPr>
              <w:spacing w:before="30" w:after="30"/>
              <w:ind w:firstLine="0"/>
              <w:jc w:val="center"/>
            </w:pPr>
            <w:r>
              <w:rPr>
                <w:rFonts w:hint="eastAsia" w:ascii="Times New Roman" w:hAnsi="Times New Roman" w:eastAsia="宋体" w:cs="Times New Roman"/>
                <w:b w:val="0"/>
                <w:i w:val="0"/>
                <w:sz w:val="18"/>
              </w:rPr>
              <w:t>与基岩域一致</w:t>
            </w:r>
          </w:p>
        </w:tc>
      </w:tr>
      <w:tr w14:paraId="44304F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6CCEBE11">
            <w:pPr>
              <w:spacing w:before="30" w:after="30"/>
              <w:ind w:firstLine="0"/>
              <w:jc w:val="center"/>
            </w:pPr>
            <w:r>
              <w:rPr>
                <w:rFonts w:hint="eastAsia" w:ascii="Times New Roman" w:hAnsi="Times New Roman" w:eastAsia="宋体" w:cs="Times New Roman"/>
                <w:b w:val="0"/>
                <w:i w:val="0"/>
                <w:sz w:val="18"/>
              </w:rPr>
              <w:t>几何</w:t>
            </w:r>
          </w:p>
        </w:tc>
        <w:tc>
          <w:tcPr>
            <w:tcW w:w="2409" w:type="dxa"/>
            <w:vAlign w:val="center"/>
          </w:tcPr>
          <w:p w14:paraId="44F48734">
            <w:pPr>
              <w:spacing w:before="30" w:after="30"/>
              <w:ind w:firstLine="0"/>
              <w:jc w:val="center"/>
            </w:pPr>
            <w:r>
              <w:rPr>
                <w:rFonts w:hint="eastAsia" w:ascii="Times New Roman" w:hAnsi="Times New Roman" w:eastAsia="宋体" w:cs="Times New Roman"/>
                <w:b w:val="0"/>
                <w:i w:val="0"/>
                <w:sz w:val="18"/>
              </w:rPr>
              <w:t>上平台观测窗/边界净空</w:t>
            </w:r>
          </w:p>
        </w:tc>
        <w:tc>
          <w:tcPr>
            <w:tcW w:w="2409" w:type="dxa"/>
            <w:vAlign w:val="center"/>
          </w:tcPr>
          <w:p w14:paraId="2028B4D7">
            <w:pPr>
              <w:spacing w:before="30" w:after="30"/>
              <w:ind w:firstLine="0"/>
              <w:jc w:val="center"/>
            </w:pPr>
            <m:oMathPara>
              <m:oMath>
                <m:r>
                  <m:rPr/>
                  <m:t>4h</m:t>
                </m:r>
                <m:r>
                  <m:rPr>
                    <m:sty m:val="p"/>
                  </m:rPr>
                  <m:t>/</m:t>
                </m:r>
                <m:r>
                  <m:rPr/>
                  <m:t>1h</m:t>
                </m:r>
              </m:oMath>
            </m:oMathPara>
          </w:p>
        </w:tc>
        <w:tc>
          <w:tcPr>
            <w:tcW w:w="2409" w:type="dxa"/>
            <w:vAlign w:val="center"/>
          </w:tcPr>
          <w:p w14:paraId="30ED70D0">
            <w:pPr>
              <w:spacing w:before="30" w:after="30"/>
              <w:ind w:firstLine="0"/>
              <w:jc w:val="center"/>
            </w:pPr>
            <w:r>
              <w:rPr>
                <w:rFonts w:hint="eastAsia" w:ascii="Times New Roman" w:hAnsi="Times New Roman" w:eastAsia="宋体" w:cs="Times New Roman"/>
                <w:b w:val="0"/>
                <w:i w:val="0"/>
                <w:sz w:val="18"/>
              </w:rPr>
              <w:t>与基岩域一致</w:t>
            </w:r>
          </w:p>
        </w:tc>
      </w:tr>
      <w:tr w14:paraId="3C5D04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306E7819">
            <w:pPr>
              <w:spacing w:before="30" w:after="30"/>
              <w:ind w:firstLine="0"/>
              <w:jc w:val="center"/>
            </w:pPr>
            <w:r>
              <w:rPr>
                <w:rFonts w:hint="eastAsia" w:ascii="Times New Roman" w:hAnsi="Times New Roman" w:eastAsia="宋体" w:cs="Times New Roman"/>
                <w:b w:val="0"/>
                <w:i w:val="0"/>
                <w:sz w:val="18"/>
              </w:rPr>
              <w:t>几何</w:t>
            </w:r>
          </w:p>
        </w:tc>
        <w:tc>
          <w:tcPr>
            <w:tcW w:w="2409" w:type="dxa"/>
            <w:vAlign w:val="center"/>
          </w:tcPr>
          <w:p w14:paraId="38DCF231">
            <w:pPr>
              <w:spacing w:before="30" w:after="30"/>
              <w:ind w:firstLine="0"/>
              <w:jc w:val="center"/>
            </w:pPr>
            <w:r>
              <w:rPr>
                <w:rFonts w:hint="eastAsia" w:ascii="Times New Roman" w:hAnsi="Times New Roman" w:eastAsia="宋体" w:cs="Times New Roman"/>
                <w:b w:val="0"/>
                <w:i w:val="0"/>
                <w:sz w:val="18"/>
              </w:rPr>
              <w:t>下平台观测窗/边界净空</w:t>
            </w:r>
          </w:p>
        </w:tc>
        <w:tc>
          <w:tcPr>
            <w:tcW w:w="2409" w:type="dxa"/>
            <w:vAlign w:val="center"/>
          </w:tcPr>
          <w:p w14:paraId="7307FADD">
            <w:pPr>
              <w:spacing w:before="30" w:after="30"/>
              <w:ind w:firstLine="0"/>
              <w:jc w:val="center"/>
            </w:pPr>
            <m:oMathPara>
              <m:oMath>
                <m:r>
                  <m:rPr/>
                  <m:t>3h</m:t>
                </m:r>
                <m:r>
                  <m:rPr>
                    <m:sty m:val="p"/>
                  </m:rPr>
                  <m:t>/</m:t>
                </m:r>
                <m:r>
                  <m:rPr/>
                  <m:t>1h</m:t>
                </m:r>
              </m:oMath>
            </m:oMathPara>
          </w:p>
        </w:tc>
        <w:tc>
          <w:tcPr>
            <w:tcW w:w="2409" w:type="dxa"/>
            <w:vAlign w:val="center"/>
          </w:tcPr>
          <w:p w14:paraId="6E7E0F66">
            <w:pPr>
              <w:spacing w:before="30" w:after="30"/>
              <w:ind w:firstLine="0"/>
              <w:jc w:val="center"/>
            </w:pPr>
            <w:r>
              <w:rPr>
                <w:rFonts w:hint="eastAsia" w:ascii="Times New Roman" w:hAnsi="Times New Roman" w:eastAsia="宋体" w:cs="Times New Roman"/>
                <w:b w:val="0"/>
                <w:i w:val="0"/>
                <w:sz w:val="18"/>
              </w:rPr>
              <w:t>与基岩域一致</w:t>
            </w:r>
          </w:p>
        </w:tc>
      </w:tr>
      <w:tr w14:paraId="0F7503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1FB7C020">
            <w:pPr>
              <w:spacing w:before="30" w:after="30"/>
              <w:ind w:firstLine="0"/>
              <w:jc w:val="center"/>
            </w:pPr>
            <w:r>
              <w:rPr>
                <w:rFonts w:hint="eastAsia" w:ascii="Times New Roman" w:hAnsi="Times New Roman" w:eastAsia="宋体" w:cs="Times New Roman"/>
                <w:b w:val="0"/>
                <w:i w:val="0"/>
                <w:sz w:val="18"/>
              </w:rPr>
              <w:t>几何</w:t>
            </w:r>
          </w:p>
        </w:tc>
        <w:tc>
          <w:tcPr>
            <w:tcW w:w="2409" w:type="dxa"/>
            <w:vAlign w:val="center"/>
          </w:tcPr>
          <w:p w14:paraId="7D88743B">
            <w:pPr>
              <w:spacing w:before="30" w:after="30"/>
              <w:ind w:firstLine="0"/>
              <w:jc w:val="center"/>
            </w:pPr>
            <w:r>
              <w:rPr>
                <w:rFonts w:hint="eastAsia" w:ascii="Times New Roman" w:hAnsi="Times New Roman" w:eastAsia="宋体" w:cs="Times New Roman"/>
                <w:b w:val="0"/>
                <w:i w:val="0"/>
                <w:sz w:val="18"/>
              </w:rPr>
              <w:t>坡脚以下基底深度</w:t>
            </w:r>
          </w:p>
        </w:tc>
        <w:tc>
          <w:tcPr>
            <w:tcW w:w="2409" w:type="dxa"/>
            <w:vAlign w:val="center"/>
          </w:tcPr>
          <w:p w14:paraId="4109B242">
            <w:pPr>
              <w:spacing w:before="30" w:after="30"/>
              <w:ind w:firstLine="0"/>
              <w:jc w:val="center"/>
            </w:pPr>
            <m:oMathPara>
              <m:oMath>
                <m:r>
                  <m:rPr/>
                  <m:t>3h</m:t>
                </m:r>
              </m:oMath>
            </m:oMathPara>
          </w:p>
        </w:tc>
        <w:tc>
          <w:tcPr>
            <w:tcW w:w="2409" w:type="dxa"/>
            <w:vAlign w:val="center"/>
          </w:tcPr>
          <w:p w14:paraId="14378765">
            <w:pPr>
              <w:spacing w:before="30" w:after="30"/>
              <w:ind w:firstLine="0"/>
              <w:jc w:val="center"/>
            </w:pPr>
            <w:r>
              <w:rPr>
                <w:rFonts w:hint="eastAsia" w:ascii="Times New Roman" w:hAnsi="Times New Roman" w:eastAsia="宋体" w:cs="Times New Roman"/>
                <w:b w:val="0"/>
                <w:i w:val="0"/>
                <w:sz w:val="18"/>
              </w:rPr>
              <w:t>与基岩域一致</w:t>
            </w:r>
          </w:p>
        </w:tc>
      </w:tr>
      <w:tr w14:paraId="103B54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56E6C886">
            <w:pPr>
              <w:spacing w:before="30" w:after="30"/>
              <w:ind w:firstLine="0"/>
              <w:jc w:val="center"/>
            </w:pPr>
            <w:r>
              <w:rPr>
                <w:rFonts w:hint="eastAsia" w:ascii="Times New Roman" w:hAnsi="Times New Roman" w:eastAsia="宋体" w:cs="Times New Roman"/>
                <w:b w:val="0"/>
                <w:i w:val="0"/>
                <w:sz w:val="18"/>
              </w:rPr>
              <w:t>材料</w:t>
            </w:r>
          </w:p>
        </w:tc>
        <w:tc>
          <w:tcPr>
            <w:tcW w:w="2409" w:type="dxa"/>
            <w:vAlign w:val="center"/>
          </w:tcPr>
          <w:p w14:paraId="26EF9F1B">
            <w:pPr>
              <w:spacing w:before="30" w:after="30"/>
              <w:ind w:firstLine="0"/>
              <w:jc w:val="center"/>
            </w:pPr>
            <w:r>
              <w:rPr>
                <w:rFonts w:hint="eastAsia" w:ascii="Times New Roman" w:hAnsi="Times New Roman" w:eastAsia="宋体" w:cs="Times New Roman"/>
                <w:b w:val="0"/>
                <w:i w:val="0"/>
                <w:sz w:val="18"/>
              </w:rPr>
              <w:t xml:space="preserve">剪切波速 </w:t>
            </w:r>
            <m:oMath>
              <m:sSub>
                <m:sSubPr/>
                <m:e>
                  <m:r>
                    <m:rPr/>
                    <m:t>V</m:t>
                  </m:r>
                </m:e>
                <m:sub>
                  <m:r>
                    <m:rPr>
                      <m:sty m:val="p"/>
                    </m:rPr>
                    <m:t>s</m:t>
                  </m:r>
                </m:sub>
              </m:sSub>
            </m:oMath>
            <w:r>
              <w:rPr>
                <w:rFonts w:hint="eastAsia" w:ascii="Times New Roman" w:hAnsi="Times New Roman" w:eastAsia="宋体" w:cs="Times New Roman"/>
                <w:b w:val="0"/>
                <w:i w:val="0"/>
                <w:sz w:val="18"/>
              </w:rPr>
              <w:t>/(m·s</w:t>
            </w:r>
            <m:oMath>
              <m:sSup>
                <m:sSupPr/>
                <m:e>
                  <m:r>
                    <m:rPr/>
                    <m:t>​</m:t>
                  </m:r>
                </m:e>
                <m:sup>
                  <m:r>
                    <m:rPr>
                      <m:sty m:val="p"/>
                    </m:rPr>
                    <m:t>−</m:t>
                  </m:r>
                  <m:r>
                    <m:rPr/>
                    <m:t>1</m:t>
                  </m:r>
                </m:sup>
              </m:sSup>
            </m:oMath>
            <w:r>
              <w:rPr>
                <w:rFonts w:hint="eastAsia" w:ascii="Times New Roman" w:hAnsi="Times New Roman" w:eastAsia="宋体" w:cs="Times New Roman"/>
                <w:b w:val="0"/>
                <w:i w:val="0"/>
                <w:sz w:val="18"/>
              </w:rPr>
              <w:t>)</w:t>
            </w:r>
          </w:p>
        </w:tc>
        <w:tc>
          <w:tcPr>
            <w:tcW w:w="2409" w:type="dxa"/>
            <w:vAlign w:val="center"/>
          </w:tcPr>
          <w:p w14:paraId="114E1C0D">
            <w:pPr>
              <w:spacing w:before="30" w:after="30"/>
              <w:ind w:firstLine="0"/>
              <w:jc w:val="center"/>
            </w:pPr>
            <w:r>
              <w:rPr>
                <w:rFonts w:hint="eastAsia" w:ascii="Times New Roman" w:hAnsi="Times New Roman" w:eastAsia="宋体" w:cs="Times New Roman"/>
                <w:b w:val="0"/>
                <w:i w:val="0"/>
                <w:sz w:val="18"/>
              </w:rPr>
              <w:t>2000</w:t>
            </w:r>
          </w:p>
        </w:tc>
        <w:tc>
          <w:tcPr>
            <w:tcW w:w="2409" w:type="dxa"/>
            <w:vAlign w:val="center"/>
          </w:tcPr>
          <w:p w14:paraId="73E3B858">
            <w:pPr>
              <w:spacing w:before="30" w:after="30"/>
              <w:ind w:firstLine="0"/>
              <w:jc w:val="center"/>
            </w:pPr>
            <w:r>
              <w:rPr>
                <w:rFonts w:hint="eastAsia" w:ascii="Times New Roman" w:hAnsi="Times New Roman" w:eastAsia="宋体" w:cs="Times New Roman"/>
                <w:b w:val="0"/>
                <w:i w:val="0"/>
                <w:sz w:val="18"/>
              </w:rPr>
              <w:t>600、900、1200、1500</w:t>
            </w:r>
          </w:p>
        </w:tc>
      </w:tr>
      <w:tr w14:paraId="5AAEAD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3746EF46">
            <w:pPr>
              <w:spacing w:before="30" w:after="30"/>
              <w:ind w:firstLine="0"/>
              <w:jc w:val="center"/>
            </w:pPr>
            <w:r>
              <w:rPr>
                <w:rFonts w:hint="eastAsia" w:ascii="Times New Roman" w:hAnsi="Times New Roman" w:eastAsia="宋体" w:cs="Times New Roman"/>
                <w:b w:val="0"/>
                <w:i w:val="0"/>
                <w:sz w:val="18"/>
              </w:rPr>
              <w:t>材料</w:t>
            </w:r>
          </w:p>
        </w:tc>
        <w:tc>
          <w:tcPr>
            <w:tcW w:w="2409" w:type="dxa"/>
            <w:vAlign w:val="center"/>
          </w:tcPr>
          <w:p w14:paraId="3AE10028">
            <w:pPr>
              <w:spacing w:before="30" w:after="30"/>
              <w:ind w:firstLine="0"/>
              <w:jc w:val="center"/>
            </w:pPr>
            <w:r>
              <w:rPr>
                <w:rFonts w:hint="eastAsia" w:ascii="Times New Roman" w:hAnsi="Times New Roman" w:eastAsia="宋体" w:cs="Times New Roman"/>
                <w:b w:val="0"/>
                <w:i w:val="0"/>
                <w:sz w:val="18"/>
              </w:rPr>
              <w:t xml:space="preserve">密度 </w:t>
            </w:r>
            <m:oMath>
              <m:r>
                <m:rPr/>
                <m:t>ρ</m:t>
              </m:r>
            </m:oMath>
            <w:r>
              <w:rPr>
                <w:rFonts w:hint="eastAsia" w:ascii="Times New Roman" w:hAnsi="Times New Roman" w:eastAsia="宋体" w:cs="Times New Roman"/>
                <w:b w:val="0"/>
                <w:i w:val="0"/>
                <w:sz w:val="18"/>
              </w:rPr>
              <w:t>/(kg·m</w:t>
            </w:r>
            <m:oMath>
              <m:sSup>
                <m:sSupPr/>
                <m:e>
                  <m:r>
                    <m:rPr/>
                    <m:t>​</m:t>
                  </m:r>
                </m:e>
                <m:sup>
                  <m:r>
                    <m:rPr>
                      <m:sty m:val="p"/>
                    </m:rPr>
                    <m:t>−</m:t>
                  </m:r>
                  <m:r>
                    <m:rPr/>
                    <m:t>3</m:t>
                  </m:r>
                </m:sup>
              </m:sSup>
            </m:oMath>
            <w:r>
              <w:rPr>
                <w:rFonts w:hint="eastAsia" w:ascii="Times New Roman" w:hAnsi="Times New Roman" w:eastAsia="宋体" w:cs="Times New Roman"/>
                <w:b w:val="0"/>
                <w:i w:val="0"/>
                <w:sz w:val="18"/>
              </w:rPr>
              <w:t>)</w:t>
            </w:r>
          </w:p>
        </w:tc>
        <w:tc>
          <w:tcPr>
            <w:tcW w:w="2409" w:type="dxa"/>
            <w:vAlign w:val="center"/>
          </w:tcPr>
          <w:p w14:paraId="4848ABEA">
            <w:pPr>
              <w:spacing w:before="30" w:after="30"/>
              <w:ind w:firstLine="0"/>
              <w:jc w:val="center"/>
            </w:pPr>
            <w:r>
              <w:rPr>
                <w:rFonts w:hint="eastAsia" w:ascii="Times New Roman" w:hAnsi="Times New Roman" w:eastAsia="宋体" w:cs="Times New Roman"/>
                <w:b w:val="0"/>
                <w:i w:val="0"/>
                <w:sz w:val="18"/>
              </w:rPr>
              <w:t>2500</w:t>
            </w:r>
          </w:p>
        </w:tc>
        <w:tc>
          <w:tcPr>
            <w:tcW w:w="2409" w:type="dxa"/>
            <w:vAlign w:val="center"/>
          </w:tcPr>
          <w:p w14:paraId="03CE8D1A">
            <w:pPr>
              <w:spacing w:before="30" w:after="30"/>
              <w:ind w:firstLine="0"/>
              <w:jc w:val="center"/>
            </w:pPr>
            <w:r>
              <w:rPr>
                <w:rFonts w:hint="eastAsia" w:ascii="Times New Roman" w:hAnsi="Times New Roman" w:eastAsia="宋体" w:cs="Times New Roman"/>
                <w:b w:val="0"/>
                <w:i w:val="0"/>
                <w:sz w:val="18"/>
              </w:rPr>
              <w:t>2125（密度比 0.85）</w:t>
            </w:r>
          </w:p>
        </w:tc>
      </w:tr>
      <w:tr w14:paraId="7FF6BA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6D490D59">
            <w:pPr>
              <w:spacing w:before="30" w:after="30"/>
              <w:ind w:firstLine="0"/>
              <w:jc w:val="center"/>
            </w:pPr>
            <w:r>
              <w:rPr>
                <w:rFonts w:hint="eastAsia" w:ascii="Times New Roman" w:hAnsi="Times New Roman" w:eastAsia="宋体" w:cs="Times New Roman"/>
                <w:b w:val="0"/>
                <w:i w:val="0"/>
                <w:sz w:val="18"/>
              </w:rPr>
              <w:t>材料</w:t>
            </w:r>
          </w:p>
        </w:tc>
        <w:tc>
          <w:tcPr>
            <w:tcW w:w="2409" w:type="dxa"/>
            <w:vAlign w:val="center"/>
          </w:tcPr>
          <w:p w14:paraId="4CC64562">
            <w:pPr>
              <w:spacing w:before="30" w:after="30"/>
              <w:ind w:firstLine="0"/>
              <w:jc w:val="center"/>
            </w:pPr>
            <w:r>
              <w:rPr>
                <w:rFonts w:hint="eastAsia" w:ascii="Times New Roman" w:hAnsi="Times New Roman" w:eastAsia="宋体" w:cs="Times New Roman"/>
                <w:b w:val="0"/>
                <w:i w:val="0"/>
                <w:sz w:val="18"/>
              </w:rPr>
              <w:t xml:space="preserve">泊松比 </w:t>
            </w:r>
            <m:oMath>
              <m:r>
                <m:rPr/>
                <m:t>ν</m:t>
              </m:r>
            </m:oMath>
          </w:p>
        </w:tc>
        <w:tc>
          <w:tcPr>
            <w:tcW w:w="2409" w:type="dxa"/>
            <w:vAlign w:val="center"/>
          </w:tcPr>
          <w:p w14:paraId="6A04B4AA">
            <w:pPr>
              <w:spacing w:before="30" w:after="30"/>
              <w:ind w:firstLine="0"/>
              <w:jc w:val="center"/>
            </w:pPr>
            <w:r>
              <w:rPr>
                <w:rFonts w:hint="eastAsia" w:ascii="Times New Roman" w:hAnsi="Times New Roman" w:eastAsia="宋体" w:cs="Times New Roman"/>
                <w:b w:val="0"/>
                <w:i w:val="0"/>
                <w:sz w:val="18"/>
              </w:rPr>
              <w:t>0.30</w:t>
            </w:r>
          </w:p>
        </w:tc>
        <w:tc>
          <w:tcPr>
            <w:tcW w:w="2409" w:type="dxa"/>
            <w:vAlign w:val="center"/>
          </w:tcPr>
          <w:p w14:paraId="3EF0C5D1">
            <w:pPr>
              <w:spacing w:before="30" w:after="30"/>
              <w:ind w:firstLine="0"/>
              <w:jc w:val="center"/>
            </w:pPr>
            <w:r>
              <w:rPr>
                <w:rFonts w:hint="eastAsia" w:ascii="Times New Roman" w:hAnsi="Times New Roman" w:eastAsia="宋体" w:cs="Times New Roman"/>
                <w:b w:val="0"/>
                <w:i w:val="0"/>
                <w:sz w:val="18"/>
              </w:rPr>
              <w:t>0.35</w:t>
            </w:r>
          </w:p>
        </w:tc>
      </w:tr>
      <w:tr w14:paraId="54DCA1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2409" w:type="dxa"/>
            <w:vAlign w:val="center"/>
          </w:tcPr>
          <w:p w14:paraId="730B8DEB">
            <w:pPr>
              <w:spacing w:before="30" w:after="30"/>
              <w:ind w:firstLine="0"/>
              <w:jc w:val="center"/>
            </w:pPr>
            <w:r>
              <w:rPr>
                <w:rFonts w:hint="eastAsia" w:ascii="Times New Roman" w:hAnsi="Times New Roman" w:eastAsia="宋体" w:cs="Times New Roman"/>
                <w:b w:val="0"/>
                <w:i w:val="0"/>
                <w:sz w:val="18"/>
              </w:rPr>
              <w:t>材料</w:t>
            </w:r>
          </w:p>
        </w:tc>
        <w:tc>
          <w:tcPr>
            <w:tcW w:w="2409" w:type="dxa"/>
            <w:vAlign w:val="center"/>
          </w:tcPr>
          <w:p w14:paraId="2308A37B">
            <w:pPr>
              <w:spacing w:before="30" w:after="30"/>
              <w:ind w:firstLine="0"/>
              <w:jc w:val="center"/>
            </w:pPr>
            <w:r>
              <w:rPr>
                <w:rFonts w:hint="eastAsia" w:ascii="Times New Roman" w:hAnsi="Times New Roman" w:eastAsia="宋体" w:cs="Times New Roman"/>
                <w:b w:val="0"/>
                <w:i w:val="0"/>
                <w:sz w:val="18"/>
              </w:rPr>
              <w:t xml:space="preserve">阻尼比 </w:t>
            </w:r>
            <m:oMath>
              <m:r>
                <m:rPr/>
                <m:t>ξ</m:t>
              </m:r>
            </m:oMath>
          </w:p>
        </w:tc>
        <w:tc>
          <w:tcPr>
            <w:tcW w:w="2409" w:type="dxa"/>
            <w:vAlign w:val="center"/>
          </w:tcPr>
          <w:p w14:paraId="62C40143">
            <w:pPr>
              <w:spacing w:before="30" w:after="30"/>
              <w:ind w:firstLine="0"/>
              <w:jc w:val="center"/>
            </w:pPr>
            <w:r>
              <w:rPr>
                <w:rFonts w:hint="eastAsia" w:ascii="Times New Roman" w:hAnsi="Times New Roman" w:eastAsia="宋体" w:cs="Times New Roman"/>
                <w:b w:val="0"/>
                <w:i w:val="0"/>
                <w:sz w:val="18"/>
              </w:rPr>
              <w:t>0.05%</w:t>
            </w:r>
          </w:p>
        </w:tc>
        <w:tc>
          <w:tcPr>
            <w:tcW w:w="2409" w:type="dxa"/>
            <w:vAlign w:val="center"/>
          </w:tcPr>
          <w:p w14:paraId="2DECEC93">
            <w:pPr>
              <w:spacing w:before="30" w:after="30"/>
              <w:ind w:firstLine="0"/>
              <w:jc w:val="center"/>
            </w:pPr>
            <w:r>
              <w:rPr>
                <w:rFonts w:hint="eastAsia" w:ascii="Times New Roman" w:hAnsi="Times New Roman" w:eastAsia="宋体" w:cs="Times New Roman"/>
                <w:b w:val="0"/>
                <w:i w:val="0"/>
                <w:sz w:val="18"/>
              </w:rPr>
              <w:t>3%</w:t>
            </w:r>
          </w:p>
        </w:tc>
      </w:tr>
      <w:tr w14:paraId="40750D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113AC128">
            <w:pPr>
              <w:spacing w:before="30" w:after="30"/>
              <w:ind w:firstLine="0"/>
              <w:jc w:val="center"/>
            </w:pPr>
            <w:r>
              <w:rPr>
                <w:rFonts w:hint="eastAsia" w:ascii="Times New Roman" w:hAnsi="Times New Roman" w:eastAsia="宋体" w:cs="Times New Roman"/>
                <w:b w:val="0"/>
                <w:i w:val="0"/>
                <w:sz w:val="18"/>
              </w:rPr>
              <w:t>地层</w:t>
            </w:r>
          </w:p>
        </w:tc>
        <w:tc>
          <w:tcPr>
            <w:tcW w:w="2409" w:type="dxa"/>
            <w:vAlign w:val="center"/>
          </w:tcPr>
          <w:p w14:paraId="76A7D647">
            <w:pPr>
              <w:spacing w:before="30" w:after="30"/>
              <w:ind w:firstLine="0"/>
              <w:jc w:val="center"/>
            </w:pPr>
            <w:r>
              <w:rPr>
                <w:rFonts w:hint="eastAsia" w:ascii="Times New Roman" w:hAnsi="Times New Roman" w:eastAsia="宋体" w:cs="Times New Roman"/>
                <w:b w:val="0"/>
                <w:i w:val="0"/>
                <w:sz w:val="18"/>
              </w:rPr>
              <w:t xml:space="preserve">上平台覆盖层厚度 </w:t>
            </w:r>
            <m:oMath>
              <m:r>
                <m:rPr/>
                <m:t>d</m:t>
              </m:r>
            </m:oMath>
            <w:r>
              <w:rPr>
                <w:rFonts w:hint="eastAsia" w:ascii="Times New Roman" w:hAnsi="Times New Roman" w:eastAsia="宋体" w:cs="Times New Roman"/>
                <w:b w:val="0"/>
                <w:i w:val="0"/>
                <w:sz w:val="18"/>
              </w:rPr>
              <w:t>/m</w:t>
            </w:r>
          </w:p>
        </w:tc>
        <w:tc>
          <w:tcPr>
            <w:tcW w:w="2409" w:type="dxa"/>
            <w:vAlign w:val="center"/>
          </w:tcPr>
          <w:p w14:paraId="09452D51">
            <w:pPr>
              <w:spacing w:before="30" w:after="30"/>
              <w:ind w:firstLine="0"/>
              <w:jc w:val="center"/>
            </w:pPr>
            <w:r>
              <w:rPr>
                <w:rFonts w:hint="eastAsia" w:ascii="Times New Roman" w:hAnsi="Times New Roman" w:eastAsia="宋体" w:cs="Times New Roman"/>
                <w:b w:val="0"/>
                <w:i w:val="0"/>
                <w:sz w:val="18"/>
              </w:rPr>
              <w:t>—</w:t>
            </w:r>
          </w:p>
        </w:tc>
        <w:tc>
          <w:tcPr>
            <w:tcW w:w="2409" w:type="dxa"/>
            <w:vAlign w:val="center"/>
          </w:tcPr>
          <w:p w14:paraId="2523005F">
            <w:pPr>
              <w:spacing w:before="30" w:after="30"/>
              <w:ind w:firstLine="0"/>
              <w:jc w:val="center"/>
            </w:pPr>
            <w:r>
              <w:rPr>
                <w:rFonts w:hint="eastAsia" w:ascii="Times New Roman" w:hAnsi="Times New Roman" w:eastAsia="宋体" w:cs="Times New Roman"/>
                <w:b w:val="0"/>
                <w:i w:val="0"/>
                <w:sz w:val="18"/>
              </w:rPr>
              <w:t>20、60、100、140</w:t>
            </w:r>
          </w:p>
        </w:tc>
      </w:tr>
      <w:tr w14:paraId="1F16A1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7E540EEC">
            <w:pPr>
              <w:spacing w:before="30" w:after="30"/>
              <w:ind w:firstLine="0"/>
              <w:jc w:val="center"/>
            </w:pPr>
            <w:r>
              <w:rPr>
                <w:rFonts w:hint="eastAsia" w:ascii="Times New Roman" w:hAnsi="Times New Roman" w:eastAsia="宋体" w:cs="Times New Roman"/>
                <w:b w:val="0"/>
                <w:i w:val="0"/>
                <w:sz w:val="18"/>
              </w:rPr>
              <w:t>输入</w:t>
            </w:r>
          </w:p>
        </w:tc>
        <w:tc>
          <w:tcPr>
            <w:tcW w:w="2409" w:type="dxa"/>
            <w:vAlign w:val="center"/>
          </w:tcPr>
          <w:p w14:paraId="55076E1F">
            <w:pPr>
              <w:spacing w:before="30" w:after="30"/>
              <w:ind w:firstLine="0"/>
              <w:jc w:val="center"/>
            </w:pPr>
            <w:r>
              <w:rPr>
                <w:rFonts w:hint="eastAsia" w:ascii="Times New Roman" w:hAnsi="Times New Roman" w:eastAsia="宋体" w:cs="Times New Roman"/>
                <w:b w:val="0"/>
                <w:i w:val="0"/>
                <w:sz w:val="18"/>
              </w:rPr>
              <w:t>SV 波入射角/(°)</w:t>
            </w:r>
          </w:p>
        </w:tc>
        <w:tc>
          <w:tcPr>
            <w:tcW w:w="2409" w:type="dxa"/>
            <w:vAlign w:val="center"/>
          </w:tcPr>
          <w:p w14:paraId="72F4B29A">
            <w:pPr>
              <w:spacing w:before="30" w:after="30"/>
              <w:ind w:firstLine="0"/>
              <w:jc w:val="center"/>
            </w:pPr>
            <w:r>
              <w:rPr>
                <w:rFonts w:hint="eastAsia" w:ascii="Times New Roman" w:hAnsi="Times New Roman" w:eastAsia="宋体" w:cs="Times New Roman"/>
                <w:b w:val="0"/>
                <w:i w:val="0"/>
                <w:sz w:val="18"/>
              </w:rPr>
              <w:t>15（相对竖直方向）</w:t>
            </w:r>
          </w:p>
        </w:tc>
        <w:tc>
          <w:tcPr>
            <w:tcW w:w="2409" w:type="dxa"/>
            <w:vAlign w:val="center"/>
          </w:tcPr>
          <w:p w14:paraId="03554CC6">
            <w:pPr>
              <w:spacing w:before="30" w:after="30"/>
              <w:ind w:firstLine="0"/>
              <w:jc w:val="center"/>
            </w:pPr>
            <w:r>
              <w:rPr>
                <w:rFonts w:hint="eastAsia" w:ascii="Times New Roman" w:hAnsi="Times New Roman" w:eastAsia="宋体" w:cs="Times New Roman"/>
                <w:b w:val="0"/>
                <w:i w:val="0"/>
                <w:sz w:val="18"/>
              </w:rPr>
              <w:t>15（相对竖直方向）</w:t>
            </w:r>
          </w:p>
        </w:tc>
      </w:tr>
      <w:tr w14:paraId="20340C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5E63DA1B">
            <w:pPr>
              <w:spacing w:before="30" w:after="30"/>
              <w:ind w:firstLine="0"/>
              <w:jc w:val="center"/>
            </w:pPr>
            <w:r>
              <w:rPr>
                <w:rFonts w:hint="eastAsia" w:ascii="Times New Roman" w:hAnsi="Times New Roman" w:eastAsia="宋体" w:cs="Times New Roman"/>
                <w:b w:val="0"/>
                <w:i w:val="0"/>
                <w:sz w:val="18"/>
              </w:rPr>
              <w:t>输入</w:t>
            </w:r>
          </w:p>
        </w:tc>
        <w:tc>
          <w:tcPr>
            <w:tcW w:w="2409" w:type="dxa"/>
            <w:vAlign w:val="center"/>
          </w:tcPr>
          <w:p w14:paraId="1987C063">
            <w:pPr>
              <w:spacing w:before="30" w:after="30"/>
              <w:ind w:firstLine="0"/>
              <w:jc w:val="center"/>
            </w:pPr>
            <w:r>
              <w:rPr>
                <w:rFonts w:hint="eastAsia" w:ascii="Times New Roman" w:hAnsi="Times New Roman" w:eastAsia="宋体" w:cs="Times New Roman"/>
                <w:b w:val="0"/>
                <w:i w:val="0"/>
                <w:sz w:val="18"/>
              </w:rPr>
              <w:t>宽频识别信号峰值</w:t>
            </w:r>
          </w:p>
        </w:tc>
        <w:tc>
          <w:tcPr>
            <w:tcW w:w="2409" w:type="dxa"/>
            <w:vAlign w:val="center"/>
          </w:tcPr>
          <w:p w14:paraId="009DD8BF">
            <w:pPr>
              <w:spacing w:before="30" w:after="30"/>
              <w:ind w:firstLine="0"/>
              <w:jc w:val="center"/>
            </w:pPr>
            <w:r>
              <w:rPr>
                <w:rFonts w:hint="eastAsia" w:ascii="Times New Roman" w:hAnsi="Times New Roman" w:eastAsia="宋体" w:cs="Times New Roman"/>
                <w:b w:val="0"/>
                <w:i w:val="0"/>
                <w:sz w:val="18"/>
              </w:rPr>
              <w:t>0.1g</w:t>
            </w:r>
          </w:p>
        </w:tc>
        <w:tc>
          <w:tcPr>
            <w:tcW w:w="2409" w:type="dxa"/>
            <w:vAlign w:val="center"/>
          </w:tcPr>
          <w:p w14:paraId="6FACB133">
            <w:pPr>
              <w:spacing w:before="30" w:after="30"/>
              <w:ind w:firstLine="0"/>
              <w:jc w:val="center"/>
            </w:pPr>
            <w:r>
              <w:rPr>
                <w:rFonts w:hint="eastAsia" w:ascii="Times New Roman" w:hAnsi="Times New Roman" w:eastAsia="宋体" w:cs="Times New Roman"/>
                <w:b w:val="0"/>
                <w:i w:val="0"/>
                <w:sz w:val="18"/>
              </w:rPr>
              <w:t>0.1g</w:t>
            </w:r>
          </w:p>
        </w:tc>
      </w:tr>
    </w:tbl>
    <w:p w14:paraId="40E14B8E">
      <w:pPr>
        <w:spacing w:before="0" w:after="0"/>
        <w:ind w:firstLine="420"/>
        <w:jc w:val="both"/>
      </w:pPr>
      <w:r>
        <w:rPr>
          <w:rFonts w:hint="eastAsia" w:ascii="Times New Roman" w:hAnsi="Times New Roman" w:eastAsia="宋体" w:cs="Times New Roman"/>
          <w:b w:val="0"/>
          <w:i w:val="0"/>
          <w:sz w:val="21"/>
        </w:rPr>
        <w:t xml:space="preserve">物理参数矩阵由坡角 </w:t>
      </w:r>
      <m:oMath>
        <m:r>
          <m:rPr/>
          <m:t>i</m:t>
        </m:r>
      </m:oMath>
      <w:r>
        <w:rPr>
          <w:rFonts w:hint="eastAsia" w:ascii="Times New Roman" w:hAnsi="Times New Roman" w:eastAsia="宋体" w:cs="Times New Roman"/>
          <w:b w:val="0"/>
          <w:i w:val="0"/>
          <w:sz w:val="21"/>
        </w:rPr>
        <w:t xml:space="preserve">、厚度比 </w:t>
      </w:r>
      <m:oMath>
        <m:r>
          <m:rPr/>
          <m:t>d</m:t>
        </m:r>
        <m:r>
          <m:rPr>
            <m:sty m:val="p"/>
          </m:rPr>
          <m:t>/</m:t>
        </m:r>
        <m:r>
          <m:rPr/>
          <m:t>h</m:t>
        </m:r>
      </m:oMath>
      <w:r>
        <w:rPr>
          <w:rFonts w:hint="eastAsia" w:ascii="Times New Roman" w:hAnsi="Times New Roman" w:eastAsia="宋体" w:cs="Times New Roman"/>
          <w:b w:val="0"/>
          <w:i w:val="0"/>
          <w:sz w:val="21"/>
        </w:rPr>
        <w:t xml:space="preserve"> 与速度比 </w:t>
      </w:r>
      <m:oMath>
        <m:sSub>
          <m:sSubPr/>
          <m:e>
            <m:r>
              <m:rPr/>
              <m:t>r</m:t>
            </m:r>
          </m:e>
          <m:sub>
            <m:r>
              <m:rPr/>
              <m:t>v</m:t>
            </m:r>
          </m:sub>
        </m:sSub>
      </m:oMath>
      <w:r>
        <w:rPr>
          <w:rFonts w:hint="eastAsia" w:ascii="Times New Roman" w:hAnsi="Times New Roman" w:eastAsia="宋体" w:cs="Times New Roman"/>
          <w:b w:val="0"/>
          <w:i w:val="0"/>
          <w:sz w:val="21"/>
        </w:rPr>
        <w:t xml:space="preserve"> 三个维度构成。P 组在 </w:t>
      </w:r>
      <m:oMath>
        <m:r>
          <m:rPr/>
          <m:t>i</m:t>
        </m:r>
        <m:r>
          <m:rPr>
            <m:sty m:val="p"/>
          </m:rPr>
          <m:t>∈{</m:t>
        </m:r>
        <m:sSup>
          <m:sSupPr/>
          <m:e>
            <m:r>
              <m:rPr/>
              <m:t>15</m:t>
            </m:r>
          </m:e>
          <m:sup>
            <m:r>
              <m:rPr>
                <m:sty m:val="p"/>
              </m:rPr>
              <m:t>∘</m:t>
            </m:r>
          </m:sup>
        </m:sSup>
        <m:r>
          <m:rPr>
            <m:sty m:val="p"/>
          </m:rPr>
          <m:t>,</m:t>
        </m:r>
        <m:sSup>
          <m:sSupPr/>
          <m:e>
            <m:r>
              <m:rPr/>
              <m:t>30</m:t>
            </m:r>
          </m:e>
          <m:sup>
            <m:r>
              <m:rPr>
                <m:sty m:val="p"/>
              </m:rPr>
              <m:t>∘</m:t>
            </m:r>
          </m:sup>
        </m:sSup>
        <m:r>
          <m:rPr>
            <m:sty m:val="p"/>
          </m:rPr>
          <m:t>,</m:t>
        </m:r>
        <m:sSup>
          <m:sSupPr/>
          <m:e>
            <m:r>
              <m:rPr/>
              <m:t>45</m:t>
            </m:r>
          </m:e>
          <m:sup>
            <m:r>
              <m:rPr>
                <m:sty m:val="p"/>
              </m:rPr>
              <m:t>∘</m:t>
            </m:r>
          </m:sup>
        </m:sSup>
        <m:r>
          <m:rPr>
            <m:sty m:val="p"/>
          </m:rPr>
          <m:t>,</m:t>
        </m:r>
        <m:sSup>
          <m:sSupPr/>
          <m:e>
            <m:r>
              <m:rPr/>
              <m:t>60</m:t>
            </m:r>
          </m:e>
          <m:sup>
            <m:r>
              <m:rPr>
                <m:sty m:val="p"/>
              </m:rPr>
              <m:t>∘</m:t>
            </m:r>
          </m:sup>
        </m:sSup>
        <m:r>
          <m:rPr>
            <m:sty m:val="p"/>
          </m:rPr>
          <m:t>}</m:t>
        </m:r>
      </m:oMath>
      <w:r>
        <w:rPr>
          <w:rFonts w:hint="eastAsia" w:ascii="Times New Roman" w:hAnsi="Times New Roman" w:eastAsia="宋体" w:cs="Times New Roman"/>
          <w:b w:val="0"/>
          <w:i w:val="0"/>
          <w:sz w:val="21"/>
        </w:rPr>
        <w:t>、</w:t>
      </w:r>
      <m:oMath>
        <m:r>
          <m:rPr/>
          <m:t>d</m:t>
        </m:r>
        <m:r>
          <m:rPr>
            <m:sty m:val="p"/>
          </m:rPr>
          <m:t>/</m:t>
        </m:r>
        <m:r>
          <m:rPr/>
          <m:t>h</m:t>
        </m:r>
        <m:r>
          <m:rPr>
            <m:sty m:val="p"/>
          </m:rPr>
          <m:t>∈{</m:t>
        </m:r>
        <m:r>
          <m:rPr/>
          <m:t>0.20</m:t>
        </m:r>
        <m:r>
          <m:rPr>
            <m:sty m:val="p"/>
          </m:rPr>
          <m:t>,</m:t>
        </m:r>
        <m:r>
          <m:rPr/>
          <m:t>0.60</m:t>
        </m:r>
        <m:r>
          <m:rPr>
            <m:sty m:val="p"/>
          </m:rPr>
          <m:t>,</m:t>
        </m:r>
        <m:r>
          <m:rPr/>
          <m:t>1.00</m:t>
        </m:r>
        <m:r>
          <m:rPr>
            <m:sty m:val="p"/>
          </m:rPr>
          <m:t>,</m:t>
        </m:r>
        <m:r>
          <m:rPr/>
          <m:t>1.40</m:t>
        </m:r>
        <m:r>
          <m:rPr>
            <m:sty m:val="p"/>
          </m:rPr>
          <m:t>}</m:t>
        </m:r>
      </m:oMath>
      <w:r>
        <w:rPr>
          <w:rFonts w:hint="eastAsia" w:ascii="Times New Roman" w:hAnsi="Times New Roman" w:eastAsia="宋体" w:cs="Times New Roman"/>
          <w:b w:val="0"/>
          <w:i w:val="0"/>
          <w:sz w:val="21"/>
        </w:rPr>
        <w:t xml:space="preserve"> 和 </w:t>
      </w:r>
      <m:oMath>
        <m:sSub>
          <m:sSubPr/>
          <m:e>
            <m:r>
              <m:rPr/>
              <m:t>r</m:t>
            </m:r>
          </m:e>
          <m:sub>
            <m:r>
              <m:rPr/>
              <m:t>v</m:t>
            </m:r>
          </m:sub>
        </m:sSub>
        <m:r>
          <m:rPr>
            <m:sty m:val="p"/>
          </m:rPr>
          <m:t>∈{</m:t>
        </m:r>
        <m:r>
          <m:rPr/>
          <m:t>0.30</m:t>
        </m:r>
        <m:r>
          <m:rPr>
            <m:sty m:val="p"/>
          </m:rPr>
          <m:t>,</m:t>
        </m:r>
        <m:r>
          <m:rPr/>
          <m:t>0.45</m:t>
        </m:r>
        <m:r>
          <m:rPr>
            <m:sty m:val="p"/>
          </m:rPr>
          <m:t>,</m:t>
        </m:r>
        <m:r>
          <m:rPr/>
          <m:t>0.60</m:t>
        </m:r>
        <m:r>
          <m:rPr>
            <m:sty m:val="p"/>
          </m:rPr>
          <m:t>,</m:t>
        </m:r>
        <m:r>
          <m:rPr/>
          <m:t>0.75</m:t>
        </m:r>
        <m:r>
          <m:rPr>
            <m:sty m:val="p"/>
          </m:rPr>
          <m:t>}</m:t>
        </m:r>
      </m:oMath>
      <w:r>
        <w:rPr>
          <w:rFonts w:hint="eastAsia" w:ascii="Times New Roman" w:hAnsi="Times New Roman" w:eastAsia="宋体" w:cs="Times New Roman"/>
          <w:b w:val="0"/>
          <w:i w:val="0"/>
          <w:sz w:val="21"/>
        </w:rPr>
        <w:t xml:space="preserve"> 上进行 </w:t>
      </w:r>
      <m:oMath>
        <m:r>
          <m:rPr/>
          <m:t>4</m:t>
        </m:r>
        <m:r>
          <m:rPr>
            <m:sty m:val="p"/>
          </m:rPr>
          <m:t>×</m:t>
        </m:r>
        <m:r>
          <m:rPr/>
          <m:t>4</m:t>
        </m:r>
        <m:r>
          <m:rPr>
            <m:sty m:val="p"/>
          </m:rPr>
          <m:t>×</m:t>
        </m:r>
        <m:r>
          <m:rPr/>
          <m:t>4</m:t>
        </m:r>
      </m:oMath>
      <w:r>
        <w:rPr>
          <w:rFonts w:hint="eastAsia" w:ascii="Times New Roman" w:hAnsi="Times New Roman" w:eastAsia="宋体" w:cs="Times New Roman"/>
          <w:b w:val="0"/>
          <w:i w:val="0"/>
          <w:sz w:val="21"/>
        </w:rPr>
        <w:t xml:space="preserve"> 全因子组合，共 64 个成层工况 P001—P064。H 组由四个同坡角均质基岩坡 H001—H004 构成，与 P 组共享坡高、计算域、入射角和输入信号。因坡高、密度比和入射角均固定，P 组内部任意两个工况的差异只来自三个研究参数，避免了把尺寸效应、密度变化或入射方向变化混入覆盖层参数比较。</w:t>
      </w:r>
    </w:p>
    <w:p w14:paraId="02BD8FAA">
      <w:pPr>
        <w:spacing w:before="0" w:after="0"/>
        <w:ind w:firstLine="420"/>
        <w:jc w:val="both"/>
      </w:pPr>
      <w:r>
        <w:rPr>
          <w:rFonts w:hint="eastAsia" w:ascii="Times New Roman" w:hAnsi="Times New Roman" w:eastAsia="宋体" w:cs="Times New Roman"/>
          <w:b w:val="0"/>
          <w:i w:val="0"/>
          <w:sz w:val="21"/>
        </w:rPr>
        <w:t>除 H/P 主工况外，本章使用V组和X组分别检查数值设置敏感性与跨软件一致性。V组以P061为共同基准，每次只改变一项数值设置；X组使用独立求解器重建H004与P061。用于代理训练外评价的B组和用于真实波闭环的C组不参与本章的数值模型验证，其样本组织和隔离关系在第4章首次使用处说明。表3汇总本章涉及的建模与验证工况。</w:t>
      </w:r>
    </w:p>
    <w:p w14:paraId="73F2DD6C">
      <w:pPr>
        <w:spacing w:before="156" w:after="0"/>
        <w:ind w:firstLine="0"/>
        <w:jc w:val="center"/>
      </w:pPr>
      <w:r>
        <w:rPr>
          <w:rFonts w:hint="eastAsia" w:ascii="Times New Roman" w:hAnsi="Times New Roman" w:eastAsia="宋体" w:cs="Times New Roman"/>
          <w:b w:val="0"/>
          <w:i w:val="0"/>
          <w:sz w:val="18"/>
        </w:rPr>
        <w:t>表3 数值建模与验证工况的数量及用途</w:t>
      </w:r>
    </w:p>
    <w:p w14:paraId="7858E3C8">
      <w:pPr>
        <w:spacing w:before="0" w:after="40"/>
        <w:ind w:firstLine="0"/>
        <w:jc w:val="center"/>
      </w:pPr>
      <w:r>
        <w:rPr>
          <w:rFonts w:hint="eastAsia" w:ascii="Times New Roman" w:hAnsi="Times New Roman" w:eastAsia="Times New Roman" w:cs="Times New Roman"/>
          <w:b w:val="0"/>
          <w:i w:val="0"/>
          <w:sz w:val="18"/>
        </w:rPr>
        <w:t>Table 3 Numerical-model and verification case pools used in this chapter</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28"/>
        <w:gridCol w:w="1928"/>
        <w:gridCol w:w="1928"/>
        <w:gridCol w:w="1928"/>
        <w:gridCol w:w="1928"/>
      </w:tblGrid>
      <w:tr w14:paraId="1F7E35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bottom w:val="single" w:color="auto" w:sz="6" w:space="0"/>
            </w:tcBorders>
            <w:vAlign w:val="center"/>
          </w:tcPr>
          <w:p w14:paraId="0373DA79">
            <w:pPr>
              <w:spacing w:before="30" w:after="30"/>
              <w:ind w:firstLine="0"/>
              <w:jc w:val="center"/>
            </w:pPr>
            <w:r>
              <w:rPr>
                <w:rFonts w:hint="eastAsia" w:ascii="Times New Roman" w:hAnsi="Times New Roman" w:eastAsia="宋体" w:cs="Times New Roman"/>
                <w:b/>
                <w:i w:val="0"/>
                <w:sz w:val="18"/>
              </w:rPr>
              <w:t>工况组</w:t>
            </w:r>
          </w:p>
        </w:tc>
        <w:tc>
          <w:tcPr>
            <w:tcW w:w="1928" w:type="dxa"/>
            <w:tcBorders>
              <w:bottom w:val="single" w:color="auto" w:sz="6" w:space="0"/>
            </w:tcBorders>
            <w:vAlign w:val="center"/>
          </w:tcPr>
          <w:p w14:paraId="504A6BD5">
            <w:pPr>
              <w:spacing w:before="30" w:after="30"/>
              <w:ind w:firstLine="0"/>
              <w:jc w:val="center"/>
            </w:pPr>
            <w:r>
              <w:rPr>
                <w:rFonts w:hint="eastAsia" w:ascii="Times New Roman" w:hAnsi="Times New Roman" w:eastAsia="宋体" w:cs="Times New Roman"/>
                <w:b/>
                <w:i w:val="0"/>
                <w:sz w:val="18"/>
              </w:rPr>
              <w:t>数量</w:t>
            </w:r>
          </w:p>
        </w:tc>
        <w:tc>
          <w:tcPr>
            <w:tcW w:w="1928" w:type="dxa"/>
            <w:tcBorders>
              <w:bottom w:val="single" w:color="auto" w:sz="6" w:space="0"/>
            </w:tcBorders>
            <w:vAlign w:val="center"/>
          </w:tcPr>
          <w:p w14:paraId="12F809E3">
            <w:pPr>
              <w:spacing w:before="30" w:after="30"/>
              <w:ind w:firstLine="0"/>
              <w:jc w:val="center"/>
            </w:pPr>
            <w:r>
              <w:rPr>
                <w:rFonts w:hint="eastAsia" w:ascii="Times New Roman" w:hAnsi="Times New Roman" w:eastAsia="宋体" w:cs="Times New Roman"/>
                <w:b/>
                <w:i w:val="0"/>
                <w:sz w:val="18"/>
              </w:rPr>
              <w:t>参数或对象</w:t>
            </w:r>
          </w:p>
        </w:tc>
        <w:tc>
          <w:tcPr>
            <w:tcW w:w="1928" w:type="dxa"/>
            <w:tcBorders>
              <w:bottom w:val="single" w:color="auto" w:sz="6" w:space="0"/>
            </w:tcBorders>
            <w:vAlign w:val="center"/>
          </w:tcPr>
          <w:p w14:paraId="249AABE7">
            <w:pPr>
              <w:spacing w:before="30" w:after="30"/>
              <w:ind w:firstLine="0"/>
              <w:jc w:val="center"/>
            </w:pPr>
            <w:r>
              <w:rPr>
                <w:rFonts w:hint="eastAsia" w:ascii="Times New Roman" w:hAnsi="Times New Roman" w:eastAsia="宋体" w:cs="Times New Roman"/>
                <w:b/>
                <w:i w:val="0"/>
                <w:sz w:val="18"/>
              </w:rPr>
              <w:t>本文中的用途</w:t>
            </w:r>
          </w:p>
        </w:tc>
        <w:tc>
          <w:tcPr>
            <w:tcW w:w="1928" w:type="dxa"/>
            <w:tcBorders>
              <w:bottom w:val="single" w:color="auto" w:sz="6" w:space="0"/>
            </w:tcBorders>
            <w:vAlign w:val="center"/>
          </w:tcPr>
          <w:p w14:paraId="32350190">
            <w:pPr>
              <w:spacing w:before="30" w:after="30"/>
              <w:ind w:firstLine="0"/>
              <w:jc w:val="center"/>
            </w:pPr>
            <w:r>
              <w:rPr>
                <w:rFonts w:hint="eastAsia" w:ascii="Times New Roman" w:hAnsi="Times New Roman" w:eastAsia="宋体" w:cs="Times New Roman"/>
                <w:b/>
                <w:i w:val="0"/>
                <w:sz w:val="18"/>
              </w:rPr>
              <w:t>是否用于 H/P 参数规律</w:t>
            </w:r>
          </w:p>
        </w:tc>
      </w:tr>
      <w:tr w14:paraId="51096A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vAlign w:val="center"/>
          </w:tcPr>
          <w:p w14:paraId="2BF2B768">
            <w:pPr>
              <w:spacing w:before="30" w:after="30"/>
              <w:ind w:firstLine="0"/>
              <w:jc w:val="center"/>
            </w:pPr>
            <w:r>
              <w:rPr>
                <w:rFonts w:hint="eastAsia" w:ascii="Times New Roman" w:hAnsi="Times New Roman" w:eastAsia="宋体" w:cs="Times New Roman"/>
                <w:b w:val="0"/>
                <w:i w:val="0"/>
                <w:sz w:val="18"/>
              </w:rPr>
              <w:t>H</w:t>
            </w:r>
          </w:p>
        </w:tc>
        <w:tc>
          <w:tcPr>
            <w:tcW w:w="1928" w:type="dxa"/>
            <w:vAlign w:val="center"/>
          </w:tcPr>
          <w:p w14:paraId="0938D538">
            <w:pPr>
              <w:spacing w:before="30" w:after="30"/>
              <w:ind w:firstLine="0"/>
              <w:jc w:val="center"/>
            </w:pPr>
            <w:r>
              <w:rPr>
                <w:rFonts w:hint="eastAsia" w:ascii="Times New Roman" w:hAnsi="Times New Roman" w:eastAsia="宋体" w:cs="Times New Roman"/>
                <w:b w:val="0"/>
                <w:i w:val="0"/>
                <w:sz w:val="18"/>
              </w:rPr>
              <w:t>4</w:t>
            </w:r>
          </w:p>
        </w:tc>
        <w:tc>
          <w:tcPr>
            <w:tcW w:w="1928" w:type="dxa"/>
            <w:vAlign w:val="center"/>
          </w:tcPr>
          <w:p w14:paraId="7ABE45CB">
            <w:pPr>
              <w:spacing w:before="30" w:after="30"/>
              <w:ind w:firstLine="0"/>
              <w:jc w:val="center"/>
            </w:pPr>
            <w:r>
              <w:rPr>
                <w:rFonts w:hint="eastAsia" w:ascii="Times New Roman" w:hAnsi="Times New Roman" w:eastAsia="宋体" w:cs="Times New Roman"/>
                <w:b w:val="0"/>
                <w:i w:val="0"/>
                <w:sz w:val="18"/>
              </w:rPr>
              <w:t>四个坡角的均质基岩坡</w:t>
            </w:r>
          </w:p>
        </w:tc>
        <w:tc>
          <w:tcPr>
            <w:tcW w:w="1928" w:type="dxa"/>
            <w:vAlign w:val="center"/>
          </w:tcPr>
          <w:p w14:paraId="3F10EF64">
            <w:pPr>
              <w:spacing w:before="30" w:after="30"/>
              <w:ind w:firstLine="0"/>
              <w:jc w:val="center"/>
            </w:pPr>
            <w:r>
              <w:rPr>
                <w:rFonts w:hint="eastAsia" w:ascii="Times New Roman" w:hAnsi="Times New Roman" w:eastAsia="宋体" w:cs="Times New Roman"/>
                <w:b w:val="0"/>
                <w:i w:val="0"/>
                <w:sz w:val="18"/>
              </w:rPr>
              <w:t>提供同坡角几何基线</w:t>
            </w:r>
          </w:p>
        </w:tc>
        <w:tc>
          <w:tcPr>
            <w:tcW w:w="1928" w:type="dxa"/>
            <w:vAlign w:val="center"/>
          </w:tcPr>
          <w:p w14:paraId="3873D931">
            <w:pPr>
              <w:spacing w:before="30" w:after="30"/>
              <w:ind w:firstLine="0"/>
              <w:jc w:val="center"/>
            </w:pPr>
            <w:r>
              <w:rPr>
                <w:rFonts w:hint="eastAsia" w:ascii="Times New Roman" w:hAnsi="Times New Roman" w:eastAsia="宋体" w:cs="Times New Roman"/>
                <w:b w:val="0"/>
                <w:i w:val="0"/>
                <w:sz w:val="18"/>
              </w:rPr>
              <w:t>是</w:t>
            </w:r>
          </w:p>
        </w:tc>
      </w:tr>
      <w:tr w14:paraId="5AA51D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vAlign w:val="center"/>
          </w:tcPr>
          <w:p w14:paraId="0257DAFF">
            <w:pPr>
              <w:spacing w:before="30" w:after="30"/>
              <w:ind w:firstLine="0"/>
              <w:jc w:val="center"/>
            </w:pPr>
            <w:r>
              <w:rPr>
                <w:rFonts w:hint="eastAsia" w:ascii="Times New Roman" w:hAnsi="Times New Roman" w:eastAsia="宋体" w:cs="Times New Roman"/>
                <w:b w:val="0"/>
                <w:i w:val="0"/>
                <w:sz w:val="18"/>
              </w:rPr>
              <w:t>P</w:t>
            </w:r>
          </w:p>
        </w:tc>
        <w:tc>
          <w:tcPr>
            <w:tcW w:w="1928" w:type="dxa"/>
            <w:vAlign w:val="center"/>
          </w:tcPr>
          <w:p w14:paraId="003479EA">
            <w:pPr>
              <w:spacing w:before="30" w:after="30"/>
              <w:ind w:firstLine="0"/>
              <w:jc w:val="center"/>
            </w:pPr>
            <w:r>
              <w:rPr>
                <w:rFonts w:hint="eastAsia" w:ascii="Times New Roman" w:hAnsi="Times New Roman" w:eastAsia="宋体" w:cs="Times New Roman"/>
                <w:b w:val="0"/>
                <w:i w:val="0"/>
                <w:sz w:val="18"/>
              </w:rPr>
              <w:t>64</w:t>
            </w:r>
          </w:p>
        </w:tc>
        <w:tc>
          <w:tcPr>
            <w:tcW w:w="1928" w:type="dxa"/>
            <w:vAlign w:val="center"/>
          </w:tcPr>
          <w:p w14:paraId="0B2D9D2E">
            <w:pPr>
              <w:spacing w:before="30" w:after="30"/>
              <w:ind w:firstLine="0"/>
              <w:jc w:val="center"/>
            </w:pPr>
            <m:oMath>
              <m:r>
                <m:rPr/>
                <m:t>4</m:t>
              </m:r>
              <m:r>
                <m:rPr>
                  <m:sty m:val="p"/>
                </m:rPr>
                <m:t>×</m:t>
              </m:r>
              <m:r>
                <m:rPr/>
                <m:t>4</m:t>
              </m:r>
              <m:r>
                <m:rPr>
                  <m:sty m:val="p"/>
                </m:rPr>
                <m:t>×</m:t>
              </m:r>
              <m:r>
                <m:rPr/>
                <m:t>4</m:t>
              </m:r>
            </m:oMath>
            <w:r>
              <w:rPr>
                <w:rFonts w:hint="eastAsia" w:ascii="Times New Roman" w:hAnsi="Times New Roman" w:eastAsia="宋体" w:cs="Times New Roman"/>
                <w:b w:val="0"/>
                <w:i w:val="0"/>
                <w:sz w:val="18"/>
              </w:rPr>
              <w:t xml:space="preserve"> 成层全因子网格</w:t>
            </w:r>
          </w:p>
        </w:tc>
        <w:tc>
          <w:tcPr>
            <w:tcW w:w="1928" w:type="dxa"/>
            <w:vAlign w:val="center"/>
          </w:tcPr>
          <w:p w14:paraId="4D6FD109">
            <w:pPr>
              <w:spacing w:before="30" w:after="30"/>
              <w:ind w:firstLine="0"/>
              <w:jc w:val="center"/>
            </w:pPr>
            <w:r>
              <w:rPr>
                <w:rFonts w:hint="eastAsia" w:ascii="Times New Roman" w:hAnsi="Times New Roman" w:eastAsia="宋体" w:cs="Times New Roman"/>
                <w:b w:val="0"/>
                <w:i w:val="0"/>
                <w:sz w:val="18"/>
              </w:rPr>
              <w:t>参数规律分析与代理模型发展池</w:t>
            </w:r>
          </w:p>
        </w:tc>
        <w:tc>
          <w:tcPr>
            <w:tcW w:w="1928" w:type="dxa"/>
            <w:vAlign w:val="center"/>
          </w:tcPr>
          <w:p w14:paraId="1E7C5FA7">
            <w:pPr>
              <w:spacing w:before="30" w:after="30"/>
              <w:ind w:firstLine="0"/>
              <w:jc w:val="center"/>
            </w:pPr>
            <w:r>
              <w:rPr>
                <w:rFonts w:hint="eastAsia" w:ascii="Times New Roman" w:hAnsi="Times New Roman" w:eastAsia="宋体" w:cs="Times New Roman"/>
                <w:b w:val="0"/>
                <w:i w:val="0"/>
                <w:sz w:val="18"/>
              </w:rPr>
              <w:t>是</w:t>
            </w:r>
          </w:p>
        </w:tc>
      </w:tr>
      <w:tr w14:paraId="2CC9BD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vAlign w:val="center"/>
          </w:tcPr>
          <w:p w14:paraId="2BDFF398">
            <w:pPr>
              <w:spacing w:before="30" w:after="30"/>
              <w:ind w:firstLine="0"/>
              <w:jc w:val="center"/>
            </w:pPr>
            <w:r>
              <w:rPr>
                <w:rFonts w:hint="eastAsia" w:ascii="Times New Roman" w:hAnsi="Times New Roman" w:eastAsia="宋体" w:cs="Times New Roman"/>
                <w:b w:val="0"/>
                <w:i w:val="0"/>
                <w:sz w:val="18"/>
              </w:rPr>
              <w:t>V</w:t>
            </w:r>
          </w:p>
        </w:tc>
        <w:tc>
          <w:tcPr>
            <w:tcW w:w="1928" w:type="dxa"/>
            <w:vAlign w:val="center"/>
          </w:tcPr>
          <w:p w14:paraId="55D6A8B2">
            <w:pPr>
              <w:spacing w:before="30" w:after="30"/>
              <w:ind w:firstLine="0"/>
              <w:jc w:val="center"/>
            </w:pPr>
            <w:r>
              <w:rPr>
                <w:rFonts w:hint="eastAsia" w:ascii="Times New Roman" w:hAnsi="Times New Roman" w:eastAsia="宋体" w:cs="Times New Roman"/>
                <w:b w:val="0"/>
                <w:i w:val="0"/>
                <w:sz w:val="18"/>
              </w:rPr>
              <w:t>4 个扰动工况，另含共同基准 P061</w:t>
            </w:r>
          </w:p>
        </w:tc>
        <w:tc>
          <w:tcPr>
            <w:tcW w:w="1928" w:type="dxa"/>
            <w:vAlign w:val="center"/>
          </w:tcPr>
          <w:p w14:paraId="48F8C93F">
            <w:pPr>
              <w:spacing w:before="30" w:after="30"/>
              <w:ind w:firstLine="0"/>
              <w:jc w:val="center"/>
            </w:pPr>
            <w:r>
              <w:rPr>
                <w:rFonts w:hint="eastAsia" w:ascii="Times New Roman" w:hAnsi="Times New Roman" w:eastAsia="宋体" w:cs="Times New Roman"/>
                <w:b w:val="0"/>
                <w:i w:val="0"/>
                <w:sz w:val="18"/>
              </w:rPr>
              <w:t>网格、尾段、侧向净空、基底深度</w:t>
            </w:r>
          </w:p>
        </w:tc>
        <w:tc>
          <w:tcPr>
            <w:tcW w:w="1928" w:type="dxa"/>
            <w:vAlign w:val="center"/>
          </w:tcPr>
          <w:p w14:paraId="261A6468">
            <w:pPr>
              <w:spacing w:before="30" w:after="30"/>
              <w:ind w:firstLine="0"/>
              <w:jc w:val="center"/>
            </w:pPr>
            <w:r>
              <w:rPr>
                <w:rFonts w:hint="eastAsia" w:ascii="Times New Roman" w:hAnsi="Times New Roman" w:eastAsia="宋体" w:cs="Times New Roman"/>
                <w:b w:val="0"/>
                <w:i w:val="0"/>
                <w:sz w:val="18"/>
              </w:rPr>
              <w:t>单因素数值设置敏感性</w:t>
            </w:r>
          </w:p>
        </w:tc>
        <w:tc>
          <w:tcPr>
            <w:tcW w:w="1928" w:type="dxa"/>
            <w:vAlign w:val="center"/>
          </w:tcPr>
          <w:p w14:paraId="3F492C91">
            <w:pPr>
              <w:spacing w:before="30" w:after="30"/>
              <w:ind w:firstLine="0"/>
              <w:jc w:val="center"/>
            </w:pPr>
            <w:r>
              <w:rPr>
                <w:rFonts w:hint="eastAsia" w:ascii="Times New Roman" w:hAnsi="Times New Roman" w:eastAsia="宋体" w:cs="Times New Roman"/>
                <w:b w:val="0"/>
                <w:i w:val="0"/>
                <w:sz w:val="18"/>
              </w:rPr>
              <w:t>否</w:t>
            </w:r>
          </w:p>
        </w:tc>
      </w:tr>
      <w:tr w14:paraId="12AE1B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vAlign w:val="center"/>
          </w:tcPr>
          <w:p w14:paraId="5AB069CE">
            <w:pPr>
              <w:spacing w:before="30" w:after="30"/>
              <w:ind w:firstLine="0"/>
              <w:jc w:val="center"/>
            </w:pPr>
            <w:r>
              <w:rPr>
                <w:rFonts w:hint="eastAsia" w:ascii="Times New Roman" w:hAnsi="Times New Roman" w:eastAsia="宋体" w:cs="Times New Roman"/>
                <w:b w:val="0"/>
                <w:i w:val="0"/>
                <w:sz w:val="18"/>
              </w:rPr>
              <w:t>X</w:t>
            </w:r>
          </w:p>
        </w:tc>
        <w:tc>
          <w:tcPr>
            <w:tcW w:w="1928" w:type="dxa"/>
            <w:vAlign w:val="center"/>
          </w:tcPr>
          <w:p w14:paraId="4E1FFA44">
            <w:pPr>
              <w:spacing w:before="30" w:after="30"/>
              <w:ind w:firstLine="0"/>
              <w:jc w:val="center"/>
            </w:pPr>
            <w:r>
              <w:rPr>
                <w:rFonts w:hint="eastAsia" w:ascii="Times New Roman" w:hAnsi="Times New Roman" w:eastAsia="宋体" w:cs="Times New Roman"/>
                <w:b w:val="0"/>
                <w:i w:val="0"/>
                <w:sz w:val="18"/>
              </w:rPr>
              <w:t>5 个求解模型，形成 3 组比较</w:t>
            </w:r>
          </w:p>
        </w:tc>
        <w:tc>
          <w:tcPr>
            <w:tcW w:w="1928" w:type="dxa"/>
            <w:vAlign w:val="center"/>
          </w:tcPr>
          <w:p w14:paraId="586F01C8">
            <w:pPr>
              <w:spacing w:before="30" w:after="30"/>
              <w:ind w:firstLine="0"/>
              <w:jc w:val="center"/>
            </w:pPr>
            <w:r>
              <w:rPr>
                <w:rFonts w:hint="eastAsia" w:ascii="Times New Roman" w:hAnsi="Times New Roman" w:eastAsia="宋体" w:cs="Times New Roman"/>
                <w:b w:val="0"/>
                <w:i w:val="0"/>
                <w:sz w:val="18"/>
              </w:rPr>
              <w:t>H004、P061；Abaqus 与 SPECFEM2D</w:t>
            </w:r>
          </w:p>
        </w:tc>
        <w:tc>
          <w:tcPr>
            <w:tcW w:w="1928" w:type="dxa"/>
            <w:vAlign w:val="center"/>
          </w:tcPr>
          <w:p w14:paraId="6C915F29">
            <w:pPr>
              <w:spacing w:before="30" w:after="30"/>
              <w:ind w:firstLine="0"/>
              <w:jc w:val="center"/>
            </w:pPr>
            <w:r>
              <w:rPr>
                <w:rFonts w:hint="eastAsia" w:ascii="Times New Roman" w:hAnsi="Times New Roman" w:eastAsia="宋体" w:cs="Times New Roman"/>
                <w:b w:val="0"/>
                <w:i w:val="0"/>
                <w:sz w:val="18"/>
              </w:rPr>
              <w:t>跨软件独立数值佐证</w:t>
            </w:r>
          </w:p>
        </w:tc>
        <w:tc>
          <w:tcPr>
            <w:tcW w:w="1928" w:type="dxa"/>
            <w:vAlign w:val="center"/>
          </w:tcPr>
          <w:p w14:paraId="349072ED">
            <w:pPr>
              <w:spacing w:before="30" w:after="30"/>
              <w:ind w:firstLine="0"/>
              <w:jc w:val="center"/>
            </w:pPr>
            <w:r>
              <w:rPr>
                <w:rFonts w:hint="eastAsia" w:ascii="Times New Roman" w:hAnsi="Times New Roman" w:eastAsia="宋体" w:cs="Times New Roman"/>
                <w:b w:val="0"/>
                <w:i w:val="0"/>
                <w:sz w:val="18"/>
              </w:rPr>
              <w:t>否</w:t>
            </w:r>
          </w:p>
        </w:tc>
      </w:tr>
    </w:tbl>
    <w:p w14:paraId="5E072470">
      <w:pPr>
        <w:spacing w:before="0" w:after="0"/>
        <w:ind w:firstLine="420"/>
        <w:jc w:val="both"/>
      </w:pPr>
      <w:r>
        <w:rPr>
          <w:rFonts w:hint="eastAsia" w:ascii="Times New Roman" w:hAnsi="Times New Roman" w:eastAsia="宋体" w:cs="Times New Roman"/>
          <w:b w:val="0"/>
          <w:i w:val="0"/>
          <w:sz w:val="21"/>
        </w:rPr>
        <w:t>H/P工况回答二维坡形与水平成层组合产生何种响应，V/X工况只判断关键响应是否可能由数值设置或求解器选择造成。V或X的比较结果不增加参数规律的样本量，P工况数量也不能替代验证证据。</w:t>
      </w:r>
    </w:p>
    <w:p w14:paraId="3960A4AF">
      <w:pPr>
        <w:spacing w:before="80" w:after="20"/>
        <w:ind w:firstLine="0"/>
        <w:jc w:val="left"/>
      </w:pPr>
      <w:r>
        <w:rPr>
          <w:rFonts w:hint="eastAsia" w:ascii="Times New Roman" w:hAnsi="Times New Roman" w:eastAsia="宋体" w:cs="Times New Roman"/>
          <w:b/>
          <w:i w:val="0"/>
          <w:sz w:val="21"/>
        </w:rPr>
        <w:t>2.1.2 网格、边界与地震动输入</w:t>
      </w:r>
    </w:p>
    <w:p w14:paraId="316BC56F">
      <w:pPr>
        <w:spacing w:before="0" w:after="0"/>
        <w:ind w:firstLine="420"/>
        <w:jc w:val="both"/>
      </w:pPr>
      <w:r>
        <w:rPr>
          <w:rFonts w:hint="eastAsia" w:ascii="Times New Roman" w:hAnsi="Times New Roman" w:eastAsia="宋体" w:cs="Times New Roman"/>
          <w:b w:val="0"/>
          <w:i w:val="0"/>
          <w:sz w:val="21"/>
        </w:rPr>
        <w:t xml:space="preserve">空间离散由正式分析频带内的最短剪切波长控制。本文分析上限为 10 Hz，最软覆盖层的 </w:t>
      </w:r>
      <m:oMath>
        <m:sSub>
          <m:sSubPr/>
          <m:e>
            <m:r>
              <m:rPr/>
              <m:t>V</m:t>
            </m:r>
          </m:e>
          <m:sub>
            <m:r>
              <m:rPr>
                <m:sty m:val="p"/>
              </m:rPr>
              <m:t>s,c</m:t>
            </m:r>
          </m:sub>
        </m:sSub>
        <m:r>
          <m:rPr>
            <m:sty m:val="p"/>
          </m:rPr>
          <m:t>=</m:t>
        </m:r>
        <m:r>
          <m:rPr/>
          <m:t>600 </m:t>
        </m:r>
        <m:r>
          <m:rPr>
            <m:sty m:val="p"/>
          </m:rPr>
          <m:t>m/s</m:t>
        </m:r>
      </m:oMath>
      <w:r>
        <w:rPr>
          <w:rFonts w:hint="eastAsia" w:ascii="Times New Roman" w:hAnsi="Times New Roman" w:eastAsia="宋体" w:cs="Times New Roman"/>
          <w:b w:val="0"/>
          <w:i w:val="0"/>
          <w:sz w:val="21"/>
        </w:rPr>
        <w:t xml:space="preserve">，对应最短剪切波长 </w:t>
      </w:r>
      <m:oMath>
        <m:sSub>
          <m:sSubPr/>
          <m:e>
            <m:r>
              <m:rPr/>
              <m:t>λ</m:t>
            </m:r>
          </m:e>
          <m:sub>
            <m:r>
              <m:rPr>
                <m:sty m:val="p"/>
              </m:rPr>
              <m:t>min</m:t>
            </m:r>
          </m:sub>
        </m:sSub>
        <m:r>
          <m:rPr>
            <m:sty m:val="p"/>
          </m:rPr>
          <m:t>=</m:t>
        </m:r>
        <m:r>
          <m:rPr/>
          <m:t>60 </m:t>
        </m:r>
        <m:r>
          <m:rPr>
            <m:sty m:val="p"/>
          </m:rPr>
          <m:t>m</m:t>
        </m:r>
      </m:oMath>
      <w:r>
        <w:rPr>
          <w:rFonts w:hint="eastAsia" w:ascii="Times New Roman" w:hAnsi="Times New Roman" w:eastAsia="宋体" w:cs="Times New Roman"/>
          <w:b w:val="0"/>
          <w:i w:val="0"/>
          <w:sz w:val="21"/>
        </w:rPr>
        <w:t>。标准工况以 4 m 为覆盖层基准单元尺寸，最不利情况下每个最短波长约含 15 个单元，高于预设网格准则中每波长不少于 10 个单元的控制值。成层模型采用分层渐变网格：最软层保持 4 m 级尺寸，较高波速介质可按波速比放宽，但最粗与最细尺寸之比不超过 4，同时要求每一有限层厚度方向至少布置 6 个单元。该策略把计算量集中在短波长覆盖层和界面附近，并避免基岩深部沿用不必要的等尺寸细网格。V001 另以全局均匀 1 m 网格重算最不利工况，用于直接检查标准分级网格是否改变关键响应。</w:t>
      </w:r>
    </w:p>
    <w:p w14:paraId="63C84614">
      <w:pPr>
        <w:spacing w:before="0" w:after="0"/>
        <w:ind w:firstLine="420"/>
        <w:jc w:val="both"/>
      </w:pPr>
      <w:r>
        <w:rPr>
          <w:rFonts w:hint="eastAsia" w:ascii="Times New Roman" w:hAnsi="Times New Roman" w:eastAsia="宋体" w:cs="Times New Roman"/>
          <w:b w:val="0"/>
          <w:i w:val="0"/>
          <w:sz w:val="21"/>
        </w:rPr>
        <w:t>P061 的实际网格含 11038 个单元和 11175 个节点，地表原始监测节点为 255 个。图1中的材料界面与坡面交点均由几何分区显式生成，覆盖层和基岩分别赋予截面，不依赖积分点坐标的运行时判断；边界节点的材料参数则按其所属地层逐点读取。采用 CPE4R 时，减缩积分可能产生的非物理零能模式由 Abaqus 沙漏控制处理，计算记录同时保留人工应变能与总能量用于异常诊断。本文没有把“单元数量多”本身当作充分性证据，网格可接受性仍以图2的波长分辨率和 V001 的响应对比共同判断。</w:t>
      </w:r>
    </w:p>
    <w:p w14:paraId="5F4483D1">
      <w:pPr>
        <w:spacing w:before="0" w:after="0"/>
        <w:ind w:firstLine="420"/>
        <w:jc w:val="both"/>
      </w:pPr>
      <w:r>
        <w:rPr>
          <w:rFonts w:hint="eastAsia" w:ascii="Times New Roman" w:hAnsi="Times New Roman" w:eastAsia="宋体" w:cs="Times New Roman"/>
          <w:b w:val="0"/>
          <w:i w:val="0"/>
          <w:sz w:val="21"/>
        </w:rPr>
        <w:t>动力输入采用 G1b 宽频多正弦加速度信号。原始记录由 8192 个采样点组成，时间为 0—8.191 s，采样间隔为 0.001 s，峰值统一调幅至 0.1g。信号在 0.5—12 Hz 内提供近似连续激励，0.5—10 Hz 用于正式分析，10—12 Hz 仅作为频带边缘诊断。在线性体系中，一次宽频计算能够同时激发多个频率成分，从而避免为每一单频重复建模；本章只说明这种输入的数值实现，系统识别及复数响应的提取将在第3章定义。输入结束后附加 6 s 零输入尾段，使标准分析总时长达到约 14.191 s；隐式动力步采用与输入一致的 0.001 s 固定增量，并保存地表节点逐步加速度。图2给出了输入时程、幅值谱及最短波长与网格尺度的对应关系。</w:t>
      </w:r>
    </w:p>
    <w:p w14:paraId="1098A0DD">
      <w:pPr>
        <w:spacing w:before="0" w:after="0"/>
        <w:ind w:firstLine="420"/>
        <w:jc w:val="both"/>
      </w:pPr>
      <w:r>
        <w:rPr>
          <w:rFonts w:hint="eastAsia" w:ascii="Times New Roman" w:hAnsi="Times New Roman" w:eastAsia="宋体" w:cs="Times New Roman"/>
          <w:b w:val="0"/>
          <w:i w:val="0"/>
          <w:sz w:val="21"/>
        </w:rPr>
        <w:t>固定增量使输入、自由场等效力与有限元输出共享同一时间轴，避免可变步插值在相位计算前额外引入时间误差。10 Hz 成分的周期为 0.1 s，一个周期包含 100 个增量；即使将 12 Hz 存储上限纳入检查，也仍约含 83 个增量。地表全时程每步输出，内部场量则按较低频率保存以控制Abaqus输出数据库（output database，ODB）规模。后处理先核对时轴单调性、通道有限性和输入记录身份，再提取公共频带；公共 161 点地表网格由原始节点曲线插值获得，而不是把插值后的每个点当成新的有限元自由度。</w:t>
      </w:r>
    </w:p>
    <w:p w14:paraId="6E958715">
      <w:pPr>
        <w:spacing w:before="80" w:after="40"/>
        <w:ind w:firstLine="0"/>
        <w:jc w:val="center"/>
      </w:pPr>
      <w:r>
        <w:drawing>
          <wp:inline distT="0" distB="0" distL="114300" distR="114300">
            <wp:extent cx="2880360" cy="1816100"/>
            <wp:effectExtent l="0" t="0" r="1524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880360" cy="1816323"/>
                    </a:xfrm>
                    <a:prstGeom prst="rect">
                      <a:avLst/>
                    </a:prstGeom>
                  </pic:spPr>
                </pic:pic>
              </a:graphicData>
            </a:graphic>
          </wp:inline>
        </w:drawing>
      </w:r>
    </w:p>
    <w:p w14:paraId="35874FB0">
      <w:pPr>
        <w:spacing w:before="0" w:after="0"/>
        <w:ind w:firstLine="0"/>
        <w:jc w:val="center"/>
      </w:pPr>
      <w:r>
        <w:rPr>
          <w:rFonts w:hint="eastAsia" w:ascii="Times New Roman" w:hAnsi="Times New Roman" w:eastAsia="宋体" w:cs="Times New Roman"/>
          <w:b w:val="0"/>
          <w:i w:val="0"/>
          <w:sz w:val="18"/>
        </w:rPr>
        <w:t>图2 G1b 宽频多正弦输入与网格分辨率。（a）0—8.191 s 激励时程及其后的 6 s 静默尾段；（b）归一化输入频谱、0.3—12 Hz 存储频带和 0.5—10 Hz 正式分析带；（c）覆盖层与基岩剪切波长随频率的变化，并以水平线标出 4 m 与 1 m 网格的 10 单元/波长控制尺度；（d）P061 标准网格和 V001 加密网格在各频率下的每波长单元数。最软覆盖层在 10 Hz 时的最短波长为 60 m，P061 与 V001 分别约含 15 个和 60 个单元。</w:t>
      </w:r>
    </w:p>
    <w:p w14:paraId="31FD6CB8">
      <w:pPr>
        <w:spacing w:before="0" w:after="60"/>
        <w:ind w:firstLine="0"/>
        <w:jc w:val="center"/>
      </w:pPr>
      <w:r>
        <w:rPr>
          <w:rFonts w:hint="eastAsia" w:ascii="Times New Roman" w:hAnsi="Times New Roman" w:eastAsia="Times New Roman" w:cs="Times New Roman"/>
          <w:b w:val="0"/>
          <w:i w:val="0"/>
          <w:sz w:val="18"/>
        </w:rPr>
        <w:t>Fig. 2 Broadband excitation and mesh resolution within the analysis frequency band</w:t>
      </w:r>
    </w:p>
    <w:p w14:paraId="58A33041">
      <w:pPr>
        <w:spacing w:before="0" w:after="0"/>
        <w:ind w:firstLine="420"/>
        <w:jc w:val="both"/>
      </w:pPr>
      <w:r>
        <w:rPr>
          <w:rFonts w:hint="eastAsia" w:ascii="Times New Roman" w:hAnsi="Times New Roman" w:eastAsia="宋体" w:cs="Times New Roman"/>
          <w:b w:val="0"/>
          <w:i w:val="0"/>
          <w:sz w:val="21"/>
        </w:rPr>
        <w:t xml:space="preserve">模型只保留有限近场区域，若侧边和底边采用固定约束，离开坡体的散射波会在截断处反射并重新进入观测区。本文在左、右和底部边界布置并联法向、切向弹簧—阻尼器，地表保持自由。对边界节点 </w:t>
      </w:r>
      <m:oMath>
        <m:r>
          <m:rPr/>
          <m:t>l</m:t>
        </m:r>
      </m:oMath>
      <w:r>
        <w:rPr>
          <w:rFonts w:hint="eastAsia" w:ascii="Times New Roman" w:hAnsi="Times New Roman" w:eastAsia="宋体" w:cs="Times New Roman"/>
          <w:b w:val="0"/>
          <w:i w:val="0"/>
          <w:sz w:val="21"/>
        </w:rPr>
        <w:t>，法向和切向系数写为</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22071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7800E8E2">
            <w:pPr>
              <w:spacing w:before="60" w:after="60"/>
              <w:jc w:val="center"/>
            </w:pPr>
            <m:oMathPara>
              <m:oMath>
                <m:eqArr>
                  <m:eqArrPr/>
                  <m:e>
                    <m:sSub>
                      <m:sSubPr/>
                      <m:e>
                        <m:r>
                          <m:rPr/>
                          <m:t>K</m:t>
                        </m:r>
                      </m:e>
                      <m:sub>
                        <m:r>
                          <m:rPr>
                            <m:sty m:val="p"/>
                          </m:rPr>
                          <m:t>N,</m:t>
                        </m:r>
                        <m:r>
                          <m:rPr/>
                          <m:t>l</m:t>
                        </m:r>
                      </m:sub>
                    </m:sSub>
                    <m:r>
                      <m:rPr/>
                      <m:t>&amp;</m:t>
                    </m:r>
                    <m:r>
                      <m:rPr>
                        <m:sty m:val="p"/>
                      </m:rPr>
                      <m:t>=</m:t>
                    </m:r>
                    <m:sSub>
                      <m:sSubPr/>
                      <m:e>
                        <m:r>
                          <m:rPr/>
                          <m:t>α</m:t>
                        </m:r>
                      </m:e>
                      <m:sub>
                        <m:r>
                          <m:rPr>
                            <m:sty m:val="p"/>
                          </m:rPr>
                          <m:t>N</m:t>
                        </m:r>
                      </m:sub>
                    </m:sSub>
                    <m:f>
                      <m:fPr/>
                      <m:num>
                        <m:sSub>
                          <m:sSubPr/>
                          <m:e>
                            <m:r>
                              <m:rPr/>
                              <m:t>G</m:t>
                            </m:r>
                          </m:e>
                          <m:sub>
                            <m:r>
                              <m:rPr/>
                              <m:t>l</m:t>
                            </m:r>
                          </m:sub>
                        </m:sSub>
                      </m:num>
                      <m:den>
                        <m:r>
                          <m:rPr/>
                          <m:t>R</m:t>
                        </m:r>
                      </m:den>
                    </m:f>
                    <m:sSub>
                      <m:sSubPr/>
                      <m:e>
                        <m:r>
                          <m:rPr/>
                          <m:t>A</m:t>
                        </m:r>
                      </m:e>
                      <m:sub>
                        <m:r>
                          <m:rPr/>
                          <m:t>l</m:t>
                        </m:r>
                      </m:sub>
                    </m:sSub>
                    <m:r>
                      <m:rPr>
                        <m:sty m:val="p"/>
                      </m:rPr>
                      <m:t>,</m:t>
                    </m:r>
                    <m:r>
                      <m:rPr/>
                      <m:t>&amp;</m:t>
                    </m:r>
                    <m:sSub>
                      <m:sSubPr/>
                      <m:e>
                        <m:r>
                          <m:rPr/>
                          <m:t>C</m:t>
                        </m:r>
                      </m:e>
                      <m:sub>
                        <m:r>
                          <m:rPr>
                            <m:sty m:val="p"/>
                          </m:rPr>
                          <m:t>N,</m:t>
                        </m:r>
                        <m:r>
                          <m:rPr/>
                          <m:t>l</m:t>
                        </m:r>
                      </m:sub>
                    </m:sSub>
                    <m:r>
                      <m:rPr/>
                      <m:t>&amp;</m:t>
                    </m:r>
                    <m:r>
                      <m:rPr>
                        <m:sty m:val="p"/>
                      </m:rPr>
                      <m:t>=</m:t>
                    </m:r>
                    <m:sSub>
                      <m:sSubPr/>
                      <m:e>
                        <m:r>
                          <m:rPr/>
                          <m:t>ρ</m:t>
                        </m:r>
                      </m:e>
                      <m:sub>
                        <m:r>
                          <m:rPr/>
                          <m:t>l</m:t>
                        </m:r>
                      </m:sub>
                    </m:sSub>
                    <m:sSub>
                      <m:sSubPr/>
                      <m:e>
                        <m:r>
                          <m:rPr/>
                          <m:t>V</m:t>
                        </m:r>
                      </m:e>
                      <m:sub>
                        <m:r>
                          <m:rPr>
                            <m:sty m:val="p"/>
                          </m:rPr>
                          <m:t>p,</m:t>
                        </m:r>
                        <m:r>
                          <m:rPr/>
                          <m:t>l</m:t>
                        </m:r>
                      </m:sub>
                    </m:sSub>
                    <m:sSub>
                      <m:sSubPr/>
                      <m:e>
                        <m:r>
                          <m:rPr/>
                          <m:t>A</m:t>
                        </m:r>
                      </m:e>
                      <m:sub>
                        <m:r>
                          <m:rPr/>
                          <m:t>l</m:t>
                        </m:r>
                      </m:sub>
                    </m:sSub>
                    <m:r>
                      <m:rPr>
                        <m:sty m:val="p"/>
                      </m:rPr>
                      <m:t>,</m:t>
                    </m:r>
                  </m:e>
                  <m:e>
                    <m:sSub>
                      <m:sSubPr/>
                      <m:e>
                        <m:r>
                          <m:rPr/>
                          <m:t>K</m:t>
                        </m:r>
                      </m:e>
                      <m:sub>
                        <m:r>
                          <m:rPr>
                            <m:sty m:val="p"/>
                          </m:rPr>
                          <m:t>T,</m:t>
                        </m:r>
                        <m:r>
                          <m:rPr/>
                          <m:t>l</m:t>
                        </m:r>
                      </m:sub>
                    </m:sSub>
                    <m:r>
                      <m:rPr/>
                      <m:t>&amp;</m:t>
                    </m:r>
                    <m:r>
                      <m:rPr>
                        <m:sty m:val="p"/>
                      </m:rPr>
                      <m:t>=</m:t>
                    </m:r>
                    <m:sSub>
                      <m:sSubPr/>
                      <m:e>
                        <m:r>
                          <m:rPr/>
                          <m:t>α</m:t>
                        </m:r>
                      </m:e>
                      <m:sub>
                        <m:r>
                          <m:rPr>
                            <m:sty m:val="p"/>
                          </m:rPr>
                          <m:t>T</m:t>
                        </m:r>
                      </m:sub>
                    </m:sSub>
                    <m:f>
                      <m:fPr/>
                      <m:num>
                        <m:sSub>
                          <m:sSubPr/>
                          <m:e>
                            <m:r>
                              <m:rPr/>
                              <m:t>G</m:t>
                            </m:r>
                          </m:e>
                          <m:sub>
                            <m:r>
                              <m:rPr/>
                              <m:t>l</m:t>
                            </m:r>
                          </m:sub>
                        </m:sSub>
                      </m:num>
                      <m:den>
                        <m:r>
                          <m:rPr/>
                          <m:t>R</m:t>
                        </m:r>
                      </m:den>
                    </m:f>
                    <m:sSub>
                      <m:sSubPr/>
                      <m:e>
                        <m:r>
                          <m:rPr/>
                          <m:t>A</m:t>
                        </m:r>
                      </m:e>
                      <m:sub>
                        <m:r>
                          <m:rPr/>
                          <m:t>l</m:t>
                        </m:r>
                      </m:sub>
                    </m:sSub>
                    <m:r>
                      <m:rPr>
                        <m:sty m:val="p"/>
                      </m:rPr>
                      <m:t>,</m:t>
                    </m:r>
                    <m:r>
                      <m:rPr/>
                      <m:t>&amp;</m:t>
                    </m:r>
                    <m:sSub>
                      <m:sSubPr/>
                      <m:e>
                        <m:r>
                          <m:rPr/>
                          <m:t>C</m:t>
                        </m:r>
                      </m:e>
                      <m:sub>
                        <m:r>
                          <m:rPr>
                            <m:sty m:val="p"/>
                          </m:rPr>
                          <m:t>T,</m:t>
                        </m:r>
                        <m:r>
                          <m:rPr/>
                          <m:t>l</m:t>
                        </m:r>
                      </m:sub>
                    </m:sSub>
                    <m:r>
                      <m:rPr/>
                      <m:t>&amp;</m:t>
                    </m:r>
                    <m:r>
                      <m:rPr>
                        <m:sty m:val="p"/>
                      </m:rPr>
                      <m:t>=</m:t>
                    </m:r>
                    <m:sSub>
                      <m:sSubPr/>
                      <m:e>
                        <m:r>
                          <m:rPr/>
                          <m:t>ρ</m:t>
                        </m:r>
                      </m:e>
                      <m:sub>
                        <m:r>
                          <m:rPr/>
                          <m:t>l</m:t>
                        </m:r>
                      </m:sub>
                    </m:sSub>
                    <m:sSub>
                      <m:sSubPr/>
                      <m:e>
                        <m:r>
                          <m:rPr/>
                          <m:t>V</m:t>
                        </m:r>
                      </m:e>
                      <m:sub>
                        <m:r>
                          <m:rPr>
                            <m:sty m:val="p"/>
                          </m:rPr>
                          <m:t>s,</m:t>
                        </m:r>
                        <m:r>
                          <m:rPr/>
                          <m:t>l</m:t>
                        </m:r>
                      </m:sub>
                    </m:sSub>
                    <m:sSub>
                      <m:sSubPr/>
                      <m:e>
                        <m:r>
                          <m:rPr/>
                          <m:t>A</m:t>
                        </m:r>
                      </m:e>
                      <m:sub>
                        <m:r>
                          <m:rPr/>
                          <m:t>l</m:t>
                        </m:r>
                      </m:sub>
                    </m:sSub>
                    <m:r>
                      <m:rPr>
                        <m:sty m:val="p"/>
                      </m:rPr>
                      <m:t>,</m:t>
                    </m:r>
                  </m:e>
                </m:eqArr>
              </m:oMath>
            </m:oMathPara>
          </w:p>
        </w:tc>
        <w:tc>
          <w:tcPr>
            <w:tcW w:w="4819" w:type="dxa"/>
          </w:tcPr>
          <w:p w14:paraId="10B8086F">
            <w:pPr>
              <w:spacing w:before="60" w:after="60"/>
              <w:jc w:val="right"/>
            </w:pPr>
            <w:r>
              <w:rPr>
                <w:rFonts w:hint="eastAsia" w:ascii="Times New Roman" w:hAnsi="Times New Roman" w:eastAsia="Times New Roman" w:cs="Times New Roman"/>
                <w:b w:val="0"/>
                <w:i w:val="0"/>
                <w:sz w:val="21"/>
              </w:rPr>
              <w:t>(5)</w:t>
            </w:r>
          </w:p>
        </w:tc>
      </w:tr>
    </w:tbl>
    <w:p w14:paraId="7F7FB2D4">
      <w:pPr>
        <w:spacing w:before="0" w:after="0"/>
        <w:ind w:firstLine="420"/>
        <w:jc w:val="both"/>
      </w:pPr>
      <w:r>
        <w:rPr>
          <w:rFonts w:hint="eastAsia" w:ascii="Times New Roman" w:hAnsi="Times New Roman" w:eastAsia="宋体" w:cs="Times New Roman"/>
          <w:b w:val="0"/>
          <w:i w:val="0"/>
          <w:sz w:val="21"/>
        </w:rPr>
        <w:t>式中，</w:t>
      </w:r>
      <m:oMath>
        <m:sSub>
          <m:sSubPr/>
          <m:e>
            <m:r>
              <m:rPr/>
              <m:t>A</m:t>
            </m:r>
          </m:e>
          <m:sub>
            <m:r>
              <m:rPr/>
              <m:t>l</m:t>
            </m:r>
          </m:sub>
        </m:sSub>
      </m:oMath>
      <w:r>
        <w:rPr>
          <w:rFonts w:hint="eastAsia" w:ascii="Times New Roman" w:hAnsi="Times New Roman" w:eastAsia="宋体" w:cs="Times New Roman"/>
          <w:b w:val="0"/>
          <w:i w:val="0"/>
          <w:sz w:val="21"/>
        </w:rPr>
        <w:t xml:space="preserve"> 为二维模型单位厚度下边界节点的代表长度，</w:t>
      </w:r>
      <m:oMath>
        <m:r>
          <m:rPr/>
          <m:t>R</m:t>
        </m:r>
      </m:oMath>
      <w:r>
        <w:rPr>
          <w:rFonts w:hint="eastAsia" w:ascii="Times New Roman" w:hAnsi="Times New Roman" w:eastAsia="宋体" w:cs="Times New Roman"/>
          <w:b w:val="0"/>
          <w:i w:val="0"/>
          <w:sz w:val="21"/>
        </w:rPr>
        <w:t xml:space="preserve"> 为边界恢复刚度的参考尺度，</w:t>
      </w:r>
      <m:oMath>
        <m:sSub>
          <m:sSubPr/>
          <m:e>
            <m:r>
              <m:rPr/>
              <m:t>G</m:t>
            </m:r>
          </m:e>
          <m:sub>
            <m:r>
              <m:rPr/>
              <m:t>l</m:t>
            </m:r>
          </m:sub>
        </m:sSub>
      </m:oMath>
      <w:r>
        <w:rPr>
          <w:rFonts w:hint="eastAsia" w:ascii="Times New Roman" w:hAnsi="Times New Roman" w:eastAsia="宋体" w:cs="Times New Roman"/>
          <w:b w:val="0"/>
          <w:i w:val="0"/>
          <w:sz w:val="21"/>
        </w:rPr>
        <w:t>、</w:t>
      </w:r>
      <m:oMath>
        <m:sSub>
          <m:sSubPr/>
          <m:e>
            <m:r>
              <m:rPr/>
              <m:t>ρ</m:t>
            </m:r>
          </m:e>
          <m:sub>
            <m:r>
              <m:rPr/>
              <m:t>l</m:t>
            </m:r>
          </m:sub>
        </m:sSub>
      </m:oMath>
      <w:r>
        <w:rPr>
          <w:rFonts w:hint="eastAsia" w:ascii="Times New Roman" w:hAnsi="Times New Roman" w:eastAsia="宋体" w:cs="Times New Roman"/>
          <w:b w:val="0"/>
          <w:i w:val="0"/>
          <w:sz w:val="21"/>
        </w:rPr>
        <w:t>、</w:t>
      </w:r>
      <m:oMath>
        <m:sSub>
          <m:sSubPr/>
          <m:e>
            <m:r>
              <m:rPr/>
              <m:t>V</m:t>
            </m:r>
          </m:e>
          <m:sub>
            <m:r>
              <m:rPr>
                <m:sty m:val="p"/>
              </m:rPr>
              <m:t>p,</m:t>
            </m:r>
            <m:r>
              <m:rPr/>
              <m:t>l</m:t>
            </m:r>
          </m:sub>
        </m:sSub>
      </m:oMath>
      <w:r>
        <w:rPr>
          <w:rFonts w:hint="eastAsia" w:ascii="Times New Roman" w:hAnsi="Times New Roman" w:eastAsia="宋体" w:cs="Times New Roman"/>
          <w:b w:val="0"/>
          <w:i w:val="0"/>
          <w:sz w:val="21"/>
        </w:rPr>
        <w:t xml:space="preserve"> 和 </w:t>
      </w:r>
      <m:oMath>
        <m:sSub>
          <m:sSubPr/>
          <m:e>
            <m:r>
              <m:rPr/>
              <m:t>V</m:t>
            </m:r>
          </m:e>
          <m:sub>
            <m:r>
              <m:rPr>
                <m:sty m:val="p"/>
              </m:rPr>
              <m:t>s,</m:t>
            </m:r>
            <m:r>
              <m:rPr/>
              <m:t>l</m:t>
            </m:r>
          </m:sub>
        </m:sSub>
      </m:oMath>
      <w:r>
        <w:rPr>
          <w:rFonts w:hint="eastAsia" w:ascii="Times New Roman" w:hAnsi="Times New Roman" w:eastAsia="宋体" w:cs="Times New Roman"/>
          <w:b w:val="0"/>
          <w:i w:val="0"/>
          <w:sz w:val="21"/>
        </w:rPr>
        <w:t xml:space="preserve"> 按节点所在材料逐点取值。标准H/P模型取模型最大地表高程作为参考尺度，即 </w:t>
      </w:r>
      <m:oMath>
        <m:r>
          <m:rPr/>
          <m:t>R</m:t>
        </m:r>
        <m:r>
          <m:rPr>
            <m:sty m:val="p"/>
          </m:rPr>
          <m:t>=</m:t>
        </m:r>
        <m:r>
          <m:rPr/>
          <m:t>4h</m:t>
        </m:r>
        <m:r>
          <m:rPr>
            <m:sty m:val="p"/>
          </m:rPr>
          <m:t>=</m:t>
        </m:r>
        <m:r>
          <m:rPr/>
          <m:t>400 </m:t>
        </m:r>
        <m:r>
          <m:rPr>
            <m:sty m:val="p"/>
          </m:rPr>
          <m:t>m</m:t>
        </m:r>
      </m:oMath>
      <w:r>
        <w:rPr>
          <w:rFonts w:hint="eastAsia" w:ascii="Times New Roman" w:hAnsi="Times New Roman" w:eastAsia="宋体" w:cs="Times New Roman"/>
          <w:b w:val="0"/>
          <w:i w:val="0"/>
          <w:sz w:val="21"/>
        </w:rPr>
        <w:t xml:space="preserve">；V004加深基底后相应为 </w:t>
      </w:r>
      <m:oMath>
        <m:r>
          <m:rPr/>
          <m:t>R</m:t>
        </m:r>
        <m:r>
          <m:rPr>
            <m:sty m:val="p"/>
          </m:rPr>
          <m:t>=</m:t>
        </m:r>
        <m:r>
          <m:rPr/>
          <m:t>7h</m:t>
        </m:r>
        <m:r>
          <m:rPr>
            <m:sty m:val="p"/>
          </m:rPr>
          <m:t>=</m:t>
        </m:r>
        <m:r>
          <m:rPr/>
          <m:t>700 </m:t>
        </m:r>
        <m:r>
          <m:rPr>
            <m:sty m:val="p"/>
          </m:rPr>
          <m:t>m</m:t>
        </m:r>
      </m:oMath>
      <w:r>
        <w:rPr>
          <w:rFonts w:hint="eastAsia" w:ascii="Times New Roman" w:hAnsi="Times New Roman" w:eastAsia="宋体" w:cs="Times New Roman"/>
          <w:b w:val="0"/>
          <w:i w:val="0"/>
          <w:sz w:val="21"/>
        </w:rPr>
        <w:t xml:space="preserve">。线性边界单元的 </w:t>
      </w:r>
      <m:oMath>
        <m:sSub>
          <m:sSubPr/>
          <m:e>
            <m:r>
              <m:rPr/>
              <m:t>A</m:t>
            </m:r>
          </m:e>
          <m:sub>
            <m:r>
              <m:rPr/>
              <m:t>l</m:t>
            </m:r>
          </m:sub>
        </m:sSub>
      </m:oMath>
      <w:r>
        <w:rPr>
          <w:rFonts w:hint="eastAsia" w:ascii="Times New Roman" w:hAnsi="Times New Roman" w:eastAsia="宋体" w:cs="Times New Roman"/>
          <w:b w:val="0"/>
          <w:i w:val="0"/>
          <w:sz w:val="21"/>
        </w:rPr>
        <w:t xml:space="preserve"> 由相邻节点半距累加，成层界面处不跨材料平均。当前实现采用 </w:t>
      </w:r>
      <m:oMath>
        <m:sSub>
          <m:sSubPr/>
          <m:e>
            <m:r>
              <m:rPr/>
              <m:t>α</m:t>
            </m:r>
          </m:e>
          <m:sub>
            <m:r>
              <m:rPr>
                <m:sty m:val="p"/>
              </m:rPr>
              <m:t>N</m:t>
            </m:r>
          </m:sub>
        </m:sSub>
        <m:r>
          <m:rPr>
            <m:sty m:val="p"/>
          </m:rPr>
          <m:t>=</m:t>
        </m:r>
        <m:r>
          <m:rPr/>
          <m:t>0.5</m:t>
        </m:r>
      </m:oMath>
      <w:r>
        <w:rPr>
          <w:rFonts w:hint="eastAsia" w:ascii="Times New Roman" w:hAnsi="Times New Roman" w:eastAsia="宋体" w:cs="Times New Roman"/>
          <w:b w:val="0"/>
          <w:i w:val="0"/>
          <w:sz w:val="21"/>
        </w:rPr>
        <w:t>、</w:t>
      </w:r>
      <m:oMath>
        <m:sSub>
          <m:sSubPr/>
          <m:e>
            <m:r>
              <m:rPr/>
              <m:t>α</m:t>
            </m:r>
          </m:e>
          <m:sub>
            <m:r>
              <m:rPr>
                <m:sty m:val="p"/>
              </m:rPr>
              <m:t>T</m:t>
            </m:r>
          </m:sub>
        </m:sSub>
        <m:r>
          <m:rPr>
            <m:sty m:val="p"/>
          </m:rPr>
          <m:t>=</m:t>
        </m:r>
        <m:r>
          <m:rPr/>
          <m:t>0.25</m:t>
        </m:r>
      </m:oMath>
      <w:r>
        <w:rPr>
          <w:rFonts w:hint="eastAsia" w:ascii="Times New Roman" w:hAnsi="Times New Roman" w:eastAsia="宋体" w:cs="Times New Roman"/>
          <w:b w:val="0"/>
          <w:i w:val="0"/>
          <w:sz w:val="21"/>
        </w:rPr>
        <w:t>，阻尼器系数不另行缩放。式（5）中的阻尼项近似吸收向外传播的 P、S 波，弹簧项补偿截断介质的低频恢复作用，二者共同构成黏弹性人工边界</w:t>
      </w:r>
      <w:r>
        <w:rPr>
          <w:rFonts w:hint="eastAsia" w:ascii="Times New Roman" w:hAnsi="Times New Roman" w:eastAsia="宋体" w:cs="Times New Roman"/>
          <w:b w:val="0"/>
          <w:i w:val="0"/>
          <w:sz w:val="21"/>
          <w:vertAlign w:val="superscript"/>
        </w:rPr>
        <w:t>[32]</w:t>
      </w:r>
      <w:r>
        <w:rPr>
          <w:rFonts w:hint="eastAsia" w:ascii="Times New Roman" w:hAnsi="Times New Roman" w:eastAsia="宋体" w:cs="Times New Roman"/>
          <w:b w:val="0"/>
          <w:i w:val="0"/>
          <w:sz w:val="21"/>
        </w:rPr>
        <w:t>。</w:t>
      </w:r>
    </w:p>
    <w:p w14:paraId="11A98C6F">
      <w:pPr>
        <w:spacing w:before="0" w:after="0"/>
        <w:ind w:firstLine="420"/>
        <w:jc w:val="both"/>
      </w:pPr>
      <w:r>
        <w:rPr>
          <w:rFonts w:hint="eastAsia" w:ascii="Times New Roman" w:hAnsi="Times New Roman" w:eastAsia="宋体" w:cs="Times New Roman"/>
          <w:b w:val="0"/>
          <w:i w:val="0"/>
          <w:sz w:val="21"/>
        </w:rPr>
        <w:t xml:space="preserve">人工边界只负责吸收散射场，入射地震动还需以与自由场相容的形式施加。根据总波场等于自由场与散射场之和的分解，在节点 </w:t>
      </w:r>
      <m:oMath>
        <m:r>
          <m:rPr/>
          <m:t>l</m:t>
        </m:r>
      </m:oMath>
      <w:r>
        <w:rPr>
          <w:rFonts w:hint="eastAsia" w:ascii="Times New Roman" w:hAnsi="Times New Roman" w:eastAsia="宋体" w:cs="Times New Roman"/>
          <w:b w:val="0"/>
          <w:i w:val="0"/>
          <w:sz w:val="21"/>
        </w:rPr>
        <w:t xml:space="preserve"> 处施加 Bielak 等效力</w:t>
      </w:r>
      <w:r>
        <w:rPr>
          <w:rFonts w:hint="eastAsia" w:ascii="Times New Roman" w:hAnsi="Times New Roman" w:eastAsia="宋体" w:cs="Times New Roman"/>
          <w:b w:val="0"/>
          <w:i w:val="0"/>
          <w:sz w:val="21"/>
          <w:vertAlign w:val="superscript"/>
        </w:rPr>
        <w:t>[33]</w:t>
      </w:r>
      <w:r>
        <w:rPr>
          <w:rFonts w:hint="eastAsia" w:ascii="Times New Roman" w:hAnsi="Times New Roman" w:eastAsia="宋体" w:cs="Times New Roman"/>
          <w:b w:val="0"/>
          <w:i w:val="0"/>
          <w:sz w:val="21"/>
        </w:rPr>
        <w:t>：</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3C613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0F32ADAF">
            <w:pPr>
              <w:spacing w:before="60" w:after="60"/>
              <w:jc w:val="center"/>
            </w:pPr>
            <m:oMathPara>
              <m:oMath>
                <m:sSub>
                  <m:sSubPr/>
                  <m:e>
                    <m:r>
                      <m:rPr>
                        <m:sty m:val="bi"/>
                      </m:rPr>
                      <m:t>F</m:t>
                    </m:r>
                  </m:e>
                  <m:sub>
                    <m:r>
                      <m:rPr/>
                      <m:t>l</m:t>
                    </m:r>
                  </m:sub>
                </m:sSub>
                <m:r>
                  <m:rPr>
                    <m:sty m:val="p"/>
                  </m:rPr>
                  <m:t>(</m:t>
                </m:r>
                <m:r>
                  <m:rPr/>
                  <m:t>t</m:t>
                </m:r>
                <m:r>
                  <m:rPr>
                    <m:sty m:val="p"/>
                  </m:rPr>
                  <m:t>)=</m:t>
                </m:r>
                <m:sSub>
                  <m:sSubPr/>
                  <m:e>
                    <m:r>
                      <m:rPr>
                        <m:sty m:val="bi"/>
                      </m:rPr>
                      <m:t>K</m:t>
                    </m:r>
                  </m:e>
                  <m:sub>
                    <m:r>
                      <m:rPr/>
                      <m:t>l</m:t>
                    </m:r>
                  </m:sub>
                </m:sSub>
                <m:sSubSup>
                  <m:sSubSupPr/>
                  <m:e>
                    <m:r>
                      <m:rPr>
                        <m:sty m:val="bi"/>
                      </m:rPr>
                      <m:t>u</m:t>
                    </m:r>
                  </m:e>
                  <m:sub>
                    <m:r>
                      <m:rPr/>
                      <m:t>l</m:t>
                    </m:r>
                  </m:sub>
                  <m:sup>
                    <m:r>
                      <m:rPr>
                        <m:sty m:val="p"/>
                      </m:rPr>
                      <m:t>ff</m:t>
                    </m:r>
                  </m:sup>
                </m:sSubSup>
                <m:r>
                  <m:rPr>
                    <m:sty m:val="p"/>
                  </m:rPr>
                  <m:t>(</m:t>
                </m:r>
                <m:r>
                  <m:rPr/>
                  <m:t>t</m:t>
                </m:r>
                <m:r>
                  <m:rPr>
                    <m:sty m:val="p"/>
                  </m:rPr>
                  <m:t>)+</m:t>
                </m:r>
                <m:sSub>
                  <m:sSubPr/>
                  <m:e>
                    <m:r>
                      <m:rPr>
                        <m:sty m:val="bi"/>
                      </m:rPr>
                      <m:t>C</m:t>
                    </m:r>
                  </m:e>
                  <m:sub>
                    <m:r>
                      <m:rPr/>
                      <m:t>l</m:t>
                    </m:r>
                  </m:sub>
                </m:sSub>
                <m:sSubSup>
                  <m:sSubSupPr/>
                  <m:e>
                    <m:acc>
                      <m:accPr>
                        <m:chr m:val="̇"/>
                      </m:accPr>
                      <m:e>
                        <m:r>
                          <m:rPr>
                            <m:sty m:val="bi"/>
                          </m:rPr>
                          <m:t>u</m:t>
                        </m:r>
                      </m:e>
                    </m:acc>
                  </m:e>
                  <m:sub>
                    <m:r>
                      <m:rPr/>
                      <m:t>l</m:t>
                    </m:r>
                  </m:sub>
                  <m:sup>
                    <m:r>
                      <m:rPr>
                        <m:sty m:val="p"/>
                      </m:rPr>
                      <m:t>ff</m:t>
                    </m:r>
                  </m:sup>
                </m:sSubSup>
                <m:r>
                  <m:rPr>
                    <m:sty m:val="p"/>
                  </m:rPr>
                  <m:t>(</m:t>
                </m:r>
                <m:r>
                  <m:rPr/>
                  <m:t>t</m:t>
                </m:r>
                <m:r>
                  <m:rPr>
                    <m:sty m:val="p"/>
                  </m:rPr>
                  <m:t>)+</m:t>
                </m:r>
                <m:sSubSup>
                  <m:sSubSupPr/>
                  <m:e>
                    <m:r>
                      <m:rPr>
                        <m:sty m:val="bi"/>
                      </m:rPr>
                      <m:t>σ</m:t>
                    </m:r>
                  </m:e>
                  <m:sub>
                    <m:r>
                      <m:rPr/>
                      <m:t>l</m:t>
                    </m:r>
                  </m:sub>
                  <m:sup>
                    <m:r>
                      <m:rPr>
                        <m:sty m:val="p"/>
                      </m:rPr>
                      <m:t>ff</m:t>
                    </m:r>
                  </m:sup>
                </m:sSubSup>
                <m:r>
                  <m:rPr>
                    <m:sty m:val="p"/>
                  </m:rPr>
                  <m:t>(</m:t>
                </m:r>
                <m:r>
                  <m:rPr/>
                  <m:t>t</m:t>
                </m:r>
                <m:r>
                  <m:rPr>
                    <m:sty m:val="p"/>
                  </m:rPr>
                  <m:t>)</m:t>
                </m:r>
                <m:sSub>
                  <m:sSubPr/>
                  <m:e>
                    <m:r>
                      <m:rPr>
                        <m:sty m:val="bi"/>
                      </m:rPr>
                      <m:t>n</m:t>
                    </m:r>
                  </m:e>
                  <m:sub>
                    <m:r>
                      <m:rPr/>
                      <m:t>l</m:t>
                    </m:r>
                  </m:sub>
                </m:sSub>
                <m:sSub>
                  <m:sSubPr/>
                  <m:e>
                    <m:r>
                      <m:rPr/>
                      <m:t>A</m:t>
                    </m:r>
                  </m:e>
                  <m:sub>
                    <m:r>
                      <m:rPr/>
                      <m:t>l</m:t>
                    </m:r>
                  </m:sub>
                </m:sSub>
                <m:r>
                  <m:rPr>
                    <m:sty m:val="p"/>
                  </m:rPr>
                  <m:t>,</m:t>
                </m:r>
              </m:oMath>
            </m:oMathPara>
          </w:p>
        </w:tc>
        <w:tc>
          <w:tcPr>
            <w:tcW w:w="4819" w:type="dxa"/>
          </w:tcPr>
          <w:p w14:paraId="11D2DDAD">
            <w:pPr>
              <w:spacing w:before="60" w:after="60"/>
              <w:jc w:val="right"/>
            </w:pPr>
            <w:r>
              <w:rPr>
                <w:rFonts w:hint="eastAsia" w:ascii="Times New Roman" w:hAnsi="Times New Roman" w:eastAsia="Times New Roman" w:cs="Times New Roman"/>
                <w:b w:val="0"/>
                <w:i w:val="0"/>
                <w:sz w:val="21"/>
              </w:rPr>
              <w:t>(6)</w:t>
            </w:r>
          </w:p>
        </w:tc>
      </w:tr>
    </w:tbl>
    <w:p w14:paraId="1079D5CC">
      <w:pPr>
        <w:spacing w:before="0" w:after="0"/>
        <w:ind w:firstLine="420"/>
        <w:jc w:val="both"/>
      </w:pPr>
      <w:r>
        <w:rPr>
          <w:rFonts w:hint="eastAsia" w:ascii="Times New Roman" w:hAnsi="Times New Roman" w:eastAsia="宋体" w:cs="Times New Roman"/>
          <w:b w:val="0"/>
          <w:i w:val="0"/>
          <w:sz w:val="21"/>
        </w:rPr>
        <w:t xml:space="preserve">其中 </w:t>
      </w:r>
      <m:oMath>
        <m:sSubSup>
          <m:sSubSupPr/>
          <m:e>
            <m:r>
              <m:rPr>
                <m:sty m:val="bi"/>
              </m:rPr>
              <m:t>u</m:t>
            </m:r>
          </m:e>
          <m:sub>
            <m:r>
              <m:rPr/>
              <m:t>l</m:t>
            </m:r>
          </m:sub>
          <m:sup>
            <m:r>
              <m:rPr>
                <m:sty m:val="p"/>
              </m:rPr>
              <m:t>ff</m:t>
            </m:r>
          </m:sup>
        </m:sSubSup>
      </m:oMath>
      <w:r>
        <w:rPr>
          <w:rFonts w:hint="eastAsia" w:ascii="Times New Roman" w:hAnsi="Times New Roman" w:eastAsia="宋体" w:cs="Times New Roman"/>
          <w:b w:val="0"/>
          <w:i w:val="0"/>
          <w:sz w:val="21"/>
        </w:rPr>
        <w:t>、</w:t>
      </w:r>
      <m:oMath>
        <m:sSubSup>
          <m:sSubSupPr/>
          <m:e>
            <m:acc>
              <m:accPr>
                <m:chr m:val="̇"/>
              </m:accPr>
              <m:e>
                <m:r>
                  <m:rPr>
                    <m:sty m:val="bi"/>
                  </m:rPr>
                  <m:t>u</m:t>
                </m:r>
              </m:e>
            </m:acc>
          </m:e>
          <m:sub>
            <m:r>
              <m:rPr/>
              <m:t>l</m:t>
            </m:r>
          </m:sub>
          <m:sup>
            <m:r>
              <m:rPr>
                <m:sty m:val="p"/>
              </m:rPr>
              <m:t>ff</m:t>
            </m:r>
          </m:sup>
        </m:sSubSup>
      </m:oMath>
      <w:r>
        <w:rPr>
          <w:rFonts w:hint="eastAsia" w:ascii="Times New Roman" w:hAnsi="Times New Roman" w:eastAsia="宋体" w:cs="Times New Roman"/>
          <w:b w:val="0"/>
          <w:i w:val="0"/>
          <w:sz w:val="21"/>
        </w:rPr>
        <w:t xml:space="preserve"> 与 </w:t>
      </w:r>
      <m:oMath>
        <m:sSubSup>
          <m:sSubSupPr/>
          <m:e>
            <m:r>
              <m:rPr>
                <m:sty m:val="bi"/>
              </m:rPr>
              <m:t>σ</m:t>
            </m:r>
          </m:e>
          <m:sub>
            <m:r>
              <m:rPr/>
              <m:t>l</m:t>
            </m:r>
          </m:sub>
          <m:sup>
            <m:r>
              <m:rPr>
                <m:sty m:val="p"/>
              </m:rPr>
              <m:t>ff</m:t>
            </m:r>
          </m:sup>
        </m:sSubSup>
      </m:oMath>
      <w:r>
        <w:rPr>
          <w:rFonts w:hint="eastAsia" w:ascii="Times New Roman" w:hAnsi="Times New Roman" w:eastAsia="宋体" w:cs="Times New Roman"/>
          <w:b w:val="0"/>
          <w:i w:val="0"/>
          <w:sz w:val="21"/>
        </w:rPr>
        <w:t xml:space="preserve"> 分别为无坡自由场在该边界节点处的位移、速度和应力，</w:t>
      </w:r>
      <m:oMath>
        <m:sSub>
          <m:sSubPr/>
          <m:e>
            <m:r>
              <m:rPr>
                <m:sty m:val="bi"/>
              </m:rPr>
              <m:t>n</m:t>
            </m:r>
          </m:e>
          <m:sub>
            <m:r>
              <m:rPr/>
              <m:t>l</m:t>
            </m:r>
          </m:sub>
        </m:sSub>
      </m:oMath>
      <w:r>
        <w:rPr>
          <w:rFonts w:hint="eastAsia" w:ascii="Times New Roman" w:hAnsi="Times New Roman" w:eastAsia="宋体" w:cs="Times New Roman"/>
          <w:b w:val="0"/>
          <w:i w:val="0"/>
          <w:sz w:val="21"/>
        </w:rPr>
        <w:t xml:space="preserve"> 为外法向，</w:t>
      </w:r>
      <m:oMath>
        <m:sSub>
          <m:sSubPr/>
          <m:e>
            <m:r>
              <m:rPr>
                <m:sty m:val="bi"/>
              </m:rPr>
              <m:t>K</m:t>
            </m:r>
          </m:e>
          <m:sub>
            <m:r>
              <m:rPr/>
              <m:t>l</m:t>
            </m:r>
          </m:sub>
        </m:sSub>
      </m:oMath>
      <w:r>
        <w:rPr>
          <w:rFonts w:hint="eastAsia" w:ascii="Times New Roman" w:hAnsi="Times New Roman" w:eastAsia="宋体" w:cs="Times New Roman"/>
          <w:b w:val="0"/>
          <w:i w:val="0"/>
          <w:sz w:val="21"/>
        </w:rPr>
        <w:t xml:space="preserve"> 与 </w:t>
      </w:r>
      <m:oMath>
        <m:sSub>
          <m:sSubPr/>
          <m:e>
            <m:r>
              <m:rPr>
                <m:sty m:val="bi"/>
              </m:rPr>
              <m:t>C</m:t>
            </m:r>
          </m:e>
          <m:sub>
            <m:r>
              <m:rPr/>
              <m:t>l</m:t>
            </m:r>
          </m:sub>
        </m:sSub>
      </m:oMath>
      <w:r>
        <w:rPr>
          <w:rFonts w:hint="eastAsia" w:ascii="Times New Roman" w:hAnsi="Times New Roman" w:eastAsia="宋体" w:cs="Times New Roman"/>
          <w:b w:val="0"/>
          <w:i w:val="0"/>
          <w:sz w:val="21"/>
        </w:rPr>
        <w:t xml:space="preserve"> 按侧边或底边方向将式（5）的法向、切向系数映射到全局自由度。该表达式同时包含弹簧恢复力、阻尼器速度力和自由场应力牵引，避免仅在底边施加加速度时产生的入射与吸收口径不一致。</w:t>
      </w:r>
    </w:p>
    <w:p w14:paraId="498B1B6C">
      <w:pPr>
        <w:spacing w:before="0" w:after="0"/>
        <w:ind w:firstLine="420"/>
        <w:jc w:val="both"/>
      </w:pPr>
      <w:r>
        <w:rPr>
          <w:rFonts w:hint="eastAsia" w:ascii="Times New Roman" w:hAnsi="Times New Roman" w:eastAsia="宋体" w:cs="Times New Roman"/>
          <w:b w:val="0"/>
          <w:i w:val="0"/>
          <w:sz w:val="21"/>
        </w:rPr>
        <w:t xml:space="preserve">成层斜入射自由场采用频域全局矩阵法求解，而不是把每层中的若干首达射线在时域内截断叠加。时间因子取 </w:t>
      </w:r>
      <m:oMath>
        <m:sSup>
          <m:sSupPr/>
          <m:e>
            <m:r>
              <m:rPr/>
              <m:t>e</m:t>
            </m:r>
          </m:e>
          <m:sup>
            <m:r>
              <m:rPr>
                <m:sty m:val="p"/>
              </m:rPr>
              <m:t>i</m:t>
            </m:r>
            <m:r>
              <m:rPr/>
              <m:t>ωt</m:t>
            </m:r>
          </m:sup>
        </m:sSup>
      </m:oMath>
      <w:r>
        <w:rPr>
          <w:rFonts w:hint="eastAsia" w:ascii="Times New Roman" w:hAnsi="Times New Roman" w:eastAsia="宋体" w:cs="Times New Roman"/>
          <w:b w:val="0"/>
          <w:i w:val="0"/>
          <w:sz w:val="21"/>
        </w:rPr>
        <w:t xml:space="preserve">，基岩 SV 波相对竖直方向以 </w:t>
      </w:r>
      <m:oMath>
        <m:sSub>
          <m:sSubPr/>
          <m:e>
            <m:r>
              <m:rPr/>
              <m:t>θ</m:t>
            </m:r>
          </m:e>
          <m:sub>
            <m:r>
              <m:rPr>
                <m:sty m:val="p"/>
              </m:rPr>
              <m:t>s</m:t>
            </m:r>
          </m:sub>
        </m:sSub>
        <m:r>
          <m:rPr>
            <m:sty m:val="p"/>
          </m:rPr>
          <m:t>=</m:t>
        </m:r>
        <m:sSup>
          <m:sSupPr/>
          <m:e>
            <m:r>
              <m:rPr/>
              <m:t>15</m:t>
            </m:r>
          </m:e>
          <m:sup>
            <m:r>
              <m:rPr>
                <m:sty m:val="p"/>
              </m:rPr>
              <m:t>∘</m:t>
            </m:r>
          </m:sup>
        </m:sSup>
      </m:oMath>
      <w:r>
        <w:rPr>
          <w:rFonts w:hint="eastAsia" w:ascii="Times New Roman" w:hAnsi="Times New Roman" w:eastAsia="宋体" w:cs="Times New Roman"/>
          <w:b w:val="0"/>
          <w:i w:val="0"/>
          <w:sz w:val="21"/>
        </w:rPr>
        <w:t xml:space="preserve"> 入射，其水平慢度为 </w:t>
      </w:r>
      <m:oMath>
        <m:r>
          <m:rPr/>
          <m:t>p</m:t>
        </m:r>
        <m:r>
          <m:rPr>
            <m:sty m:val="p"/>
          </m:rPr>
          <m:t>=sin</m:t>
        </m:r>
        <m:sSub>
          <m:sSubPr/>
          <m:e>
            <m:r>
              <m:rPr/>
              <m:t>θ</m:t>
            </m:r>
          </m:e>
          <m:sub>
            <m:r>
              <m:rPr>
                <m:sty m:val="p"/>
              </m:rPr>
              <m:t>s</m:t>
            </m:r>
          </m:sub>
        </m:sSub>
        <m:r>
          <m:rPr>
            <m:sty m:val="p"/>
          </m:rPr>
          <m:t>/</m:t>
        </m:r>
        <m:sSub>
          <m:sSubPr/>
          <m:e>
            <m:r>
              <m:rPr/>
              <m:t>V</m:t>
            </m:r>
          </m:e>
          <m:sub>
            <m:r>
              <m:rPr>
                <m:sty m:val="p"/>
              </m:rPr>
              <m:t>s,b</m:t>
            </m:r>
          </m:sub>
        </m:sSub>
      </m:oMath>
      <w:r>
        <w:rPr>
          <w:rFonts w:hint="eastAsia" w:ascii="Times New Roman" w:hAnsi="Times New Roman" w:eastAsia="宋体" w:cs="Times New Roman"/>
          <w:b w:val="0"/>
          <w:i w:val="0"/>
          <w:sz w:val="21"/>
        </w:rPr>
        <w:t xml:space="preserve">。第 </w:t>
      </w:r>
      <m:oMath>
        <m:r>
          <m:rPr/>
          <m:t>m</m:t>
        </m:r>
      </m:oMath>
      <w:r>
        <w:rPr>
          <w:rFonts w:hint="eastAsia" w:ascii="Times New Roman" w:hAnsi="Times New Roman" w:eastAsia="宋体" w:cs="Times New Roman"/>
          <w:b w:val="0"/>
          <w:i w:val="0"/>
          <w:sz w:val="21"/>
        </w:rPr>
        <w:t xml:space="preserve"> 层的位移由上、下行 P 波和 SV 波四支平面波组成：</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496BF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7B31438B">
            <w:pPr>
              <w:spacing w:before="60" w:after="60"/>
              <w:jc w:val="center"/>
            </w:pPr>
            <m:oMathPara>
              <m:oMath>
                <m:sSup>
                  <m:sSupPr/>
                  <m:e>
                    <m:r>
                      <m:rPr>
                        <m:sty m:val="bi"/>
                      </m:rPr>
                      <m:t>u</m:t>
                    </m:r>
                  </m:e>
                  <m:sup>
                    <m:r>
                      <m:rPr>
                        <m:sty m:val="p"/>
                      </m:rPr>
                      <m:t>(</m:t>
                    </m:r>
                    <m:r>
                      <m:rPr/>
                      <m:t>m</m:t>
                    </m:r>
                    <m:r>
                      <m:rPr>
                        <m:sty m:val="p"/>
                      </m:rPr>
                      <m:t>)</m:t>
                    </m:r>
                  </m:sup>
                </m:sSup>
                <m:r>
                  <m:rPr>
                    <m:sty m:val="p"/>
                  </m:rPr>
                  <m:t>(</m:t>
                </m:r>
                <m:r>
                  <m:rPr/>
                  <m:t>x</m:t>
                </m:r>
                <m:r>
                  <m:rPr>
                    <m:sty m:val="p"/>
                  </m:rPr>
                  <m:t>,</m:t>
                </m:r>
                <m:r>
                  <m:rPr/>
                  <m:t>y</m:t>
                </m:r>
                <m:r>
                  <m:rPr>
                    <m:sty m:val="p"/>
                  </m:rPr>
                  <m:t>,</m:t>
                </m:r>
                <m:r>
                  <m:rPr/>
                  <m:t>ω</m:t>
                </m:r>
                <m:r>
                  <m:rPr>
                    <m:sty m:val="p"/>
                  </m:rPr>
                  <m:t>)=</m:t>
                </m:r>
                <m:nary>
                  <m:naryPr>
                    <m:chr m:val="∑"/>
                    <m:limLoc m:val="undOvr"/>
                    <m:supHide m:val="1"/>
                  </m:naryPr>
                  <m:sub>
                    <m:r>
                      <m:rPr/>
                      <m:t>w</m:t>
                    </m:r>
                    <m:r>
                      <m:rPr>
                        <m:sty m:val="p"/>
                      </m:rPr>
                      <m:t>∈{</m:t>
                    </m:r>
                    <m:sSub>
                      <m:sSubPr/>
                      <m:e>
                        <m:r>
                          <m:rPr/>
                          <m:t>P</m:t>
                        </m:r>
                      </m:e>
                      <m:sub>
                        <m:r>
                          <m:rPr/>
                          <m:t>u</m:t>
                        </m:r>
                      </m:sub>
                    </m:sSub>
                    <m:r>
                      <m:rPr>
                        <m:sty m:val="p"/>
                      </m:rPr>
                      <m:t>,</m:t>
                    </m:r>
                    <m:sSub>
                      <m:sSubPr/>
                      <m:e>
                        <m:r>
                          <m:rPr/>
                          <m:t>P</m:t>
                        </m:r>
                      </m:e>
                      <m:sub>
                        <m:r>
                          <m:rPr/>
                          <m:t>d</m:t>
                        </m:r>
                      </m:sub>
                    </m:sSub>
                    <m:r>
                      <m:rPr>
                        <m:sty m:val="p"/>
                      </m:rPr>
                      <m:t>,</m:t>
                    </m:r>
                    <m:sSub>
                      <m:sSubPr/>
                      <m:e>
                        <m:r>
                          <m:rPr/>
                          <m:t>S</m:t>
                        </m:r>
                      </m:e>
                      <m:sub>
                        <m:r>
                          <m:rPr/>
                          <m:t>u</m:t>
                        </m:r>
                      </m:sub>
                    </m:sSub>
                    <m:r>
                      <m:rPr>
                        <m:sty m:val="p"/>
                      </m:rPr>
                      <m:t>,</m:t>
                    </m:r>
                    <m:sSub>
                      <m:sSubPr/>
                      <m:e>
                        <m:r>
                          <m:rPr/>
                          <m:t>S</m:t>
                        </m:r>
                      </m:e>
                      <m:sub>
                        <m:r>
                          <m:rPr/>
                          <m:t>d</m:t>
                        </m:r>
                      </m:sub>
                    </m:sSub>
                    <m:r>
                      <m:rPr>
                        <m:sty m:val="p"/>
                      </m:rPr>
                      <m:t>}</m:t>
                    </m:r>
                  </m:sub>
                  <m:sup>
                    <m:r>
                      <m:rPr/>
                      <m:t>​</m:t>
                    </m:r>
                  </m:sup>
                  <m:e>
                    <m:sSubSup>
                      <m:sSubSupPr/>
                      <m:e>
                        <m:r>
                          <m:rPr/>
                          <m:t>a</m:t>
                        </m:r>
                      </m:e>
                      <m:sub>
                        <m:r>
                          <m:rPr/>
                          <m:t>w</m:t>
                        </m:r>
                      </m:sub>
                      <m:sup>
                        <m:r>
                          <m:rPr>
                            <m:sty m:val="p"/>
                          </m:rPr>
                          <m:t>(</m:t>
                        </m:r>
                        <m:r>
                          <m:rPr/>
                          <m:t>m</m:t>
                        </m:r>
                        <m:r>
                          <m:rPr>
                            <m:sty m:val="p"/>
                          </m:rPr>
                          <m:t>)</m:t>
                        </m:r>
                      </m:sup>
                    </m:sSubSup>
                  </m:e>
                </m:nary>
                <m:r>
                  <m:rPr>
                    <m:sty m:val="p"/>
                  </m:rPr>
                  <m:t>(</m:t>
                </m:r>
                <m:r>
                  <m:rPr/>
                  <m:t>ω</m:t>
                </m:r>
                <m:r>
                  <m:rPr>
                    <m:sty m:val="p"/>
                  </m:rPr>
                  <m:t>)</m:t>
                </m:r>
                <m:r>
                  <m:rPr/>
                  <m:t> </m:t>
                </m:r>
                <m:sSubSup>
                  <m:sSubSupPr/>
                  <m:e>
                    <m:r>
                      <m:rPr>
                        <m:sty m:val="bi"/>
                      </m:rPr>
                      <m:t>d</m:t>
                    </m:r>
                  </m:e>
                  <m:sub>
                    <m:r>
                      <m:rPr/>
                      <m:t>w</m:t>
                    </m:r>
                  </m:sub>
                  <m:sup>
                    <m:r>
                      <m:rPr>
                        <m:sty m:val="p"/>
                      </m:rPr>
                      <m:t>(</m:t>
                    </m:r>
                    <m:r>
                      <m:rPr/>
                      <m:t>m</m:t>
                    </m:r>
                    <m:r>
                      <m:rPr>
                        <m:sty m:val="p"/>
                      </m:rPr>
                      <m:t>)</m:t>
                    </m:r>
                  </m:sup>
                </m:sSubSup>
                <m:r>
                  <m:rPr>
                    <m:sty m:val="p"/>
                  </m:rPr>
                  <m:t>exp</m:t>
                </m:r>
                <m:r>
                  <m:rPr/>
                  <m:t>​</m:t>
                </m:r>
                <m:d>
                  <m:dPr>
                    <m:begChr m:val="["/>
                    <m:sepChr m:val=""/>
                    <m:endChr m:val="]"/>
                  </m:dPr>
                  <m:e>
                    <m:r>
                      <m:rPr>
                        <m:sty m:val="p"/>
                      </m:rPr>
                      <m:t>−i</m:t>
                    </m:r>
                    <m:r>
                      <m:rPr/>
                      <m:t>ω</m:t>
                    </m:r>
                    <m:d>
                      <m:dPr>
                        <m:sepChr m:val=""/>
                      </m:dPr>
                      <m:e>
                        <m:r>
                          <m:rPr/>
                          <m:t>px</m:t>
                        </m:r>
                        <m:r>
                          <m:rPr>
                            <m:sty m:val="p"/>
                          </m:rPr>
                          <m:t>+</m:t>
                        </m:r>
                        <m:sSubSup>
                          <m:sSubSupPr/>
                          <m:e>
                            <m:r>
                              <m:rPr/>
                              <m:t>k</m:t>
                            </m:r>
                          </m:e>
                          <m:sub>
                            <m:r>
                              <m:rPr/>
                              <m:t>y</m:t>
                            </m:r>
                            <m:r>
                              <m:rPr>
                                <m:sty m:val="p"/>
                              </m:rPr>
                              <m:t>,</m:t>
                            </m:r>
                            <m:r>
                              <m:rPr/>
                              <m:t>w</m:t>
                            </m:r>
                          </m:sub>
                          <m:sup>
                            <m:r>
                              <m:rPr>
                                <m:sty m:val="p"/>
                              </m:rPr>
                              <m:t>(</m:t>
                            </m:r>
                            <m:r>
                              <m:rPr/>
                              <m:t>m</m:t>
                            </m:r>
                            <m:r>
                              <m:rPr>
                                <m:sty m:val="p"/>
                              </m:rPr>
                              <m:t>)</m:t>
                            </m:r>
                          </m:sup>
                        </m:sSubSup>
                        <m:r>
                          <m:rPr>
                            <m:sty m:val="p"/>
                          </m:rPr>
                          <m:t>(</m:t>
                        </m:r>
                        <m:r>
                          <m:rPr/>
                          <m:t>y</m:t>
                        </m:r>
                        <m:r>
                          <m:rPr>
                            <m:sty m:val="p"/>
                          </m:rPr>
                          <m:t>−</m:t>
                        </m:r>
                        <m:sSubSup>
                          <m:sSubSupPr/>
                          <m:e>
                            <m:r>
                              <m:rPr/>
                              <m:t>y</m:t>
                            </m:r>
                          </m:e>
                          <m:sub>
                            <m:r>
                              <m:rPr>
                                <m:sty m:val="p"/>
                              </m:rPr>
                              <m:t>ref,</m:t>
                            </m:r>
                            <m:r>
                              <m:rPr/>
                              <m:t>w</m:t>
                            </m:r>
                          </m:sub>
                          <m:sup>
                            <m:r>
                              <m:rPr>
                                <m:sty m:val="p"/>
                              </m:rPr>
                              <m:t>(</m:t>
                            </m:r>
                            <m:r>
                              <m:rPr/>
                              <m:t>m</m:t>
                            </m:r>
                            <m:r>
                              <m:rPr>
                                <m:sty m:val="p"/>
                              </m:rPr>
                              <m:t>)</m:t>
                            </m:r>
                          </m:sup>
                        </m:sSubSup>
                        <m:r>
                          <m:rPr>
                            <m:sty m:val="p"/>
                          </m:rPr>
                          <m:t>)</m:t>
                        </m:r>
                      </m:e>
                    </m:d>
                  </m:e>
                </m:d>
                <m:r>
                  <m:rPr>
                    <m:sty m:val="p"/>
                  </m:rPr>
                  <m:t>.</m:t>
                </m:r>
              </m:oMath>
            </m:oMathPara>
          </w:p>
        </w:tc>
        <w:tc>
          <w:tcPr>
            <w:tcW w:w="4819" w:type="dxa"/>
          </w:tcPr>
          <w:p w14:paraId="0A6F7250">
            <w:pPr>
              <w:spacing w:before="60" w:after="60"/>
              <w:jc w:val="right"/>
            </w:pPr>
            <w:r>
              <w:rPr>
                <w:rFonts w:hint="eastAsia" w:ascii="Times New Roman" w:hAnsi="Times New Roman" w:eastAsia="Times New Roman" w:cs="Times New Roman"/>
                <w:b w:val="0"/>
                <w:i w:val="0"/>
                <w:sz w:val="21"/>
              </w:rPr>
              <w:t>(7)</w:t>
            </w:r>
          </w:p>
        </w:tc>
      </w:tr>
    </w:tbl>
    <w:p w14:paraId="34571FAD">
      <w:pPr>
        <w:spacing w:before="0" w:after="0"/>
        <w:ind w:firstLine="420"/>
        <w:jc w:val="both"/>
      </w:pPr>
      <w:r>
        <w:rPr>
          <w:rFonts w:hint="eastAsia" w:ascii="Times New Roman" w:hAnsi="Times New Roman" w:eastAsia="宋体" w:cs="Times New Roman"/>
          <w:b w:val="0"/>
          <w:i w:val="0"/>
          <w:sz w:val="21"/>
        </w:rPr>
        <w:t xml:space="preserve">式中 </w:t>
      </w:r>
      <m:oMath>
        <m:sSubSup>
          <m:sSubSupPr/>
          <m:e>
            <m:r>
              <m:rPr/>
              <m:t>a</m:t>
            </m:r>
          </m:e>
          <m:sub>
            <m:r>
              <m:rPr/>
              <m:t>w</m:t>
            </m:r>
          </m:sub>
          <m:sup>
            <m:r>
              <m:rPr>
                <m:sty m:val="p"/>
              </m:rPr>
              <m:t>(</m:t>
            </m:r>
            <m:r>
              <m:rPr/>
              <m:t>m</m:t>
            </m:r>
            <m:r>
              <m:rPr>
                <m:sty m:val="p"/>
              </m:rPr>
              <m:t>)</m:t>
            </m:r>
          </m:sup>
        </m:sSubSup>
      </m:oMath>
      <w:r>
        <w:rPr>
          <w:rFonts w:hint="eastAsia" w:ascii="Times New Roman" w:hAnsi="Times New Roman" w:eastAsia="宋体" w:cs="Times New Roman"/>
          <w:b w:val="0"/>
          <w:i w:val="0"/>
          <w:sz w:val="21"/>
        </w:rPr>
        <w:t xml:space="preserve"> 为复幅值，</w:t>
      </w:r>
      <m:oMath>
        <m:sSubSup>
          <m:sSubSupPr/>
          <m:e>
            <m:r>
              <m:rPr>
                <m:sty m:val="bi"/>
              </m:rPr>
              <m:t>d</m:t>
            </m:r>
          </m:e>
          <m:sub>
            <m:r>
              <m:rPr/>
              <m:t>w</m:t>
            </m:r>
          </m:sub>
          <m:sup>
            <m:r>
              <m:rPr>
                <m:sty m:val="p"/>
              </m:rPr>
              <m:t>(</m:t>
            </m:r>
            <m:r>
              <m:rPr/>
              <m:t>m</m:t>
            </m:r>
            <m:r>
              <m:rPr>
                <m:sty m:val="p"/>
              </m:rPr>
              <m:t>)</m:t>
            </m:r>
          </m:sup>
        </m:sSubSup>
      </m:oMath>
      <w:r>
        <w:rPr>
          <w:rFonts w:hint="eastAsia" w:ascii="Times New Roman" w:hAnsi="Times New Roman" w:eastAsia="宋体" w:cs="Times New Roman"/>
          <w:b w:val="0"/>
          <w:i w:val="0"/>
          <w:sz w:val="21"/>
        </w:rPr>
        <w:t xml:space="preserve"> 为极化向量，P、SV 波的竖向慢度分别由 </w:t>
      </w:r>
      <m:oMath>
        <m:sSubSup>
          <m:sSubSupPr/>
          <m:e>
            <m:r>
              <m:rPr/>
              <m:t>q</m:t>
            </m:r>
          </m:e>
          <m:sub>
            <m:r>
              <m:rPr>
                <m:sty m:val="p"/>
              </m:rPr>
              <m:t>p</m:t>
            </m:r>
          </m:sub>
          <m:sup>
            <m:r>
              <m:rPr>
                <m:sty m:val="p"/>
              </m:rPr>
              <m:t>(</m:t>
            </m:r>
            <m:r>
              <m:rPr/>
              <m:t>m</m:t>
            </m:r>
            <m:r>
              <m:rPr>
                <m:sty m:val="p"/>
              </m:rPr>
              <m:t>)</m:t>
            </m:r>
          </m:sup>
        </m:sSubSup>
        <m:r>
          <m:rPr>
            <m:sty m:val="p"/>
          </m:rPr>
          <m:t>=</m:t>
        </m:r>
        <m:rad>
          <m:radPr>
            <m:degHide m:val="1"/>
          </m:radPr>
          <m:deg/>
          <m:e>
            <m:r>
              <m:rPr/>
              <m:t>1</m:t>
            </m:r>
            <m:r>
              <m:rPr>
                <m:sty m:val="p"/>
              </m:rPr>
              <m:t>/</m:t>
            </m:r>
            <m:sSubSup>
              <m:sSubSupPr/>
              <m:e>
                <m:acc>
                  <m:accPr>
                    <m:chr m:val="̃"/>
                  </m:accPr>
                  <m:e>
                    <m:r>
                      <m:rPr/>
                      <m:t>V</m:t>
                    </m:r>
                  </m:e>
                </m:acc>
              </m:e>
              <m:sub>
                <m:r>
                  <m:rPr>
                    <m:sty m:val="p"/>
                  </m:rPr>
                  <m:t>p</m:t>
                </m:r>
              </m:sub>
              <m:sup>
                <m:r>
                  <m:rPr>
                    <m:sty m:val="p"/>
                  </m:rPr>
                  <m:t>(</m:t>
                </m:r>
                <m:r>
                  <m:rPr/>
                  <m:t>m</m:t>
                </m:r>
                <m:r>
                  <m:rPr>
                    <m:sty m:val="p"/>
                  </m:rPr>
                  <m:t>)</m:t>
                </m:r>
                <m:r>
                  <m:rPr/>
                  <m:t>2</m:t>
                </m:r>
              </m:sup>
            </m:sSubSup>
            <m:r>
              <m:rPr>
                <m:sty m:val="p"/>
              </m:rPr>
              <m:t>−</m:t>
            </m:r>
            <m:sSup>
              <m:sSupPr/>
              <m:e>
                <m:r>
                  <m:rPr/>
                  <m:t>p</m:t>
                </m:r>
              </m:e>
              <m:sup>
                <m:r>
                  <m:rPr/>
                  <m:t>2</m:t>
                </m:r>
              </m:sup>
            </m:sSup>
          </m:e>
        </m:rad>
      </m:oMath>
      <w:r>
        <w:rPr>
          <w:rFonts w:hint="eastAsia" w:ascii="Times New Roman" w:hAnsi="Times New Roman" w:eastAsia="宋体" w:cs="Times New Roman"/>
          <w:b w:val="0"/>
          <w:i w:val="0"/>
          <w:sz w:val="21"/>
        </w:rPr>
        <w:t xml:space="preserve"> 和 </w:t>
      </w:r>
      <m:oMath>
        <m:sSubSup>
          <m:sSubSupPr/>
          <m:e>
            <m:r>
              <m:rPr/>
              <m:t>q</m:t>
            </m:r>
          </m:e>
          <m:sub>
            <m:r>
              <m:rPr>
                <m:sty m:val="p"/>
              </m:rPr>
              <m:t>s</m:t>
            </m:r>
          </m:sub>
          <m:sup>
            <m:r>
              <m:rPr>
                <m:sty m:val="p"/>
              </m:rPr>
              <m:t>(</m:t>
            </m:r>
            <m:r>
              <m:rPr/>
              <m:t>m</m:t>
            </m:r>
            <m:r>
              <m:rPr>
                <m:sty m:val="p"/>
              </m:rPr>
              <m:t>)</m:t>
            </m:r>
          </m:sup>
        </m:sSubSup>
        <m:r>
          <m:rPr>
            <m:sty m:val="p"/>
          </m:rPr>
          <m:t>=</m:t>
        </m:r>
        <m:rad>
          <m:radPr>
            <m:degHide m:val="1"/>
          </m:radPr>
          <m:deg/>
          <m:e>
            <m:r>
              <m:rPr/>
              <m:t>1</m:t>
            </m:r>
            <m:r>
              <m:rPr>
                <m:sty m:val="p"/>
              </m:rPr>
              <m:t>/</m:t>
            </m:r>
            <m:sSubSup>
              <m:sSubSupPr/>
              <m:e>
                <m:acc>
                  <m:accPr>
                    <m:chr m:val="̃"/>
                  </m:accPr>
                  <m:e>
                    <m:r>
                      <m:rPr/>
                      <m:t>V</m:t>
                    </m:r>
                  </m:e>
                </m:acc>
              </m:e>
              <m:sub>
                <m:r>
                  <m:rPr>
                    <m:sty m:val="p"/>
                  </m:rPr>
                  <m:t>s</m:t>
                </m:r>
              </m:sub>
              <m:sup>
                <m:r>
                  <m:rPr>
                    <m:sty m:val="p"/>
                  </m:rPr>
                  <m:t>(</m:t>
                </m:r>
                <m:r>
                  <m:rPr/>
                  <m:t>m</m:t>
                </m:r>
                <m:r>
                  <m:rPr>
                    <m:sty m:val="p"/>
                  </m:rPr>
                  <m:t>)</m:t>
                </m:r>
                <m:r>
                  <m:rPr/>
                  <m:t>2</m:t>
                </m:r>
              </m:sup>
            </m:sSubSup>
            <m:r>
              <m:rPr>
                <m:sty m:val="p"/>
              </m:rPr>
              <m:t>−</m:t>
            </m:r>
            <m:sSup>
              <m:sSupPr/>
              <m:e>
                <m:r>
                  <m:rPr/>
                  <m:t>p</m:t>
                </m:r>
              </m:e>
              <m:sup>
                <m:r>
                  <m:rPr/>
                  <m:t>2</m:t>
                </m:r>
              </m:sup>
            </m:sSup>
          </m:e>
        </m:rad>
      </m:oMath>
      <w:r>
        <w:rPr>
          <w:rFonts w:hint="eastAsia" w:ascii="Times New Roman" w:hAnsi="Times New Roman" w:eastAsia="宋体" w:cs="Times New Roman"/>
          <w:b w:val="0"/>
          <w:i w:val="0"/>
          <w:sz w:val="21"/>
        </w:rPr>
        <w:t xml:space="preserve"> 确定；对上、下行P波有 </w:t>
      </w:r>
      <m:oMath>
        <m:sSubSup>
          <m:sSubSupPr/>
          <m:e>
            <m:r>
              <m:rPr/>
              <m:t>k</m:t>
            </m:r>
          </m:e>
          <m:sub>
            <m:r>
              <m:rPr/>
              <m:t>y</m:t>
            </m:r>
            <m:r>
              <m:rPr>
                <m:sty m:val="p"/>
              </m:rPr>
              <m:t>,</m:t>
            </m:r>
            <m:r>
              <m:rPr/>
              <m:t>w</m:t>
            </m:r>
          </m:sub>
          <m:sup>
            <m:r>
              <m:rPr>
                <m:sty m:val="p"/>
              </m:rPr>
              <m:t>(</m:t>
            </m:r>
            <m:r>
              <m:rPr/>
              <m:t>m</m:t>
            </m:r>
            <m:r>
              <m:rPr>
                <m:sty m:val="p"/>
              </m:rPr>
              <m:t>)</m:t>
            </m:r>
          </m:sup>
        </m:sSubSup>
        <m:r>
          <m:rPr>
            <m:sty m:val="p"/>
          </m:rPr>
          <m:t>=∓</m:t>
        </m:r>
        <m:sSubSup>
          <m:sSubSupPr/>
          <m:e>
            <m:r>
              <m:rPr/>
              <m:t>q</m:t>
            </m:r>
          </m:e>
          <m:sub>
            <m:r>
              <m:rPr>
                <m:sty m:val="p"/>
              </m:rPr>
              <m:t>p</m:t>
            </m:r>
          </m:sub>
          <m:sup>
            <m:r>
              <m:rPr>
                <m:sty m:val="p"/>
              </m:rPr>
              <m:t>(</m:t>
            </m:r>
            <m:r>
              <m:rPr/>
              <m:t>m</m:t>
            </m:r>
            <m:r>
              <m:rPr>
                <m:sty m:val="p"/>
              </m:rPr>
              <m:t>)</m:t>
            </m:r>
          </m:sup>
        </m:sSubSup>
      </m:oMath>
      <w:r>
        <w:rPr>
          <w:rFonts w:hint="eastAsia" w:ascii="Times New Roman" w:hAnsi="Times New Roman" w:eastAsia="宋体" w:cs="Times New Roman"/>
          <w:b w:val="0"/>
          <w:i w:val="0"/>
          <w:sz w:val="21"/>
        </w:rPr>
        <w:t xml:space="preserve">，对上、下行SV波有 </w:t>
      </w:r>
      <m:oMath>
        <m:sSubSup>
          <m:sSubSupPr/>
          <m:e>
            <m:r>
              <m:rPr/>
              <m:t>k</m:t>
            </m:r>
          </m:e>
          <m:sub>
            <m:r>
              <m:rPr/>
              <m:t>y</m:t>
            </m:r>
            <m:r>
              <m:rPr>
                <m:sty m:val="p"/>
              </m:rPr>
              <m:t>,</m:t>
            </m:r>
            <m:r>
              <m:rPr/>
              <m:t>w</m:t>
            </m:r>
          </m:sub>
          <m:sup>
            <m:r>
              <m:rPr>
                <m:sty m:val="p"/>
              </m:rPr>
              <m:t>(</m:t>
            </m:r>
            <m:r>
              <m:rPr/>
              <m:t>m</m:t>
            </m:r>
            <m:r>
              <m:rPr>
                <m:sty m:val="p"/>
              </m:rPr>
              <m:t>)</m:t>
            </m:r>
          </m:sup>
        </m:sSubSup>
        <m:r>
          <m:rPr>
            <m:sty m:val="p"/>
          </m:rPr>
          <m:t>=∓</m:t>
        </m:r>
        <m:sSubSup>
          <m:sSubSupPr/>
          <m:e>
            <m:r>
              <m:rPr/>
              <m:t>q</m:t>
            </m:r>
          </m:e>
          <m:sub>
            <m:r>
              <m:rPr>
                <m:sty m:val="p"/>
              </m:rPr>
              <m:t>s</m:t>
            </m:r>
          </m:sub>
          <m:sup>
            <m:r>
              <m:rPr>
                <m:sty m:val="p"/>
              </m:rPr>
              <m:t>(</m:t>
            </m:r>
            <m:r>
              <m:rPr/>
              <m:t>m</m:t>
            </m:r>
            <m:r>
              <m:rPr>
                <m:sty m:val="p"/>
              </m:rPr>
              <m:t>)</m:t>
            </m:r>
          </m:sup>
        </m:sSubSup>
      </m:oMath>
      <w:r>
        <w:rPr>
          <w:rFonts w:hint="eastAsia" w:ascii="Times New Roman" w:hAnsi="Times New Roman" w:eastAsia="宋体" w:cs="Times New Roman"/>
          <w:b w:val="0"/>
          <w:i w:val="0"/>
          <w:sz w:val="21"/>
        </w:rPr>
        <w:t xml:space="preserve">，符号与式（7）的传播方向约定一致。上行波的参考点锚定于层底、下行波锚定于层顶，使衰减介质中的指数项不随层厚无界增长。对于含 </w:t>
      </w:r>
      <m:oMath>
        <m:r>
          <m:rPr/>
          <m:t>M</m:t>
        </m:r>
      </m:oMath>
      <w:r>
        <w:rPr>
          <w:rFonts w:hint="eastAsia" w:ascii="Times New Roman" w:hAnsi="Times New Roman" w:eastAsia="宋体" w:cs="Times New Roman"/>
          <w:b w:val="0"/>
          <w:i w:val="0"/>
          <w:sz w:val="21"/>
        </w:rPr>
        <w:t xml:space="preserve"> 个有限覆盖层的体系，未知量包括基岩下行 P/SV 两支反射波与每层四支波，共 </w:t>
      </w:r>
      <m:oMath>
        <m:r>
          <m:rPr/>
          <m:t>4M</m:t>
        </m:r>
        <m:r>
          <m:rPr>
            <m:sty m:val="p"/>
          </m:rPr>
          <m:t>+</m:t>
        </m:r>
        <m:r>
          <m:rPr/>
          <m:t>2</m:t>
        </m:r>
      </m:oMath>
      <w:r>
        <w:rPr>
          <w:rFonts w:hint="eastAsia" w:ascii="Times New Roman" w:hAnsi="Times New Roman" w:eastAsia="宋体" w:cs="Times New Roman"/>
          <w:b w:val="0"/>
          <w:i w:val="0"/>
          <w:sz w:val="21"/>
        </w:rPr>
        <w:t xml:space="preserve"> 个复数幅值。自由地表满足零剪应力和零法向应力，各层界面满足水平、竖向位移及两项应力连续，逐频形成</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01BBF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165BB65A">
            <w:pPr>
              <w:spacing w:before="60" w:after="60"/>
              <w:jc w:val="center"/>
            </w:pPr>
            <m:oMathPara>
              <m:oMath>
                <m:r>
                  <m:rPr>
                    <m:sty m:val="bi"/>
                  </m:rPr>
                  <m:t>A</m:t>
                </m:r>
                <m:r>
                  <m:rPr>
                    <m:sty m:val="p"/>
                  </m:rPr>
                  <m:t>(</m:t>
                </m:r>
                <m:r>
                  <m:rPr/>
                  <m:t>ω</m:t>
                </m:r>
                <m:r>
                  <m:rPr>
                    <m:sty m:val="p"/>
                  </m:rPr>
                  <m:t>)</m:t>
                </m:r>
                <m:r>
                  <m:rPr>
                    <m:sty m:val="bi"/>
                  </m:rPr>
                  <m:t>x</m:t>
                </m:r>
                <m:r>
                  <m:rPr>
                    <m:sty m:val="p"/>
                  </m:rPr>
                  <m:t>(</m:t>
                </m:r>
                <m:r>
                  <m:rPr/>
                  <m:t>ω</m:t>
                </m:r>
                <m:r>
                  <m:rPr>
                    <m:sty m:val="p"/>
                  </m:rPr>
                  <m:t>)=</m:t>
                </m:r>
                <m:r>
                  <m:rPr>
                    <m:sty m:val="bi"/>
                  </m:rPr>
                  <m:t>b</m:t>
                </m:r>
                <m:r>
                  <m:rPr>
                    <m:sty m:val="p"/>
                  </m:rPr>
                  <m:t>(</m:t>
                </m:r>
                <m:r>
                  <m:rPr/>
                  <m:t>ω</m:t>
                </m:r>
                <m:r>
                  <m:rPr>
                    <m:sty m:val="p"/>
                  </m:rPr>
                  <m:t>),</m:t>
                </m:r>
                <m:r>
                  <m:rPr/>
                  <m:t>  </m:t>
                </m:r>
                <m:sSub>
                  <m:sSubPr/>
                  <m:e>
                    <m:d>
                      <m:dPr>
                        <m:begChr m:val=""/>
                        <m:sepChr m:val=""/>
                        <m:endChr m:val="|"/>
                      </m:dPr>
                      <m:e>
                        <m:sSub>
                          <m:sSubPr/>
                          <m:e>
                            <m:r>
                              <m:rPr/>
                              <m:t>σ</m:t>
                            </m:r>
                          </m:e>
                          <m:sub>
                            <m:r>
                              <m:rPr/>
                              <m:t>yy</m:t>
                            </m:r>
                          </m:sub>
                        </m:sSub>
                      </m:e>
                    </m:d>
                  </m:e>
                  <m:sub>
                    <m:r>
                      <m:rPr>
                        <m:sty m:val="p"/>
                      </m:rPr>
                      <m:t>surface</m:t>
                    </m:r>
                  </m:sub>
                </m:sSub>
                <m:r>
                  <m:rPr>
                    <m:sty m:val="p"/>
                  </m:rPr>
                  <m:t>=</m:t>
                </m:r>
                <m:sSub>
                  <m:sSubPr/>
                  <m:e>
                    <m:d>
                      <m:dPr>
                        <m:begChr m:val=""/>
                        <m:sepChr m:val=""/>
                        <m:endChr m:val="|"/>
                      </m:dPr>
                      <m:e>
                        <m:sSub>
                          <m:sSubPr/>
                          <m:e>
                            <m:r>
                              <m:rPr/>
                              <m:t>σ</m:t>
                            </m:r>
                          </m:e>
                          <m:sub>
                            <m:r>
                              <m:rPr/>
                              <m:t>xy</m:t>
                            </m:r>
                          </m:sub>
                        </m:sSub>
                      </m:e>
                    </m:d>
                  </m:e>
                  <m:sub>
                    <m:r>
                      <m:rPr>
                        <m:sty m:val="p"/>
                      </m:rPr>
                      <m:t>surface</m:t>
                    </m:r>
                  </m:sub>
                </m:sSub>
                <m:r>
                  <m:rPr>
                    <m:sty m:val="p"/>
                  </m:rPr>
                  <m:t>=</m:t>
                </m:r>
                <m:r>
                  <m:rPr/>
                  <m:t>0</m:t>
                </m:r>
                <m:r>
                  <m:rPr>
                    <m:sty m:val="p"/>
                  </m:rPr>
                  <m:t>,</m:t>
                </m:r>
                <m:r>
                  <m:rPr/>
                  <m:t>  </m:t>
                </m:r>
                <m:r>
                  <m:rPr>
                    <m:sty m:val="p"/>
                  </m:rPr>
                  <m:t>⟦</m:t>
                </m:r>
                <m:sSub>
                  <m:sSubPr/>
                  <m:e>
                    <m:r>
                      <m:rPr/>
                      <m:t>u</m:t>
                    </m:r>
                  </m:e>
                  <m:sub>
                    <m:r>
                      <m:rPr/>
                      <m:t>x</m:t>
                    </m:r>
                  </m:sub>
                </m:sSub>
                <m:r>
                  <m:rPr>
                    <m:sty m:val="p"/>
                  </m:rPr>
                  <m:t>,</m:t>
                </m:r>
                <m:sSub>
                  <m:sSubPr/>
                  <m:e>
                    <m:r>
                      <m:rPr/>
                      <m:t>u</m:t>
                    </m:r>
                  </m:e>
                  <m:sub>
                    <m:r>
                      <m:rPr/>
                      <m:t>y</m:t>
                    </m:r>
                  </m:sub>
                </m:sSub>
                <m:r>
                  <m:rPr>
                    <m:sty m:val="p"/>
                  </m:rPr>
                  <m:t>,</m:t>
                </m:r>
                <m:sSub>
                  <m:sSubPr/>
                  <m:e>
                    <m:r>
                      <m:rPr/>
                      <m:t>σ</m:t>
                    </m:r>
                  </m:e>
                  <m:sub>
                    <m:r>
                      <m:rPr/>
                      <m:t>xy</m:t>
                    </m:r>
                  </m:sub>
                </m:sSub>
                <m:r>
                  <m:rPr>
                    <m:sty m:val="p"/>
                  </m:rPr>
                  <m:t>,</m:t>
                </m:r>
                <m:sSub>
                  <m:sSubPr/>
                  <m:e>
                    <m:r>
                      <m:rPr/>
                      <m:t>σ</m:t>
                    </m:r>
                  </m:e>
                  <m:sub>
                    <m:r>
                      <m:rPr/>
                      <m:t>yy</m:t>
                    </m:r>
                  </m:sub>
                </m:sSub>
                <m:r>
                  <m:rPr>
                    <m:sty m:val="p"/>
                  </m:rPr>
                  <m:t>⟧=</m:t>
                </m:r>
                <m:r>
                  <m:rPr>
                    <m:sty m:val="b"/>
                  </m:rPr>
                  <m:t>0</m:t>
                </m:r>
                <m:r>
                  <m:rPr>
                    <m:sty m:val="p"/>
                  </m:rPr>
                  <m:t>.</m:t>
                </m:r>
              </m:oMath>
            </m:oMathPara>
          </w:p>
        </w:tc>
        <w:tc>
          <w:tcPr>
            <w:tcW w:w="4819" w:type="dxa"/>
          </w:tcPr>
          <w:p w14:paraId="06693EDD">
            <w:pPr>
              <w:spacing w:before="60" w:after="60"/>
              <w:jc w:val="right"/>
            </w:pPr>
            <w:r>
              <w:rPr>
                <w:rFonts w:hint="eastAsia" w:ascii="Times New Roman" w:hAnsi="Times New Roman" w:eastAsia="Times New Roman" w:cs="Times New Roman"/>
                <w:b w:val="0"/>
                <w:i w:val="0"/>
                <w:sz w:val="21"/>
              </w:rPr>
              <w:t>(8)</w:t>
            </w:r>
          </w:p>
        </w:tc>
      </w:tr>
    </w:tbl>
    <w:p w14:paraId="34A9215D">
      <w:pPr>
        <w:spacing w:before="0" w:after="0"/>
        <w:ind w:firstLine="420"/>
        <w:jc w:val="both"/>
      </w:pPr>
      <w:r>
        <w:rPr>
          <w:rFonts w:hint="eastAsia" w:ascii="Times New Roman" w:hAnsi="Times New Roman" w:eastAsia="宋体" w:cs="Times New Roman"/>
          <w:b w:val="0"/>
          <w:i w:val="0"/>
          <w:sz w:val="21"/>
        </w:rPr>
        <w:t>式（8）同时保留 SV—P 转换、界面透反射与层间多次波。为使自由场中的衰减与 Abaqus 域内 Rayleigh 阻尼保持同一频率依赖关系，频域求解采用</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6BC34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29CEAAAB">
            <w:pPr>
              <w:spacing w:before="60" w:after="60"/>
              <w:jc w:val="center"/>
            </w:pPr>
            <m:oMathPara>
              <m:oMath>
                <m:acc>
                  <m:accPr>
                    <m:chr m:val="̃"/>
                  </m:accPr>
                  <m:e>
                    <m:r>
                      <m:rPr/>
                      <m:t>ρ</m:t>
                    </m:r>
                  </m:e>
                </m:acc>
                <m:r>
                  <m:rPr>
                    <m:sty m:val="p"/>
                  </m:rPr>
                  <m:t>=</m:t>
                </m:r>
                <m:r>
                  <m:rPr/>
                  <m:t>ρ</m:t>
                </m:r>
                <m:d>
                  <m:dPr>
                    <m:sepChr m:val=""/>
                  </m:dPr>
                  <m:e>
                    <m:r>
                      <m:rPr/>
                      <m:t>1</m:t>
                    </m:r>
                    <m:r>
                      <m:rPr>
                        <m:sty m:val="p"/>
                      </m:rPr>
                      <m:t>−i</m:t>
                    </m:r>
                    <m:f>
                      <m:fPr/>
                      <m:num>
                        <m:sSub>
                          <m:sSubPr/>
                          <m:e>
                            <m:r>
                              <m:rPr/>
                              <m:t>α</m:t>
                            </m:r>
                          </m:e>
                          <m:sub>
                            <m:r>
                              <m:rPr>
                                <m:sty m:val="p"/>
                              </m:rPr>
                              <m:t>R</m:t>
                            </m:r>
                          </m:sub>
                        </m:sSub>
                      </m:num>
                      <m:den>
                        <m:r>
                          <m:rPr/>
                          <m:t>ω</m:t>
                        </m:r>
                      </m:den>
                    </m:f>
                  </m:e>
                </m:d>
                <m:r>
                  <m:rPr>
                    <m:sty m:val="p"/>
                  </m:rPr>
                  <m:t>,</m:t>
                </m:r>
                <m:r>
                  <m:rPr/>
                  <m:t>  </m:t>
                </m:r>
                <m:acc>
                  <m:accPr>
                    <m:chr m:val="̃"/>
                  </m:accPr>
                  <m:e>
                    <m:r>
                      <m:rPr/>
                      <m:t>G</m:t>
                    </m:r>
                  </m:e>
                </m:acc>
                <m:r>
                  <m:rPr>
                    <m:sty m:val="p"/>
                  </m:rPr>
                  <m:t>=</m:t>
                </m:r>
                <m:r>
                  <m:rPr/>
                  <m:t>G</m:t>
                </m:r>
                <m:r>
                  <m:rPr>
                    <m:sty m:val="p"/>
                  </m:rPr>
                  <m:t>(</m:t>
                </m:r>
                <m:r>
                  <m:rPr/>
                  <m:t>1</m:t>
                </m:r>
                <m:r>
                  <m:rPr>
                    <m:sty m:val="p"/>
                  </m:rPr>
                  <m:t>+i</m:t>
                </m:r>
                <m:r>
                  <m:rPr/>
                  <m:t>ω</m:t>
                </m:r>
                <m:sSub>
                  <m:sSubPr/>
                  <m:e>
                    <m:r>
                      <m:rPr/>
                      <m:t>β</m:t>
                    </m:r>
                  </m:e>
                  <m:sub>
                    <m:r>
                      <m:rPr>
                        <m:sty m:val="p"/>
                      </m:rPr>
                      <m:t>R</m:t>
                    </m:r>
                  </m:sub>
                </m:sSub>
                <m:r>
                  <m:rPr>
                    <m:sty m:val="p"/>
                  </m:rPr>
                  <m:t>),</m:t>
                </m:r>
                <m:r>
                  <m:rPr/>
                  <m:t>  </m:t>
                </m:r>
                <m:acc>
                  <m:accPr>
                    <m:chr m:val="̃"/>
                  </m:accPr>
                  <m:e>
                    <m:r>
                      <m:rPr/>
                      <m:t>λ</m:t>
                    </m:r>
                  </m:e>
                </m:acc>
                <m:r>
                  <m:rPr>
                    <m:sty m:val="p"/>
                  </m:rPr>
                  <m:t>=</m:t>
                </m:r>
                <m:r>
                  <m:rPr/>
                  <m:t>λ</m:t>
                </m:r>
                <m:r>
                  <m:rPr>
                    <m:sty m:val="p"/>
                  </m:rPr>
                  <m:t>(</m:t>
                </m:r>
                <m:r>
                  <m:rPr/>
                  <m:t>1</m:t>
                </m:r>
                <m:r>
                  <m:rPr>
                    <m:sty m:val="p"/>
                  </m:rPr>
                  <m:t>+i</m:t>
                </m:r>
                <m:r>
                  <m:rPr/>
                  <m:t>ω</m:t>
                </m:r>
                <m:sSub>
                  <m:sSubPr/>
                  <m:e>
                    <m:r>
                      <m:rPr/>
                      <m:t>β</m:t>
                    </m:r>
                  </m:e>
                  <m:sub>
                    <m:r>
                      <m:rPr>
                        <m:sty m:val="p"/>
                      </m:rPr>
                      <m:t>R</m:t>
                    </m:r>
                  </m:sub>
                </m:sSub>
                <m:r>
                  <m:rPr>
                    <m:sty m:val="p"/>
                  </m:rPr>
                  <m:t>).</m:t>
                </m:r>
              </m:oMath>
            </m:oMathPara>
          </w:p>
        </w:tc>
        <w:tc>
          <w:tcPr>
            <w:tcW w:w="4819" w:type="dxa"/>
          </w:tcPr>
          <w:p w14:paraId="4F0009B7">
            <w:pPr>
              <w:spacing w:before="60" w:after="60"/>
              <w:jc w:val="right"/>
            </w:pPr>
            <w:r>
              <w:rPr>
                <w:rFonts w:hint="eastAsia" w:ascii="Times New Roman" w:hAnsi="Times New Roman" w:eastAsia="Times New Roman" w:cs="Times New Roman"/>
                <w:b w:val="0"/>
                <w:i w:val="0"/>
                <w:sz w:val="21"/>
              </w:rPr>
              <w:t>(9)</w:t>
            </w:r>
          </w:p>
        </w:tc>
      </w:tr>
    </w:tbl>
    <w:p w14:paraId="5A46D0E6">
      <w:pPr>
        <w:spacing w:before="0" w:after="0"/>
        <w:ind w:firstLine="420"/>
        <w:jc w:val="both"/>
      </w:pPr>
      <w:r>
        <w:rPr>
          <w:rFonts w:hint="eastAsia" w:ascii="Times New Roman" w:hAnsi="Times New Roman" w:eastAsia="宋体" w:cs="Times New Roman"/>
          <w:b w:val="0"/>
          <w:i w:val="0"/>
          <w:sz w:val="21"/>
        </w:rPr>
        <w:t xml:space="preserve">由式（7）—式（9）得到单位入射下的自由场后，再乘输入位移谱 </w:t>
      </w:r>
      <m:oMath>
        <m:sSub>
          <m:sSubPr/>
          <m:e>
            <m:r>
              <m:rPr/>
              <m:t>U</m:t>
            </m:r>
          </m:e>
          <m:sub>
            <m:r>
              <m:rPr/>
              <m:t>0</m:t>
            </m:r>
          </m:sub>
        </m:sSub>
        <m:r>
          <m:rPr>
            <m:sty m:val="p"/>
          </m:rPr>
          <m:t>(</m:t>
        </m:r>
        <m:r>
          <m:rPr/>
          <m:t>ω</m:t>
        </m:r>
        <m:r>
          <m:rPr>
            <m:sty m:val="p"/>
          </m:rPr>
          <m:t>)=−</m:t>
        </m:r>
        <m:sSub>
          <m:sSubPr/>
          <m:e>
            <m:acc>
              <m:accPr/>
              <m:e>
                <m:r>
                  <m:rPr/>
                  <m:t>a</m:t>
                </m:r>
              </m:e>
            </m:acc>
          </m:e>
          <m:sub>
            <m:r>
              <m:rPr>
                <m:sty m:val="p"/>
              </m:rPr>
              <m:t>in</m:t>
            </m:r>
          </m:sub>
        </m:sSub>
        <m:r>
          <m:rPr>
            <m:sty m:val="p"/>
          </m:rPr>
          <m:t>(</m:t>
        </m:r>
        <m:r>
          <m:rPr/>
          <m:t>ω</m:t>
        </m:r>
        <m:r>
          <m:rPr>
            <m:sty m:val="p"/>
          </m:rPr>
          <m:t>)/</m:t>
        </m:r>
        <m:sSup>
          <m:sSupPr/>
          <m:e>
            <m:r>
              <m:rPr/>
              <m:t>ω</m:t>
            </m:r>
          </m:e>
          <m:sup>
            <m:r>
              <m:rPr/>
              <m:t>2</m:t>
            </m:r>
          </m:sup>
        </m:sSup>
      </m:oMath>
      <w:r>
        <w:rPr>
          <w:rFonts w:hint="eastAsia" w:ascii="Times New Roman" w:hAnsi="Times New Roman" w:eastAsia="宋体" w:cs="Times New Roman"/>
          <w:b w:val="0"/>
          <w:i w:val="0"/>
          <w:sz w:val="21"/>
        </w:rPr>
        <w:t xml:space="preserve"> 及节点的水平传播相位。位移、速度和应力谱经逆快速傅里叶变换恢复为时程，并代入式（6）。计算中采用全局上平台柱模式，即三条截断边界共享同一套成层柱定义和相位基准，但自由场仍在每个边界节点的真实 </w:t>
      </w:r>
      <m:oMath>
        <m:r>
          <m:rPr>
            <m:sty m:val="p"/>
          </m:rPr>
          <m:t>(</m:t>
        </m:r>
        <m:r>
          <m:rPr/>
          <m:t>x</m:t>
        </m:r>
        <m:r>
          <m:rPr>
            <m:sty m:val="p"/>
          </m:rPr>
          <m:t>,</m:t>
        </m:r>
        <m:r>
          <m:rPr/>
          <m:t>y</m:t>
        </m:r>
        <m:r>
          <m:rPr>
            <m:sty m:val="p"/>
          </m:rPr>
          <m:t>)</m:t>
        </m:r>
      </m:oMath>
      <w:r>
        <w:rPr>
          <w:rFonts w:hint="eastAsia" w:ascii="Times New Roman" w:hAnsi="Times New Roman" w:eastAsia="宋体" w:cs="Times New Roman"/>
          <w:b w:val="0"/>
          <w:i w:val="0"/>
          <w:sz w:val="21"/>
        </w:rPr>
        <w:t xml:space="preserve"> 坐标处求值，并没有把不同高度的节点强行视为同一点。该设置属于建模阶段的入射波场定义，会影响有限元求解；后处理中“全地表统一除以左侧一维自由场”只是响应归一化分母，不会改动已经求得的二维时程。两种“统一参考”作用于不同阶段，不能相互替代。</w:t>
      </w:r>
    </w:p>
    <w:p w14:paraId="6571943D">
      <w:pPr>
        <w:spacing w:before="0" w:after="0"/>
        <w:ind w:firstLine="420"/>
        <w:jc w:val="both"/>
      </w:pPr>
      <w:r>
        <w:rPr>
          <w:rFonts w:hint="eastAsia" w:ascii="Times New Roman" w:hAnsi="Times New Roman" w:eastAsia="宋体" w:cs="Times New Roman"/>
          <w:b w:val="0"/>
          <w:i w:val="0"/>
          <w:sz w:val="21"/>
        </w:rPr>
        <w:t xml:space="preserve">频域自由场只对输入谱高于峰值 </w:t>
      </w:r>
      <m:oMath>
        <m:sSup>
          <m:sSupPr/>
          <m:e>
            <m:r>
              <m:rPr/>
              <m:t>10</m:t>
            </m:r>
          </m:e>
          <m:sup>
            <m:r>
              <m:rPr>
                <m:sty m:val="p"/>
              </m:rPr>
              <m:t>−</m:t>
            </m:r>
            <m:r>
              <m:rPr/>
              <m:t>7</m:t>
            </m:r>
          </m:sup>
        </m:sSup>
      </m:oMath>
      <w:r>
        <w:rPr>
          <w:rFonts w:hint="eastAsia" w:ascii="Times New Roman" w:hAnsi="Times New Roman" w:eastAsia="宋体" w:cs="Times New Roman"/>
          <w:b w:val="0"/>
          <w:i w:val="0"/>
          <w:sz w:val="21"/>
        </w:rPr>
        <w:t xml:space="preserve"> 的分量求解，并采用四倍补零降低循环卷积对有效时窗的污染。各支衰减波的参考点分别锚定层顶或层底，式（8）的未知量直接整体求解，不通过连续相乘的传递矩阵跨越全部层厚；这些设置用于避免高频指数上溢和深软层条件下的病态放大。逆快速傅里叶变换（inverse fast Fourier transform，IFFT）后的自由场按增量形式从 </w:t>
      </w:r>
      <m:oMath>
        <m:r>
          <m:rPr/>
          <m:t>t</m:t>
        </m:r>
        <m:r>
          <m:rPr>
            <m:sty m:val="p"/>
          </m:rPr>
          <m:t>=</m:t>
        </m:r>
        <m:r>
          <m:rPr/>
          <m:t>0</m:t>
        </m:r>
      </m:oMath>
      <w:r>
        <w:rPr>
          <w:rFonts w:hint="eastAsia" w:ascii="Times New Roman" w:hAnsi="Times New Roman" w:eastAsia="宋体" w:cs="Times New Roman"/>
          <w:b w:val="0"/>
          <w:i w:val="0"/>
          <w:sz w:val="21"/>
        </w:rPr>
        <w:t xml:space="preserve"> 起算，使三侧等效力、位移和速度的初始基线一致。上述措施只提高成层自由场计算的稳定性，不改变输入的 0.1g 标定，也不对二维地表输出进行任何结果导向的二次归一化。</w:t>
      </w:r>
    </w:p>
    <w:p w14:paraId="2CC3D667">
      <w:pPr>
        <w:spacing w:before="0" w:after="0"/>
        <w:ind w:firstLine="420"/>
        <w:jc w:val="both"/>
      </w:pPr>
      <w:r>
        <w:rPr>
          <w:rFonts w:hint="eastAsia" w:ascii="Times New Roman" w:hAnsi="Times New Roman" w:eastAsia="宋体" w:cs="Times New Roman"/>
          <w:b w:val="0"/>
          <w:i w:val="0"/>
          <w:sz w:val="21"/>
        </w:rPr>
        <w:t xml:space="preserve">统一左侧一维自由场取自上平台对应的成层柱自由表面。选择它作为后处理分母后，上平台、坡面和下平台的原始二维响应完全不变，改变的只是不同位置结果被表达为相对于哪一个一维基准的复数比值。若下平台改用右侧较低自由表面的一维柱，参考自由面高程不同；成层工况还伴随有效覆盖层厚度和材料序列不同，因此右、左柱具有不同的幅值与相位。在 </w:t>
      </w:r>
      <m:oMath>
        <m:r>
          <m:rPr/>
          <m:t>s</m:t>
        </m:r>
        <m:r>
          <m:rPr>
            <m:sty m:val="p"/>
          </m:rPr>
          <m:t>=</m:t>
        </m:r>
        <m:r>
          <m:rPr/>
          <m:t>1</m:t>
        </m:r>
      </m:oMath>
      <w:r>
        <w:rPr>
          <w:rFonts w:hint="eastAsia" w:ascii="Times New Roman" w:hAnsi="Times New Roman" w:eastAsia="宋体" w:cs="Times New Roman"/>
          <w:b w:val="0"/>
          <w:i w:val="0"/>
          <w:sz w:val="21"/>
        </w:rPr>
        <w:t xml:space="preserve"> 切换分母会把这种一维柱差异叠加成非物理分界。本文在 V 组验证中已经采用统一左侧分母，实际修正效果在第3章用专门图件说明。</w:t>
      </w:r>
    </w:p>
    <w:p w14:paraId="6177781A">
      <w:pPr>
        <w:spacing w:before="0" w:after="0"/>
        <w:ind w:firstLine="420"/>
        <w:jc w:val="both"/>
      </w:pPr>
      <w:r>
        <w:rPr>
          <w:rFonts w:hint="eastAsia" w:ascii="Times New Roman" w:hAnsi="Times New Roman" w:eastAsia="宋体" w:cs="Times New Roman"/>
          <w:b w:val="0"/>
          <w:i w:val="0"/>
          <w:sz w:val="21"/>
        </w:rPr>
        <w:t xml:space="preserve">表4列出标准 H/P 工况的数值计算设置。参数表同时保留了 V 组单因素扰动的基准值，使网格、时窗和计算域的验证对象可从正文直接复现。地表输出先保存在原有限元节点上，后续比较才确定性插值至公共 </w:t>
      </w:r>
      <m:oMath>
        <m:r>
          <m:rPr/>
          <m:t>s</m:t>
        </m:r>
      </m:oMath>
      <w:r>
        <w:rPr>
          <w:rFonts w:hint="eastAsia" w:ascii="Times New Roman" w:hAnsi="Times New Roman" w:eastAsia="宋体" w:cs="Times New Roman"/>
          <w:b w:val="0"/>
          <w:i w:val="0"/>
          <w:sz w:val="21"/>
        </w:rPr>
        <w:t xml:space="preserve"> 网格；因此，公共网格并非求解阶段人为设置的 161 个独立节点样本。</w:t>
      </w:r>
    </w:p>
    <w:p w14:paraId="5E13F384">
      <w:pPr>
        <w:spacing w:before="156" w:after="0"/>
        <w:ind w:firstLine="0"/>
        <w:jc w:val="center"/>
      </w:pPr>
      <w:r>
        <w:rPr>
          <w:rFonts w:hint="eastAsia" w:ascii="Times New Roman" w:hAnsi="Times New Roman" w:eastAsia="宋体" w:cs="Times New Roman"/>
          <w:b w:val="0"/>
          <w:i w:val="0"/>
          <w:sz w:val="18"/>
        </w:rPr>
        <w:t>表4 标准工况的数值计算设置</w:t>
      </w:r>
    </w:p>
    <w:p w14:paraId="7C780E0E">
      <w:pPr>
        <w:spacing w:before="0" w:after="40"/>
        <w:ind w:firstLine="0"/>
        <w:jc w:val="center"/>
      </w:pPr>
      <w:r>
        <w:rPr>
          <w:rFonts w:hint="eastAsia" w:ascii="Times New Roman" w:hAnsi="Times New Roman" w:eastAsia="Times New Roman" w:cs="Times New Roman"/>
          <w:b w:val="0"/>
          <w:i w:val="0"/>
          <w:sz w:val="18"/>
        </w:rPr>
        <w:t>Table 4 Numerical settings of the standard simulations</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13"/>
        <w:gridCol w:w="3213"/>
        <w:gridCol w:w="3213"/>
      </w:tblGrid>
      <w:tr w14:paraId="09348B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bottom w:val="single" w:color="auto" w:sz="6" w:space="0"/>
            </w:tcBorders>
            <w:vAlign w:val="center"/>
          </w:tcPr>
          <w:p w14:paraId="085CE262">
            <w:pPr>
              <w:spacing w:before="30" w:after="30"/>
              <w:ind w:firstLine="0"/>
              <w:jc w:val="center"/>
            </w:pPr>
            <w:r>
              <w:rPr>
                <w:rFonts w:hint="eastAsia" w:ascii="Times New Roman" w:hAnsi="Times New Roman" w:eastAsia="宋体" w:cs="Times New Roman"/>
                <w:b/>
                <w:i w:val="0"/>
                <w:sz w:val="18"/>
              </w:rPr>
              <w:t>项目</w:t>
            </w:r>
          </w:p>
        </w:tc>
        <w:tc>
          <w:tcPr>
            <w:tcW w:w="3213" w:type="dxa"/>
            <w:tcBorders>
              <w:bottom w:val="single" w:color="auto" w:sz="6" w:space="0"/>
            </w:tcBorders>
            <w:vAlign w:val="center"/>
          </w:tcPr>
          <w:p w14:paraId="64B62386">
            <w:pPr>
              <w:spacing w:before="30" w:after="30"/>
              <w:ind w:firstLine="0"/>
              <w:jc w:val="center"/>
            </w:pPr>
            <w:r>
              <w:rPr>
                <w:rFonts w:hint="eastAsia" w:ascii="Times New Roman" w:hAnsi="Times New Roman" w:eastAsia="宋体" w:cs="Times New Roman"/>
                <w:b/>
                <w:i w:val="0"/>
                <w:sz w:val="18"/>
              </w:rPr>
              <w:t>标准设置</w:t>
            </w:r>
          </w:p>
        </w:tc>
        <w:tc>
          <w:tcPr>
            <w:tcW w:w="3213" w:type="dxa"/>
            <w:tcBorders>
              <w:bottom w:val="single" w:color="auto" w:sz="6" w:space="0"/>
            </w:tcBorders>
            <w:vAlign w:val="center"/>
          </w:tcPr>
          <w:p w14:paraId="0EB35314">
            <w:pPr>
              <w:spacing w:before="30" w:after="30"/>
              <w:ind w:firstLine="0"/>
              <w:jc w:val="center"/>
            </w:pPr>
            <w:r>
              <w:rPr>
                <w:rFonts w:hint="eastAsia" w:ascii="Times New Roman" w:hAnsi="Times New Roman" w:eastAsia="宋体" w:cs="Times New Roman"/>
                <w:b/>
                <w:i w:val="0"/>
                <w:sz w:val="18"/>
              </w:rPr>
              <w:t>选择依据或说明</w:t>
            </w:r>
          </w:p>
        </w:tc>
      </w:tr>
      <w:tr w14:paraId="63389D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177B288F">
            <w:pPr>
              <w:spacing w:before="30" w:after="30"/>
              <w:ind w:firstLine="0"/>
              <w:jc w:val="center"/>
            </w:pPr>
            <w:r>
              <w:rPr>
                <w:rFonts w:hint="eastAsia" w:ascii="Times New Roman" w:hAnsi="Times New Roman" w:eastAsia="宋体" w:cs="Times New Roman"/>
                <w:b w:val="0"/>
                <w:i w:val="0"/>
                <w:sz w:val="18"/>
              </w:rPr>
              <w:t>求解器与单元</w:t>
            </w:r>
          </w:p>
        </w:tc>
        <w:tc>
          <w:tcPr>
            <w:tcW w:w="3213" w:type="dxa"/>
            <w:vAlign w:val="center"/>
          </w:tcPr>
          <w:p w14:paraId="15529ADB">
            <w:pPr>
              <w:spacing w:before="30" w:after="30"/>
              <w:ind w:firstLine="0"/>
              <w:jc w:val="center"/>
            </w:pPr>
            <w:r>
              <w:rPr>
                <w:rFonts w:hint="eastAsia" w:ascii="Times New Roman" w:hAnsi="Times New Roman" w:eastAsia="宋体" w:cs="Times New Roman"/>
                <w:b w:val="0"/>
                <w:i w:val="0"/>
                <w:sz w:val="18"/>
              </w:rPr>
              <w:t>Abaqus/Standard 2021；CPE4R为主、少量CPE3过渡</w:t>
            </w:r>
          </w:p>
        </w:tc>
        <w:tc>
          <w:tcPr>
            <w:tcW w:w="3213" w:type="dxa"/>
            <w:vAlign w:val="center"/>
          </w:tcPr>
          <w:p w14:paraId="4E978A97">
            <w:pPr>
              <w:spacing w:before="30" w:after="30"/>
              <w:ind w:firstLine="0"/>
              <w:jc w:val="center"/>
            </w:pPr>
            <w:r>
              <w:rPr>
                <w:rFonts w:hint="eastAsia" w:ascii="Times New Roman" w:hAnsi="Times New Roman" w:eastAsia="宋体" w:cs="Times New Roman"/>
                <w:b w:val="0"/>
                <w:i w:val="0"/>
                <w:sz w:val="18"/>
              </w:rPr>
              <w:t>二维平面应变、隐式线性动力</w:t>
            </w:r>
          </w:p>
        </w:tc>
      </w:tr>
      <w:tr w14:paraId="79016E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48707420">
            <w:pPr>
              <w:spacing w:before="30" w:after="30"/>
              <w:ind w:firstLine="0"/>
              <w:jc w:val="center"/>
            </w:pPr>
            <w:r>
              <w:rPr>
                <w:rFonts w:hint="eastAsia" w:ascii="Times New Roman" w:hAnsi="Times New Roman" w:eastAsia="宋体" w:cs="Times New Roman"/>
                <w:b w:val="0"/>
                <w:i w:val="0"/>
                <w:sz w:val="18"/>
              </w:rPr>
              <w:t>覆盖层基准网格</w:t>
            </w:r>
          </w:p>
        </w:tc>
        <w:tc>
          <w:tcPr>
            <w:tcW w:w="3213" w:type="dxa"/>
            <w:vAlign w:val="center"/>
          </w:tcPr>
          <w:p w14:paraId="4D1E101F">
            <w:pPr>
              <w:spacing w:before="30" w:after="30"/>
              <w:ind w:firstLine="0"/>
              <w:jc w:val="center"/>
            </w:pPr>
            <w:r>
              <w:rPr>
                <w:rFonts w:hint="eastAsia" w:ascii="Times New Roman" w:hAnsi="Times New Roman" w:eastAsia="宋体" w:cs="Times New Roman"/>
                <w:b w:val="0"/>
                <w:i w:val="0"/>
                <w:sz w:val="18"/>
              </w:rPr>
              <w:t>4 m</w:t>
            </w:r>
          </w:p>
        </w:tc>
        <w:tc>
          <w:tcPr>
            <w:tcW w:w="3213" w:type="dxa"/>
            <w:vAlign w:val="center"/>
          </w:tcPr>
          <w:p w14:paraId="730F3A9D">
            <w:pPr>
              <w:spacing w:before="30" w:after="30"/>
              <w:ind w:firstLine="0"/>
              <w:jc w:val="center"/>
            </w:pPr>
            <w:r>
              <w:rPr>
                <w:rFonts w:hint="eastAsia" w:ascii="Times New Roman" w:hAnsi="Times New Roman" w:eastAsia="宋体" w:cs="Times New Roman"/>
                <w:b w:val="0"/>
                <w:i w:val="0"/>
                <w:sz w:val="18"/>
              </w:rPr>
              <w:t>10 Hz、</w:t>
            </w:r>
            <m:oMath>
              <m:sSub>
                <m:sSubPr/>
                <m:e>
                  <m:r>
                    <m:rPr/>
                    <m:t>V</m:t>
                  </m:r>
                </m:e>
                <m:sub>
                  <m:r>
                    <m:rPr/>
                    <m:t>s</m:t>
                  </m:r>
                </m:sub>
              </m:sSub>
              <m:r>
                <m:rPr>
                  <m:sty m:val="p"/>
                </m:rPr>
                <m:t>=</m:t>
              </m:r>
              <m:r>
                <m:rPr/>
                <m:t>600</m:t>
              </m:r>
            </m:oMath>
            <w:r>
              <w:rPr>
                <w:rFonts w:hint="eastAsia" w:ascii="Times New Roman" w:hAnsi="Times New Roman" w:eastAsia="宋体" w:cs="Times New Roman"/>
                <w:b w:val="0"/>
                <w:i w:val="0"/>
                <w:sz w:val="18"/>
              </w:rPr>
              <w:t xml:space="preserve"> m/s 时约 15 单元/波长</w:t>
            </w:r>
          </w:p>
        </w:tc>
      </w:tr>
      <w:tr w14:paraId="2CDF91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5BDC9B5C">
            <w:pPr>
              <w:spacing w:before="30" w:after="30"/>
              <w:ind w:firstLine="0"/>
              <w:jc w:val="center"/>
            </w:pPr>
            <w:r>
              <w:rPr>
                <w:rFonts w:hint="eastAsia" w:ascii="Times New Roman" w:hAnsi="Times New Roman" w:eastAsia="宋体" w:cs="Times New Roman"/>
                <w:b w:val="0"/>
                <w:i w:val="0"/>
                <w:sz w:val="18"/>
              </w:rPr>
              <w:t>分层网格</w:t>
            </w:r>
          </w:p>
        </w:tc>
        <w:tc>
          <w:tcPr>
            <w:tcW w:w="3213" w:type="dxa"/>
            <w:vAlign w:val="center"/>
          </w:tcPr>
          <w:p w14:paraId="53192900">
            <w:pPr>
              <w:spacing w:before="30" w:after="30"/>
              <w:ind w:firstLine="0"/>
              <w:jc w:val="center"/>
            </w:pPr>
            <w:r>
              <w:rPr>
                <w:rFonts w:hint="eastAsia" w:ascii="Times New Roman" w:hAnsi="Times New Roman" w:eastAsia="宋体" w:cs="Times New Roman"/>
                <w:b w:val="0"/>
                <w:i w:val="0"/>
                <w:sz w:val="18"/>
              </w:rPr>
              <w:t>启用；最粗/最细尺寸比不超过 4</w:t>
            </w:r>
          </w:p>
        </w:tc>
        <w:tc>
          <w:tcPr>
            <w:tcW w:w="3213" w:type="dxa"/>
            <w:vAlign w:val="center"/>
          </w:tcPr>
          <w:p w14:paraId="59E4168F">
            <w:pPr>
              <w:spacing w:before="30" w:after="30"/>
              <w:ind w:firstLine="0"/>
              <w:jc w:val="center"/>
            </w:pPr>
            <w:r>
              <w:rPr>
                <w:rFonts w:hint="eastAsia" w:ascii="Times New Roman" w:hAnsi="Times New Roman" w:eastAsia="宋体" w:cs="Times New Roman"/>
                <w:b w:val="0"/>
                <w:i w:val="0"/>
                <w:sz w:val="18"/>
              </w:rPr>
              <w:t>软层细、基岩深部渐粗；每层厚度方向不少于 6 单元</w:t>
            </w:r>
          </w:p>
        </w:tc>
      </w:tr>
      <w:tr w14:paraId="33C492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2A774055">
            <w:pPr>
              <w:spacing w:before="30" w:after="30"/>
              <w:ind w:firstLine="0"/>
              <w:jc w:val="center"/>
            </w:pPr>
            <w:r>
              <w:rPr>
                <w:rFonts w:hint="eastAsia" w:ascii="Times New Roman" w:hAnsi="Times New Roman" w:eastAsia="宋体" w:cs="Times New Roman"/>
                <w:b w:val="0"/>
                <w:i w:val="0"/>
                <w:sz w:val="18"/>
              </w:rPr>
              <w:t>时间增量</w:t>
            </w:r>
          </w:p>
        </w:tc>
        <w:tc>
          <w:tcPr>
            <w:tcW w:w="3213" w:type="dxa"/>
            <w:vAlign w:val="center"/>
          </w:tcPr>
          <w:p w14:paraId="50D3D2D6">
            <w:pPr>
              <w:spacing w:before="30" w:after="30"/>
              <w:ind w:firstLine="0"/>
              <w:jc w:val="center"/>
            </w:pPr>
            <w:r>
              <w:rPr>
                <w:rFonts w:hint="eastAsia" w:ascii="Times New Roman" w:hAnsi="Times New Roman" w:eastAsia="宋体" w:cs="Times New Roman"/>
                <w:b w:val="0"/>
                <w:i w:val="0"/>
                <w:sz w:val="18"/>
              </w:rPr>
              <w:t>0.001 s 固定增量</w:t>
            </w:r>
          </w:p>
        </w:tc>
        <w:tc>
          <w:tcPr>
            <w:tcW w:w="3213" w:type="dxa"/>
            <w:vAlign w:val="center"/>
          </w:tcPr>
          <w:p w14:paraId="0E90E432">
            <w:pPr>
              <w:spacing w:before="30" w:after="30"/>
              <w:ind w:firstLine="0"/>
              <w:jc w:val="center"/>
            </w:pPr>
            <w:r>
              <w:rPr>
                <w:rFonts w:hint="eastAsia" w:ascii="Times New Roman" w:hAnsi="Times New Roman" w:eastAsia="宋体" w:cs="Times New Roman"/>
                <w:b w:val="0"/>
                <w:i w:val="0"/>
                <w:sz w:val="18"/>
              </w:rPr>
              <w:t>与输入采样间隔一致；10 Hz 周期含 100 个增量</w:t>
            </w:r>
          </w:p>
        </w:tc>
      </w:tr>
      <w:tr w14:paraId="3257D2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6B20D53C">
            <w:pPr>
              <w:spacing w:before="30" w:after="30"/>
              <w:ind w:firstLine="0"/>
              <w:jc w:val="center"/>
            </w:pPr>
            <w:r>
              <w:rPr>
                <w:rFonts w:hint="eastAsia" w:ascii="Times New Roman" w:hAnsi="Times New Roman" w:eastAsia="宋体" w:cs="Times New Roman"/>
                <w:b w:val="0"/>
                <w:i w:val="0"/>
                <w:sz w:val="18"/>
              </w:rPr>
              <w:t>输入有效持时</w:t>
            </w:r>
          </w:p>
        </w:tc>
        <w:tc>
          <w:tcPr>
            <w:tcW w:w="3213" w:type="dxa"/>
            <w:vAlign w:val="center"/>
          </w:tcPr>
          <w:p w14:paraId="5A06C99C">
            <w:pPr>
              <w:spacing w:before="30" w:after="30"/>
              <w:ind w:firstLine="0"/>
              <w:jc w:val="center"/>
            </w:pPr>
            <w:r>
              <w:rPr>
                <w:rFonts w:hint="eastAsia" w:ascii="Times New Roman" w:hAnsi="Times New Roman" w:eastAsia="宋体" w:cs="Times New Roman"/>
                <w:b w:val="0"/>
                <w:i w:val="0"/>
                <w:sz w:val="18"/>
              </w:rPr>
              <w:t>8.191 s</w:t>
            </w:r>
          </w:p>
        </w:tc>
        <w:tc>
          <w:tcPr>
            <w:tcW w:w="3213" w:type="dxa"/>
            <w:vAlign w:val="center"/>
          </w:tcPr>
          <w:p w14:paraId="23D84807">
            <w:pPr>
              <w:spacing w:before="30" w:after="30"/>
              <w:ind w:firstLine="0"/>
              <w:jc w:val="center"/>
            </w:pPr>
            <w:r>
              <w:rPr>
                <w:rFonts w:hint="eastAsia" w:ascii="Times New Roman" w:hAnsi="Times New Roman" w:eastAsia="宋体" w:cs="Times New Roman"/>
                <w:b w:val="0"/>
                <w:i w:val="0"/>
                <w:sz w:val="18"/>
              </w:rPr>
              <w:t>G1b 宽频多正弦，8192 点</w:t>
            </w:r>
          </w:p>
        </w:tc>
      </w:tr>
      <w:tr w14:paraId="232422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09B9A0D2">
            <w:pPr>
              <w:spacing w:before="30" w:after="30"/>
              <w:ind w:firstLine="0"/>
              <w:jc w:val="center"/>
            </w:pPr>
            <w:r>
              <w:rPr>
                <w:rFonts w:hint="eastAsia" w:ascii="Times New Roman" w:hAnsi="Times New Roman" w:eastAsia="宋体" w:cs="Times New Roman"/>
                <w:b w:val="0"/>
                <w:i w:val="0"/>
                <w:sz w:val="18"/>
              </w:rPr>
              <w:t>静默尾段</w:t>
            </w:r>
          </w:p>
        </w:tc>
        <w:tc>
          <w:tcPr>
            <w:tcW w:w="3213" w:type="dxa"/>
            <w:vAlign w:val="center"/>
          </w:tcPr>
          <w:p w14:paraId="20178AAC">
            <w:pPr>
              <w:spacing w:before="30" w:after="30"/>
              <w:ind w:firstLine="0"/>
              <w:jc w:val="center"/>
            </w:pPr>
            <w:r>
              <w:rPr>
                <w:rFonts w:hint="eastAsia" w:ascii="Times New Roman" w:hAnsi="Times New Roman" w:eastAsia="宋体" w:cs="Times New Roman"/>
                <w:b w:val="0"/>
                <w:i w:val="0"/>
                <w:sz w:val="18"/>
              </w:rPr>
              <w:t>6 s</w:t>
            </w:r>
          </w:p>
        </w:tc>
        <w:tc>
          <w:tcPr>
            <w:tcW w:w="3213" w:type="dxa"/>
            <w:vAlign w:val="center"/>
          </w:tcPr>
          <w:p w14:paraId="7E8E08FF">
            <w:pPr>
              <w:spacing w:before="30" w:after="30"/>
              <w:ind w:firstLine="0"/>
              <w:jc w:val="center"/>
            </w:pPr>
            <w:r>
              <w:rPr>
                <w:rFonts w:hint="eastAsia" w:ascii="Times New Roman" w:hAnsi="Times New Roman" w:eastAsia="宋体" w:cs="Times New Roman"/>
                <w:b w:val="0"/>
                <w:i w:val="0"/>
                <w:sz w:val="18"/>
              </w:rPr>
              <w:t>降低记录截断与晚时残余的影响</w:t>
            </w:r>
          </w:p>
        </w:tc>
      </w:tr>
      <w:tr w14:paraId="4DC2FC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393A590C">
            <w:pPr>
              <w:spacing w:before="30" w:after="30"/>
              <w:ind w:firstLine="0"/>
              <w:jc w:val="center"/>
            </w:pPr>
            <w:r>
              <w:rPr>
                <w:rFonts w:hint="eastAsia" w:ascii="Times New Roman" w:hAnsi="Times New Roman" w:eastAsia="宋体" w:cs="Times New Roman"/>
                <w:b w:val="0"/>
                <w:i w:val="0"/>
                <w:sz w:val="18"/>
              </w:rPr>
              <w:t>总分析时长</w:t>
            </w:r>
          </w:p>
        </w:tc>
        <w:tc>
          <w:tcPr>
            <w:tcW w:w="3213" w:type="dxa"/>
            <w:vAlign w:val="center"/>
          </w:tcPr>
          <w:p w14:paraId="55037CEB">
            <w:pPr>
              <w:spacing w:before="30" w:after="30"/>
              <w:ind w:firstLine="0"/>
              <w:jc w:val="center"/>
            </w:pPr>
            <w:r>
              <w:rPr>
                <w:rFonts w:hint="eastAsia" w:ascii="Times New Roman" w:hAnsi="Times New Roman" w:eastAsia="宋体" w:cs="Times New Roman"/>
                <w:b w:val="0"/>
                <w:i w:val="0"/>
                <w:sz w:val="18"/>
              </w:rPr>
              <w:t>约 14.191 s</w:t>
            </w:r>
          </w:p>
        </w:tc>
        <w:tc>
          <w:tcPr>
            <w:tcW w:w="3213" w:type="dxa"/>
            <w:vAlign w:val="center"/>
          </w:tcPr>
          <w:p w14:paraId="7F619373">
            <w:pPr>
              <w:spacing w:before="30" w:after="30"/>
              <w:ind w:firstLine="0"/>
              <w:jc w:val="center"/>
            </w:pPr>
            <w:r>
              <w:rPr>
                <w:rFonts w:hint="eastAsia" w:ascii="Times New Roman" w:hAnsi="Times New Roman" w:eastAsia="宋体" w:cs="Times New Roman"/>
                <w:b w:val="0"/>
                <w:i w:val="0"/>
                <w:sz w:val="18"/>
              </w:rPr>
              <w:t>输入时段与静默尾段之和</w:t>
            </w:r>
          </w:p>
        </w:tc>
      </w:tr>
      <w:tr w14:paraId="1CEC28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486F885E">
            <w:pPr>
              <w:spacing w:before="30" w:after="30"/>
              <w:ind w:firstLine="0"/>
              <w:jc w:val="center"/>
            </w:pPr>
            <w:r>
              <w:rPr>
                <w:rFonts w:hint="eastAsia" w:ascii="Times New Roman" w:hAnsi="Times New Roman" w:eastAsia="宋体" w:cs="Times New Roman"/>
                <w:b w:val="0"/>
                <w:i w:val="0"/>
                <w:sz w:val="18"/>
              </w:rPr>
              <w:t>正式分析频带</w:t>
            </w:r>
          </w:p>
        </w:tc>
        <w:tc>
          <w:tcPr>
            <w:tcW w:w="3213" w:type="dxa"/>
            <w:vAlign w:val="center"/>
          </w:tcPr>
          <w:p w14:paraId="4B861B70">
            <w:pPr>
              <w:spacing w:before="30" w:after="30"/>
              <w:ind w:firstLine="0"/>
              <w:jc w:val="center"/>
            </w:pPr>
            <w:r>
              <w:rPr>
                <w:rFonts w:hint="eastAsia" w:ascii="Times New Roman" w:hAnsi="Times New Roman" w:eastAsia="宋体" w:cs="Times New Roman"/>
                <w:b w:val="0"/>
                <w:i w:val="0"/>
                <w:sz w:val="18"/>
              </w:rPr>
              <w:t>0.5—10 Hz</w:t>
            </w:r>
          </w:p>
        </w:tc>
        <w:tc>
          <w:tcPr>
            <w:tcW w:w="3213" w:type="dxa"/>
            <w:vAlign w:val="center"/>
          </w:tcPr>
          <w:p w14:paraId="541A0312">
            <w:pPr>
              <w:spacing w:before="30" w:after="30"/>
              <w:ind w:firstLine="0"/>
              <w:jc w:val="center"/>
            </w:pPr>
            <w:r>
              <w:rPr>
                <w:rFonts w:hint="eastAsia" w:ascii="Times New Roman" w:hAnsi="Times New Roman" w:eastAsia="宋体" w:cs="Times New Roman"/>
                <w:b w:val="0"/>
                <w:i w:val="0"/>
                <w:sz w:val="18"/>
              </w:rPr>
              <w:t>10—12 Hz 仅用于边缘诊断</w:t>
            </w:r>
          </w:p>
        </w:tc>
      </w:tr>
      <w:tr w14:paraId="720ACA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7759E746">
            <w:pPr>
              <w:spacing w:before="30" w:after="30"/>
              <w:ind w:firstLine="0"/>
              <w:jc w:val="center"/>
            </w:pPr>
            <w:r>
              <w:rPr>
                <w:rFonts w:hint="eastAsia" w:ascii="Times New Roman" w:hAnsi="Times New Roman" w:eastAsia="宋体" w:cs="Times New Roman"/>
                <w:b w:val="0"/>
                <w:i w:val="0"/>
                <w:sz w:val="18"/>
              </w:rPr>
              <w:t>侧向净空</w:t>
            </w:r>
          </w:p>
        </w:tc>
        <w:tc>
          <w:tcPr>
            <w:tcW w:w="3213" w:type="dxa"/>
            <w:vAlign w:val="center"/>
          </w:tcPr>
          <w:p w14:paraId="4200C4E3">
            <w:pPr>
              <w:spacing w:before="30" w:after="30"/>
              <w:ind w:firstLine="0"/>
              <w:jc w:val="center"/>
            </w:pPr>
            <w:r>
              <w:rPr>
                <w:rFonts w:hint="eastAsia" w:ascii="Times New Roman" w:hAnsi="Times New Roman" w:eastAsia="宋体" w:cs="Times New Roman"/>
                <w:b w:val="0"/>
                <w:i w:val="0"/>
                <w:sz w:val="18"/>
              </w:rPr>
              <w:t xml:space="preserve">左、右各 </w:t>
            </w:r>
            <m:oMath>
              <m:r>
                <m:rPr/>
                <m:t>1h</m:t>
              </m:r>
            </m:oMath>
          </w:p>
        </w:tc>
        <w:tc>
          <w:tcPr>
            <w:tcW w:w="3213" w:type="dxa"/>
            <w:vAlign w:val="center"/>
          </w:tcPr>
          <w:p w14:paraId="65989143">
            <w:pPr>
              <w:spacing w:before="30" w:after="30"/>
              <w:ind w:firstLine="0"/>
              <w:jc w:val="center"/>
            </w:pPr>
            <w:r>
              <w:rPr>
                <w:rFonts w:hint="eastAsia" w:ascii="Times New Roman" w:hAnsi="Times New Roman" w:eastAsia="宋体" w:cs="Times New Roman"/>
                <w:b w:val="0"/>
                <w:i w:val="0"/>
                <w:sz w:val="18"/>
              </w:rPr>
              <w:t>位于正式观测窗之外</w:t>
            </w:r>
          </w:p>
        </w:tc>
      </w:tr>
      <w:tr w14:paraId="65F850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6B051AD9">
            <w:pPr>
              <w:spacing w:before="30" w:after="30"/>
              <w:ind w:firstLine="0"/>
              <w:jc w:val="center"/>
            </w:pPr>
            <w:r>
              <w:rPr>
                <w:rFonts w:hint="eastAsia" w:ascii="Times New Roman" w:hAnsi="Times New Roman" w:eastAsia="宋体" w:cs="Times New Roman"/>
                <w:b w:val="0"/>
                <w:i w:val="0"/>
                <w:sz w:val="18"/>
              </w:rPr>
              <w:t>基底深度</w:t>
            </w:r>
          </w:p>
        </w:tc>
        <w:tc>
          <w:tcPr>
            <w:tcW w:w="3213" w:type="dxa"/>
            <w:vAlign w:val="center"/>
          </w:tcPr>
          <w:p w14:paraId="1E158D17">
            <w:pPr>
              <w:spacing w:before="30" w:after="30"/>
              <w:ind w:firstLine="0"/>
              <w:jc w:val="center"/>
            </w:pPr>
            <w:r>
              <w:rPr>
                <w:rFonts w:hint="eastAsia" w:ascii="Times New Roman" w:hAnsi="Times New Roman" w:eastAsia="宋体" w:cs="Times New Roman"/>
                <w:b w:val="0"/>
                <w:i w:val="0"/>
                <w:sz w:val="18"/>
              </w:rPr>
              <w:t xml:space="preserve">坡脚以下 </w:t>
            </w:r>
            <m:oMath>
              <m:r>
                <m:rPr/>
                <m:t>3h</m:t>
              </m:r>
            </m:oMath>
          </w:p>
        </w:tc>
        <w:tc>
          <w:tcPr>
            <w:tcW w:w="3213" w:type="dxa"/>
            <w:vAlign w:val="center"/>
          </w:tcPr>
          <w:p w14:paraId="56C3E45B">
            <w:pPr>
              <w:spacing w:before="30" w:after="30"/>
              <w:ind w:firstLine="0"/>
              <w:jc w:val="center"/>
            </w:pPr>
            <w:r>
              <w:rPr>
                <w:rFonts w:hint="eastAsia" w:ascii="Times New Roman" w:hAnsi="Times New Roman" w:eastAsia="宋体" w:cs="Times New Roman"/>
                <w:b w:val="0"/>
                <w:i w:val="0"/>
                <w:sz w:val="18"/>
              </w:rPr>
              <w:t>配合底部黏弹性边界</w:t>
            </w:r>
          </w:p>
        </w:tc>
      </w:tr>
      <w:tr w14:paraId="7E65EF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7F63B418">
            <w:pPr>
              <w:spacing w:before="30" w:after="30"/>
              <w:ind w:firstLine="0"/>
              <w:jc w:val="center"/>
            </w:pPr>
            <w:r>
              <w:rPr>
                <w:rFonts w:hint="eastAsia" w:ascii="Times New Roman" w:hAnsi="Times New Roman" w:eastAsia="宋体" w:cs="Times New Roman"/>
                <w:b w:val="0"/>
                <w:i w:val="0"/>
                <w:sz w:val="18"/>
              </w:rPr>
              <w:t>人工边界</w:t>
            </w:r>
          </w:p>
        </w:tc>
        <w:tc>
          <w:tcPr>
            <w:tcW w:w="3213" w:type="dxa"/>
            <w:vAlign w:val="center"/>
          </w:tcPr>
          <w:p w14:paraId="2641845E">
            <w:pPr>
              <w:spacing w:before="30" w:after="30"/>
              <w:ind w:firstLine="0"/>
              <w:jc w:val="center"/>
            </w:pPr>
            <w:r>
              <w:rPr>
                <w:rFonts w:hint="eastAsia" w:ascii="Times New Roman" w:hAnsi="Times New Roman" w:eastAsia="宋体" w:cs="Times New Roman"/>
                <w:b w:val="0"/>
                <w:i w:val="0"/>
                <w:sz w:val="18"/>
              </w:rPr>
              <w:t>左、右、底黏弹性边界</w:t>
            </w:r>
          </w:p>
        </w:tc>
        <w:tc>
          <w:tcPr>
            <w:tcW w:w="3213" w:type="dxa"/>
            <w:vAlign w:val="center"/>
          </w:tcPr>
          <w:p w14:paraId="6D13B1BC">
            <w:pPr>
              <w:spacing w:before="30" w:after="30"/>
              <w:ind w:firstLine="0"/>
              <w:jc w:val="center"/>
            </w:pPr>
            <w:r>
              <w:rPr>
                <w:rFonts w:hint="eastAsia" w:ascii="Times New Roman" w:hAnsi="Times New Roman" w:eastAsia="宋体" w:cs="Times New Roman"/>
                <w:b w:val="0"/>
                <w:i w:val="0"/>
                <w:sz w:val="18"/>
              </w:rPr>
              <w:t>地表为自由边界</w:t>
            </w:r>
          </w:p>
        </w:tc>
      </w:tr>
      <w:tr w14:paraId="746495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7831E6D9">
            <w:pPr>
              <w:spacing w:before="30" w:after="30"/>
              <w:ind w:firstLine="0"/>
              <w:jc w:val="center"/>
            </w:pPr>
            <w:r>
              <w:rPr>
                <w:rFonts w:hint="eastAsia" w:ascii="Times New Roman" w:hAnsi="Times New Roman" w:eastAsia="宋体" w:cs="Times New Roman"/>
                <w:b w:val="0"/>
                <w:i w:val="0"/>
                <w:sz w:val="18"/>
              </w:rPr>
              <w:t>人工边界参考尺度</w:t>
            </w:r>
          </w:p>
        </w:tc>
        <w:tc>
          <w:tcPr>
            <w:tcW w:w="3213" w:type="dxa"/>
            <w:vAlign w:val="center"/>
          </w:tcPr>
          <w:p w14:paraId="1E6C4349">
            <w:pPr>
              <w:spacing w:before="30" w:after="30"/>
              <w:ind w:firstLine="0"/>
              <w:jc w:val="center"/>
            </w:pPr>
            <m:oMath>
              <m:r>
                <m:rPr/>
                <m:t>R</m:t>
              </m:r>
              <m:r>
                <m:rPr>
                  <m:sty m:val="p"/>
                </m:rPr>
                <m:t>=</m:t>
              </m:r>
              <m:r>
                <m:rPr/>
                <m:t>4h</m:t>
              </m:r>
              <m:r>
                <m:rPr>
                  <m:sty m:val="p"/>
                </m:rPr>
                <m:t>=</m:t>
              </m:r>
              <m:r>
                <m:rPr/>
                <m:t>400</m:t>
              </m:r>
            </m:oMath>
            <w:r>
              <w:rPr>
                <w:rFonts w:hint="eastAsia" w:ascii="Times New Roman" w:hAnsi="Times New Roman" w:eastAsia="宋体" w:cs="Times New Roman"/>
                <w:b w:val="0"/>
                <w:i w:val="0"/>
                <w:sz w:val="18"/>
              </w:rPr>
              <w:t xml:space="preserve"> m</w:t>
            </w:r>
          </w:p>
        </w:tc>
        <w:tc>
          <w:tcPr>
            <w:tcW w:w="3213" w:type="dxa"/>
            <w:vAlign w:val="center"/>
          </w:tcPr>
          <w:p w14:paraId="41971674">
            <w:pPr>
              <w:spacing w:before="30" w:after="30"/>
              <w:ind w:firstLine="0"/>
              <w:jc w:val="center"/>
            </w:pPr>
            <w:r>
              <w:rPr>
                <w:rFonts w:hint="eastAsia" w:ascii="Times New Roman" w:hAnsi="Times New Roman" w:eastAsia="宋体" w:cs="Times New Roman"/>
                <w:b w:val="0"/>
                <w:i w:val="0"/>
                <w:sz w:val="18"/>
              </w:rPr>
              <w:t>取标准模型最大地表高程</w:t>
            </w:r>
          </w:p>
        </w:tc>
      </w:tr>
      <w:tr w14:paraId="034842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66293D98">
            <w:pPr>
              <w:spacing w:before="30" w:after="30"/>
              <w:ind w:firstLine="0"/>
              <w:jc w:val="center"/>
            </w:pPr>
            <w:r>
              <w:rPr>
                <w:rFonts w:hint="eastAsia" w:ascii="Times New Roman" w:hAnsi="Times New Roman" w:eastAsia="宋体" w:cs="Times New Roman"/>
                <w:b w:val="0"/>
                <w:i w:val="0"/>
                <w:sz w:val="18"/>
              </w:rPr>
              <w:t>波动输入</w:t>
            </w:r>
          </w:p>
        </w:tc>
        <w:tc>
          <w:tcPr>
            <w:tcW w:w="3213" w:type="dxa"/>
            <w:vAlign w:val="center"/>
          </w:tcPr>
          <w:p w14:paraId="432EA6F4">
            <w:pPr>
              <w:spacing w:before="30" w:after="30"/>
              <w:ind w:firstLine="0"/>
              <w:jc w:val="center"/>
            </w:pPr>
            <w:r>
              <w:rPr>
                <w:rFonts w:hint="eastAsia" w:ascii="Times New Roman" w:hAnsi="Times New Roman" w:eastAsia="宋体" w:cs="Times New Roman"/>
                <w:b w:val="0"/>
                <w:i w:val="0"/>
                <w:sz w:val="18"/>
              </w:rPr>
              <w:t>频域全局矩阵自由场与等效节点力</w:t>
            </w:r>
          </w:p>
        </w:tc>
        <w:tc>
          <w:tcPr>
            <w:tcW w:w="3213" w:type="dxa"/>
            <w:vAlign w:val="center"/>
          </w:tcPr>
          <w:p w14:paraId="0D30844F">
            <w:pPr>
              <w:spacing w:before="30" w:after="30"/>
              <w:ind w:firstLine="0"/>
              <w:jc w:val="center"/>
            </w:pPr>
            <w:r>
              <w:rPr>
                <w:rFonts w:hint="eastAsia" w:ascii="Times New Roman" w:hAnsi="Times New Roman" w:eastAsia="宋体" w:cs="Times New Roman"/>
                <w:b w:val="0"/>
                <w:i w:val="0"/>
                <w:sz w:val="18"/>
              </w:rPr>
              <w:t>15° SV 斜入射，包含 P—SV 转换与多次波</w:t>
            </w:r>
          </w:p>
        </w:tc>
      </w:tr>
      <w:tr w14:paraId="067B39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502DBD3D">
            <w:pPr>
              <w:spacing w:before="30" w:after="30"/>
              <w:ind w:firstLine="0"/>
              <w:jc w:val="center"/>
            </w:pPr>
            <w:r>
              <w:rPr>
                <w:rFonts w:hint="eastAsia" w:ascii="Times New Roman" w:hAnsi="Times New Roman" w:eastAsia="宋体" w:cs="Times New Roman"/>
                <w:b w:val="0"/>
                <w:i w:val="0"/>
                <w:sz w:val="18"/>
              </w:rPr>
              <w:t>自由场参考模式</w:t>
            </w:r>
          </w:p>
        </w:tc>
        <w:tc>
          <w:tcPr>
            <w:tcW w:w="3213" w:type="dxa"/>
            <w:vAlign w:val="center"/>
          </w:tcPr>
          <w:p w14:paraId="309C4392">
            <w:pPr>
              <w:spacing w:before="30" w:after="30"/>
              <w:ind w:firstLine="0"/>
              <w:jc w:val="center"/>
            </w:pPr>
            <w:r>
              <w:rPr>
                <w:rFonts w:hint="eastAsia" w:ascii="Times New Roman" w:hAnsi="Times New Roman" w:eastAsia="宋体" w:cs="Times New Roman"/>
                <w:b w:val="0"/>
                <w:i w:val="0"/>
                <w:sz w:val="18"/>
              </w:rPr>
              <w:t>全局上平台柱</w:t>
            </w:r>
          </w:p>
        </w:tc>
        <w:tc>
          <w:tcPr>
            <w:tcW w:w="3213" w:type="dxa"/>
            <w:vAlign w:val="center"/>
          </w:tcPr>
          <w:p w14:paraId="1DFF0606">
            <w:pPr>
              <w:spacing w:before="30" w:after="30"/>
              <w:ind w:firstLine="0"/>
              <w:jc w:val="center"/>
            </w:pPr>
            <w:r>
              <w:rPr>
                <w:rFonts w:hint="eastAsia" w:ascii="Times New Roman" w:hAnsi="Times New Roman" w:eastAsia="宋体" w:cs="Times New Roman"/>
                <w:b w:val="0"/>
                <w:i w:val="0"/>
                <w:sz w:val="18"/>
              </w:rPr>
              <w:t>三边界统一上平台成层柱定义；按节点真实坐标取值</w:t>
            </w:r>
          </w:p>
        </w:tc>
      </w:tr>
    </w:tbl>
    <w:p w14:paraId="767079F4">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pPr>
      <w:r>
        <w:rPr>
          <w:rFonts w:hint="eastAsia" w:ascii="Times New Roman" w:hAnsi="Times New Roman" w:eastAsia="宋体" w:cs="Times New Roman"/>
          <w:b/>
          <w:i w:val="0"/>
          <w:sz w:val="24"/>
        </w:rPr>
        <w:t>2.2 数值模型验证</w:t>
      </w:r>
    </w:p>
    <w:p w14:paraId="7E91DE89">
      <w:pPr>
        <w:spacing w:before="0" w:after="0"/>
        <w:ind w:firstLine="420"/>
        <w:jc w:val="both"/>
      </w:pPr>
      <w:r>
        <w:rPr>
          <w:rFonts w:hint="eastAsia" w:ascii="Times New Roman" w:hAnsi="Times New Roman" w:eastAsia="宋体" w:cs="Times New Roman"/>
          <w:b w:val="0"/>
          <w:i w:val="0"/>
          <w:sz w:val="21"/>
        </w:rPr>
        <w:t>数值验证围绕两类不同风险展开。V 组针对 Abaqus 模型内部设置：若减小网格、延长尾段或扩大计算域便显著改变坡体关键位置的主峰，则参数规律可能只是离散或边界产物。X 组针对求解方法：即使同一 Abaqus 设置内部稳定，低阶有限元的空间离散、隐式时间推进和人工边界实现仍可能形成系统偏差，因此需要由高阶谱元程序在公共输入和公共接收点上提供独立比较。这两道验证共享“先固定比较口径、再查看结果”的原则，但承担的证明责任不同，不能用其中一道代替另一道。</w:t>
      </w:r>
    </w:p>
    <w:p w14:paraId="0A4C61A4">
      <w:pPr>
        <w:keepNext w:val="0"/>
        <w:keepLines w:val="0"/>
        <w:pageBreakBefore w:val="0"/>
        <w:widowControl w:val="0"/>
        <w:kinsoku/>
        <w:wordWrap/>
        <w:overflowPunct/>
        <w:topLinePunct w:val="0"/>
        <w:autoSpaceDE/>
        <w:autoSpaceDN/>
        <w:bidi w:val="0"/>
        <w:adjustRightInd/>
        <w:snapToGrid/>
        <w:spacing w:before="80" w:after="20"/>
        <w:ind w:firstLine="0"/>
        <w:jc w:val="left"/>
        <w:textAlignment w:val="auto"/>
        <w:outlineLvl w:val="2"/>
      </w:pPr>
      <w:r>
        <w:rPr>
          <w:rFonts w:hint="eastAsia" w:ascii="Times New Roman" w:hAnsi="Times New Roman" w:eastAsia="宋体" w:cs="Times New Roman"/>
          <w:b/>
          <w:i w:val="0"/>
          <w:sz w:val="21"/>
        </w:rPr>
        <w:t>2.2.1 数值设置敏感性</w:t>
      </w:r>
    </w:p>
    <w:p w14:paraId="2794FF4E">
      <w:pPr>
        <w:spacing w:before="0" w:after="0"/>
        <w:ind w:firstLine="420"/>
        <w:jc w:val="both"/>
      </w:pPr>
      <w:r>
        <w:rPr>
          <w:rFonts w:hint="eastAsia" w:ascii="Times New Roman" w:hAnsi="Times New Roman" w:eastAsia="宋体" w:cs="Times New Roman"/>
          <w:b w:val="0"/>
          <w:i w:val="0"/>
          <w:sz w:val="21"/>
        </w:rPr>
        <w:t xml:space="preserve">V 组选择 P061 作为共同基准。该工况取 </w:t>
      </w:r>
      <m:oMath>
        <m:r>
          <m:rPr/>
          <m:t>i</m:t>
        </m:r>
        <m:r>
          <m:rPr>
            <m:sty m:val="p"/>
          </m:rPr>
          <m:t>=</m:t>
        </m:r>
        <m:sSup>
          <m:sSupPr/>
          <m:e>
            <m:r>
              <m:rPr/>
              <m:t>60</m:t>
            </m:r>
          </m:e>
          <m:sup>
            <m:r>
              <m:rPr>
                <m:sty m:val="p"/>
              </m:rPr>
              <m:t>∘</m:t>
            </m:r>
          </m:sup>
        </m:sSup>
      </m:oMath>
      <w:r>
        <w:rPr>
          <w:rFonts w:hint="eastAsia" w:ascii="Times New Roman" w:hAnsi="Times New Roman" w:eastAsia="宋体" w:cs="Times New Roman"/>
          <w:b w:val="0"/>
          <w:i w:val="0"/>
          <w:sz w:val="21"/>
        </w:rPr>
        <w:t>、</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 xml:space="preserve"> 和 </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 xml:space="preserve">，同时具有研究域内最陡坡面、最厚覆盖层和最低覆盖层剪切波速。其 10 Hz 最短剪切波长仅 60 m，坡面水平投影约 57.7 m，覆盖层共振和坡体散射均可能形成较陡的空间—频率变化，因而比缓坡或较硬覆盖层更容易暴露网格与边界不足。V001 将标准分级网格改为全局均匀 1 m 网格；V002 仅把静默尾段由 6 s 延长至 12 s；V003 仅把左右侧向净空由 </w:t>
      </w:r>
      <m:oMath>
        <m:r>
          <m:rPr/>
          <m:t>1h</m:t>
        </m:r>
      </m:oMath>
      <w:r>
        <w:rPr>
          <w:rFonts w:hint="eastAsia" w:ascii="Times New Roman" w:hAnsi="Times New Roman" w:eastAsia="宋体" w:cs="Times New Roman"/>
          <w:b w:val="0"/>
          <w:i w:val="0"/>
          <w:sz w:val="21"/>
        </w:rPr>
        <w:t xml:space="preserve"> 扩大到 </w:t>
      </w:r>
      <m:oMath>
        <m:r>
          <m:rPr/>
          <m:t>2h</m:t>
        </m:r>
      </m:oMath>
      <w:r>
        <w:rPr>
          <w:rFonts w:hint="eastAsia" w:ascii="Times New Roman" w:hAnsi="Times New Roman" w:eastAsia="宋体" w:cs="Times New Roman"/>
          <w:b w:val="0"/>
          <w:i w:val="0"/>
          <w:sz w:val="21"/>
        </w:rPr>
        <w:t xml:space="preserve">；V004 仅把坡脚以下基底深度由 </w:t>
      </w:r>
      <m:oMath>
        <m:r>
          <m:rPr/>
          <m:t>3h</m:t>
        </m:r>
      </m:oMath>
      <w:r>
        <w:rPr>
          <w:rFonts w:hint="eastAsia" w:ascii="Times New Roman" w:hAnsi="Times New Roman" w:eastAsia="宋体" w:cs="Times New Roman"/>
          <w:b w:val="0"/>
          <w:i w:val="0"/>
          <w:sz w:val="21"/>
        </w:rPr>
        <w:t xml:space="preserve"> 加深至 </w:t>
      </w:r>
      <m:oMath>
        <m:r>
          <m:rPr/>
          <m:t>6h</m:t>
        </m:r>
      </m:oMath>
      <w:r>
        <w:rPr>
          <w:rFonts w:hint="eastAsia" w:ascii="Times New Roman" w:hAnsi="Times New Roman" w:eastAsia="宋体" w:cs="Times New Roman"/>
          <w:b w:val="0"/>
          <w:i w:val="0"/>
          <w:sz w:val="21"/>
        </w:rPr>
        <w:t>。除指定变量外，几何、材料、阻尼、输入、边界算法和后处理流程均与 P061 相同。</w:t>
      </w:r>
    </w:p>
    <w:p w14:paraId="0751B355">
      <w:pPr>
        <w:spacing w:before="0" w:after="0"/>
        <w:ind w:firstLine="420"/>
        <w:jc w:val="both"/>
      </w:pPr>
      <w:r>
        <w:rPr>
          <w:rFonts w:hint="eastAsia" w:ascii="Times New Roman" w:hAnsi="Times New Roman" w:eastAsia="宋体" w:cs="Times New Roman"/>
          <w:b w:val="0"/>
          <w:i w:val="0"/>
          <w:sz w:val="21"/>
        </w:rPr>
        <w:t xml:space="preserve">验证关注两个直接决定后续物理判读的主要量：坡顶 </w:t>
      </w:r>
      <m:oMath>
        <m:r>
          <m:rPr/>
          <m:t>s</m:t>
        </m:r>
        <m:r>
          <m:rPr>
            <m:sty m:val="p"/>
          </m:rPr>
          <m:t>=</m:t>
        </m:r>
        <m:r>
          <m:rPr/>
          <m:t>0</m:t>
        </m:r>
      </m:oMath>
      <w:r>
        <w:rPr>
          <w:rFonts w:hint="eastAsia" w:ascii="Times New Roman" w:hAnsi="Times New Roman" w:eastAsia="宋体" w:cs="Times New Roman"/>
          <w:b w:val="0"/>
          <w:i w:val="0"/>
          <w:sz w:val="21"/>
        </w:rPr>
        <w:t xml:space="preserve"> 处主峰频率误差不超过 0.2 Hz，坡面中部 </w:t>
      </w:r>
      <m:oMath>
        <m:r>
          <m:rPr/>
          <m:t>s</m:t>
        </m:r>
        <m:r>
          <m:rPr>
            <m:sty m:val="p"/>
          </m:rPr>
          <m:t>=</m:t>
        </m:r>
        <m:r>
          <m:rPr/>
          <m:t>0.5</m:t>
        </m:r>
      </m:oMath>
      <w:r>
        <w:rPr>
          <w:rFonts w:hint="eastAsia" w:ascii="Times New Roman" w:hAnsi="Times New Roman" w:eastAsia="宋体" w:cs="Times New Roman"/>
          <w:b w:val="0"/>
          <w:i w:val="0"/>
          <w:sz w:val="21"/>
        </w:rPr>
        <w:t xml:space="preserve"> 处峰值幅值相对变化的绝对值不超过 5%。全场对数幅值均方根误差、加权复场误差和圆周相位误差作为辅助指标，用于识别关键位置判据可能遗漏的空间差异。为与第3章保持同一数据语义，P061 与 V001—V004 的上平台、坡面和下平台均除以左侧上平台一维自由场，不在 </w:t>
      </w:r>
      <m:oMath>
        <m:r>
          <m:rPr/>
          <m:t>s</m:t>
        </m:r>
        <m:r>
          <m:rPr>
            <m:sty m:val="p"/>
          </m:rPr>
          <m:t>=</m:t>
        </m:r>
        <m:r>
          <m:rPr/>
          <m:t>1</m:t>
        </m:r>
      </m:oMath>
      <w:r>
        <w:rPr>
          <w:rFonts w:hint="eastAsia" w:ascii="Times New Roman" w:hAnsi="Times New Roman" w:eastAsia="宋体" w:cs="Times New Roman"/>
          <w:b w:val="0"/>
          <w:i w:val="0"/>
          <w:sz w:val="21"/>
        </w:rPr>
        <w:t xml:space="preserve"> 处切换右侧参考，也不对坡脚邻域做桥接或平滑。本章暂沿用 </w:t>
      </w:r>
      <m:oMath>
        <m:sSub>
          <m:sSubPr/>
          <m:e>
            <m:r>
              <m:rPr/>
              <m:t>G</m:t>
            </m:r>
          </m:e>
          <m:sub>
            <m:r>
              <m:rPr/>
              <m:t>h</m:t>
            </m:r>
          </m:sub>
        </m:sSub>
      </m:oMath>
      <w:r>
        <w:rPr>
          <w:rFonts w:hint="eastAsia" w:ascii="Times New Roman" w:hAnsi="Times New Roman" w:eastAsia="宋体" w:cs="Times New Roman"/>
          <w:b w:val="0"/>
          <w:i w:val="0"/>
          <w:sz w:val="21"/>
        </w:rPr>
        <w:t xml:space="preserve"> 作为这一归一化复响应的符号，仅服务于验证量表述，其正式定义、有效掩码和相位处理在第3章给出。若以 </w:t>
      </w:r>
      <m:oMath>
        <m:sSub>
          <m:sSubPr/>
          <m:e>
            <m:r>
              <m:rPr/>
              <m:t>G</m:t>
            </m:r>
          </m:e>
          <m:sub>
            <m:r>
              <m:rPr/>
              <m:t>0</m:t>
            </m:r>
          </m:sub>
        </m:sSub>
      </m:oMath>
      <w:r>
        <w:rPr>
          <w:rFonts w:hint="eastAsia" w:ascii="Times New Roman" w:hAnsi="Times New Roman" w:eastAsia="宋体" w:cs="Times New Roman"/>
          <w:b w:val="0"/>
          <w:i w:val="0"/>
          <w:sz w:val="21"/>
        </w:rPr>
        <w:t xml:space="preserve"> 和 </w:t>
      </w:r>
      <m:oMath>
        <m:sSub>
          <m:sSubPr/>
          <m:e>
            <m:r>
              <m:rPr/>
              <m:t>G</m:t>
            </m:r>
          </m:e>
          <m:sub>
            <m:r>
              <m:rPr>
                <m:sty m:val="p"/>
              </m:rPr>
              <m:t>var</m:t>
            </m:r>
          </m:sub>
        </m:sSub>
      </m:oMath>
      <w:r>
        <w:rPr>
          <w:rFonts w:hint="eastAsia" w:ascii="Times New Roman" w:hAnsi="Times New Roman" w:eastAsia="宋体" w:cs="Times New Roman"/>
          <w:b w:val="0"/>
          <w:i w:val="0"/>
          <w:sz w:val="21"/>
        </w:rPr>
        <w:t xml:space="preserve"> 表示基准与扰动工况在公共频率—空间网格上的归一化复响应，则主要指标和辅助对数幅值误差写为</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0F703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2BF79E2A">
            <w:pPr>
              <w:spacing w:before="60" w:after="60"/>
              <w:jc w:val="center"/>
            </w:pPr>
            <m:oMathPara>
              <m:oMath>
                <m:eqArr>
                  <m:eqArrPr/>
                  <m:e>
                    <m:sSub>
                      <m:sSubPr/>
                      <m:e>
                        <m:r>
                          <m:rPr/>
                          <m:t>e</m:t>
                        </m:r>
                      </m:e>
                      <m:sub>
                        <m:r>
                          <m:rPr/>
                          <m:t>f</m:t>
                        </m:r>
                      </m:sub>
                    </m:sSub>
                    <m:r>
                      <m:rPr/>
                      <m:t>&amp;</m:t>
                    </m:r>
                    <m:r>
                      <m:rPr>
                        <m:sty m:val="p"/>
                      </m:rPr>
                      <m:t>=</m:t>
                    </m:r>
                    <m:d>
                      <m:dPr>
                        <m:begChr m:val="|"/>
                        <m:sepChr m:val=""/>
                        <m:endChr m:val="|"/>
                      </m:dPr>
                      <m:e>
                        <m:sSub>
                          <m:sSubPr/>
                          <m:e>
                            <m:r>
                              <m:rPr/>
                              <m:t>f</m:t>
                            </m:r>
                          </m:e>
                          <m:sub>
                            <m:r>
                              <m:rPr>
                                <m:sty m:val="p"/>
                              </m:rPr>
                              <m:t>pk,var</m:t>
                            </m:r>
                          </m:sub>
                        </m:sSub>
                        <m:r>
                          <m:rPr>
                            <m:sty m:val="p"/>
                          </m:rPr>
                          <m:t>(</m:t>
                        </m:r>
                        <m:r>
                          <m:rPr/>
                          <m:t>s</m:t>
                        </m:r>
                        <m:r>
                          <m:rPr>
                            <m:sty m:val="p"/>
                          </m:rPr>
                          <m:t>=</m:t>
                        </m:r>
                        <m:r>
                          <m:rPr/>
                          <m:t>0</m:t>
                        </m:r>
                        <m:r>
                          <m:rPr>
                            <m:sty m:val="p"/>
                          </m:rPr>
                          <m:t>)−</m:t>
                        </m:r>
                        <m:sSub>
                          <m:sSubPr/>
                          <m:e>
                            <m:r>
                              <m:rPr/>
                              <m:t>f</m:t>
                            </m:r>
                          </m:e>
                          <m:sub>
                            <m:r>
                              <m:rPr>
                                <m:sty m:val="p"/>
                              </m:rPr>
                              <m:t>pk,</m:t>
                            </m:r>
                            <m:r>
                              <m:rPr/>
                              <m:t>0</m:t>
                            </m:r>
                          </m:sub>
                        </m:sSub>
                        <m:r>
                          <m:rPr>
                            <m:sty m:val="p"/>
                          </m:rPr>
                          <m:t>(</m:t>
                        </m:r>
                        <m:r>
                          <m:rPr/>
                          <m:t>s</m:t>
                        </m:r>
                        <m:r>
                          <m:rPr>
                            <m:sty m:val="p"/>
                          </m:rPr>
                          <m:t>=</m:t>
                        </m:r>
                        <m:r>
                          <m:rPr/>
                          <m:t>0</m:t>
                        </m:r>
                        <m:r>
                          <m:rPr>
                            <m:sty m:val="p"/>
                          </m:rPr>
                          <m:t>)</m:t>
                        </m:r>
                      </m:e>
                    </m:d>
                    <m:r>
                      <m:rPr>
                        <m:sty m:val="p"/>
                      </m:rPr>
                      <m:t>,</m:t>
                    </m:r>
                  </m:e>
                  <m:e>
                    <m:sSub>
                      <m:sSubPr/>
                      <m:e>
                        <m:r>
                          <m:rPr/>
                          <m:t>e</m:t>
                        </m:r>
                      </m:e>
                      <m:sub>
                        <m:r>
                          <m:rPr/>
                          <m:t>A</m:t>
                        </m:r>
                      </m:sub>
                    </m:sSub>
                    <m:r>
                      <m:rPr/>
                      <m:t>&amp;</m:t>
                    </m:r>
                    <m:r>
                      <m:rPr>
                        <m:sty m:val="p"/>
                      </m:rPr>
                      <m:t>=</m:t>
                    </m:r>
                    <m:f>
                      <m:fPr/>
                      <m:num>
                        <m:sSub>
                          <m:sSubPr/>
                          <m:e>
                            <m:r>
                              <m:rPr/>
                              <m:t>A</m:t>
                            </m:r>
                          </m:e>
                          <m:sub>
                            <m:r>
                              <m:rPr>
                                <m:sty m:val="p"/>
                              </m:rPr>
                              <m:t>pk,var</m:t>
                            </m:r>
                          </m:sub>
                        </m:sSub>
                        <m:r>
                          <m:rPr>
                            <m:sty m:val="p"/>
                          </m:rPr>
                          <m:t>(</m:t>
                        </m:r>
                        <m:r>
                          <m:rPr/>
                          <m:t>s</m:t>
                        </m:r>
                        <m:r>
                          <m:rPr>
                            <m:sty m:val="p"/>
                          </m:rPr>
                          <m:t>=</m:t>
                        </m:r>
                        <m:r>
                          <m:rPr/>
                          <m:t>0.5</m:t>
                        </m:r>
                        <m:r>
                          <m:rPr>
                            <m:sty m:val="p"/>
                          </m:rPr>
                          <m:t>)−</m:t>
                        </m:r>
                        <m:sSub>
                          <m:sSubPr/>
                          <m:e>
                            <m:r>
                              <m:rPr/>
                              <m:t>A</m:t>
                            </m:r>
                          </m:e>
                          <m:sub>
                            <m:r>
                              <m:rPr>
                                <m:sty m:val="p"/>
                              </m:rPr>
                              <m:t>pk,</m:t>
                            </m:r>
                            <m:r>
                              <m:rPr/>
                              <m:t>0</m:t>
                            </m:r>
                          </m:sub>
                        </m:sSub>
                        <m:r>
                          <m:rPr>
                            <m:sty m:val="p"/>
                          </m:rPr>
                          <m:t>(</m:t>
                        </m:r>
                        <m:r>
                          <m:rPr/>
                          <m:t>s</m:t>
                        </m:r>
                        <m:r>
                          <m:rPr>
                            <m:sty m:val="p"/>
                          </m:rPr>
                          <m:t>=</m:t>
                        </m:r>
                        <m:r>
                          <m:rPr/>
                          <m:t>0.5</m:t>
                        </m:r>
                        <m:r>
                          <m:rPr>
                            <m:sty m:val="p"/>
                          </m:rPr>
                          <m:t>)</m:t>
                        </m:r>
                      </m:num>
                      <m:den>
                        <m:sSub>
                          <m:sSubPr/>
                          <m:e>
                            <m:r>
                              <m:rPr/>
                              <m:t>A</m:t>
                            </m:r>
                          </m:e>
                          <m:sub>
                            <m:r>
                              <m:rPr>
                                <m:sty m:val="p"/>
                              </m:rPr>
                              <m:t>pk,</m:t>
                            </m:r>
                            <m:r>
                              <m:rPr/>
                              <m:t>0</m:t>
                            </m:r>
                          </m:sub>
                        </m:sSub>
                        <m:r>
                          <m:rPr>
                            <m:sty m:val="p"/>
                          </m:rPr>
                          <m:t>(</m:t>
                        </m:r>
                        <m:r>
                          <m:rPr/>
                          <m:t>s</m:t>
                        </m:r>
                        <m:r>
                          <m:rPr>
                            <m:sty m:val="p"/>
                          </m:rPr>
                          <m:t>=</m:t>
                        </m:r>
                        <m:r>
                          <m:rPr/>
                          <m:t>0.5</m:t>
                        </m:r>
                        <m:r>
                          <m:rPr>
                            <m:sty m:val="p"/>
                          </m:rPr>
                          <m:t>)</m:t>
                        </m:r>
                      </m:den>
                    </m:f>
                    <m:r>
                      <m:rPr>
                        <m:sty m:val="p"/>
                      </m:rPr>
                      <m:t>×</m:t>
                    </m:r>
                    <m:r>
                      <m:rPr/>
                      <m:t>100</m:t>
                    </m:r>
                    <m:r>
                      <m:rPr>
                        <m:sty m:val="p"/>
                      </m:rPr>
                      <m:t>%,</m:t>
                    </m:r>
                  </m:e>
                  <m:e>
                    <m:sSub>
                      <m:sSubPr/>
                      <m:e>
                        <m:r>
                          <m:rPr/>
                          <m:t>E</m:t>
                        </m:r>
                      </m:e>
                      <m:sub>
                        <m:r>
                          <m:rPr>
                            <m:sty m:val="p"/>
                          </m:rPr>
                          <m:t>ln</m:t>
                        </m:r>
                        <m:r>
                          <m:rPr/>
                          <m:t>A</m:t>
                        </m:r>
                      </m:sub>
                    </m:sSub>
                    <m:r>
                      <m:rPr/>
                      <m:t>&amp;</m:t>
                    </m:r>
                    <m:r>
                      <m:rPr>
                        <m:sty m:val="p"/>
                      </m:rPr>
                      <m:t>=</m:t>
                    </m:r>
                    <m:rad>
                      <m:radPr>
                        <m:degHide m:val="1"/>
                      </m:radPr>
                      <m:deg/>
                      <m:e>
                        <m:f>
                          <m:fPr/>
                          <m:num>
                            <m:r>
                              <m:rPr/>
                              <m:t>1</m:t>
                            </m:r>
                          </m:num>
                          <m:den>
                            <m:r>
                              <m:rPr/>
                              <m:t>N</m:t>
                            </m:r>
                          </m:den>
                        </m:f>
                        <m:nary>
                          <m:naryPr>
                            <m:chr m:val="∑"/>
                            <m:limLoc m:val="undOvr"/>
                            <m:supHide m:val="1"/>
                          </m:naryPr>
                          <m:sub>
                            <m:r>
                              <m:rPr>
                                <m:sty m:val="p"/>
                              </m:rPr>
                              <m:t>(</m:t>
                            </m:r>
                            <m:r>
                              <m:rPr/>
                              <m:t>f</m:t>
                            </m:r>
                            <m:r>
                              <m:rPr>
                                <m:sty m:val="p"/>
                              </m:rPr>
                              <m:t>,</m:t>
                            </m:r>
                            <m:r>
                              <m:rPr/>
                              <m:t>s</m:t>
                            </m:r>
                            <m:r>
                              <m:rPr>
                                <m:sty m:val="p"/>
                              </m:rPr>
                              <m:t>)∈Ω</m:t>
                            </m:r>
                          </m:sub>
                          <m:sup>
                            <m:r>
                              <m:rPr/>
                              <m:t>​</m:t>
                            </m:r>
                          </m:sup>
                          <m:e>
                            <m:sSup>
                              <m:sSupPr/>
                              <m:e>
                                <m:d>
                                  <m:dPr>
                                    <m:begChr m:val="["/>
                                    <m:sepChr m:val=""/>
                                    <m:endChr m:val="]"/>
                                  </m:dPr>
                                  <m:e>
                                    <m:r>
                                      <m:rPr>
                                        <m:sty m:val="p"/>
                                      </m:rPr>
                                      <m:t>ln|</m:t>
                                    </m:r>
                                    <m:sSub>
                                      <m:sSubPr/>
                                      <m:e>
                                        <m:r>
                                          <m:rPr/>
                                          <m:t>G</m:t>
                                        </m:r>
                                      </m:e>
                                      <m:sub>
                                        <m:r>
                                          <m:rPr>
                                            <m:sty m:val="p"/>
                                          </m:rPr>
                                          <m:t>var</m:t>
                                        </m:r>
                                      </m:sub>
                                    </m:sSub>
                                    <m:r>
                                      <m:rPr>
                                        <m:sty m:val="p"/>
                                      </m:rPr>
                                      <m:t>(</m:t>
                                    </m:r>
                                    <m:r>
                                      <m:rPr/>
                                      <m:t>f</m:t>
                                    </m:r>
                                    <m:r>
                                      <m:rPr>
                                        <m:sty m:val="p"/>
                                      </m:rPr>
                                      <m:t>,</m:t>
                                    </m:r>
                                    <m:r>
                                      <m:rPr/>
                                      <m:t>s</m:t>
                                    </m:r>
                                    <m:r>
                                      <m:rPr>
                                        <m:sty m:val="p"/>
                                      </m:rPr>
                                      <m:t>)|−ln|</m:t>
                                    </m:r>
                                    <m:sSub>
                                      <m:sSubPr/>
                                      <m:e>
                                        <m:r>
                                          <m:rPr/>
                                          <m:t>G</m:t>
                                        </m:r>
                                      </m:e>
                                      <m:sub>
                                        <m:r>
                                          <m:rPr/>
                                          <m:t>0</m:t>
                                        </m:r>
                                      </m:sub>
                                    </m:sSub>
                                    <m:r>
                                      <m:rPr>
                                        <m:sty m:val="p"/>
                                      </m:rPr>
                                      <m:t>(</m:t>
                                    </m:r>
                                    <m:r>
                                      <m:rPr/>
                                      <m:t>f</m:t>
                                    </m:r>
                                    <m:r>
                                      <m:rPr>
                                        <m:sty m:val="p"/>
                                      </m:rPr>
                                      <m:t>,</m:t>
                                    </m:r>
                                    <m:r>
                                      <m:rPr/>
                                      <m:t>s</m:t>
                                    </m:r>
                                    <m:r>
                                      <m:rPr>
                                        <m:sty m:val="p"/>
                                      </m:rPr>
                                      <m:t>)|</m:t>
                                    </m:r>
                                  </m:e>
                                </m:d>
                              </m:e>
                              <m:sup>
                                <m:r>
                                  <m:rPr/>
                                  <m:t>2</m:t>
                                </m:r>
                              </m:sup>
                            </m:sSup>
                          </m:e>
                        </m:nary>
                      </m:e>
                    </m:rad>
                    <m:r>
                      <m:rPr>
                        <m:sty m:val="p"/>
                      </m:rPr>
                      <m:t>.</m:t>
                    </m:r>
                  </m:e>
                </m:eqArr>
              </m:oMath>
            </m:oMathPara>
          </w:p>
        </w:tc>
        <w:tc>
          <w:tcPr>
            <w:tcW w:w="4819" w:type="dxa"/>
          </w:tcPr>
          <w:p w14:paraId="7FE8217E">
            <w:pPr>
              <w:spacing w:before="60" w:after="60"/>
              <w:jc w:val="right"/>
            </w:pPr>
            <w:r>
              <w:rPr>
                <w:rFonts w:hint="eastAsia" w:ascii="Times New Roman" w:hAnsi="Times New Roman" w:eastAsia="Times New Roman" w:cs="Times New Roman"/>
                <w:b w:val="0"/>
                <w:i w:val="0"/>
                <w:sz w:val="21"/>
              </w:rPr>
              <w:t>(10)</w:t>
            </w:r>
          </w:p>
        </w:tc>
      </w:tr>
    </w:tbl>
    <w:p w14:paraId="31179D15">
      <w:pPr>
        <w:spacing w:before="0" w:after="0"/>
        <w:ind w:firstLine="420"/>
        <w:jc w:val="both"/>
      </w:pPr>
      <w:r>
        <w:rPr>
          <w:rFonts w:hint="eastAsia" w:ascii="Times New Roman" w:hAnsi="Times New Roman" w:eastAsia="宋体" w:cs="Times New Roman"/>
          <w:b w:val="0"/>
          <w:i w:val="0"/>
          <w:sz w:val="21"/>
        </w:rPr>
        <w:t xml:space="preserve">式（10）中的 </w:t>
      </w:r>
      <m:oMath>
        <m:r>
          <m:rPr>
            <m:sty m:val="p"/>
          </m:rPr>
          <m:t>Ω</m:t>
        </m:r>
      </m:oMath>
      <w:r>
        <w:rPr>
          <w:rFonts w:hint="eastAsia" w:ascii="Times New Roman" w:hAnsi="Times New Roman" w:eastAsia="宋体" w:cs="Times New Roman"/>
          <w:b w:val="0"/>
          <w:i w:val="0"/>
          <w:sz w:val="21"/>
        </w:rPr>
        <w:t xml:space="preserve"> 为 0.5—10 Hz、</w:t>
      </w:r>
      <m:oMath>
        <m:r>
          <m:rPr/>
          <m:t>s</m:t>
        </m:r>
        <m:r>
          <m:rPr>
            <m:sty m:val="p"/>
          </m:rPr>
          <m:t>=−</m:t>
        </m:r>
        <m:r>
          <m:rPr/>
          <m:t>4</m:t>
        </m:r>
      </m:oMath>
      <w:r>
        <w:rPr>
          <w:rFonts w:hint="eastAsia" w:ascii="Times New Roman" w:hAnsi="Times New Roman" w:eastAsia="宋体" w:cs="Times New Roman"/>
          <w:b w:val="0"/>
          <w:i w:val="0"/>
          <w:sz w:val="21"/>
        </w:rPr>
        <w:t>—4 公共网格上的共同有效点，</w:t>
      </w:r>
      <m:oMath>
        <m:r>
          <m:rPr/>
          <m:t>N</m:t>
        </m:r>
      </m:oMath>
      <w:r>
        <w:rPr>
          <w:rFonts w:hint="eastAsia" w:ascii="Times New Roman" w:hAnsi="Times New Roman" w:eastAsia="宋体" w:cs="Times New Roman"/>
          <w:b w:val="0"/>
          <w:i w:val="0"/>
          <w:sz w:val="21"/>
        </w:rPr>
        <w:t xml:space="preserve"> 为 </w:t>
      </w:r>
      <m:oMath>
        <m:r>
          <m:rPr>
            <m:sty m:val="p"/>
          </m:rPr>
          <m:t>Ω</m:t>
        </m:r>
      </m:oMath>
      <w:r>
        <w:rPr>
          <w:rFonts w:hint="eastAsia" w:ascii="Times New Roman" w:hAnsi="Times New Roman" w:eastAsia="宋体" w:cs="Times New Roman"/>
          <w:b w:val="0"/>
          <w:i w:val="0"/>
          <w:sz w:val="21"/>
        </w:rPr>
        <w:t xml:space="preserve"> 内的网格点数。</w:t>
      </w:r>
      <m:oMath>
        <m:sSub>
          <m:sSubPr/>
          <m:e>
            <m:r>
              <m:rPr/>
              <m:t>e</m:t>
            </m:r>
          </m:e>
          <m:sub>
            <m:r>
              <m:rPr/>
              <m:t>A</m:t>
            </m:r>
          </m:sub>
        </m:sSub>
      </m:oMath>
      <w:r>
        <w:rPr>
          <w:rFonts w:hint="eastAsia" w:ascii="Times New Roman" w:hAnsi="Times New Roman" w:eastAsia="宋体" w:cs="Times New Roman"/>
          <w:b w:val="0"/>
          <w:i w:val="0"/>
          <w:sz w:val="21"/>
        </w:rPr>
        <w:t xml:space="preserve"> 保留正负号以说明增减方向，幅值主判据实际采用 </w:t>
      </w:r>
      <m:oMath>
        <m:r>
          <m:rPr>
            <m:sty m:val="p"/>
          </m:rPr>
          <m:t>|</m:t>
        </m:r>
        <m:sSub>
          <m:sSubPr/>
          <m:e>
            <m:r>
              <m:rPr/>
              <m:t>e</m:t>
            </m:r>
          </m:e>
          <m:sub>
            <m:r>
              <m:rPr/>
              <m:t>A</m:t>
            </m:r>
          </m:sub>
        </m:sSub>
        <m:r>
          <m:rPr>
            <m:sty m:val="p"/>
          </m:rPr>
          <m:t>|≤</m:t>
        </m:r>
        <m:r>
          <m:rPr/>
          <m:t>5</m:t>
        </m:r>
        <m:r>
          <m:rPr>
            <m:sty m:val="p"/>
          </m:rPr>
          <m:t>%</m:t>
        </m:r>
      </m:oMath>
      <w:r>
        <w:rPr>
          <w:rFonts w:hint="eastAsia" w:ascii="Times New Roman" w:hAnsi="Times New Roman" w:eastAsia="宋体" w:cs="Times New Roman"/>
          <w:b w:val="0"/>
          <w:i w:val="0"/>
          <w:sz w:val="21"/>
        </w:rPr>
        <w:t>。主要判据以关键位置的峰频与幅值为对象，辅助指标则同时受远平台、频带边缘和相位基准影响。主要判据满足只说明预定研究量对设置变化稳定，并不等于全场每一点已经收敛；辅助指标较大时仍需保留数值不确定性。</w:t>
      </w:r>
    </w:p>
    <w:p w14:paraId="549D6249">
      <w:pPr>
        <w:spacing w:before="0" w:after="0"/>
        <w:ind w:firstLine="420"/>
        <w:jc w:val="both"/>
      </w:pPr>
      <w:r>
        <w:rPr>
          <w:rFonts w:hint="eastAsia" w:ascii="Times New Roman" w:hAnsi="Times New Roman" w:eastAsia="宋体" w:cs="Times New Roman"/>
          <w:b w:val="0"/>
          <w:i w:val="0"/>
          <w:sz w:val="21"/>
        </w:rPr>
        <w:t xml:space="preserve">V003 扩大侧向净空后，保持相同 </w:t>
      </w:r>
      <m:oMath>
        <m:r>
          <m:rPr/>
          <m:t>s</m:t>
        </m:r>
      </m:oMath>
      <w:r>
        <w:rPr>
          <w:rFonts w:hint="eastAsia" w:ascii="Times New Roman" w:hAnsi="Times New Roman" w:eastAsia="宋体" w:cs="Times New Roman"/>
          <w:b w:val="0"/>
          <w:i w:val="0"/>
          <w:sz w:val="21"/>
        </w:rPr>
        <w:t xml:space="preserve"> 值会使相应地表点的实际 </w:t>
      </w:r>
      <m:oMath>
        <m:r>
          <m:rPr/>
          <m:t>x</m:t>
        </m:r>
      </m:oMath>
      <w:r>
        <w:rPr>
          <w:rFonts w:hint="eastAsia" w:ascii="Times New Roman" w:hAnsi="Times New Roman" w:eastAsia="宋体" w:cs="Times New Roman"/>
          <w:b w:val="0"/>
          <w:i w:val="0"/>
          <w:sz w:val="21"/>
        </w:rPr>
        <w:t xml:space="preserve"> 坐标整体平移 100 m。15° 斜入射波在两坐标间存在确定的水平传播时差，若直接比较复相位，会把几何坐标原点变化误认为计算域误差。为此只对 V003 的复场辅助指标扣除理论平移相位：</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6EE46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6E315EAF">
            <w:pPr>
              <w:spacing w:before="60" w:after="60"/>
              <w:jc w:val="center"/>
            </w:pPr>
            <m:oMathPara>
              <m:oMath>
                <m:r>
                  <m:rPr>
                    <m:sty m:val="p"/>
                  </m:rPr>
                  <m:t>Δ</m:t>
                </m:r>
                <m:sSub>
                  <m:sSubPr/>
                  <m:e>
                    <m:r>
                      <m:rPr/>
                      <m:t>t</m:t>
                    </m:r>
                  </m:e>
                  <m:sub>
                    <m:r>
                      <m:rPr/>
                      <m:t>x</m:t>
                    </m:r>
                  </m:sub>
                </m:sSub>
                <m:r>
                  <m:rPr>
                    <m:sty m:val="p"/>
                  </m:rPr>
                  <m:t>=</m:t>
                </m:r>
                <m:f>
                  <m:fPr/>
                  <m:num>
                    <m:r>
                      <m:rPr>
                        <m:sty m:val="p"/>
                      </m:rPr>
                      <m:t>Δ</m:t>
                    </m:r>
                    <m:r>
                      <m:rPr/>
                      <m:t>x</m:t>
                    </m:r>
                    <m:r>
                      <m:rPr>
                        <m:sty m:val="p"/>
                      </m:rPr>
                      <m:t>sin</m:t>
                    </m:r>
                    <m:sSub>
                      <m:sSubPr/>
                      <m:e>
                        <m:r>
                          <m:rPr/>
                          <m:t>θ</m:t>
                        </m:r>
                      </m:e>
                      <m:sub>
                        <m:r>
                          <m:rPr>
                            <m:sty m:val="p"/>
                          </m:rPr>
                          <m:t>s</m:t>
                        </m:r>
                      </m:sub>
                    </m:sSub>
                  </m:num>
                  <m:den>
                    <m:sSub>
                      <m:sSubPr/>
                      <m:e>
                        <m:r>
                          <m:rPr/>
                          <m:t>V</m:t>
                        </m:r>
                      </m:e>
                      <m:sub>
                        <m:r>
                          <m:rPr>
                            <m:sty m:val="p"/>
                          </m:rPr>
                          <m:t>s,b</m:t>
                        </m:r>
                      </m:sub>
                    </m:sSub>
                  </m:den>
                </m:f>
                <m:r>
                  <m:rPr>
                    <m:sty m:val="p"/>
                  </m:rPr>
                  <m:t>,</m:t>
                </m:r>
                <m:r>
                  <m:rPr/>
                  <m:t>  </m:t>
                </m:r>
                <m:sSub>
                  <m:sSubPr/>
                  <m:e>
                    <m:r>
                      <m:rPr/>
                      <m:t>G</m:t>
                    </m:r>
                  </m:e>
                  <m:sub>
                    <m:r>
                      <m:rPr>
                        <m:sty m:val="p"/>
                      </m:rPr>
                      <m:t>var,align</m:t>
                    </m:r>
                  </m:sub>
                </m:sSub>
                <m:r>
                  <m:rPr>
                    <m:sty m:val="p"/>
                  </m:rPr>
                  <m:t>(</m:t>
                </m:r>
                <m:r>
                  <m:rPr/>
                  <m:t>f</m:t>
                </m:r>
                <m:r>
                  <m:rPr>
                    <m:sty m:val="p"/>
                  </m:rPr>
                  <m:t>,</m:t>
                </m:r>
                <m:r>
                  <m:rPr/>
                  <m:t>s</m:t>
                </m:r>
                <m:r>
                  <m:rPr>
                    <m:sty m:val="p"/>
                  </m:rPr>
                  <m:t>)=</m:t>
                </m:r>
                <m:sSub>
                  <m:sSubPr/>
                  <m:e>
                    <m:r>
                      <m:rPr/>
                      <m:t>G</m:t>
                    </m:r>
                  </m:e>
                  <m:sub>
                    <m:r>
                      <m:rPr>
                        <m:sty m:val="p"/>
                      </m:rPr>
                      <m:t>var</m:t>
                    </m:r>
                  </m:sub>
                </m:sSub>
                <m:r>
                  <m:rPr>
                    <m:sty m:val="p"/>
                  </m:rPr>
                  <m:t>(</m:t>
                </m:r>
                <m:r>
                  <m:rPr/>
                  <m:t>f</m:t>
                </m:r>
                <m:r>
                  <m:rPr>
                    <m:sty m:val="p"/>
                  </m:rPr>
                  <m:t>,</m:t>
                </m:r>
                <m:r>
                  <m:rPr/>
                  <m:t>s</m:t>
                </m:r>
                <m:r>
                  <m:rPr>
                    <m:sty m:val="p"/>
                  </m:rPr>
                  <m:t>)exp(i</m:t>
                </m:r>
                <m:r>
                  <m:rPr/>
                  <m:t>2πf</m:t>
                </m:r>
                <m:r>
                  <m:rPr>
                    <m:sty m:val="p"/>
                  </m:rPr>
                  <m:t>Δ</m:t>
                </m:r>
                <m:sSub>
                  <m:sSubPr/>
                  <m:e>
                    <m:r>
                      <m:rPr/>
                      <m:t>t</m:t>
                    </m:r>
                  </m:e>
                  <m:sub>
                    <m:r>
                      <m:rPr/>
                      <m:t>x</m:t>
                    </m:r>
                  </m:sub>
                </m:sSub>
                <m:r>
                  <m:rPr>
                    <m:sty m:val="p"/>
                  </m:rPr>
                  <m:t>).</m:t>
                </m:r>
              </m:oMath>
            </m:oMathPara>
          </w:p>
        </w:tc>
        <w:tc>
          <w:tcPr>
            <w:tcW w:w="4819" w:type="dxa"/>
          </w:tcPr>
          <w:p w14:paraId="0F29E2F3">
            <w:pPr>
              <w:spacing w:before="60" w:after="60"/>
              <w:jc w:val="right"/>
            </w:pPr>
            <w:r>
              <w:rPr>
                <w:rFonts w:hint="eastAsia" w:ascii="Times New Roman" w:hAnsi="Times New Roman" w:eastAsia="Times New Roman" w:cs="Times New Roman"/>
                <w:b w:val="0"/>
                <w:i w:val="0"/>
                <w:sz w:val="21"/>
              </w:rPr>
              <w:t>(11)</w:t>
            </w:r>
          </w:p>
        </w:tc>
      </w:tr>
    </w:tbl>
    <w:p w14:paraId="7BB83939">
      <w:pPr>
        <w:spacing w:before="0" w:after="0"/>
        <w:ind w:firstLine="420"/>
        <w:jc w:val="both"/>
      </w:pPr>
      <w:r>
        <w:rPr>
          <w:rFonts w:hint="eastAsia" w:ascii="Times New Roman" w:hAnsi="Times New Roman" w:eastAsia="宋体" w:cs="Times New Roman"/>
          <w:b w:val="0"/>
          <w:i w:val="0"/>
          <w:sz w:val="21"/>
        </w:rPr>
        <w:t xml:space="preserve">本工况 </w:t>
      </w:r>
      <m:oMath>
        <m:r>
          <m:rPr>
            <m:sty m:val="p"/>
          </m:rPr>
          <m:t>Δ</m:t>
        </m:r>
        <m:r>
          <m:rPr/>
          <m:t>x</m:t>
        </m:r>
        <m:r>
          <m:rPr>
            <m:sty m:val="p"/>
          </m:rPr>
          <m:t>=</m:t>
        </m:r>
        <m:r>
          <m:rPr/>
          <m:t>100 </m:t>
        </m:r>
        <m:r>
          <m:rPr>
            <m:sty m:val="p"/>
          </m:rPr>
          <m:t>m</m:t>
        </m:r>
      </m:oMath>
      <w:r>
        <w:rPr>
          <w:rFonts w:hint="eastAsia" w:ascii="Times New Roman" w:hAnsi="Times New Roman" w:eastAsia="宋体" w:cs="Times New Roman"/>
          <w:b w:val="0"/>
          <w:i w:val="0"/>
          <w:sz w:val="21"/>
        </w:rPr>
        <w:t xml:space="preserve">，故 </w:t>
      </w:r>
      <m:oMath>
        <m:r>
          <m:rPr>
            <m:sty m:val="p"/>
          </m:rPr>
          <m:t>Δ</m:t>
        </m:r>
        <m:sSub>
          <m:sSubPr/>
          <m:e>
            <m:r>
              <m:rPr/>
              <m:t>t</m:t>
            </m:r>
          </m:e>
          <m:sub>
            <m:r>
              <m:rPr/>
              <m:t>x</m:t>
            </m:r>
          </m:sub>
        </m:sSub>
        <m:r>
          <m:rPr>
            <m:sty m:val="p"/>
          </m:rPr>
          <m:t>=</m:t>
        </m:r>
        <m:r>
          <m:rPr/>
          <m:t>0.01294095 </m:t>
        </m:r>
        <m:r>
          <m:rPr>
            <m:sty m:val="p"/>
          </m:rPr>
          <m:t>s</m:t>
        </m:r>
      </m:oMath>
      <w:r>
        <w:rPr>
          <w:rFonts w:hint="eastAsia" w:ascii="Times New Roman" w:hAnsi="Times New Roman" w:eastAsia="宋体" w:cs="Times New Roman"/>
          <w:b w:val="0"/>
          <w:i w:val="0"/>
          <w:sz w:val="21"/>
        </w:rPr>
        <w:t>。式（11）不缩放幅值，也不消除由侧边距离、吸收边界或散射传播路径变化产生的真实差异；峰值幅值和峰频主要判据均由原数据直接计算。V003只改变水平坐标，地表对应点的竖向坐标未变，因此这里只扣除水平传播相位，不另作高度修正。</w:t>
      </w:r>
    </w:p>
    <w:p w14:paraId="7F4DCF62">
      <w:pPr>
        <w:spacing w:before="0" w:after="0"/>
        <w:ind w:firstLine="420"/>
        <w:jc w:val="both"/>
      </w:pPr>
      <w:r>
        <w:rPr>
          <w:rFonts w:hint="eastAsia" w:ascii="Times New Roman" w:hAnsi="Times New Roman" w:eastAsia="宋体" w:cs="Times New Roman"/>
          <w:b w:val="0"/>
          <w:i w:val="0"/>
          <w:sz w:val="21"/>
        </w:rPr>
        <w:t>图3从坡顶与坡面中部的频谱曲线、全地表频带峰值空间分布以及归一化判据四个层面展示数值设置敏感性，精确数值列于表5。四个扰动工况的坡顶主峰频率误差为 0、0、0.1 和 0 Hz，坡面中部峰值幅值变化分别为 0.572%、0.001%、1.508% 和 0.891%，全部低于预定的 0.2 Hz 与 5% 参考线。主要研究量没有因网格加密、尾段加长或计算域扩大而发生量级上的改变。</w:t>
      </w:r>
    </w:p>
    <w:p w14:paraId="22D443D8">
      <w:pPr>
        <w:spacing w:before="80" w:after="40"/>
        <w:ind w:firstLine="0"/>
        <w:jc w:val="center"/>
      </w:pPr>
      <w:r>
        <w:drawing>
          <wp:inline distT="0" distB="0" distL="114300" distR="114300">
            <wp:extent cx="2880360" cy="1858645"/>
            <wp:effectExtent l="0" t="0" r="152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880360" cy="1859125"/>
                    </a:xfrm>
                    <a:prstGeom prst="rect">
                      <a:avLst/>
                    </a:prstGeom>
                  </pic:spPr>
                </pic:pic>
              </a:graphicData>
            </a:graphic>
          </wp:inline>
        </w:drawing>
      </w:r>
    </w:p>
    <w:p w14:paraId="779AD5A6">
      <w:pPr>
        <w:spacing w:before="0" w:after="0"/>
        <w:ind w:firstLine="0"/>
        <w:jc w:val="center"/>
      </w:pPr>
      <w:r>
        <w:rPr>
          <w:rFonts w:hint="eastAsia" w:ascii="Times New Roman" w:hAnsi="Times New Roman" w:eastAsia="宋体" w:cs="Times New Roman"/>
          <w:b w:val="0"/>
          <w:i w:val="0"/>
          <w:sz w:val="18"/>
        </w:rPr>
        <w:t xml:space="preserve">图3 P061 基准与 V001—V004 数值设置敏感性比较。（a）坡顶 </w:t>
      </w:r>
      <m:oMath>
        <m:r>
          <m:rPr/>
          <m:t>s</m:t>
        </m:r>
        <m:r>
          <m:rPr>
            <m:sty m:val="p"/>
          </m:rPr>
          <m:t>=</m:t>
        </m:r>
        <m:r>
          <m:rPr/>
          <m:t>0</m:t>
        </m:r>
      </m:oMath>
      <w:r>
        <w:rPr>
          <w:rFonts w:hint="eastAsia" w:ascii="Times New Roman" w:hAnsi="Times New Roman" w:eastAsia="宋体" w:cs="Times New Roman"/>
          <w:b w:val="0"/>
          <w:i w:val="0"/>
          <w:sz w:val="18"/>
        </w:rPr>
        <w:t xml:space="preserve"> 处复频响幅值；（b）坡面中部 </w:t>
      </w:r>
      <m:oMath>
        <m:r>
          <m:rPr/>
          <m:t>s</m:t>
        </m:r>
        <m:r>
          <m:rPr>
            <m:sty m:val="p"/>
          </m:rPr>
          <m:t>=</m:t>
        </m:r>
        <m:r>
          <m:rPr/>
          <m:t>0.5</m:t>
        </m:r>
      </m:oMath>
      <w:r>
        <w:rPr>
          <w:rFonts w:hint="eastAsia" w:ascii="Times New Roman" w:hAnsi="Times New Roman" w:eastAsia="宋体" w:cs="Times New Roman"/>
          <w:b w:val="0"/>
          <w:i w:val="0"/>
          <w:sz w:val="18"/>
        </w:rPr>
        <w:t xml:space="preserve"> 处复频响幅值；（c）各地表位置在 0.5—10 Hz 内的幅值最大值；（d）坡顶主峰频率误差、坡面中部峰值变化和全场 </w:t>
      </w:r>
      <m:oMath>
        <m:r>
          <m:rPr>
            <m:sty m:val="p"/>
          </m:rPr>
          <m:t>ln|</m:t>
        </m:r>
        <m:sSub>
          <m:sSubPr/>
          <m:e>
            <m:r>
              <m:rPr/>
              <m:t>G</m:t>
            </m:r>
          </m:e>
          <m:sub>
            <m:r>
              <m:rPr/>
              <m:t>h</m:t>
            </m:r>
          </m:sub>
        </m:sSub>
        <m:r>
          <m:rPr>
            <m:sty m:val="p"/>
          </m:rPr>
          <m:t>|</m:t>
        </m:r>
      </m:oMath>
      <w:r>
        <w:rPr>
          <w:rFonts w:hint="eastAsia" w:ascii="Times New Roman" w:hAnsi="Times New Roman" w:eastAsia="宋体" w:cs="Times New Roman"/>
          <w:b w:val="0"/>
          <w:i w:val="0"/>
          <w:sz w:val="18"/>
        </w:rPr>
        <w:t xml:space="preserve"> RMSE 分别除以 0.2 Hz、5% 和 0.05 参考线后的结果。RMSE 为均方根误差。全部地表统一采用左侧一维自由场分母；V003 的复场辅助指标已扣除理论横向传播相位。</w:t>
      </w:r>
    </w:p>
    <w:p w14:paraId="20877C1B">
      <w:pPr>
        <w:spacing w:before="0" w:after="60"/>
        <w:ind w:firstLine="0"/>
        <w:jc w:val="center"/>
      </w:pPr>
      <w:r>
        <w:rPr>
          <w:rFonts w:hint="eastAsia" w:ascii="Times New Roman" w:hAnsi="Times New Roman" w:eastAsia="Times New Roman" w:cs="Times New Roman"/>
          <w:b w:val="0"/>
          <w:i w:val="0"/>
          <w:sz w:val="18"/>
        </w:rPr>
        <w:t>Fig. 3 Sensitivity of the P061 response to mesh, record tail and computational-domain settings</w:t>
      </w:r>
    </w:p>
    <w:p w14:paraId="051967A6">
      <w:pPr>
        <w:spacing w:before="156" w:after="0"/>
        <w:ind w:firstLine="0"/>
        <w:jc w:val="center"/>
      </w:pPr>
      <w:r>
        <w:rPr>
          <w:rFonts w:hint="eastAsia" w:ascii="Times New Roman" w:hAnsi="Times New Roman" w:eastAsia="宋体" w:cs="Times New Roman"/>
          <w:b w:val="0"/>
          <w:i w:val="0"/>
          <w:sz w:val="18"/>
        </w:rPr>
        <w:t>表5 P061 基准下的 V001—V004 数值设置敏感性结果</w:t>
      </w:r>
    </w:p>
    <w:p w14:paraId="299EF0EA">
      <w:pPr>
        <w:spacing w:before="0" w:after="40"/>
        <w:ind w:firstLine="0"/>
        <w:jc w:val="center"/>
      </w:pPr>
      <w:r>
        <w:rPr>
          <w:rFonts w:hint="eastAsia" w:ascii="Times New Roman" w:hAnsi="Times New Roman" w:eastAsia="Times New Roman" w:cs="Times New Roman"/>
          <w:b w:val="0"/>
          <w:i w:val="0"/>
          <w:sz w:val="18"/>
        </w:rPr>
        <w:t>Table 5 Numerical-setting sensitivity results against the P061 baseline</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5"/>
        <w:gridCol w:w="1205"/>
        <w:gridCol w:w="1205"/>
        <w:gridCol w:w="1205"/>
        <w:gridCol w:w="1205"/>
        <w:gridCol w:w="1205"/>
        <w:gridCol w:w="1205"/>
        <w:gridCol w:w="1205"/>
      </w:tblGrid>
      <w:tr w14:paraId="3ED024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tcBorders>
              <w:bottom w:val="single" w:color="auto" w:sz="6" w:space="0"/>
            </w:tcBorders>
            <w:vAlign w:val="center"/>
          </w:tcPr>
          <w:p w14:paraId="7F9EFF18">
            <w:pPr>
              <w:spacing w:before="30" w:after="30"/>
              <w:ind w:firstLine="0"/>
              <w:jc w:val="center"/>
            </w:pPr>
            <w:r>
              <w:rPr>
                <w:rFonts w:hint="eastAsia" w:ascii="Times New Roman" w:hAnsi="Times New Roman" w:eastAsia="宋体" w:cs="Times New Roman"/>
                <w:b/>
                <w:i w:val="0"/>
                <w:sz w:val="16"/>
              </w:rPr>
              <w:t>工况</w:t>
            </w:r>
          </w:p>
        </w:tc>
        <w:tc>
          <w:tcPr>
            <w:tcW w:w="1205" w:type="dxa"/>
            <w:tcBorders>
              <w:bottom w:val="single" w:color="auto" w:sz="6" w:space="0"/>
            </w:tcBorders>
            <w:vAlign w:val="center"/>
          </w:tcPr>
          <w:p w14:paraId="0B598F68">
            <w:pPr>
              <w:spacing w:before="30" w:after="30"/>
              <w:ind w:firstLine="0"/>
              <w:jc w:val="center"/>
            </w:pPr>
            <w:r>
              <w:rPr>
                <w:rFonts w:hint="eastAsia" w:ascii="Times New Roman" w:hAnsi="Times New Roman" w:eastAsia="宋体" w:cs="Times New Roman"/>
                <w:b/>
                <w:i w:val="0"/>
                <w:sz w:val="16"/>
              </w:rPr>
              <w:t>单因素变化</w:t>
            </w:r>
          </w:p>
        </w:tc>
        <w:tc>
          <w:tcPr>
            <w:tcW w:w="1205" w:type="dxa"/>
            <w:tcBorders>
              <w:bottom w:val="single" w:color="auto" w:sz="6" w:space="0"/>
            </w:tcBorders>
            <w:vAlign w:val="center"/>
          </w:tcPr>
          <w:p w14:paraId="7D413503">
            <w:pPr>
              <w:spacing w:before="30" w:after="30"/>
              <w:ind w:firstLine="0"/>
              <w:jc w:val="center"/>
            </w:pPr>
            <w:r>
              <w:rPr>
                <w:rFonts w:hint="eastAsia" w:ascii="Times New Roman" w:hAnsi="Times New Roman" w:eastAsia="宋体" w:cs="Times New Roman"/>
                <w:b/>
                <w:i w:val="0"/>
                <w:sz w:val="16"/>
              </w:rPr>
              <w:t>坡顶主峰频率误差/Hz</w:t>
            </w:r>
          </w:p>
        </w:tc>
        <w:tc>
          <w:tcPr>
            <w:tcW w:w="1205" w:type="dxa"/>
            <w:tcBorders>
              <w:bottom w:val="single" w:color="auto" w:sz="6" w:space="0"/>
            </w:tcBorders>
            <w:vAlign w:val="center"/>
          </w:tcPr>
          <w:p w14:paraId="779A5FFB">
            <w:pPr>
              <w:spacing w:before="30" w:after="30"/>
              <w:ind w:firstLine="0"/>
              <w:jc w:val="center"/>
            </w:pPr>
            <w:r>
              <w:rPr>
                <w:rFonts w:hint="eastAsia" w:ascii="Times New Roman" w:hAnsi="Times New Roman" w:eastAsia="宋体" w:cs="Times New Roman"/>
                <w:b/>
                <w:i w:val="0"/>
                <w:sz w:val="16"/>
              </w:rPr>
              <w:t>坡面中部峰值变化/%</w:t>
            </w:r>
          </w:p>
        </w:tc>
        <w:tc>
          <w:tcPr>
            <w:tcW w:w="1205" w:type="dxa"/>
            <w:tcBorders>
              <w:bottom w:val="single" w:color="auto" w:sz="6" w:space="0"/>
            </w:tcBorders>
            <w:vAlign w:val="center"/>
          </w:tcPr>
          <w:p w14:paraId="13C2C8E9">
            <w:pPr>
              <w:spacing w:before="30" w:after="30"/>
              <w:ind w:firstLine="0"/>
              <w:jc w:val="center"/>
            </w:pPr>
            <w:r>
              <w:rPr>
                <w:rFonts w:hint="eastAsia" w:ascii="Times New Roman" w:hAnsi="Times New Roman" w:eastAsia="宋体" w:cs="Times New Roman"/>
                <w:b/>
                <w:i w:val="0"/>
                <w:sz w:val="16"/>
              </w:rPr>
              <w:t xml:space="preserve">全场 </w:t>
            </w:r>
            <m:oMath>
              <m:r>
                <m:rPr>
                  <m:sty m:val="p"/>
                </m:rPr>
                <m:t>ln|</m:t>
              </m:r>
              <m:sSub>
                <m:sSubPr/>
                <m:e>
                  <m:r>
                    <m:rPr/>
                    <m:t>G</m:t>
                  </m:r>
                </m:e>
                <m:sub>
                  <m:r>
                    <m:rPr/>
                    <m:t>h</m:t>
                  </m:r>
                </m:sub>
              </m:sSub>
              <m:r>
                <m:rPr>
                  <m:sty m:val="p"/>
                </m:rPr>
                <m:t>|</m:t>
              </m:r>
            </m:oMath>
            <w:r>
              <w:rPr>
                <w:rFonts w:hint="eastAsia" w:ascii="Times New Roman" w:hAnsi="Times New Roman" w:eastAsia="宋体" w:cs="Times New Roman"/>
                <w:b/>
                <w:i w:val="0"/>
                <w:sz w:val="16"/>
              </w:rPr>
              <w:t xml:space="preserve"> RMSE</w:t>
            </w:r>
          </w:p>
        </w:tc>
        <w:tc>
          <w:tcPr>
            <w:tcW w:w="1205" w:type="dxa"/>
            <w:tcBorders>
              <w:bottom w:val="single" w:color="auto" w:sz="6" w:space="0"/>
            </w:tcBorders>
            <w:vAlign w:val="center"/>
          </w:tcPr>
          <w:p w14:paraId="092FF940">
            <w:pPr>
              <w:spacing w:before="30" w:after="30"/>
              <w:ind w:firstLine="0"/>
              <w:jc w:val="center"/>
            </w:pPr>
            <w:r>
              <w:rPr>
                <w:rFonts w:hint="eastAsia" w:ascii="Times New Roman" w:hAnsi="Times New Roman" w:eastAsia="宋体" w:cs="Times New Roman"/>
                <w:b/>
                <w:i w:val="0"/>
                <w:sz w:val="16"/>
              </w:rPr>
              <w:t>加权复场误差</w:t>
            </w:r>
          </w:p>
        </w:tc>
        <w:tc>
          <w:tcPr>
            <w:tcW w:w="1205" w:type="dxa"/>
            <w:tcBorders>
              <w:bottom w:val="single" w:color="auto" w:sz="6" w:space="0"/>
            </w:tcBorders>
            <w:vAlign w:val="center"/>
          </w:tcPr>
          <w:p w14:paraId="43AF4C95">
            <w:pPr>
              <w:spacing w:before="30" w:after="30"/>
              <w:ind w:firstLine="0"/>
              <w:jc w:val="center"/>
            </w:pPr>
            <w:r>
              <w:rPr>
                <w:rFonts w:hint="eastAsia" w:ascii="Times New Roman" w:hAnsi="Times New Roman" w:eastAsia="宋体" w:cs="Times New Roman"/>
                <w:b/>
                <w:i w:val="0"/>
                <w:sz w:val="16"/>
              </w:rPr>
              <w:t>圆周相位 RMSE/(°)</w:t>
            </w:r>
          </w:p>
        </w:tc>
        <w:tc>
          <w:tcPr>
            <w:tcW w:w="1205" w:type="dxa"/>
            <w:tcBorders>
              <w:bottom w:val="single" w:color="auto" w:sz="6" w:space="0"/>
            </w:tcBorders>
            <w:vAlign w:val="center"/>
          </w:tcPr>
          <w:p w14:paraId="48D84922">
            <w:pPr>
              <w:spacing w:before="30" w:after="30"/>
              <w:ind w:firstLine="0"/>
              <w:jc w:val="center"/>
            </w:pPr>
            <w:r>
              <w:rPr>
                <w:rFonts w:hint="eastAsia" w:ascii="Times New Roman" w:hAnsi="Times New Roman" w:eastAsia="宋体" w:cs="Times New Roman"/>
                <w:b/>
                <w:i w:val="0"/>
                <w:sz w:val="16"/>
              </w:rPr>
              <w:t>局部主判据满足情况</w:t>
            </w:r>
          </w:p>
        </w:tc>
      </w:tr>
      <w:tr w14:paraId="18B1EA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4DDAFD8B">
            <w:pPr>
              <w:spacing w:before="30" w:after="30"/>
              <w:ind w:firstLine="0"/>
              <w:jc w:val="center"/>
            </w:pPr>
            <w:r>
              <w:rPr>
                <w:rFonts w:hint="eastAsia" w:ascii="Times New Roman" w:hAnsi="Times New Roman" w:eastAsia="宋体" w:cs="Times New Roman"/>
                <w:b w:val="0"/>
                <w:i w:val="0"/>
                <w:sz w:val="16"/>
              </w:rPr>
              <w:t>V001</w:t>
            </w:r>
          </w:p>
        </w:tc>
        <w:tc>
          <w:tcPr>
            <w:tcW w:w="1205" w:type="dxa"/>
            <w:vAlign w:val="center"/>
          </w:tcPr>
          <w:p w14:paraId="500CCBE3">
            <w:pPr>
              <w:spacing w:before="30" w:after="30"/>
              <w:ind w:firstLine="0"/>
              <w:jc w:val="center"/>
            </w:pPr>
            <w:r>
              <w:rPr>
                <w:rFonts w:hint="eastAsia" w:ascii="Times New Roman" w:hAnsi="Times New Roman" w:eastAsia="宋体" w:cs="Times New Roman"/>
                <w:b w:val="0"/>
                <w:i w:val="0"/>
                <w:sz w:val="16"/>
              </w:rPr>
              <w:t>标准分级网格改为全局均匀 1 m</w:t>
            </w:r>
          </w:p>
        </w:tc>
        <w:tc>
          <w:tcPr>
            <w:tcW w:w="1205" w:type="dxa"/>
            <w:vAlign w:val="center"/>
          </w:tcPr>
          <w:p w14:paraId="2E766895">
            <w:pPr>
              <w:spacing w:before="30" w:after="30"/>
              <w:ind w:firstLine="0"/>
              <w:jc w:val="center"/>
            </w:pPr>
            <w:r>
              <w:rPr>
                <w:rFonts w:hint="eastAsia" w:ascii="Times New Roman" w:hAnsi="Times New Roman" w:eastAsia="宋体" w:cs="Times New Roman"/>
                <w:b w:val="0"/>
                <w:i w:val="0"/>
                <w:sz w:val="16"/>
              </w:rPr>
              <w:t>0.0</w:t>
            </w:r>
          </w:p>
        </w:tc>
        <w:tc>
          <w:tcPr>
            <w:tcW w:w="1205" w:type="dxa"/>
            <w:vAlign w:val="center"/>
          </w:tcPr>
          <w:p w14:paraId="3372CD7A">
            <w:pPr>
              <w:spacing w:before="30" w:after="30"/>
              <w:ind w:firstLine="0"/>
              <w:jc w:val="center"/>
            </w:pPr>
            <w:r>
              <w:rPr>
                <w:rFonts w:hint="eastAsia" w:ascii="Times New Roman" w:hAnsi="Times New Roman" w:eastAsia="宋体" w:cs="Times New Roman"/>
                <w:b w:val="0"/>
                <w:i w:val="0"/>
                <w:sz w:val="16"/>
              </w:rPr>
              <w:t>+0.572</w:t>
            </w:r>
          </w:p>
        </w:tc>
        <w:tc>
          <w:tcPr>
            <w:tcW w:w="1205" w:type="dxa"/>
            <w:vAlign w:val="center"/>
          </w:tcPr>
          <w:p w14:paraId="28EDF616">
            <w:pPr>
              <w:spacing w:before="30" w:after="30"/>
              <w:ind w:firstLine="0"/>
              <w:jc w:val="center"/>
            </w:pPr>
            <w:r>
              <w:rPr>
                <w:rFonts w:hint="eastAsia" w:ascii="Times New Roman" w:hAnsi="Times New Roman" w:eastAsia="宋体" w:cs="Times New Roman"/>
                <w:b w:val="0"/>
                <w:i w:val="0"/>
                <w:sz w:val="16"/>
              </w:rPr>
              <w:t>0.0227</w:t>
            </w:r>
          </w:p>
        </w:tc>
        <w:tc>
          <w:tcPr>
            <w:tcW w:w="1205" w:type="dxa"/>
            <w:vAlign w:val="center"/>
          </w:tcPr>
          <w:p w14:paraId="1556F539">
            <w:pPr>
              <w:spacing w:before="30" w:after="30"/>
              <w:ind w:firstLine="0"/>
              <w:jc w:val="center"/>
            </w:pPr>
            <w:r>
              <w:rPr>
                <w:rFonts w:hint="eastAsia" w:ascii="Times New Roman" w:hAnsi="Times New Roman" w:eastAsia="宋体" w:cs="Times New Roman"/>
                <w:b w:val="0"/>
                <w:i w:val="0"/>
                <w:sz w:val="16"/>
              </w:rPr>
              <w:t>0.0510</w:t>
            </w:r>
          </w:p>
        </w:tc>
        <w:tc>
          <w:tcPr>
            <w:tcW w:w="1205" w:type="dxa"/>
            <w:vAlign w:val="center"/>
          </w:tcPr>
          <w:p w14:paraId="18C64B98">
            <w:pPr>
              <w:spacing w:before="30" w:after="30"/>
              <w:ind w:firstLine="0"/>
              <w:jc w:val="center"/>
            </w:pPr>
            <w:r>
              <w:rPr>
                <w:rFonts w:hint="eastAsia" w:ascii="Times New Roman" w:hAnsi="Times New Roman" w:eastAsia="宋体" w:cs="Times New Roman"/>
                <w:b w:val="0"/>
                <w:i w:val="0"/>
                <w:sz w:val="16"/>
              </w:rPr>
              <w:t>2.958</w:t>
            </w:r>
          </w:p>
        </w:tc>
        <w:tc>
          <w:tcPr>
            <w:tcW w:w="1205" w:type="dxa"/>
            <w:vAlign w:val="center"/>
          </w:tcPr>
          <w:p w14:paraId="675C7C0E">
            <w:pPr>
              <w:spacing w:before="30" w:after="30"/>
              <w:ind w:firstLine="0"/>
              <w:jc w:val="center"/>
            </w:pPr>
            <w:r>
              <w:rPr>
                <w:rFonts w:hint="eastAsia" w:ascii="Times New Roman" w:hAnsi="Times New Roman" w:eastAsia="宋体" w:cs="Times New Roman"/>
                <w:b w:val="0"/>
                <w:i w:val="0"/>
                <w:sz w:val="16"/>
              </w:rPr>
              <w:t>满足</w:t>
            </w:r>
          </w:p>
        </w:tc>
      </w:tr>
      <w:tr w14:paraId="1409AC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148713A5">
            <w:pPr>
              <w:spacing w:before="30" w:after="30"/>
              <w:ind w:firstLine="0"/>
              <w:jc w:val="center"/>
            </w:pPr>
            <w:r>
              <w:rPr>
                <w:rFonts w:hint="eastAsia" w:ascii="Times New Roman" w:hAnsi="Times New Roman" w:eastAsia="宋体" w:cs="Times New Roman"/>
                <w:b w:val="0"/>
                <w:i w:val="0"/>
                <w:sz w:val="16"/>
              </w:rPr>
              <w:t>V002</w:t>
            </w:r>
          </w:p>
        </w:tc>
        <w:tc>
          <w:tcPr>
            <w:tcW w:w="1205" w:type="dxa"/>
            <w:vAlign w:val="center"/>
          </w:tcPr>
          <w:p w14:paraId="12EEEA25">
            <w:pPr>
              <w:spacing w:before="30" w:after="30"/>
              <w:ind w:firstLine="0"/>
              <w:jc w:val="center"/>
            </w:pPr>
            <w:r>
              <w:rPr>
                <w:rFonts w:hint="eastAsia" w:ascii="Times New Roman" w:hAnsi="Times New Roman" w:eastAsia="宋体" w:cs="Times New Roman"/>
                <w:b w:val="0"/>
                <w:i w:val="0"/>
                <w:sz w:val="16"/>
              </w:rPr>
              <w:t>静默尾段 6 s 延长至 12 s</w:t>
            </w:r>
          </w:p>
        </w:tc>
        <w:tc>
          <w:tcPr>
            <w:tcW w:w="1205" w:type="dxa"/>
            <w:vAlign w:val="center"/>
          </w:tcPr>
          <w:p w14:paraId="341F47E4">
            <w:pPr>
              <w:spacing w:before="30" w:after="30"/>
              <w:ind w:firstLine="0"/>
              <w:jc w:val="center"/>
            </w:pPr>
            <w:r>
              <w:rPr>
                <w:rFonts w:hint="eastAsia" w:ascii="Times New Roman" w:hAnsi="Times New Roman" w:eastAsia="宋体" w:cs="Times New Roman"/>
                <w:b w:val="0"/>
                <w:i w:val="0"/>
                <w:sz w:val="16"/>
              </w:rPr>
              <w:t>0.0</w:t>
            </w:r>
          </w:p>
        </w:tc>
        <w:tc>
          <w:tcPr>
            <w:tcW w:w="1205" w:type="dxa"/>
            <w:vAlign w:val="center"/>
          </w:tcPr>
          <w:p w14:paraId="4F98CDA7">
            <w:pPr>
              <w:spacing w:before="30" w:after="30"/>
              <w:ind w:firstLine="0"/>
              <w:jc w:val="center"/>
            </w:pPr>
            <w:r>
              <w:rPr>
                <w:rFonts w:hint="eastAsia" w:ascii="Times New Roman" w:hAnsi="Times New Roman" w:eastAsia="宋体" w:cs="Times New Roman"/>
                <w:b w:val="0"/>
                <w:i w:val="0"/>
                <w:sz w:val="16"/>
              </w:rPr>
              <w:t>+0.001</w:t>
            </w:r>
          </w:p>
        </w:tc>
        <w:tc>
          <w:tcPr>
            <w:tcW w:w="1205" w:type="dxa"/>
            <w:vAlign w:val="center"/>
          </w:tcPr>
          <w:p w14:paraId="1C87E001">
            <w:pPr>
              <w:spacing w:before="30" w:after="30"/>
              <w:ind w:firstLine="0"/>
              <w:jc w:val="center"/>
            </w:pPr>
            <w:r>
              <w:rPr>
                <w:rFonts w:hint="eastAsia" w:ascii="Times New Roman" w:hAnsi="Times New Roman" w:eastAsia="宋体" w:cs="Times New Roman"/>
                <w:b w:val="0"/>
                <w:i w:val="0"/>
                <w:sz w:val="16"/>
              </w:rPr>
              <w:t>0.000102</w:t>
            </w:r>
          </w:p>
        </w:tc>
        <w:tc>
          <w:tcPr>
            <w:tcW w:w="1205" w:type="dxa"/>
            <w:vAlign w:val="center"/>
          </w:tcPr>
          <w:p w14:paraId="45A897A2">
            <w:pPr>
              <w:spacing w:before="30" w:after="30"/>
              <w:ind w:firstLine="0"/>
              <w:jc w:val="center"/>
            </w:pPr>
            <w:r>
              <w:rPr>
                <w:rFonts w:hint="eastAsia" w:ascii="Times New Roman" w:hAnsi="Times New Roman" w:eastAsia="宋体" w:cs="Times New Roman"/>
                <w:b w:val="0"/>
                <w:i w:val="0"/>
                <w:sz w:val="16"/>
              </w:rPr>
              <w:t>0.000119</w:t>
            </w:r>
          </w:p>
        </w:tc>
        <w:tc>
          <w:tcPr>
            <w:tcW w:w="1205" w:type="dxa"/>
            <w:vAlign w:val="center"/>
          </w:tcPr>
          <w:p w14:paraId="5F5EA5A3">
            <w:pPr>
              <w:spacing w:before="30" w:after="30"/>
              <w:ind w:firstLine="0"/>
              <w:jc w:val="center"/>
            </w:pPr>
            <w:r>
              <w:rPr>
                <w:rFonts w:hint="eastAsia" w:ascii="Times New Roman" w:hAnsi="Times New Roman" w:eastAsia="宋体" w:cs="Times New Roman"/>
                <w:b w:val="0"/>
                <w:i w:val="0"/>
                <w:sz w:val="16"/>
              </w:rPr>
              <w:t>0.006</w:t>
            </w:r>
          </w:p>
        </w:tc>
        <w:tc>
          <w:tcPr>
            <w:tcW w:w="1205" w:type="dxa"/>
            <w:vAlign w:val="center"/>
          </w:tcPr>
          <w:p w14:paraId="67846AEA">
            <w:pPr>
              <w:spacing w:before="30" w:after="30"/>
              <w:ind w:firstLine="0"/>
              <w:jc w:val="center"/>
            </w:pPr>
            <w:r>
              <w:rPr>
                <w:rFonts w:hint="eastAsia" w:ascii="Times New Roman" w:hAnsi="Times New Roman" w:eastAsia="宋体" w:cs="Times New Roman"/>
                <w:b w:val="0"/>
                <w:i w:val="0"/>
                <w:sz w:val="16"/>
              </w:rPr>
              <w:t>满足</w:t>
            </w:r>
          </w:p>
        </w:tc>
      </w:tr>
      <w:tr w14:paraId="76D91C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29483387">
            <w:pPr>
              <w:spacing w:before="30" w:after="30"/>
              <w:ind w:firstLine="0"/>
              <w:jc w:val="center"/>
            </w:pPr>
            <w:r>
              <w:rPr>
                <w:rFonts w:hint="eastAsia" w:ascii="Times New Roman" w:hAnsi="Times New Roman" w:eastAsia="宋体" w:cs="Times New Roman"/>
                <w:b w:val="0"/>
                <w:i w:val="0"/>
                <w:sz w:val="16"/>
              </w:rPr>
              <w:t>V003</w:t>
            </w:r>
          </w:p>
        </w:tc>
        <w:tc>
          <w:tcPr>
            <w:tcW w:w="1205" w:type="dxa"/>
            <w:vAlign w:val="center"/>
          </w:tcPr>
          <w:p w14:paraId="3C1609D2">
            <w:pPr>
              <w:spacing w:before="30" w:after="30"/>
              <w:ind w:firstLine="0"/>
              <w:jc w:val="center"/>
            </w:pPr>
            <w:r>
              <w:rPr>
                <w:rFonts w:hint="eastAsia" w:ascii="Times New Roman" w:hAnsi="Times New Roman" w:eastAsia="宋体" w:cs="Times New Roman"/>
                <w:b w:val="0"/>
                <w:i w:val="0"/>
                <w:sz w:val="16"/>
              </w:rPr>
              <w:t xml:space="preserve">左右侧向净空 </w:t>
            </w:r>
            <m:oMath>
              <m:r>
                <m:rPr/>
                <m:t>1h</m:t>
              </m:r>
            </m:oMath>
            <w:r>
              <w:rPr>
                <w:rFonts w:hint="eastAsia" w:ascii="Times New Roman" w:hAnsi="Times New Roman" w:eastAsia="宋体" w:cs="Times New Roman"/>
                <w:b w:val="0"/>
                <w:i w:val="0"/>
                <w:sz w:val="16"/>
              </w:rPr>
              <w:t xml:space="preserve"> 扩大至 </w:t>
            </w:r>
            <m:oMath>
              <m:r>
                <m:rPr/>
                <m:t>2h</m:t>
              </m:r>
            </m:oMath>
          </w:p>
        </w:tc>
        <w:tc>
          <w:tcPr>
            <w:tcW w:w="1205" w:type="dxa"/>
            <w:vAlign w:val="center"/>
          </w:tcPr>
          <w:p w14:paraId="6FF28FDD">
            <w:pPr>
              <w:spacing w:before="30" w:after="30"/>
              <w:ind w:firstLine="0"/>
              <w:jc w:val="center"/>
            </w:pPr>
            <w:r>
              <w:rPr>
                <w:rFonts w:hint="eastAsia" w:ascii="Times New Roman" w:hAnsi="Times New Roman" w:eastAsia="宋体" w:cs="Times New Roman"/>
                <w:b w:val="0"/>
                <w:i w:val="0"/>
                <w:sz w:val="16"/>
              </w:rPr>
              <w:t>0.1</w:t>
            </w:r>
          </w:p>
        </w:tc>
        <w:tc>
          <w:tcPr>
            <w:tcW w:w="1205" w:type="dxa"/>
            <w:vAlign w:val="center"/>
          </w:tcPr>
          <w:p w14:paraId="1402A415">
            <w:pPr>
              <w:spacing w:before="30" w:after="30"/>
              <w:ind w:firstLine="0"/>
              <w:jc w:val="center"/>
            </w:pPr>
            <w:r>
              <w:rPr>
                <w:rFonts w:hint="eastAsia" w:ascii="Times New Roman" w:hAnsi="Times New Roman" w:eastAsia="宋体" w:cs="Times New Roman"/>
                <w:b w:val="0"/>
                <w:i w:val="0"/>
                <w:sz w:val="16"/>
              </w:rPr>
              <w:t>+1.508</w:t>
            </w:r>
          </w:p>
        </w:tc>
        <w:tc>
          <w:tcPr>
            <w:tcW w:w="1205" w:type="dxa"/>
            <w:vAlign w:val="center"/>
          </w:tcPr>
          <w:p w14:paraId="09AC2ACA">
            <w:pPr>
              <w:spacing w:before="30" w:after="30"/>
              <w:ind w:firstLine="0"/>
              <w:jc w:val="center"/>
            </w:pPr>
            <w:r>
              <w:rPr>
                <w:rFonts w:hint="eastAsia" w:ascii="Times New Roman" w:hAnsi="Times New Roman" w:eastAsia="宋体" w:cs="Times New Roman"/>
                <w:b w:val="0"/>
                <w:i w:val="0"/>
                <w:sz w:val="16"/>
              </w:rPr>
              <w:t>0.1824</w:t>
            </w:r>
          </w:p>
        </w:tc>
        <w:tc>
          <w:tcPr>
            <w:tcW w:w="1205" w:type="dxa"/>
            <w:vAlign w:val="center"/>
          </w:tcPr>
          <w:p w14:paraId="122F7877">
            <w:pPr>
              <w:spacing w:before="30" w:after="30"/>
              <w:ind w:firstLine="0"/>
              <w:jc w:val="center"/>
            </w:pPr>
            <w:r>
              <w:rPr>
                <w:rFonts w:hint="eastAsia" w:ascii="Times New Roman" w:hAnsi="Times New Roman" w:eastAsia="宋体" w:cs="Times New Roman"/>
                <w:b w:val="0"/>
                <w:i w:val="0"/>
                <w:sz w:val="16"/>
              </w:rPr>
              <w:t>0.2605</w:t>
            </w:r>
          </w:p>
        </w:tc>
        <w:tc>
          <w:tcPr>
            <w:tcW w:w="1205" w:type="dxa"/>
            <w:vAlign w:val="center"/>
          </w:tcPr>
          <w:p w14:paraId="1C70FA16">
            <w:pPr>
              <w:spacing w:before="30" w:after="30"/>
              <w:ind w:firstLine="0"/>
              <w:jc w:val="center"/>
            </w:pPr>
            <w:r>
              <w:rPr>
                <w:rFonts w:hint="eastAsia" w:ascii="Times New Roman" w:hAnsi="Times New Roman" w:eastAsia="宋体" w:cs="Times New Roman"/>
                <w:b w:val="0"/>
                <w:i w:val="0"/>
                <w:sz w:val="16"/>
              </w:rPr>
              <w:t>10.792</w:t>
            </w:r>
          </w:p>
        </w:tc>
        <w:tc>
          <w:tcPr>
            <w:tcW w:w="1205" w:type="dxa"/>
            <w:vAlign w:val="center"/>
          </w:tcPr>
          <w:p w14:paraId="1049E993">
            <w:pPr>
              <w:spacing w:before="30" w:after="30"/>
              <w:ind w:firstLine="0"/>
              <w:jc w:val="center"/>
            </w:pPr>
            <w:r>
              <w:rPr>
                <w:rFonts w:hint="eastAsia" w:ascii="Times New Roman" w:hAnsi="Times New Roman" w:eastAsia="宋体" w:cs="Times New Roman"/>
                <w:b w:val="0"/>
                <w:i w:val="0"/>
                <w:sz w:val="16"/>
              </w:rPr>
              <w:t>满足；全场差异明显</w:t>
            </w:r>
          </w:p>
        </w:tc>
      </w:tr>
      <w:tr w14:paraId="756F14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610246A7">
            <w:pPr>
              <w:spacing w:before="30" w:after="30"/>
              <w:ind w:firstLine="0"/>
              <w:jc w:val="center"/>
            </w:pPr>
            <w:r>
              <w:rPr>
                <w:rFonts w:hint="eastAsia" w:ascii="Times New Roman" w:hAnsi="Times New Roman" w:eastAsia="宋体" w:cs="Times New Roman"/>
                <w:b w:val="0"/>
                <w:i w:val="0"/>
                <w:sz w:val="16"/>
              </w:rPr>
              <w:t>V004</w:t>
            </w:r>
          </w:p>
        </w:tc>
        <w:tc>
          <w:tcPr>
            <w:tcW w:w="1205" w:type="dxa"/>
            <w:vAlign w:val="center"/>
          </w:tcPr>
          <w:p w14:paraId="01277E26">
            <w:pPr>
              <w:spacing w:before="30" w:after="30"/>
              <w:ind w:firstLine="0"/>
              <w:jc w:val="center"/>
            </w:pPr>
            <w:r>
              <w:rPr>
                <w:rFonts w:hint="eastAsia" w:ascii="Times New Roman" w:hAnsi="Times New Roman" w:eastAsia="宋体" w:cs="Times New Roman"/>
                <w:b w:val="0"/>
                <w:i w:val="0"/>
                <w:sz w:val="16"/>
              </w:rPr>
              <w:t xml:space="preserve">基底深度 </w:t>
            </w:r>
            <m:oMath>
              <m:r>
                <m:rPr/>
                <m:t>3h</m:t>
              </m:r>
            </m:oMath>
            <w:r>
              <w:rPr>
                <w:rFonts w:hint="eastAsia" w:ascii="Times New Roman" w:hAnsi="Times New Roman" w:eastAsia="宋体" w:cs="Times New Roman"/>
                <w:b w:val="0"/>
                <w:i w:val="0"/>
                <w:sz w:val="16"/>
              </w:rPr>
              <w:t xml:space="preserve"> 加深至 </w:t>
            </w:r>
            <m:oMath>
              <m:r>
                <m:rPr/>
                <m:t>6h</m:t>
              </m:r>
            </m:oMath>
          </w:p>
        </w:tc>
        <w:tc>
          <w:tcPr>
            <w:tcW w:w="1205" w:type="dxa"/>
            <w:vAlign w:val="center"/>
          </w:tcPr>
          <w:p w14:paraId="5B3A1703">
            <w:pPr>
              <w:spacing w:before="30" w:after="30"/>
              <w:ind w:firstLine="0"/>
              <w:jc w:val="center"/>
            </w:pPr>
            <w:r>
              <w:rPr>
                <w:rFonts w:hint="eastAsia" w:ascii="Times New Roman" w:hAnsi="Times New Roman" w:eastAsia="宋体" w:cs="Times New Roman"/>
                <w:b w:val="0"/>
                <w:i w:val="0"/>
                <w:sz w:val="16"/>
              </w:rPr>
              <w:t>0.0</w:t>
            </w:r>
          </w:p>
        </w:tc>
        <w:tc>
          <w:tcPr>
            <w:tcW w:w="1205" w:type="dxa"/>
            <w:vAlign w:val="center"/>
          </w:tcPr>
          <w:p w14:paraId="2BDCE377">
            <w:pPr>
              <w:spacing w:before="30" w:after="30"/>
              <w:ind w:firstLine="0"/>
              <w:jc w:val="center"/>
            </w:pPr>
            <w:r>
              <w:rPr>
                <w:rFonts w:hint="eastAsia" w:ascii="Times New Roman" w:hAnsi="Times New Roman" w:eastAsia="宋体" w:cs="Times New Roman"/>
                <w:b w:val="0"/>
                <w:i w:val="0"/>
                <w:sz w:val="16"/>
              </w:rPr>
              <w:t>+0.891</w:t>
            </w:r>
          </w:p>
        </w:tc>
        <w:tc>
          <w:tcPr>
            <w:tcW w:w="1205" w:type="dxa"/>
            <w:vAlign w:val="center"/>
          </w:tcPr>
          <w:p w14:paraId="5C4F8328">
            <w:pPr>
              <w:spacing w:before="30" w:after="30"/>
              <w:ind w:firstLine="0"/>
              <w:jc w:val="center"/>
            </w:pPr>
            <w:r>
              <w:rPr>
                <w:rFonts w:hint="eastAsia" w:ascii="Times New Roman" w:hAnsi="Times New Roman" w:eastAsia="宋体" w:cs="Times New Roman"/>
                <w:b w:val="0"/>
                <w:i w:val="0"/>
                <w:sz w:val="16"/>
              </w:rPr>
              <w:t>0.0324</w:t>
            </w:r>
          </w:p>
        </w:tc>
        <w:tc>
          <w:tcPr>
            <w:tcW w:w="1205" w:type="dxa"/>
            <w:vAlign w:val="center"/>
          </w:tcPr>
          <w:p w14:paraId="4394BAA8">
            <w:pPr>
              <w:spacing w:before="30" w:after="30"/>
              <w:ind w:firstLine="0"/>
              <w:jc w:val="center"/>
            </w:pPr>
            <w:r>
              <w:rPr>
                <w:rFonts w:hint="eastAsia" w:ascii="Times New Roman" w:hAnsi="Times New Roman" w:eastAsia="宋体" w:cs="Times New Roman"/>
                <w:b w:val="0"/>
                <w:i w:val="0"/>
                <w:sz w:val="16"/>
              </w:rPr>
              <w:t>0.0490</w:t>
            </w:r>
          </w:p>
        </w:tc>
        <w:tc>
          <w:tcPr>
            <w:tcW w:w="1205" w:type="dxa"/>
            <w:vAlign w:val="center"/>
          </w:tcPr>
          <w:p w14:paraId="635411DE">
            <w:pPr>
              <w:spacing w:before="30" w:after="30"/>
              <w:ind w:firstLine="0"/>
              <w:jc w:val="center"/>
            </w:pPr>
            <w:r>
              <w:rPr>
                <w:rFonts w:hint="eastAsia" w:ascii="Times New Roman" w:hAnsi="Times New Roman" w:eastAsia="宋体" w:cs="Times New Roman"/>
                <w:b w:val="0"/>
                <w:i w:val="0"/>
                <w:sz w:val="16"/>
              </w:rPr>
              <w:t>2.408</w:t>
            </w:r>
          </w:p>
        </w:tc>
        <w:tc>
          <w:tcPr>
            <w:tcW w:w="1205" w:type="dxa"/>
            <w:vAlign w:val="center"/>
          </w:tcPr>
          <w:p w14:paraId="413C60A4">
            <w:pPr>
              <w:spacing w:before="30" w:after="30"/>
              <w:ind w:firstLine="0"/>
              <w:jc w:val="center"/>
            </w:pPr>
            <w:r>
              <w:rPr>
                <w:rFonts w:hint="eastAsia" w:ascii="Times New Roman" w:hAnsi="Times New Roman" w:eastAsia="宋体" w:cs="Times New Roman"/>
                <w:b w:val="0"/>
                <w:i w:val="0"/>
                <w:sz w:val="16"/>
              </w:rPr>
              <w:t>满足；坡顶幅值敏感</w:t>
            </w:r>
          </w:p>
        </w:tc>
      </w:tr>
    </w:tbl>
    <w:p w14:paraId="39162A8E">
      <w:pPr>
        <w:spacing w:before="0" w:after="0"/>
        <w:ind w:firstLine="420"/>
        <w:jc w:val="both"/>
      </w:pPr>
      <w:r>
        <w:rPr>
          <w:rFonts w:hint="eastAsia" w:ascii="Times New Roman" w:hAnsi="Times New Roman" w:eastAsia="宋体" w:cs="Times New Roman"/>
          <w:b w:val="0"/>
          <w:i w:val="0"/>
          <w:sz w:val="21"/>
        </w:rPr>
        <w:t xml:space="preserve">V001 的全场 </w:t>
      </w:r>
      <m:oMath>
        <m:r>
          <m:rPr>
            <m:sty m:val="p"/>
          </m:rPr>
          <m:t>ln|</m:t>
        </m:r>
        <m:sSub>
          <m:sSubPr/>
          <m:e>
            <m:r>
              <m:rPr/>
              <m:t>G</m:t>
            </m:r>
          </m:e>
          <m:sub>
            <m:r>
              <m:rPr/>
              <m:t>h</m:t>
            </m:r>
          </m:sub>
        </m:sSub>
        <m:r>
          <m:rPr>
            <m:sty m:val="p"/>
          </m:rPr>
          <m:t>|</m:t>
        </m:r>
      </m:oMath>
      <w:r>
        <w:rPr>
          <w:rFonts w:hint="eastAsia" w:ascii="Times New Roman" w:hAnsi="Times New Roman" w:eastAsia="宋体" w:cs="Times New Roman"/>
          <w:b w:val="0"/>
          <w:i w:val="0"/>
          <w:sz w:val="21"/>
        </w:rPr>
        <w:t xml:space="preserve"> RMSE 为 0.0227，圆周相位 RMSE 为 2.958°；相较于 1 m 均匀网格，标准 4 m 分级网格仍保持相同坡顶峰频，坡面中部峰值只变化 0.572%。这说明以最短波长为依据的 15 单元/波长分辨率足以稳定当前关键位置响应。该比较的含义是标准网格与更细网格差异较小，而不是证明任意更粗网格均可接受，也不能替代对更高分析频率或更低波速材料重新检查最短波长。</w:t>
      </w:r>
    </w:p>
    <w:p w14:paraId="395F7D42">
      <w:pPr>
        <w:spacing w:before="0" w:after="0"/>
        <w:ind w:firstLine="420"/>
        <w:jc w:val="both"/>
      </w:pPr>
      <w:r>
        <w:rPr>
          <w:rFonts w:hint="eastAsia" w:ascii="Times New Roman" w:hAnsi="Times New Roman" w:eastAsia="宋体" w:cs="Times New Roman"/>
          <w:b w:val="0"/>
          <w:i w:val="0"/>
          <w:sz w:val="21"/>
        </w:rPr>
        <w:t xml:space="preserve">V002 与 P061 几乎重合，其全场对数幅值 RMSE 为 </w:t>
      </w:r>
      <m:oMath>
        <m:r>
          <m:rPr/>
          <m:t>1.02</m:t>
        </m:r>
        <m:r>
          <m:rPr>
            <m:sty m:val="p"/>
          </m:rPr>
          <m:t>×</m:t>
        </m:r>
        <m:sSup>
          <m:sSupPr/>
          <m:e>
            <m:r>
              <m:rPr/>
              <m:t>10</m:t>
            </m:r>
          </m:e>
          <m:sup>
            <m:r>
              <m:rPr>
                <m:sty m:val="p"/>
              </m:rPr>
              <m:t>−</m:t>
            </m:r>
            <m:r>
              <m:rPr/>
              <m:t>4</m:t>
            </m:r>
          </m:sup>
        </m:sSup>
      </m:oMath>
      <w:r>
        <w:rPr>
          <w:rFonts w:hint="eastAsia" w:ascii="Times New Roman" w:hAnsi="Times New Roman" w:eastAsia="宋体" w:cs="Times New Roman"/>
          <w:b w:val="0"/>
          <w:i w:val="0"/>
          <w:sz w:val="21"/>
        </w:rPr>
        <w:t xml:space="preserve">，圆周相位 RMSE 仅 0.006°。延长尾段后，末 10% 时程的95%分位数（P95）残余比为 </w:t>
      </w:r>
      <m:oMath>
        <m:r>
          <m:rPr/>
          <m:t>1.77</m:t>
        </m:r>
        <m:r>
          <m:rPr>
            <m:sty m:val="p"/>
          </m:rPr>
          <m:t>×</m:t>
        </m:r>
        <m:sSup>
          <m:sSupPr/>
          <m:e>
            <m:r>
              <m:rPr/>
              <m:t>10</m:t>
            </m:r>
          </m:e>
          <m:sup>
            <m:r>
              <m:rPr>
                <m:sty m:val="p"/>
              </m:rPr>
              <m:t>−</m:t>
            </m:r>
            <m:r>
              <m:rPr/>
              <m:t>6</m:t>
            </m:r>
          </m:sup>
        </m:sSup>
      </m:oMath>
      <w:r>
        <w:rPr>
          <w:rFonts w:hint="eastAsia" w:ascii="Times New Roman" w:hAnsi="Times New Roman" w:eastAsia="宋体" w:cs="Times New Roman"/>
          <w:b w:val="0"/>
          <w:i w:val="0"/>
          <w:sz w:val="21"/>
        </w:rPr>
        <w:t>，表明标准 6 s 尾段已经使末端残余降至很低水平。因而，正式频带中的差异不可能主要由 8.191 s 输入在分析终点被突然截断造成；将尾段继续加倍会显著增加隐式求解步数，却没有带来可辨识的关键响应变化。</w:t>
      </w:r>
    </w:p>
    <w:p w14:paraId="078941B2">
      <w:pPr>
        <w:spacing w:before="0" w:after="0"/>
        <w:ind w:firstLine="420"/>
        <w:jc w:val="both"/>
      </w:pPr>
      <w:r>
        <w:rPr>
          <w:rFonts w:hint="eastAsia" w:ascii="Times New Roman" w:hAnsi="Times New Roman" w:eastAsia="宋体" w:cs="Times New Roman"/>
          <w:b w:val="0"/>
          <w:i w:val="0"/>
          <w:sz w:val="21"/>
        </w:rPr>
        <w:t xml:space="preserve">V003 的结果需要分层解读。坡顶主峰由 1.9 Hz 移至 1.8 Hz，坡面中部主峰由 6.5 Hz 移至 6.6 Hz，坡面峰值变化只有 1.508%，两项主要判据均通过；但其全场 </w:t>
      </w:r>
      <m:oMath>
        <m:r>
          <m:rPr>
            <m:sty m:val="p"/>
          </m:rPr>
          <m:t>ln|</m:t>
        </m:r>
        <m:sSub>
          <m:sSubPr/>
          <m:e>
            <m:r>
              <m:rPr/>
              <m:t>G</m:t>
            </m:r>
          </m:e>
          <m:sub>
            <m:r>
              <m:rPr/>
              <m:t>h</m:t>
            </m:r>
          </m:sub>
        </m:sSub>
        <m:r>
          <m:rPr>
            <m:sty m:val="p"/>
          </m:rPr>
          <m:t>|</m:t>
        </m:r>
      </m:oMath>
      <w:r>
        <w:rPr>
          <w:rFonts w:hint="eastAsia" w:ascii="Times New Roman" w:hAnsi="Times New Roman" w:eastAsia="宋体" w:cs="Times New Roman"/>
          <w:b w:val="0"/>
          <w:i w:val="0"/>
          <w:sz w:val="21"/>
        </w:rPr>
        <w:t xml:space="preserve"> RMSE 为 0.1824，加权复场误差为 0.2605，即使扣除了 0.01294 s 理论水平传播时差，圆周相位 RMSE 仍为 10.792°。分区对数幅值 RMSE 从上平台的 0.1156、坡面的 0.1558 增至下平台的 0.2501，圆周相位 RMSE 也由 6.83°、9.20° 增至 14.80°。这说明 </w:t>
      </w:r>
      <m:oMath>
        <m:r>
          <m:rPr/>
          <m:t>1h</m:t>
        </m:r>
      </m:oMath>
      <w:r>
        <w:rPr>
          <w:rFonts w:hint="eastAsia" w:ascii="Times New Roman" w:hAnsi="Times New Roman" w:eastAsia="宋体" w:cs="Times New Roman"/>
          <w:b w:val="0"/>
          <w:i w:val="0"/>
          <w:sz w:val="21"/>
        </w:rPr>
        <w:t xml:space="preserve"> 与 </w:t>
      </w:r>
      <m:oMath>
        <m:r>
          <m:rPr/>
          <m:t>2h</m:t>
        </m:r>
      </m:oMath>
      <w:r>
        <w:rPr>
          <w:rFonts w:hint="eastAsia" w:ascii="Times New Roman" w:hAnsi="Times New Roman" w:eastAsia="宋体" w:cs="Times New Roman"/>
          <w:b w:val="0"/>
          <w:i w:val="0"/>
          <w:sz w:val="21"/>
        </w:rPr>
        <w:t xml:space="preserve"> 侧向净空在坡体关键位置给出稳定主峰，但远平台和完整复场仍存在不可忽略的域尺寸残余。本文据此接受 </w:t>
      </w:r>
      <m:oMath>
        <m:r>
          <m:rPr/>
          <m:t>1h</m:t>
        </m:r>
      </m:oMath>
      <w:r>
        <w:rPr>
          <w:rFonts w:hint="eastAsia" w:ascii="Times New Roman" w:hAnsi="Times New Roman" w:eastAsia="宋体" w:cs="Times New Roman"/>
          <w:b w:val="0"/>
          <w:i w:val="0"/>
          <w:sz w:val="21"/>
        </w:rPr>
        <w:t xml:space="preserve"> 作为当前参数研究的成本—精度折中，同时把 V003 的全场差异作为数值不确定性保留；不能据此声称整个 </w:t>
      </w:r>
      <m:oMath>
        <m:r>
          <m:rPr/>
          <m:t>s</m:t>
        </m:r>
        <m:r>
          <m:rPr>
            <m:sty m:val="p"/>
          </m:rPr>
          <m:t>=−</m:t>
        </m:r>
        <m:r>
          <m:rPr/>
          <m:t>4</m:t>
        </m:r>
      </m:oMath>
      <w:r>
        <w:rPr>
          <w:rFonts w:hint="eastAsia" w:ascii="Times New Roman" w:hAnsi="Times New Roman" w:eastAsia="宋体" w:cs="Times New Roman"/>
          <w:b w:val="0"/>
          <w:i w:val="0"/>
          <w:sz w:val="21"/>
        </w:rPr>
        <w:t>—4 区间已对侧向域尺寸完全收敛。</w:t>
      </w:r>
    </w:p>
    <w:p w14:paraId="6AA63A0C">
      <w:pPr>
        <w:spacing w:before="0" w:after="0"/>
        <w:ind w:firstLine="420"/>
        <w:jc w:val="both"/>
      </w:pPr>
      <w:r>
        <w:rPr>
          <w:rFonts w:hint="eastAsia" w:ascii="Times New Roman" w:hAnsi="Times New Roman" w:eastAsia="宋体" w:cs="Times New Roman"/>
          <w:b w:val="0"/>
          <w:i w:val="0"/>
          <w:sz w:val="21"/>
        </w:rPr>
        <w:t xml:space="preserve">V004 的全场 </w:t>
      </w:r>
      <m:oMath>
        <m:r>
          <m:rPr>
            <m:sty m:val="p"/>
          </m:rPr>
          <m:t>ln|</m:t>
        </m:r>
        <m:sSub>
          <m:sSubPr/>
          <m:e>
            <m:r>
              <m:rPr/>
              <m:t>G</m:t>
            </m:r>
          </m:e>
          <m:sub>
            <m:r>
              <m:rPr/>
              <m:t>h</m:t>
            </m:r>
          </m:sub>
        </m:sSub>
        <m:r>
          <m:rPr>
            <m:sty m:val="p"/>
          </m:rPr>
          <m:t>|</m:t>
        </m:r>
      </m:oMath>
      <w:r>
        <w:rPr>
          <w:rFonts w:hint="eastAsia" w:ascii="Times New Roman" w:hAnsi="Times New Roman" w:eastAsia="宋体" w:cs="Times New Roman"/>
          <w:b w:val="0"/>
          <w:i w:val="0"/>
          <w:sz w:val="21"/>
        </w:rPr>
        <w:t xml:space="preserve"> RMSE 为 0.0324、加权复场误差为 0.0490，坡顶主峰频率保持 1.9 Hz，坡面中部峰值只增加 0.891%。需要注意，坡顶峰值幅值由 2.015 降为 1.868，变化约为 </w:t>
      </w:r>
      <m:oMath>
        <m:r>
          <m:rPr>
            <m:sty m:val="p"/>
          </m:rPr>
          <m:t>−</m:t>
        </m:r>
        <m:r>
          <m:rPr/>
          <m:t>7.3</m:t>
        </m:r>
        <m:r>
          <m:rPr>
            <m:sty m:val="p"/>
          </m:rPr>
          <m:t>%</m:t>
        </m:r>
      </m:oMath>
      <w:r>
        <w:rPr>
          <w:rFonts w:hint="eastAsia" w:ascii="Times New Roman" w:hAnsi="Times New Roman" w:eastAsia="宋体" w:cs="Times New Roman"/>
          <w:b w:val="0"/>
          <w:i w:val="0"/>
          <w:sz w:val="21"/>
        </w:rPr>
        <w:t>，高于坡面中部的变化；这一局部峰值差异说明加深基底仍会改变部分反射与干涉叠加，却没有造成坡顶峰频迁移或大范围幅值场改变。因此，</w:t>
      </w:r>
      <m:oMath>
        <m:r>
          <m:rPr/>
          <m:t>3h</m:t>
        </m:r>
      </m:oMath>
      <w:r>
        <w:rPr>
          <w:rFonts w:hint="eastAsia" w:ascii="Times New Roman" w:hAnsi="Times New Roman" w:eastAsia="宋体" w:cs="Times New Roman"/>
          <w:b w:val="0"/>
          <w:i w:val="0"/>
          <w:sz w:val="21"/>
        </w:rPr>
        <w:t xml:space="preserve"> 基底深度足以维持本文预先选定的坡顶峰频和坡面峰值判据，但坡顶峰值的深度敏感性应在解释极值时计入，而不应被全场 RMSE 的较小数值掩盖。</w:t>
      </w:r>
    </w:p>
    <w:p w14:paraId="73C8FAEC">
      <w:pPr>
        <w:spacing w:before="0" w:after="0"/>
        <w:ind w:firstLine="420"/>
        <w:jc w:val="both"/>
      </w:pPr>
      <w:r>
        <w:rPr>
          <w:rFonts w:hint="eastAsia" w:ascii="Times New Roman" w:hAnsi="Times New Roman" w:eastAsia="宋体" w:cs="Times New Roman"/>
          <w:b w:val="0"/>
          <w:i w:val="0"/>
          <w:sz w:val="21"/>
        </w:rPr>
        <w:t>综合四项单因素比较，标准设置在预定关键响应上表现稳定，且最敏感的 P061 角点已经覆盖最低波速、最大厚度与最大坡角的组合。不过，该设计一次只改变一个数值因素，不能排除侧向净空与基底深度同时变化时的交互误差；P061 的通过也不等同于对参数空间每一个工况逐一完成收敛试验。本文因而把 V 组结论限定为：在二维线性、15° SV 入射、G1b 输入和 0.5—10 Hz 频带内，4 m 分级网格、6 s 尾段、</w:t>
      </w:r>
      <m:oMath>
        <m:r>
          <m:rPr/>
          <m:t>1h</m:t>
        </m:r>
      </m:oMath>
      <w:r>
        <w:rPr>
          <w:rFonts w:hint="eastAsia" w:ascii="Times New Roman" w:hAnsi="Times New Roman" w:eastAsia="宋体" w:cs="Times New Roman"/>
          <w:b w:val="0"/>
          <w:i w:val="0"/>
          <w:sz w:val="21"/>
        </w:rPr>
        <w:t xml:space="preserve"> 侧向净空与 </w:t>
      </w:r>
      <m:oMath>
        <m:r>
          <m:rPr/>
          <m:t>3h</m:t>
        </m:r>
      </m:oMath>
      <w:r>
        <w:rPr>
          <w:rFonts w:hint="eastAsia" w:ascii="Times New Roman" w:hAnsi="Times New Roman" w:eastAsia="宋体" w:cs="Times New Roman"/>
          <w:b w:val="0"/>
          <w:i w:val="0"/>
          <w:sz w:val="21"/>
        </w:rPr>
        <w:t xml:space="preserve"> 基底深度足以支撑坡顶峰频及坡面中部峰值的参数比较，而完整复场特别是远下平台仍带有以 V003 为代表的域尺寸不确定性。</w:t>
      </w:r>
    </w:p>
    <w:p w14:paraId="029F0AA2">
      <w:pPr>
        <w:keepNext w:val="0"/>
        <w:keepLines w:val="0"/>
        <w:pageBreakBefore w:val="0"/>
        <w:widowControl w:val="0"/>
        <w:kinsoku/>
        <w:wordWrap/>
        <w:overflowPunct/>
        <w:topLinePunct w:val="0"/>
        <w:autoSpaceDE/>
        <w:autoSpaceDN/>
        <w:bidi w:val="0"/>
        <w:adjustRightInd/>
        <w:snapToGrid/>
        <w:spacing w:before="80" w:after="20"/>
        <w:ind w:firstLine="0"/>
        <w:jc w:val="left"/>
        <w:textAlignment w:val="auto"/>
        <w:outlineLvl w:val="2"/>
      </w:pPr>
      <w:r>
        <w:rPr>
          <w:rFonts w:hint="eastAsia" w:ascii="Times New Roman" w:hAnsi="Times New Roman" w:eastAsia="宋体" w:cs="Times New Roman"/>
          <w:b/>
          <w:i w:val="0"/>
          <w:sz w:val="21"/>
        </w:rPr>
        <w:t>2.2.2 Abaqus—SPECFEM2D 对比</w:t>
      </w:r>
    </w:p>
    <w:p w14:paraId="714ADD5E">
      <w:pPr>
        <w:spacing w:before="0" w:after="0"/>
        <w:ind w:firstLine="420"/>
        <w:jc w:val="both"/>
      </w:pPr>
      <w:r>
        <w:rPr>
          <w:rFonts w:hint="eastAsia" w:ascii="Times New Roman" w:hAnsi="Times New Roman" w:eastAsia="宋体" w:cs="Times New Roman"/>
          <w:b w:val="0"/>
          <w:i w:val="0"/>
          <w:sz w:val="21"/>
        </w:rPr>
        <w:t xml:space="preserve">跨软件验证选取均质坡 H004 和成层坡 P061 两个代表体系。前者对应 </w:t>
      </w:r>
      <m:oMath>
        <m:r>
          <m:rPr/>
          <m:t>i</m:t>
        </m:r>
        <m:r>
          <m:rPr>
            <m:sty m:val="p"/>
          </m:rPr>
          <m:t>=</m:t>
        </m:r>
        <m:sSup>
          <m:sSupPr/>
          <m:e>
            <m:r>
              <m:rPr/>
              <m:t>60</m:t>
            </m:r>
          </m:e>
          <m:sup>
            <m:r>
              <m:rPr>
                <m:sty m:val="p"/>
              </m:rPr>
              <m:t>∘</m:t>
            </m:r>
          </m:sup>
        </m:sSup>
      </m:oMath>
      <w:r>
        <w:rPr>
          <w:rFonts w:hint="eastAsia" w:ascii="Times New Roman" w:hAnsi="Times New Roman" w:eastAsia="宋体" w:cs="Times New Roman"/>
          <w:b w:val="0"/>
          <w:i w:val="0"/>
          <w:sz w:val="21"/>
        </w:rPr>
        <w:t xml:space="preserve"> 的均质基岩坡，用于检验坡形散射而不引入材料界面；后者同时包含陡坡、软厚覆盖层和水平界面，用于检验更复杂的透反射与地表散射组合。Abaqus 工况记为 X001-A、X002-A，SPECFEM2D v8.1.0</w:t>
      </w:r>
      <w:r>
        <w:rPr>
          <w:rFonts w:hint="eastAsia" w:ascii="Times New Roman" w:hAnsi="Times New Roman" w:eastAsia="宋体" w:cs="Times New Roman"/>
          <w:b w:val="0"/>
          <w:i w:val="0"/>
          <w:sz w:val="21"/>
          <w:vertAlign w:val="superscript"/>
        </w:rPr>
        <w:t>[34]</w:t>
      </w:r>
      <w:r>
        <w:rPr>
          <w:rFonts w:hint="eastAsia" w:ascii="Times New Roman" w:hAnsi="Times New Roman" w:eastAsia="宋体" w:cs="Times New Roman"/>
          <w:b w:val="0"/>
          <w:i w:val="0"/>
          <w:sz w:val="21"/>
        </w:rPr>
        <w:t xml:space="preserve"> 工况记为 X001-S、X002-S；成层坡另设置加密谱元网格 X002-SR，以区分跨方法差异与谱元网格不足。三组正式比较分别为 X001-A/X001-S、X002-A/X002-S 和 X002-A/X002-SR。</w:t>
      </w:r>
    </w:p>
    <w:p w14:paraId="5A8D6266">
      <w:pPr>
        <w:spacing w:before="0" w:after="0"/>
        <w:ind w:firstLine="420"/>
        <w:jc w:val="both"/>
      </w:pPr>
      <w:r>
        <w:rPr>
          <w:rFonts w:hint="eastAsia" w:ascii="Times New Roman" w:hAnsi="Times New Roman" w:eastAsia="宋体" w:cs="Times New Roman"/>
          <w:b w:val="0"/>
          <w:i w:val="0"/>
          <w:sz w:val="21"/>
        </w:rPr>
        <w:t xml:space="preserve">两套求解器采用同一 4 Hz 位移 Ricker 脉冲定义。SPECFEM2D 的初始场以单位位移 Ricker 表示，Abaqus 端施加其解析二阶导数，并统一把 SV 偏振方向的加速度矢量峰值调至 </w:t>
      </w:r>
      <m:oMath>
        <m:r>
          <m:rPr/>
          <m:t>0.1g</m:t>
        </m:r>
        <m:r>
          <m:rPr>
            <m:sty m:val="p"/>
          </m:rPr>
          <m:t>=</m:t>
        </m:r>
        <m:r>
          <m:rPr/>
          <m:t>0.980665 </m:t>
        </m:r>
        <m:r>
          <m:rPr>
            <m:sty m:val="p"/>
          </m:rPr>
          <m:t>m/</m:t>
        </m:r>
        <m:sSup>
          <m:sSupPr/>
          <m:e>
            <m:r>
              <m:rPr>
                <m:sty m:val="p"/>
              </m:rPr>
              <m:t>s</m:t>
            </m:r>
          </m:e>
          <m:sup>
            <m:r>
              <m:rPr>
                <m:sty m:val="p"/>
              </m:rPr>
              <m:t>2</m:t>
            </m:r>
          </m:sup>
        </m:sSup>
      </m:oMath>
      <w:r>
        <w:rPr>
          <w:rFonts w:hint="eastAsia" w:ascii="Times New Roman" w:hAnsi="Times New Roman" w:eastAsia="宋体" w:cs="Times New Roman"/>
          <w:b w:val="0"/>
          <w:i w:val="0"/>
          <w:sz w:val="21"/>
        </w:rPr>
        <w:t xml:space="preserve">。单位位移脉冲的解析加速度峰值为 </w:t>
      </w:r>
      <m:oMath>
        <m:r>
          <m:rPr/>
          <m:t>6</m:t>
        </m:r>
        <m:sSup>
          <m:sSupPr/>
          <m:e>
            <m:r>
              <m:rPr/>
              <m:t>π</m:t>
            </m:r>
          </m:e>
          <m:sup>
            <m:r>
              <m:rPr/>
              <m:t>2</m:t>
            </m:r>
          </m:sup>
        </m:sSup>
        <m:sSubSup>
          <m:sSubSupPr/>
          <m:e>
            <m:r>
              <m:rPr/>
              <m:t>f</m:t>
            </m:r>
          </m:e>
          <m:sub>
            <m:r>
              <m:rPr/>
              <m:t>0</m:t>
            </m:r>
          </m:sub>
          <m:sup>
            <m:r>
              <m:rPr/>
              <m:t>2</m:t>
            </m:r>
          </m:sup>
        </m:sSubSup>
        <m:r>
          <m:rPr>
            <m:sty m:val="p"/>
          </m:rPr>
          <m:t>=</m:t>
        </m:r>
        <m:r>
          <m:rPr/>
          <m:t>947.4820 </m:t>
        </m:r>
        <m:r>
          <m:rPr>
            <m:sty m:val="p"/>
          </m:rPr>
          <m:t>m/</m:t>
        </m:r>
        <m:sSup>
          <m:sSupPr/>
          <m:e>
            <m:r>
              <m:rPr>
                <m:sty m:val="p"/>
              </m:rPr>
              <m:t>s</m:t>
            </m:r>
          </m:e>
          <m:sup>
            <m:r>
              <m:rPr>
                <m:sty m:val="p"/>
              </m:rPr>
              <m:t>2</m:t>
            </m:r>
          </m:sup>
        </m:sSup>
      </m:oMath>
      <w:r>
        <w:rPr>
          <w:rFonts w:hint="eastAsia" w:ascii="Times New Roman" w:hAnsi="Times New Roman" w:eastAsia="宋体" w:cs="Times New Roman"/>
          <w:b w:val="0"/>
          <w:i w:val="0"/>
          <w:sz w:val="21"/>
        </w:rPr>
        <w:t xml:space="preserve">，故公共幅值系数为 </w:t>
      </w:r>
      <m:oMath>
        <m:r>
          <m:rPr/>
          <m:t>0.980665</m:t>
        </m:r>
        <m:r>
          <m:rPr>
            <m:sty m:val="p"/>
          </m:rPr>
          <m:t>/</m:t>
        </m:r>
        <m:r>
          <m:rPr/>
          <m:t>947.4820</m:t>
        </m:r>
        <m:r>
          <m:rPr>
            <m:sty m:val="p"/>
          </m:rPr>
          <m:t>=</m:t>
        </m:r>
        <m:r>
          <m:rPr/>
          <m:t>0.0010350223</m:t>
        </m:r>
      </m:oMath>
      <w:r>
        <w:rPr>
          <w:rFonts w:hint="eastAsia" w:ascii="Times New Roman" w:hAnsi="Times New Roman" w:eastAsia="宋体" w:cs="Times New Roman"/>
          <w:b w:val="0"/>
          <w:i w:val="0"/>
          <w:sz w:val="21"/>
        </w:rPr>
        <w:t xml:space="preserve">。公共脉冲含 2001 个点，采样间隔为 0.001 s，峰值时刻为 0.300 s；按加速度幅值谱不低于峰值 5% 的规则，有效频带为 1.6972—11.0916 Hz。SPECFEM2D 输出只乘上述公共系数一次，结果生成后不允许按测点、分量或时段再次移时、缩放或翻转符号。公共地表坐标为 </w:t>
      </w:r>
      <m:oMath>
        <m:r>
          <m:rPr/>
          <m:t>s</m:t>
        </m:r>
        <m:r>
          <m:rPr>
            <m:sty m:val="p"/>
          </m:rPr>
          <m:t>=−</m:t>
        </m:r>
        <m:r>
          <m:rPr/>
          <m:t>4.00</m:t>
        </m:r>
      </m:oMath>
      <w:r>
        <w:rPr>
          <w:rFonts w:hint="eastAsia" w:ascii="Times New Roman" w:hAnsi="Times New Roman" w:eastAsia="宋体" w:cs="Times New Roman"/>
          <w:b w:val="0"/>
          <w:i w:val="0"/>
          <w:sz w:val="21"/>
        </w:rPr>
        <w:t>—4.00、间隔 0.01 的 801 点，Abaqus 原生地表节点以确定性插值映射到该网格。</w:t>
      </w:r>
    </w:p>
    <w:p w14:paraId="57D6BEE2">
      <w:pPr>
        <w:spacing w:before="0" w:after="0"/>
        <w:ind w:firstLine="420"/>
        <w:jc w:val="both"/>
      </w:pPr>
      <w:r>
        <w:rPr>
          <w:rFonts w:hint="eastAsia" w:ascii="Times New Roman" w:hAnsi="Times New Roman" w:eastAsia="宋体" w:cs="Times New Roman"/>
          <w:b w:val="0"/>
          <w:i w:val="0"/>
          <w:sz w:val="21"/>
        </w:rPr>
        <w:t xml:space="preserve">SPECFEM2D 采用自由地表以及左、右、底 Stacey 吸收边界，并在三条非自由边界开启 Bielak 入射修正。X001-S 含 5123 个谱元，实际时间步为 0.0001 s；X002-S 含 5232 个谱元，时间步为 0.00005 s；X002-SR 加密至 20398 个谱元，保持与 X002-S 相同的时间步，使加密比较只改变空间离散。三个基岩诊断点用于核对传播方向、偏振与时间原点：X001-S 的主峰时刻误差均小于 0.002 s，实测 </w:t>
      </w:r>
      <m:oMath>
        <m:sSub>
          <m:sSubPr/>
          <m:e>
            <m:r>
              <m:rPr/>
              <m:t>a</m:t>
            </m:r>
          </m:e>
          <m:sub>
            <m:r>
              <m:rPr/>
              <m:t>z</m:t>
            </m:r>
          </m:sub>
        </m:sSub>
        <m:r>
          <m:rPr>
            <m:sty m:val="p"/>
          </m:rPr>
          <m:t>/</m:t>
        </m:r>
        <m:sSub>
          <m:sSubPr/>
          <m:e>
            <m:r>
              <m:rPr/>
              <m:t>a</m:t>
            </m:r>
          </m:e>
          <m:sub>
            <m:r>
              <m:rPr/>
              <m:t>x</m:t>
            </m:r>
          </m:sub>
        </m:sSub>
      </m:oMath>
      <w:r>
        <w:rPr>
          <w:rFonts w:hint="eastAsia" w:ascii="Times New Roman" w:hAnsi="Times New Roman" w:eastAsia="宋体" w:cs="Times New Roman"/>
          <w:b w:val="0"/>
          <w:i w:val="0"/>
          <w:sz w:val="21"/>
        </w:rPr>
        <w:t xml:space="preserve"> 为 </w:t>
      </w:r>
      <m:oMath>
        <m:r>
          <m:rPr>
            <m:sty m:val="p"/>
          </m:rPr>
          <m:t>−</m:t>
        </m:r>
        <m:r>
          <m:rPr/>
          <m:t>0.2648</m:t>
        </m:r>
      </m:oMath>
      <w:r>
        <w:rPr>
          <w:rFonts w:hint="eastAsia" w:ascii="Times New Roman" w:hAnsi="Times New Roman" w:eastAsia="宋体" w:cs="Times New Roman"/>
          <w:b w:val="0"/>
          <w:i w:val="0"/>
          <w:sz w:val="21"/>
        </w:rPr>
        <w:t>—</w:t>
      </w:r>
      <m:oMath>
        <m:r>
          <m:rPr>
            <m:sty m:val="p"/>
          </m:rPr>
          <m:t>−</m:t>
        </m:r>
        <m:r>
          <m:rPr/>
          <m:t>0.2692</m:t>
        </m:r>
      </m:oMath>
      <w:r>
        <w:rPr>
          <w:rFonts w:hint="eastAsia" w:ascii="Times New Roman" w:hAnsi="Times New Roman" w:eastAsia="宋体" w:cs="Times New Roman"/>
          <w:b w:val="0"/>
          <w:i w:val="0"/>
          <w:sz w:val="21"/>
        </w:rPr>
        <w:t xml:space="preserve">，与理论值 </w:t>
      </w:r>
      <m:oMath>
        <m:r>
          <m:rPr>
            <m:sty m:val="p"/>
          </m:rPr>
          <m:t>−tan</m:t>
        </m:r>
        <m:sSup>
          <m:sSupPr/>
          <m:e>
            <m:r>
              <m:rPr/>
              <m:t>15</m:t>
            </m:r>
          </m:e>
          <m:sup>
            <m:r>
              <m:rPr>
                <m:sty m:val="p"/>
              </m:rPr>
              <m:t>∘</m:t>
            </m:r>
          </m:sup>
        </m:sSup>
        <m:r>
          <m:rPr>
            <m:sty m:val="p"/>
          </m:rPr>
          <m:t>=−</m:t>
        </m:r>
        <m:r>
          <m:rPr/>
          <m:t>0.26795</m:t>
        </m:r>
      </m:oMath>
      <w:r>
        <w:rPr>
          <w:rFonts w:hint="eastAsia" w:ascii="Times New Roman" w:hAnsi="Times New Roman" w:eastAsia="宋体" w:cs="Times New Roman"/>
          <w:b w:val="0"/>
          <w:i w:val="0"/>
          <w:sz w:val="21"/>
        </w:rPr>
        <w:t xml:space="preserve"> 一致。成层工况中靠近界面的诊断点受透射波影响，不用于深部入射门控；远离界面的两个基岩点主峰时刻误差不超过 0.003 s、偏振比误差不超过 0.019、峰值相对误差不超过 2.6%。这些检查先确认两软件比较的是同一入射波，而不是用地表结果的事后缩放掩盖输入差异。</w:t>
      </w:r>
    </w:p>
    <w:p w14:paraId="3E41BDC3">
      <w:pPr>
        <w:spacing w:before="0" w:after="0"/>
        <w:ind w:firstLine="420"/>
        <w:jc w:val="both"/>
      </w:pPr>
      <w:r>
        <w:rPr>
          <w:rFonts w:hint="eastAsia" w:ascii="Times New Roman" w:hAnsi="Times New Roman" w:eastAsia="宋体" w:cs="Times New Roman"/>
          <w:b w:val="0"/>
          <w:i w:val="0"/>
          <w:sz w:val="21"/>
        </w:rPr>
        <w:t xml:space="preserve">正式比较针对地表 PGA 空间曲线。对公共 </w:t>
      </w:r>
      <m:oMath>
        <m:sSub>
          <m:sSubPr/>
          <m:e>
            <m:r>
              <m:rPr/>
              <m:t>N</m:t>
            </m:r>
          </m:e>
          <m:sub>
            <m:r>
              <m:rPr/>
              <m:t>s</m:t>
            </m:r>
          </m:sub>
        </m:sSub>
        <m:r>
          <m:rPr>
            <m:sty m:val="p"/>
          </m:rPr>
          <m:t>=</m:t>
        </m:r>
        <m:r>
          <m:rPr/>
          <m:t>801</m:t>
        </m:r>
      </m:oMath>
      <w:r>
        <w:rPr>
          <w:rFonts w:hint="eastAsia" w:ascii="Times New Roman" w:hAnsi="Times New Roman" w:eastAsia="宋体" w:cs="Times New Roman"/>
          <w:b w:val="0"/>
          <w:i w:val="0"/>
          <w:sz w:val="21"/>
        </w:rPr>
        <w:t xml:space="preserve"> 个位置，曲线归一化均方根误差（normalized root-mean-square error，NRMSE）定义为</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066A6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0DFA45DE">
            <w:pPr>
              <w:spacing w:before="60" w:after="60"/>
              <w:jc w:val="center"/>
            </w:pPr>
            <m:oMathPara>
              <m:oMath>
                <m:sSub>
                  <m:sSubPr/>
                  <m:e>
                    <m:r>
                      <m:rPr/>
                      <m:t>E</m:t>
                    </m:r>
                  </m:e>
                  <m:sub>
                    <m:r>
                      <m:rPr>
                        <m:sty m:val="p"/>
                      </m:rPr>
                      <m:t>PGA</m:t>
                    </m:r>
                  </m:sub>
                </m:sSub>
                <m:r>
                  <m:rPr>
                    <m:sty m:val="p"/>
                  </m:rPr>
                  <m:t>=</m:t>
                </m:r>
                <m:f>
                  <m:fPr/>
                  <m:num>
                    <m:rad>
                      <m:radPr>
                        <m:degHide m:val="1"/>
                      </m:radPr>
                      <m:deg/>
                      <m:e>
                        <m:sSubSup>
                          <m:sSubSupPr/>
                          <m:e>
                            <m:r>
                              <m:rPr/>
                              <m:t>N</m:t>
                            </m:r>
                          </m:e>
                          <m:sub>
                            <m:r>
                              <m:rPr/>
                              <m:t>s</m:t>
                            </m:r>
                          </m:sub>
                          <m:sup>
                            <m:r>
                              <m:rPr>
                                <m:sty m:val="p"/>
                              </m:rPr>
                              <m:t>−</m:t>
                            </m:r>
                            <m:r>
                              <m:rPr/>
                              <m:t>1</m:t>
                            </m:r>
                          </m:sup>
                        </m:sSubSup>
                        <m:nary>
                          <m:naryPr>
                            <m:chr m:val="∑"/>
                            <m:limLoc m:val="undOvr"/>
                          </m:naryPr>
                          <m:sub>
                            <m:r>
                              <m:rPr/>
                              <m:t>j</m:t>
                            </m:r>
                            <m:r>
                              <m:rPr>
                                <m:sty m:val="p"/>
                              </m:rPr>
                              <m:t>=</m:t>
                            </m:r>
                            <m:r>
                              <m:rPr/>
                              <m:t>1</m:t>
                            </m:r>
                          </m:sub>
                          <m:sup>
                            <m:sSub>
                              <m:sSubPr/>
                              <m:e>
                                <m:r>
                                  <m:rPr/>
                                  <m:t>N</m:t>
                                </m:r>
                              </m:e>
                              <m:sub>
                                <m:r>
                                  <m:rPr/>
                                  <m:t>s</m:t>
                                </m:r>
                              </m:sub>
                            </m:sSub>
                          </m:sup>
                          <m:e>
                            <m:sSup>
                              <m:sSupPr/>
                              <m:e>
                                <m:d>
                                  <m:dPr>
                                    <m:begChr m:val="["/>
                                    <m:sepChr m:val=""/>
                                    <m:endChr m:val="]"/>
                                  </m:dPr>
                                  <m:e>
                                    <m:sSub>
                                      <m:sSubPr/>
                                      <m:e>
                                        <m:r>
                                          <m:rPr/>
                                          <m:t>P</m:t>
                                        </m:r>
                                      </m:e>
                                      <m:sub>
                                        <m:r>
                                          <m:rPr>
                                            <m:sty m:val="p"/>
                                          </m:rPr>
                                          <m:t>A</m:t>
                                        </m:r>
                                      </m:sub>
                                    </m:sSub>
                                    <m:r>
                                      <m:rPr>
                                        <m:sty m:val="p"/>
                                      </m:rPr>
                                      <m:t>(</m:t>
                                    </m:r>
                                    <m:sSub>
                                      <m:sSubPr/>
                                      <m:e>
                                        <m:r>
                                          <m:rPr/>
                                          <m:t>s</m:t>
                                        </m:r>
                                      </m:e>
                                      <m:sub>
                                        <m:r>
                                          <m:rPr/>
                                          <m:t>j</m:t>
                                        </m:r>
                                      </m:sub>
                                    </m:sSub>
                                    <m:r>
                                      <m:rPr>
                                        <m:sty m:val="p"/>
                                      </m:rPr>
                                      <m:t>)−</m:t>
                                    </m:r>
                                    <m:sSub>
                                      <m:sSubPr/>
                                      <m:e>
                                        <m:r>
                                          <m:rPr/>
                                          <m:t>P</m:t>
                                        </m:r>
                                      </m:e>
                                      <m:sub>
                                        <m:r>
                                          <m:rPr>
                                            <m:sty m:val="p"/>
                                          </m:rPr>
                                          <m:t>S</m:t>
                                        </m:r>
                                      </m:sub>
                                    </m:sSub>
                                    <m:r>
                                      <m:rPr>
                                        <m:sty m:val="p"/>
                                      </m:rPr>
                                      <m:t>(</m:t>
                                    </m:r>
                                    <m:sSub>
                                      <m:sSubPr/>
                                      <m:e>
                                        <m:r>
                                          <m:rPr/>
                                          <m:t>s</m:t>
                                        </m:r>
                                      </m:e>
                                      <m:sub>
                                        <m:r>
                                          <m:rPr/>
                                          <m:t>j</m:t>
                                        </m:r>
                                      </m:sub>
                                    </m:sSub>
                                    <m:r>
                                      <m:rPr>
                                        <m:sty m:val="p"/>
                                      </m:rPr>
                                      <m:t>)</m:t>
                                    </m:r>
                                  </m:e>
                                </m:d>
                              </m:e>
                              <m:sup>
                                <m:r>
                                  <m:rPr/>
                                  <m:t>2</m:t>
                                </m:r>
                              </m:sup>
                            </m:sSup>
                          </m:e>
                        </m:nary>
                      </m:e>
                    </m:rad>
                  </m:num>
                  <m:den>
                    <m:rad>
                      <m:radPr>
                        <m:degHide m:val="1"/>
                      </m:radPr>
                      <m:deg/>
                      <m:e>
                        <m:sSubSup>
                          <m:sSubSupPr/>
                          <m:e>
                            <m:r>
                              <m:rPr/>
                              <m:t>N</m:t>
                            </m:r>
                          </m:e>
                          <m:sub>
                            <m:r>
                              <m:rPr/>
                              <m:t>s</m:t>
                            </m:r>
                          </m:sub>
                          <m:sup>
                            <m:r>
                              <m:rPr>
                                <m:sty m:val="p"/>
                              </m:rPr>
                              <m:t>−</m:t>
                            </m:r>
                            <m:r>
                              <m:rPr/>
                              <m:t>1</m:t>
                            </m:r>
                          </m:sup>
                        </m:sSubSup>
                        <m:nary>
                          <m:naryPr>
                            <m:chr m:val="∑"/>
                            <m:limLoc m:val="undOvr"/>
                          </m:naryPr>
                          <m:sub>
                            <m:r>
                              <m:rPr/>
                              <m:t>j</m:t>
                            </m:r>
                            <m:r>
                              <m:rPr>
                                <m:sty m:val="p"/>
                              </m:rPr>
                              <m:t>=</m:t>
                            </m:r>
                            <m:r>
                              <m:rPr/>
                              <m:t>1</m:t>
                            </m:r>
                          </m:sub>
                          <m:sup>
                            <m:sSub>
                              <m:sSubPr/>
                              <m:e>
                                <m:r>
                                  <m:rPr/>
                                  <m:t>N</m:t>
                                </m:r>
                              </m:e>
                              <m:sub>
                                <m:r>
                                  <m:rPr/>
                                  <m:t>s</m:t>
                                </m:r>
                              </m:sub>
                            </m:sSub>
                          </m:sup>
                          <m:e>
                            <m:sSubSup>
                              <m:sSubSupPr/>
                              <m:e>
                                <m:r>
                                  <m:rPr/>
                                  <m:t>P</m:t>
                                </m:r>
                              </m:e>
                              <m:sub>
                                <m:r>
                                  <m:rPr>
                                    <m:sty m:val="p"/>
                                  </m:rPr>
                                  <m:t>A</m:t>
                                </m:r>
                              </m:sub>
                              <m:sup>
                                <m:r>
                                  <m:rPr/>
                                  <m:t>2</m:t>
                                </m:r>
                              </m:sup>
                            </m:sSubSup>
                          </m:e>
                        </m:nary>
                        <m:r>
                          <m:rPr>
                            <m:sty m:val="p"/>
                          </m:rPr>
                          <m:t>(</m:t>
                        </m:r>
                        <m:sSub>
                          <m:sSubPr/>
                          <m:e>
                            <m:r>
                              <m:rPr/>
                              <m:t>s</m:t>
                            </m:r>
                          </m:e>
                          <m:sub>
                            <m:r>
                              <m:rPr/>
                              <m:t>j</m:t>
                            </m:r>
                          </m:sub>
                        </m:sSub>
                        <m:r>
                          <m:rPr>
                            <m:sty m:val="p"/>
                          </m:rPr>
                          <m:t>)</m:t>
                        </m:r>
                      </m:e>
                    </m:rad>
                  </m:den>
                </m:f>
                <m:r>
                  <m:rPr>
                    <m:sty m:val="p"/>
                  </m:rPr>
                  <m:t>,</m:t>
                </m:r>
                <m:r>
                  <m:rPr/>
                  <m:t>  </m:t>
                </m:r>
                <m:r>
                  <m:rPr>
                    <m:sty m:val="p"/>
                  </m:rPr>
                  <m:t>Δ</m:t>
                </m:r>
                <m:sSub>
                  <m:sSubPr/>
                  <m:e>
                    <m:r>
                      <m:rPr/>
                      <m:t>s</m:t>
                    </m:r>
                  </m:e>
                  <m:sub>
                    <m:r>
                      <m:rPr>
                        <m:sty m:val="p"/>
                      </m:rPr>
                      <m:t>pk</m:t>
                    </m:r>
                  </m:sub>
                </m:sSub>
                <m:r>
                  <m:rPr>
                    <m:sty m:val="p"/>
                  </m:rPr>
                  <m:t>=</m:t>
                </m:r>
                <m:d>
                  <m:dPr>
                    <m:begChr m:val="|"/>
                    <m:sepChr m:val=""/>
                    <m:endChr m:val="|"/>
                  </m:dPr>
                  <m:e>
                    <m:sSub>
                      <m:sSubPr/>
                      <m:e>
                        <m:r>
                          <m:rPr/>
                          <m:t>s</m:t>
                        </m:r>
                      </m:e>
                      <m:sub>
                        <m:r>
                          <m:rPr>
                            <m:sty m:val="p"/>
                          </m:rPr>
                          <m:t>pk,A</m:t>
                        </m:r>
                      </m:sub>
                    </m:sSub>
                    <m:r>
                      <m:rPr>
                        <m:sty m:val="p"/>
                      </m:rPr>
                      <m:t>−</m:t>
                    </m:r>
                    <m:sSub>
                      <m:sSubPr/>
                      <m:e>
                        <m:r>
                          <m:rPr/>
                          <m:t>s</m:t>
                        </m:r>
                      </m:e>
                      <m:sub>
                        <m:r>
                          <m:rPr>
                            <m:sty m:val="p"/>
                          </m:rPr>
                          <m:t>pk,S</m:t>
                        </m:r>
                      </m:sub>
                    </m:sSub>
                  </m:e>
                </m:d>
                <m:r>
                  <m:rPr>
                    <m:sty m:val="p"/>
                  </m:rPr>
                  <m:t>,</m:t>
                </m:r>
              </m:oMath>
            </m:oMathPara>
          </w:p>
        </w:tc>
        <w:tc>
          <w:tcPr>
            <w:tcW w:w="4819" w:type="dxa"/>
          </w:tcPr>
          <w:p w14:paraId="6785C917">
            <w:pPr>
              <w:spacing w:before="60" w:after="60"/>
              <w:jc w:val="right"/>
            </w:pPr>
            <w:r>
              <w:rPr>
                <w:rFonts w:hint="eastAsia" w:ascii="Times New Roman" w:hAnsi="Times New Roman" w:eastAsia="Times New Roman" w:cs="Times New Roman"/>
                <w:b w:val="0"/>
                <w:i w:val="0"/>
                <w:sz w:val="21"/>
              </w:rPr>
              <w:t>(12)</w:t>
            </w:r>
          </w:p>
        </w:tc>
      </w:tr>
    </w:tbl>
    <w:p w14:paraId="48AF926B">
      <w:pPr>
        <w:spacing w:before="0" w:after="0"/>
        <w:ind w:firstLine="420"/>
        <w:jc w:val="both"/>
      </w:pPr>
      <w:r>
        <w:rPr>
          <w:rFonts w:hint="eastAsia" w:ascii="Times New Roman" w:hAnsi="Times New Roman" w:eastAsia="宋体" w:cs="Times New Roman"/>
          <w:b w:val="0"/>
          <w:i w:val="0"/>
          <w:sz w:val="21"/>
        </w:rPr>
        <w:t xml:space="preserve">其中 </w:t>
      </w:r>
      <m:oMath>
        <m:sSub>
          <m:sSubPr/>
          <m:e>
            <m:r>
              <m:rPr/>
              <m:t>P</m:t>
            </m:r>
          </m:e>
          <m:sub>
            <m:r>
              <m:rPr>
                <m:sty m:val="p"/>
              </m:rPr>
              <m:t>A</m:t>
            </m:r>
          </m:sub>
        </m:sSub>
      </m:oMath>
      <w:r>
        <w:rPr>
          <w:rFonts w:hint="eastAsia" w:ascii="Times New Roman" w:hAnsi="Times New Roman" w:eastAsia="宋体" w:cs="Times New Roman"/>
          <w:b w:val="0"/>
          <w:i w:val="0"/>
          <w:sz w:val="21"/>
        </w:rPr>
        <w:t xml:space="preserve"> 与 </w:t>
      </w:r>
      <m:oMath>
        <m:sSub>
          <m:sSubPr/>
          <m:e>
            <m:r>
              <m:rPr/>
              <m:t>P</m:t>
            </m:r>
          </m:e>
          <m:sub>
            <m:r>
              <m:rPr>
                <m:sty m:val="p"/>
              </m:rPr>
              <m:t>S</m:t>
            </m:r>
          </m:sub>
        </m:sSub>
      </m:oMath>
      <w:r>
        <w:rPr>
          <w:rFonts w:hint="eastAsia" w:ascii="Times New Roman" w:hAnsi="Times New Roman" w:eastAsia="宋体" w:cs="Times New Roman"/>
          <w:b w:val="0"/>
          <w:i w:val="0"/>
          <w:sz w:val="21"/>
        </w:rPr>
        <w:t xml:space="preserve"> 分别为 Abaqus 和 SPECFEM2D 的水平或竖向 PGA 曲线。冻结的主要参考线为水平 </w:t>
      </w:r>
      <m:oMath>
        <m:sSub>
          <m:sSubPr/>
          <m:e>
            <m:r>
              <m:rPr/>
              <m:t>E</m:t>
            </m:r>
          </m:e>
          <m:sub>
            <m:r>
              <m:rPr>
                <m:sty m:val="p"/>
              </m:rPr>
              <m:t>PGA</m:t>
            </m:r>
          </m:sub>
        </m:sSub>
        <m:r>
          <m:rPr>
            <m:sty m:val="p"/>
          </m:rPr>
          <m:t>≤</m:t>
        </m:r>
        <m:r>
          <m:rPr/>
          <m:t>10</m:t>
        </m:r>
        <m:r>
          <m:rPr>
            <m:sty m:val="p"/>
          </m:rPr>
          <m:t>%</m:t>
        </m:r>
      </m:oMath>
      <w:r>
        <w:rPr>
          <w:rFonts w:hint="eastAsia" w:ascii="Times New Roman" w:hAnsi="Times New Roman" w:eastAsia="宋体" w:cs="Times New Roman"/>
          <w:b w:val="0"/>
          <w:i w:val="0"/>
          <w:sz w:val="21"/>
        </w:rPr>
        <w:t xml:space="preserve">、竖向 </w:t>
      </w:r>
      <m:oMath>
        <m:sSub>
          <m:sSubPr/>
          <m:e>
            <m:r>
              <m:rPr/>
              <m:t>E</m:t>
            </m:r>
          </m:e>
          <m:sub>
            <m:r>
              <m:rPr>
                <m:sty m:val="p"/>
              </m:rPr>
              <m:t>PGA</m:t>
            </m:r>
          </m:sub>
        </m:sSub>
        <m:r>
          <m:rPr>
            <m:sty m:val="p"/>
          </m:rPr>
          <m:t>≤</m:t>
        </m:r>
        <m:r>
          <m:rPr/>
          <m:t>15</m:t>
        </m:r>
        <m:r>
          <m:rPr>
            <m:sty m:val="p"/>
          </m:rPr>
          <m:t>%</m:t>
        </m:r>
      </m:oMath>
      <w:r>
        <w:rPr>
          <w:rFonts w:hint="eastAsia" w:ascii="Times New Roman" w:hAnsi="Times New Roman" w:eastAsia="宋体" w:cs="Times New Roman"/>
          <w:b w:val="0"/>
          <w:i w:val="0"/>
          <w:sz w:val="21"/>
        </w:rPr>
        <w:t xml:space="preserve">，两分量均要求 </w:t>
      </w:r>
      <m:oMath>
        <m:r>
          <m:rPr>
            <m:sty m:val="p"/>
          </m:rPr>
          <m:t>Δ</m:t>
        </m:r>
        <m:sSub>
          <m:sSubPr/>
          <m:e>
            <m:r>
              <m:rPr/>
              <m:t>s</m:t>
            </m:r>
          </m:e>
          <m:sub>
            <m:r>
              <m:rPr>
                <m:sty m:val="p"/>
              </m:rPr>
              <m:t>pk</m:t>
            </m:r>
          </m:sub>
        </m:sSub>
        <m:r>
          <m:rPr>
            <m:sty m:val="p"/>
          </m:rPr>
          <m:t>≤</m:t>
        </m:r>
        <m:r>
          <m:rPr/>
          <m:t>0.10</m:t>
        </m:r>
      </m:oMath>
      <w:r>
        <w:rPr>
          <w:rFonts w:hint="eastAsia" w:ascii="Times New Roman" w:hAnsi="Times New Roman" w:eastAsia="宋体" w:cs="Times New Roman"/>
          <w:b w:val="0"/>
          <w:i w:val="0"/>
          <w:sz w:val="21"/>
        </w:rPr>
        <w:t>。逐点全时程、公共时刻波场快照和频谱差异保留为辅助诊断，不与 PGA 曲线平权决定“通过”。这是因为地表散射晚时段对有限元与谱元的时间推进、阻尼频率依赖和吸收边界实现更敏感，而本文此处要验证的是支撑参数比较的主要空间分布，不是要求两个离散程序逐采样点完全相同。</w:t>
      </w:r>
    </w:p>
    <w:p w14:paraId="5A6EB871">
      <w:pPr>
        <w:spacing w:before="0" w:after="0"/>
        <w:ind w:firstLine="420"/>
        <w:jc w:val="both"/>
      </w:pPr>
      <w:r>
        <w:rPr>
          <w:rFonts w:hint="eastAsia" w:ascii="Times New Roman" w:hAnsi="Times New Roman" w:eastAsia="宋体" w:cs="Times New Roman"/>
          <w:b w:val="0"/>
          <w:i w:val="0"/>
          <w:sz w:val="21"/>
        </w:rPr>
        <w:t>图4比较了三组水平、竖向地表 PGA 空间曲线，正式门控与另行计算的频域辅助指标列于表6。X001 的水平、竖向 PGA 曲线 NRMSE 分别为 5.63% 和 7.27%，峰值位置差为 0.02 和 0.07；X002 标准谱元网格的相应结果为 3.62%、10.17%、0.06 和 0.05；X002 加密谱元网格为 4.85%、11.75%、0.03 和 0.04。三组比较均满足预定参考线，说明均质与成层代表工况的地表 PGA 主体空间形态没有随求解器改变。</w:t>
      </w:r>
    </w:p>
    <w:p w14:paraId="495C5515">
      <w:pPr>
        <w:spacing w:before="80" w:after="40"/>
        <w:ind w:firstLine="0"/>
        <w:jc w:val="center"/>
      </w:pPr>
      <w:r>
        <w:drawing>
          <wp:inline distT="0" distB="0" distL="114300" distR="114300">
            <wp:extent cx="2880360" cy="2193290"/>
            <wp:effectExtent l="0" t="0" r="15240"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880360" cy="2193385"/>
                    </a:xfrm>
                    <a:prstGeom prst="rect">
                      <a:avLst/>
                    </a:prstGeom>
                  </pic:spPr>
                </pic:pic>
              </a:graphicData>
            </a:graphic>
          </wp:inline>
        </w:drawing>
      </w:r>
    </w:p>
    <w:p w14:paraId="075C06F5">
      <w:pPr>
        <w:spacing w:before="0" w:after="0"/>
        <w:ind w:firstLine="0"/>
        <w:jc w:val="center"/>
      </w:pPr>
      <w:r>
        <w:rPr>
          <w:rFonts w:hint="eastAsia" w:ascii="Times New Roman" w:hAnsi="Times New Roman" w:eastAsia="宋体" w:cs="Times New Roman"/>
          <w:b w:val="0"/>
          <w:i w:val="0"/>
          <w:sz w:val="18"/>
        </w:rPr>
        <w:t xml:space="preserve">图4 Abaqus 与 SPECFEM2D 的地表 PGA 空间分布对比。（a）、（b）X001 均质坡的水平与竖向分量；（c）、（d）X002 成层坡标准谱元网格的水平与竖向分量；（e）、（f）X002 成层坡加密谱元网格的水平与竖向分量。灰色区域为坡面 </w:t>
      </w:r>
      <m:oMath>
        <m:r>
          <m:rPr/>
          <m:t>0</m:t>
        </m:r>
        <m:r>
          <m:rPr>
            <m:sty m:val="p"/>
          </m:rPr>
          <m:t>≤</m:t>
        </m:r>
        <m:r>
          <m:rPr/>
          <m:t>s</m:t>
        </m:r>
        <m:r>
          <m:rPr>
            <m:sty m:val="p"/>
          </m:rPr>
          <m:t>≤</m:t>
        </m:r>
        <m:r>
          <m:rPr/>
          <m:t>1</m:t>
        </m:r>
      </m:oMath>
      <w:r>
        <w:rPr>
          <w:rFonts w:hint="eastAsia" w:ascii="Times New Roman" w:hAnsi="Times New Roman" w:eastAsia="宋体" w:cs="Times New Roman"/>
          <w:b w:val="0"/>
          <w:i w:val="0"/>
          <w:sz w:val="18"/>
        </w:rPr>
        <w:t>，面板内标注曲线归一化均方根误差（NRMSE）与 PGA 峰值位置差；三组对比均满足水平 NRMSE 不超过 10%、竖向 NRMSE 不超过 15% 且峰位差不超过 0.10 的正式门控。</w:t>
      </w:r>
    </w:p>
    <w:p w14:paraId="4BA88C4A">
      <w:pPr>
        <w:spacing w:before="0" w:after="60"/>
        <w:ind w:firstLine="0"/>
        <w:jc w:val="center"/>
      </w:pPr>
      <w:r>
        <w:rPr>
          <w:rFonts w:hint="eastAsia" w:ascii="Times New Roman" w:hAnsi="Times New Roman" w:eastAsia="Times New Roman" w:cs="Times New Roman"/>
          <w:b w:val="0"/>
          <w:i w:val="0"/>
          <w:sz w:val="18"/>
        </w:rPr>
        <w:t>Fig. 4 Cross-software verification between Abaqus and SPECFEM2D for H004 and P061</w:t>
      </w:r>
    </w:p>
    <w:p w14:paraId="17EE6572">
      <w:pPr>
        <w:spacing w:before="156" w:after="0"/>
        <w:ind w:firstLine="0"/>
        <w:jc w:val="center"/>
      </w:pPr>
      <w:r>
        <w:rPr>
          <w:rFonts w:hint="eastAsia" w:ascii="Times New Roman" w:hAnsi="Times New Roman" w:eastAsia="宋体" w:cs="Times New Roman"/>
          <w:b w:val="0"/>
          <w:i w:val="0"/>
          <w:sz w:val="18"/>
        </w:rPr>
        <w:t>表6 Abaqus 与 SPECFEM2D 跨软件比较结果</w:t>
      </w:r>
    </w:p>
    <w:p w14:paraId="19F20BE9">
      <w:pPr>
        <w:spacing w:before="0" w:after="40"/>
        <w:ind w:firstLine="0"/>
        <w:jc w:val="center"/>
      </w:pPr>
      <w:r>
        <w:rPr>
          <w:rFonts w:hint="eastAsia" w:ascii="Times New Roman" w:hAnsi="Times New Roman" w:eastAsia="Times New Roman" w:cs="Times New Roman"/>
          <w:b w:val="0"/>
          <w:i w:val="0"/>
          <w:sz w:val="18"/>
        </w:rPr>
        <w:t>Table 6 Cross-software comparison between Abaqus and SPECFEM2D</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5"/>
        <w:gridCol w:w="1205"/>
        <w:gridCol w:w="1205"/>
        <w:gridCol w:w="1205"/>
        <w:gridCol w:w="1205"/>
        <w:gridCol w:w="1205"/>
        <w:gridCol w:w="1205"/>
        <w:gridCol w:w="1205"/>
      </w:tblGrid>
      <w:tr w14:paraId="253676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tcBorders>
              <w:bottom w:val="single" w:color="auto" w:sz="6" w:space="0"/>
            </w:tcBorders>
            <w:vAlign w:val="center"/>
          </w:tcPr>
          <w:p w14:paraId="600B2A58">
            <w:pPr>
              <w:spacing w:before="30" w:after="30"/>
              <w:ind w:firstLine="0"/>
              <w:jc w:val="center"/>
            </w:pPr>
            <w:r>
              <w:rPr>
                <w:rFonts w:hint="eastAsia" w:ascii="Times New Roman" w:hAnsi="Times New Roman" w:eastAsia="宋体" w:cs="Times New Roman"/>
                <w:b/>
                <w:i w:val="0"/>
                <w:sz w:val="16"/>
              </w:rPr>
              <w:t>比较</w:t>
            </w:r>
          </w:p>
        </w:tc>
        <w:tc>
          <w:tcPr>
            <w:tcW w:w="1205" w:type="dxa"/>
            <w:tcBorders>
              <w:bottom w:val="single" w:color="auto" w:sz="6" w:space="0"/>
            </w:tcBorders>
            <w:vAlign w:val="center"/>
          </w:tcPr>
          <w:p w14:paraId="0CB1D547">
            <w:pPr>
              <w:spacing w:before="30" w:after="30"/>
              <w:ind w:firstLine="0"/>
              <w:jc w:val="center"/>
            </w:pPr>
            <w:r>
              <w:rPr>
                <w:rFonts w:hint="eastAsia" w:ascii="Times New Roman" w:hAnsi="Times New Roman" w:eastAsia="宋体" w:cs="Times New Roman"/>
                <w:b/>
                <w:i w:val="0"/>
                <w:sz w:val="16"/>
              </w:rPr>
              <w:t>水平 PGA NRMSE/%</w:t>
            </w:r>
          </w:p>
        </w:tc>
        <w:tc>
          <w:tcPr>
            <w:tcW w:w="1205" w:type="dxa"/>
            <w:tcBorders>
              <w:bottom w:val="single" w:color="auto" w:sz="6" w:space="0"/>
            </w:tcBorders>
            <w:vAlign w:val="center"/>
          </w:tcPr>
          <w:p w14:paraId="06EC645C">
            <w:pPr>
              <w:spacing w:before="30" w:after="30"/>
              <w:ind w:firstLine="0"/>
              <w:jc w:val="center"/>
            </w:pPr>
            <w:r>
              <w:rPr>
                <w:rFonts w:hint="eastAsia" w:ascii="Times New Roman" w:hAnsi="Times New Roman" w:eastAsia="宋体" w:cs="Times New Roman"/>
                <w:b/>
                <w:i w:val="0"/>
                <w:sz w:val="16"/>
              </w:rPr>
              <w:t>竖向 PGA NRMSE/%</w:t>
            </w:r>
          </w:p>
        </w:tc>
        <w:tc>
          <w:tcPr>
            <w:tcW w:w="1205" w:type="dxa"/>
            <w:tcBorders>
              <w:bottom w:val="single" w:color="auto" w:sz="6" w:space="0"/>
            </w:tcBorders>
            <w:vAlign w:val="center"/>
          </w:tcPr>
          <w:p w14:paraId="088787D4">
            <w:pPr>
              <w:spacing w:before="30" w:after="30"/>
              <w:ind w:firstLine="0"/>
              <w:jc w:val="center"/>
            </w:pPr>
            <w:r>
              <w:rPr>
                <w:rFonts w:hint="eastAsia" w:ascii="Times New Roman" w:hAnsi="Times New Roman" w:eastAsia="宋体" w:cs="Times New Roman"/>
                <w:b/>
                <w:i w:val="0"/>
                <w:sz w:val="16"/>
              </w:rPr>
              <w:t xml:space="preserve">水平峰位差 </w:t>
            </w:r>
            <m:oMath>
              <m:r>
                <m:rPr>
                  <m:sty m:val="p"/>
                </m:rPr>
                <m:t>Δ</m:t>
              </m:r>
              <m:r>
                <m:rPr/>
                <m:t>s</m:t>
              </m:r>
            </m:oMath>
          </w:p>
        </w:tc>
        <w:tc>
          <w:tcPr>
            <w:tcW w:w="1205" w:type="dxa"/>
            <w:tcBorders>
              <w:bottom w:val="single" w:color="auto" w:sz="6" w:space="0"/>
            </w:tcBorders>
            <w:vAlign w:val="center"/>
          </w:tcPr>
          <w:p w14:paraId="26DDDDBE">
            <w:pPr>
              <w:spacing w:before="30" w:after="30"/>
              <w:ind w:firstLine="0"/>
              <w:jc w:val="center"/>
            </w:pPr>
            <w:r>
              <w:rPr>
                <w:rFonts w:hint="eastAsia" w:ascii="Times New Roman" w:hAnsi="Times New Roman" w:eastAsia="宋体" w:cs="Times New Roman"/>
                <w:b/>
                <w:i w:val="0"/>
                <w:sz w:val="16"/>
              </w:rPr>
              <w:t xml:space="preserve">竖向峰位差 </w:t>
            </w:r>
            <m:oMath>
              <m:r>
                <m:rPr>
                  <m:sty m:val="p"/>
                </m:rPr>
                <m:t>Δ</m:t>
              </m:r>
              <m:r>
                <m:rPr/>
                <m:t>s</m:t>
              </m:r>
            </m:oMath>
          </w:p>
        </w:tc>
        <w:tc>
          <w:tcPr>
            <w:tcW w:w="1205" w:type="dxa"/>
            <w:tcBorders>
              <w:bottom w:val="single" w:color="auto" w:sz="6" w:space="0"/>
            </w:tcBorders>
            <w:vAlign w:val="center"/>
          </w:tcPr>
          <w:p w14:paraId="3B68680A">
            <w:pPr>
              <w:spacing w:before="30" w:after="30"/>
              <w:ind w:firstLine="0"/>
              <w:jc w:val="center"/>
            </w:pPr>
            <w:r>
              <w:rPr>
                <w:rFonts w:hint="eastAsia" w:ascii="Times New Roman" w:hAnsi="Times New Roman" w:eastAsia="宋体" w:cs="Times New Roman"/>
                <w:b/>
                <w:i w:val="0"/>
                <w:sz w:val="16"/>
              </w:rPr>
              <w:t>水平直接谱 NRMSE 范围</w:t>
            </w:r>
          </w:p>
        </w:tc>
        <w:tc>
          <w:tcPr>
            <w:tcW w:w="1205" w:type="dxa"/>
            <w:tcBorders>
              <w:bottom w:val="single" w:color="auto" w:sz="6" w:space="0"/>
            </w:tcBorders>
            <w:vAlign w:val="center"/>
          </w:tcPr>
          <w:p w14:paraId="67716B05">
            <w:pPr>
              <w:spacing w:before="30" w:after="30"/>
              <w:ind w:firstLine="0"/>
              <w:jc w:val="center"/>
            </w:pPr>
            <w:r>
              <w:rPr>
                <w:rFonts w:hint="eastAsia" w:ascii="Times New Roman" w:hAnsi="Times New Roman" w:eastAsia="宋体" w:cs="Times New Roman"/>
                <w:b/>
                <w:i w:val="0"/>
                <w:sz w:val="16"/>
              </w:rPr>
              <w:t xml:space="preserve">水平 </w:t>
            </w:r>
            <m:oMath>
              <m:sSub>
                <m:sSubPr/>
                <m:e>
                  <m:r>
                    <m:rPr/>
                    <m:t>G</m:t>
                  </m:r>
                </m:e>
                <m:sub>
                  <m:r>
                    <m:rPr/>
                    <m:t>h</m:t>
                  </m:r>
                </m:sub>
              </m:sSub>
            </m:oMath>
            <w:r>
              <w:rPr>
                <w:rFonts w:hint="eastAsia" w:ascii="Times New Roman" w:hAnsi="Times New Roman" w:eastAsia="宋体" w:cs="Times New Roman"/>
                <w:b/>
                <w:i w:val="0"/>
                <w:sz w:val="16"/>
              </w:rPr>
              <w:t xml:space="preserve"> 型谱比 NRMSE 范围</w:t>
            </w:r>
          </w:p>
        </w:tc>
        <w:tc>
          <w:tcPr>
            <w:tcW w:w="1205" w:type="dxa"/>
            <w:tcBorders>
              <w:bottom w:val="single" w:color="auto" w:sz="6" w:space="0"/>
            </w:tcBorders>
            <w:vAlign w:val="center"/>
          </w:tcPr>
          <w:p w14:paraId="0E866BAF">
            <w:pPr>
              <w:spacing w:before="30" w:after="30"/>
              <w:ind w:firstLine="0"/>
              <w:jc w:val="center"/>
            </w:pPr>
            <w:r>
              <w:rPr>
                <w:rFonts w:hint="eastAsia" w:ascii="Times New Roman" w:hAnsi="Times New Roman" w:eastAsia="宋体" w:cs="Times New Roman"/>
                <w:b/>
                <w:i w:val="0"/>
                <w:sz w:val="16"/>
              </w:rPr>
              <w:t>PGA空间曲线判据</w:t>
            </w:r>
          </w:p>
        </w:tc>
      </w:tr>
      <w:tr w14:paraId="2B37B7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318A4696">
            <w:pPr>
              <w:spacing w:before="30" w:after="30"/>
              <w:ind w:firstLine="0"/>
              <w:jc w:val="center"/>
            </w:pPr>
            <w:r>
              <w:rPr>
                <w:rFonts w:hint="eastAsia" w:ascii="Times New Roman" w:hAnsi="Times New Roman" w:eastAsia="宋体" w:cs="Times New Roman"/>
                <w:b w:val="0"/>
                <w:i w:val="0"/>
                <w:sz w:val="16"/>
              </w:rPr>
              <w:t>X001-A / X001-S（均质坡）</w:t>
            </w:r>
          </w:p>
        </w:tc>
        <w:tc>
          <w:tcPr>
            <w:tcW w:w="1205" w:type="dxa"/>
            <w:vAlign w:val="center"/>
          </w:tcPr>
          <w:p w14:paraId="321E6F32">
            <w:pPr>
              <w:spacing w:before="30" w:after="30"/>
              <w:ind w:firstLine="0"/>
              <w:jc w:val="center"/>
            </w:pPr>
            <w:r>
              <w:rPr>
                <w:rFonts w:hint="eastAsia" w:ascii="Times New Roman" w:hAnsi="Times New Roman" w:eastAsia="宋体" w:cs="Times New Roman"/>
                <w:b w:val="0"/>
                <w:i w:val="0"/>
                <w:sz w:val="16"/>
              </w:rPr>
              <w:t>5.63</w:t>
            </w:r>
          </w:p>
        </w:tc>
        <w:tc>
          <w:tcPr>
            <w:tcW w:w="1205" w:type="dxa"/>
            <w:vAlign w:val="center"/>
          </w:tcPr>
          <w:p w14:paraId="39E64D9A">
            <w:pPr>
              <w:spacing w:before="30" w:after="30"/>
              <w:ind w:firstLine="0"/>
              <w:jc w:val="center"/>
            </w:pPr>
            <w:r>
              <w:rPr>
                <w:rFonts w:hint="eastAsia" w:ascii="Times New Roman" w:hAnsi="Times New Roman" w:eastAsia="宋体" w:cs="Times New Roman"/>
                <w:b w:val="0"/>
                <w:i w:val="0"/>
                <w:sz w:val="16"/>
              </w:rPr>
              <w:t>7.27</w:t>
            </w:r>
          </w:p>
        </w:tc>
        <w:tc>
          <w:tcPr>
            <w:tcW w:w="1205" w:type="dxa"/>
            <w:vAlign w:val="center"/>
          </w:tcPr>
          <w:p w14:paraId="10216A0A">
            <w:pPr>
              <w:spacing w:before="30" w:after="30"/>
              <w:ind w:firstLine="0"/>
              <w:jc w:val="center"/>
            </w:pPr>
            <w:r>
              <w:rPr>
                <w:rFonts w:hint="eastAsia" w:ascii="Times New Roman" w:hAnsi="Times New Roman" w:eastAsia="宋体" w:cs="Times New Roman"/>
                <w:b w:val="0"/>
                <w:i w:val="0"/>
                <w:sz w:val="16"/>
              </w:rPr>
              <w:t>0.02</w:t>
            </w:r>
          </w:p>
        </w:tc>
        <w:tc>
          <w:tcPr>
            <w:tcW w:w="1205" w:type="dxa"/>
            <w:vAlign w:val="center"/>
          </w:tcPr>
          <w:p w14:paraId="5F25A343">
            <w:pPr>
              <w:spacing w:before="30" w:after="30"/>
              <w:ind w:firstLine="0"/>
              <w:jc w:val="center"/>
            </w:pPr>
            <w:r>
              <w:rPr>
                <w:rFonts w:hint="eastAsia" w:ascii="Times New Roman" w:hAnsi="Times New Roman" w:eastAsia="宋体" w:cs="Times New Roman"/>
                <w:b w:val="0"/>
                <w:i w:val="0"/>
                <w:sz w:val="16"/>
              </w:rPr>
              <w:t>0.07</w:t>
            </w:r>
          </w:p>
        </w:tc>
        <w:tc>
          <w:tcPr>
            <w:tcW w:w="1205" w:type="dxa"/>
            <w:vAlign w:val="center"/>
          </w:tcPr>
          <w:p w14:paraId="060DFBDF">
            <w:pPr>
              <w:spacing w:before="30" w:after="30"/>
              <w:ind w:firstLine="0"/>
              <w:jc w:val="center"/>
            </w:pPr>
            <w:r>
              <w:rPr>
                <w:rFonts w:hint="eastAsia" w:ascii="Times New Roman" w:hAnsi="Times New Roman" w:eastAsia="宋体" w:cs="Times New Roman"/>
                <w:b w:val="0"/>
                <w:i w:val="0"/>
                <w:sz w:val="16"/>
              </w:rPr>
              <w:t>0.093—0.189</w:t>
            </w:r>
          </w:p>
        </w:tc>
        <w:tc>
          <w:tcPr>
            <w:tcW w:w="1205" w:type="dxa"/>
            <w:vAlign w:val="center"/>
          </w:tcPr>
          <w:p w14:paraId="7EAB3511">
            <w:pPr>
              <w:spacing w:before="30" w:after="30"/>
              <w:ind w:firstLine="0"/>
              <w:jc w:val="center"/>
            </w:pPr>
            <w:r>
              <w:rPr>
                <w:rFonts w:hint="eastAsia" w:ascii="Times New Roman" w:hAnsi="Times New Roman" w:eastAsia="宋体" w:cs="Times New Roman"/>
                <w:b w:val="0"/>
                <w:i w:val="0"/>
                <w:sz w:val="16"/>
              </w:rPr>
              <w:t>0.184—0.283</w:t>
            </w:r>
          </w:p>
        </w:tc>
        <w:tc>
          <w:tcPr>
            <w:tcW w:w="1205" w:type="dxa"/>
            <w:vAlign w:val="center"/>
          </w:tcPr>
          <w:p w14:paraId="31639843">
            <w:pPr>
              <w:spacing w:before="30" w:after="30"/>
              <w:ind w:firstLine="0"/>
              <w:jc w:val="center"/>
            </w:pPr>
            <w:r>
              <w:rPr>
                <w:rFonts w:hint="eastAsia" w:ascii="Times New Roman" w:hAnsi="Times New Roman" w:eastAsia="宋体" w:cs="Times New Roman"/>
                <w:b w:val="0"/>
                <w:i w:val="0"/>
                <w:sz w:val="16"/>
              </w:rPr>
              <w:t>满足</w:t>
            </w:r>
          </w:p>
        </w:tc>
      </w:tr>
      <w:tr w14:paraId="30548C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2516F970">
            <w:pPr>
              <w:spacing w:before="30" w:after="30"/>
              <w:ind w:firstLine="0"/>
              <w:jc w:val="center"/>
            </w:pPr>
            <w:r>
              <w:rPr>
                <w:rFonts w:hint="eastAsia" w:ascii="Times New Roman" w:hAnsi="Times New Roman" w:eastAsia="宋体" w:cs="Times New Roman"/>
                <w:b w:val="0"/>
                <w:i w:val="0"/>
                <w:sz w:val="16"/>
              </w:rPr>
              <w:t>X002-A / X002-S（成层坡）</w:t>
            </w:r>
          </w:p>
        </w:tc>
        <w:tc>
          <w:tcPr>
            <w:tcW w:w="1205" w:type="dxa"/>
            <w:vAlign w:val="center"/>
          </w:tcPr>
          <w:p w14:paraId="1E15BDB5">
            <w:pPr>
              <w:spacing w:before="30" w:after="30"/>
              <w:ind w:firstLine="0"/>
              <w:jc w:val="center"/>
            </w:pPr>
            <w:r>
              <w:rPr>
                <w:rFonts w:hint="eastAsia" w:ascii="Times New Roman" w:hAnsi="Times New Roman" w:eastAsia="宋体" w:cs="Times New Roman"/>
                <w:b w:val="0"/>
                <w:i w:val="0"/>
                <w:sz w:val="16"/>
              </w:rPr>
              <w:t>3.62</w:t>
            </w:r>
          </w:p>
        </w:tc>
        <w:tc>
          <w:tcPr>
            <w:tcW w:w="1205" w:type="dxa"/>
            <w:vAlign w:val="center"/>
          </w:tcPr>
          <w:p w14:paraId="1BE655C5">
            <w:pPr>
              <w:spacing w:before="30" w:after="30"/>
              <w:ind w:firstLine="0"/>
              <w:jc w:val="center"/>
            </w:pPr>
            <w:r>
              <w:rPr>
                <w:rFonts w:hint="eastAsia" w:ascii="Times New Roman" w:hAnsi="Times New Roman" w:eastAsia="宋体" w:cs="Times New Roman"/>
                <w:b w:val="0"/>
                <w:i w:val="0"/>
                <w:sz w:val="16"/>
              </w:rPr>
              <w:t>10.17</w:t>
            </w:r>
          </w:p>
        </w:tc>
        <w:tc>
          <w:tcPr>
            <w:tcW w:w="1205" w:type="dxa"/>
            <w:vAlign w:val="center"/>
          </w:tcPr>
          <w:p w14:paraId="67A26695">
            <w:pPr>
              <w:spacing w:before="30" w:after="30"/>
              <w:ind w:firstLine="0"/>
              <w:jc w:val="center"/>
            </w:pPr>
            <w:r>
              <w:rPr>
                <w:rFonts w:hint="eastAsia" w:ascii="Times New Roman" w:hAnsi="Times New Roman" w:eastAsia="宋体" w:cs="Times New Roman"/>
                <w:b w:val="0"/>
                <w:i w:val="0"/>
                <w:sz w:val="16"/>
              </w:rPr>
              <w:t>0.06</w:t>
            </w:r>
          </w:p>
        </w:tc>
        <w:tc>
          <w:tcPr>
            <w:tcW w:w="1205" w:type="dxa"/>
            <w:vAlign w:val="center"/>
          </w:tcPr>
          <w:p w14:paraId="351A455B">
            <w:pPr>
              <w:spacing w:before="30" w:after="30"/>
              <w:ind w:firstLine="0"/>
              <w:jc w:val="center"/>
            </w:pPr>
            <w:r>
              <w:rPr>
                <w:rFonts w:hint="eastAsia" w:ascii="Times New Roman" w:hAnsi="Times New Roman" w:eastAsia="宋体" w:cs="Times New Roman"/>
                <w:b w:val="0"/>
                <w:i w:val="0"/>
                <w:sz w:val="16"/>
              </w:rPr>
              <w:t>0.05</w:t>
            </w:r>
          </w:p>
        </w:tc>
        <w:tc>
          <w:tcPr>
            <w:tcW w:w="1205" w:type="dxa"/>
            <w:vAlign w:val="center"/>
          </w:tcPr>
          <w:p w14:paraId="7D500E04">
            <w:pPr>
              <w:spacing w:before="30" w:after="30"/>
              <w:ind w:firstLine="0"/>
              <w:jc w:val="center"/>
            </w:pPr>
            <w:r>
              <w:rPr>
                <w:rFonts w:hint="eastAsia" w:ascii="Times New Roman" w:hAnsi="Times New Roman" w:eastAsia="宋体" w:cs="Times New Roman"/>
                <w:b w:val="0"/>
                <w:i w:val="0"/>
                <w:sz w:val="16"/>
              </w:rPr>
              <w:t>0.157—0.289</w:t>
            </w:r>
          </w:p>
        </w:tc>
        <w:tc>
          <w:tcPr>
            <w:tcW w:w="1205" w:type="dxa"/>
            <w:vAlign w:val="center"/>
          </w:tcPr>
          <w:p w14:paraId="43BE6DFC">
            <w:pPr>
              <w:spacing w:before="30" w:after="30"/>
              <w:ind w:firstLine="0"/>
              <w:jc w:val="center"/>
            </w:pPr>
            <w:r>
              <w:rPr>
                <w:rFonts w:hint="eastAsia" w:ascii="Times New Roman" w:hAnsi="Times New Roman" w:eastAsia="宋体" w:cs="Times New Roman"/>
                <w:b w:val="0"/>
                <w:i w:val="0"/>
                <w:sz w:val="16"/>
              </w:rPr>
              <w:t>0.571—0.725</w:t>
            </w:r>
          </w:p>
        </w:tc>
        <w:tc>
          <w:tcPr>
            <w:tcW w:w="1205" w:type="dxa"/>
            <w:vAlign w:val="center"/>
          </w:tcPr>
          <w:p w14:paraId="1A773852">
            <w:pPr>
              <w:spacing w:before="30" w:after="30"/>
              <w:ind w:firstLine="0"/>
              <w:jc w:val="center"/>
            </w:pPr>
            <w:r>
              <w:rPr>
                <w:rFonts w:hint="eastAsia" w:ascii="Times New Roman" w:hAnsi="Times New Roman" w:eastAsia="宋体" w:cs="Times New Roman"/>
                <w:b w:val="0"/>
                <w:i w:val="0"/>
                <w:sz w:val="16"/>
              </w:rPr>
              <w:t>满足</w:t>
            </w:r>
          </w:p>
        </w:tc>
      </w:tr>
      <w:tr w14:paraId="28842E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786584C6">
            <w:pPr>
              <w:spacing w:before="30" w:after="30"/>
              <w:ind w:firstLine="0"/>
              <w:jc w:val="center"/>
            </w:pPr>
            <w:r>
              <w:rPr>
                <w:rFonts w:hint="eastAsia" w:ascii="Times New Roman" w:hAnsi="Times New Roman" w:eastAsia="宋体" w:cs="Times New Roman"/>
                <w:b w:val="0"/>
                <w:i w:val="0"/>
                <w:sz w:val="16"/>
              </w:rPr>
              <w:t>X002-A / X002-SR（成层坡、加密）</w:t>
            </w:r>
          </w:p>
        </w:tc>
        <w:tc>
          <w:tcPr>
            <w:tcW w:w="1205" w:type="dxa"/>
            <w:vAlign w:val="center"/>
          </w:tcPr>
          <w:p w14:paraId="2C971360">
            <w:pPr>
              <w:spacing w:before="30" w:after="30"/>
              <w:ind w:firstLine="0"/>
              <w:jc w:val="center"/>
            </w:pPr>
            <w:r>
              <w:rPr>
                <w:rFonts w:hint="eastAsia" w:ascii="Times New Roman" w:hAnsi="Times New Roman" w:eastAsia="宋体" w:cs="Times New Roman"/>
                <w:b w:val="0"/>
                <w:i w:val="0"/>
                <w:sz w:val="16"/>
              </w:rPr>
              <w:t>4.85</w:t>
            </w:r>
          </w:p>
        </w:tc>
        <w:tc>
          <w:tcPr>
            <w:tcW w:w="1205" w:type="dxa"/>
            <w:vAlign w:val="center"/>
          </w:tcPr>
          <w:p w14:paraId="50436ACC">
            <w:pPr>
              <w:spacing w:before="30" w:after="30"/>
              <w:ind w:firstLine="0"/>
              <w:jc w:val="center"/>
            </w:pPr>
            <w:r>
              <w:rPr>
                <w:rFonts w:hint="eastAsia" w:ascii="Times New Roman" w:hAnsi="Times New Roman" w:eastAsia="宋体" w:cs="Times New Roman"/>
                <w:b w:val="0"/>
                <w:i w:val="0"/>
                <w:sz w:val="16"/>
              </w:rPr>
              <w:t>11.75</w:t>
            </w:r>
          </w:p>
        </w:tc>
        <w:tc>
          <w:tcPr>
            <w:tcW w:w="1205" w:type="dxa"/>
            <w:vAlign w:val="center"/>
          </w:tcPr>
          <w:p w14:paraId="45B5D7F0">
            <w:pPr>
              <w:spacing w:before="30" w:after="30"/>
              <w:ind w:firstLine="0"/>
              <w:jc w:val="center"/>
            </w:pPr>
            <w:r>
              <w:rPr>
                <w:rFonts w:hint="eastAsia" w:ascii="Times New Roman" w:hAnsi="Times New Roman" w:eastAsia="宋体" w:cs="Times New Roman"/>
                <w:b w:val="0"/>
                <w:i w:val="0"/>
                <w:sz w:val="16"/>
              </w:rPr>
              <w:t>0.03</w:t>
            </w:r>
          </w:p>
        </w:tc>
        <w:tc>
          <w:tcPr>
            <w:tcW w:w="1205" w:type="dxa"/>
            <w:vAlign w:val="center"/>
          </w:tcPr>
          <w:p w14:paraId="6C0600A5">
            <w:pPr>
              <w:spacing w:before="30" w:after="30"/>
              <w:ind w:firstLine="0"/>
              <w:jc w:val="center"/>
            </w:pPr>
            <w:r>
              <w:rPr>
                <w:rFonts w:hint="eastAsia" w:ascii="Times New Roman" w:hAnsi="Times New Roman" w:eastAsia="宋体" w:cs="Times New Roman"/>
                <w:b w:val="0"/>
                <w:i w:val="0"/>
                <w:sz w:val="16"/>
              </w:rPr>
              <w:t>0.04</w:t>
            </w:r>
          </w:p>
        </w:tc>
        <w:tc>
          <w:tcPr>
            <w:tcW w:w="1205" w:type="dxa"/>
            <w:vAlign w:val="center"/>
          </w:tcPr>
          <w:p w14:paraId="7A02EBAE">
            <w:pPr>
              <w:spacing w:before="30" w:after="30"/>
              <w:ind w:firstLine="0"/>
              <w:jc w:val="center"/>
            </w:pPr>
            <w:r>
              <w:rPr>
                <w:rFonts w:hint="eastAsia" w:ascii="Times New Roman" w:hAnsi="Times New Roman" w:eastAsia="宋体" w:cs="Times New Roman"/>
                <w:b w:val="0"/>
                <w:i w:val="0"/>
                <w:sz w:val="16"/>
              </w:rPr>
              <w:t>0.157—0.289</w:t>
            </w:r>
          </w:p>
        </w:tc>
        <w:tc>
          <w:tcPr>
            <w:tcW w:w="1205" w:type="dxa"/>
            <w:vAlign w:val="center"/>
          </w:tcPr>
          <w:p w14:paraId="66E9E9A2">
            <w:pPr>
              <w:spacing w:before="30" w:after="30"/>
              <w:ind w:firstLine="0"/>
              <w:jc w:val="center"/>
            </w:pPr>
            <w:r>
              <w:rPr>
                <w:rFonts w:hint="eastAsia" w:ascii="Times New Roman" w:hAnsi="Times New Roman" w:eastAsia="宋体" w:cs="Times New Roman"/>
                <w:b w:val="0"/>
                <w:i w:val="0"/>
                <w:sz w:val="16"/>
              </w:rPr>
              <w:t>0.572—0.723</w:t>
            </w:r>
          </w:p>
        </w:tc>
        <w:tc>
          <w:tcPr>
            <w:tcW w:w="1205" w:type="dxa"/>
            <w:vAlign w:val="center"/>
          </w:tcPr>
          <w:p w14:paraId="07E0C52B">
            <w:pPr>
              <w:spacing w:before="30" w:after="30"/>
              <w:ind w:firstLine="0"/>
              <w:jc w:val="center"/>
            </w:pPr>
            <w:r>
              <w:rPr>
                <w:rFonts w:hint="eastAsia" w:ascii="Times New Roman" w:hAnsi="Times New Roman" w:eastAsia="宋体" w:cs="Times New Roman"/>
                <w:b w:val="0"/>
                <w:i w:val="0"/>
                <w:sz w:val="16"/>
              </w:rPr>
              <w:t>满足</w:t>
            </w:r>
          </w:p>
        </w:tc>
      </w:tr>
    </w:tbl>
    <w:p w14:paraId="024AEC45">
      <w:pPr>
        <w:spacing w:before="0" w:after="0"/>
        <w:ind w:firstLine="420"/>
        <w:jc w:val="both"/>
      </w:pPr>
      <w:r>
        <w:rPr>
          <w:rFonts w:hint="eastAsia" w:ascii="Times New Roman" w:hAnsi="Times New Roman" w:eastAsia="宋体" w:cs="Times New Roman"/>
          <w:b w:val="0"/>
          <w:i w:val="0"/>
          <w:sz w:val="21"/>
        </w:rPr>
        <w:t>在 1.7—10 Hz 有效比较频带内，三个固定地表位置的水平直接幅值谱 NRMSE 均不超过 0.289。X001 坡顶、坡面中部和坡脚前方分别为 0.132、0.189 和 0.093；X002 两套谱元网格的三点结果均为 0.289、0.225 和 0.157。水平谱主峰频率偏差总体不超过 0.85 Hz，多数点位不超过 0.12 Hz。直接谱比较表明两种数值方法捕获了相近的主要频谱内容，但 0.5—1.7 Hz 低于 Ricker 有效激励下限，不纳入这一结论。</w:t>
      </w:r>
    </w:p>
    <w:p w14:paraId="33A8E69D">
      <w:pPr>
        <w:spacing w:before="0" w:after="0"/>
        <w:ind w:firstLine="420"/>
        <w:jc w:val="both"/>
      </w:pPr>
      <w:r>
        <w:rPr>
          <w:rFonts w:hint="eastAsia" w:ascii="Times New Roman" w:hAnsi="Times New Roman" w:eastAsia="宋体" w:cs="Times New Roman"/>
          <w:b w:val="0"/>
          <w:i w:val="0"/>
          <w:sz w:val="21"/>
        </w:rPr>
        <w:t xml:space="preserve">辅助 </w:t>
      </w:r>
      <m:oMath>
        <m:sSub>
          <m:sSubPr/>
          <m:e>
            <m:r>
              <m:rPr/>
              <m:t>G</m:t>
            </m:r>
          </m:e>
          <m:sub>
            <m:r>
              <m:rPr/>
              <m:t>h</m:t>
            </m:r>
          </m:sub>
        </m:sSub>
      </m:oMath>
      <w:r>
        <w:rPr>
          <w:rFonts w:hint="eastAsia" w:ascii="Times New Roman" w:hAnsi="Times New Roman" w:eastAsia="宋体" w:cs="Times New Roman"/>
          <w:b w:val="0"/>
          <w:i w:val="0"/>
          <w:sz w:val="21"/>
        </w:rPr>
        <w:t xml:space="preserve"> 型谱比比直接谱更敏感。均质 X001 三个点的谱比 NRMSE 为 0.184—0.283，成层 X002 则增至 0.571—0.725；X002-S 与 X002-SR 的差别小于 0.01。比值误差同时包含地表响应差异和远场分母差异，成层界面散射又会放大两种离散方法在局部频谱上的偏差，因此不能把 0.57—0.73 解释为完整复频响已经高精度吻合。更重要的是，X 组该辅助量采用两端远场时程构造各求解器自身的远场代理，只用于码对码幅值诊断，并不等同于第3章全地表统一使用左侧一维自由场的正式定义。</w:t>
      </w:r>
    </w:p>
    <w:p w14:paraId="6CDB500D">
      <w:pPr>
        <w:spacing w:before="0" w:after="0"/>
        <w:ind w:firstLine="420"/>
        <w:jc w:val="both"/>
      </w:pPr>
      <w:r>
        <w:rPr>
          <w:rFonts w:hint="eastAsia" w:ascii="Times New Roman" w:hAnsi="Times New Roman" w:eastAsia="宋体" w:cs="Times New Roman"/>
          <w:b w:val="0"/>
          <w:i w:val="0"/>
          <w:sz w:val="21"/>
        </w:rPr>
        <w:t>逐点时程也揭示了正式门控之外的差异。X001 坡顶水平时程 NRMSE 为 18.79%，相关系数为 0.9822，而坡面中部和坡脚水平时程 NRMSE 分别达到 54.31% 和 60.90%；0.30 s 公共早期波场的水平、竖向 NRMSE 仅为 3.26% 和 3.93%，到 0.60 s 增至 28.05% 和 31.83%。差异随地表相互作用和晚时散射发展而扩大，说明有限元与谱元在离散、阻尼及吸收边界上的方法差异真实存在。X002-S 标准网格反而比 X002-SR 加密网格更接近 Abaqus 的 PGA 曲线，也表明剩余偏差不能简单归因于谱元网格过粗；加密不保证不同数值方法的结果向 Abaqus 单调靠近。</w:t>
      </w:r>
    </w:p>
    <w:p w14:paraId="360F4AC5">
      <w:pPr>
        <w:spacing w:before="0" w:after="0"/>
        <w:ind w:firstLine="420"/>
        <w:jc w:val="both"/>
      </w:pPr>
      <w:r>
        <w:rPr>
          <w:rFonts w:hint="eastAsia" w:ascii="Times New Roman" w:hAnsi="Times New Roman" w:eastAsia="宋体" w:cs="Times New Roman"/>
          <w:b w:val="0"/>
          <w:i w:val="0"/>
          <w:sz w:val="21"/>
        </w:rPr>
        <w:t>因此，跨软件证据所支持的是一个边界清楚的判断：在本文二维线性、15° SV 入射设置下，对于 H004 均质坡和 P061 成层坡，两套求解器在 4 Hz Ricker 有效频带及地表 PGA 空间分布上给出一致的主要模式，水平直接幅值谱误差处于 0.29 以内。它没有验证 0.5—1.7 Hz 低频段，没有证明逐点晚时散射时程一致，也没有对 96×161 完整复频响的相位和群时延提供独立确认。该结论更不能外推到其余坡角、覆盖层组合、真实地震记录、非线性材料或三维地形。V 组与 X 组共同排除了“关键响应完全由标准网格、时窗或单一求解器造成”的主要疑虑，同时保留了 V003 全场域效应和 X002 成层谱比差异这两项明确的不确定性；后续参数规律与代理模型的表述均应在这一证据边界内展开。</w:t>
      </w:r>
    </w:p>
    <w:p w14:paraId="521228DF">
      <w:pPr>
        <w:keepNext w:val="0"/>
        <w:keepLines w:val="0"/>
        <w:pageBreakBefore w:val="0"/>
        <w:widowControl w:val="0"/>
        <w:kinsoku/>
        <w:wordWrap/>
        <w:overflowPunct/>
        <w:topLinePunct w:val="0"/>
        <w:autoSpaceDE/>
        <w:autoSpaceDN/>
        <w:bidi w:val="0"/>
        <w:adjustRightInd/>
        <w:snapToGrid/>
        <w:spacing w:before="312" w:after="60"/>
        <w:ind w:firstLine="0"/>
        <w:jc w:val="left"/>
        <w:textAlignment w:val="auto"/>
        <w:outlineLvl w:val="0"/>
      </w:pPr>
      <w:r>
        <w:rPr>
          <w:rFonts w:hint="eastAsia" w:ascii="Times New Roman" w:hAnsi="Times New Roman" w:eastAsia="宋体" w:cs="Times New Roman"/>
          <w:b/>
          <w:i w:val="0"/>
          <w:sz w:val="28"/>
        </w:rPr>
        <w:t>3 复频响函数与参数影响规律</w:t>
      </w:r>
    </w:p>
    <w:p w14:paraId="6C42164C">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pPr>
      <w:r>
        <w:rPr>
          <w:rFonts w:hint="eastAsia" w:ascii="Times New Roman" w:hAnsi="Times New Roman" w:eastAsia="宋体" w:cs="Times New Roman"/>
          <w:b/>
          <w:i w:val="0"/>
          <w:sz w:val="24"/>
        </w:rPr>
        <w:t>3.1 复频响函数及评价指标</w:t>
      </w:r>
    </w:p>
    <w:p w14:paraId="0774444B">
      <w:pPr>
        <w:spacing w:before="0" w:after="0"/>
        <w:ind w:firstLine="420"/>
        <w:jc w:val="both"/>
      </w:pPr>
      <w:r>
        <w:rPr>
          <w:rFonts w:hint="eastAsia" w:ascii="Times New Roman" w:hAnsi="Times New Roman" w:eastAsia="宋体" w:cs="Times New Roman"/>
          <w:b w:val="0"/>
          <w:i w:val="0"/>
          <w:sz w:val="21"/>
        </w:rPr>
        <w:t>坡地表面的地震响应同时随频率和位置变化。若只比较若干时程峰值，同一个放大系数可能对应完全不同的频带结构和到时关系，也无法判断某处峰值是由稳定的场地传递特性造成，还是由特定输入波的瞬时叠加造成。为把输入波的偶然性与坡地本身的线性响应分开，本文采用宽频多正弦信号 G1b 对每个构型进行一次系统识别。该信号的峰值加速度为 0.980 m/s²，主要激励持续至 8.190 s，随后保留 6 s 静默尾段，总计算时长为 14.191 s。原始复频响存储范围为 0.305～11.994 Hz，正文分析限制在 0.5～10 Hz；10～12 Hz 只用于观察频带边缘，不作为参数规律的正式统计区间。</w:t>
      </w:r>
    </w:p>
    <w:p w14:paraId="0EE2157E">
      <w:pPr>
        <w:spacing w:before="0" w:after="0"/>
        <w:ind w:firstLine="420"/>
        <w:jc w:val="both"/>
      </w:pPr>
      <w:r>
        <w:rPr>
          <w:rFonts w:hint="eastAsia" w:ascii="Times New Roman" w:hAnsi="Times New Roman" w:eastAsia="宋体" w:cs="Times New Roman"/>
          <w:b w:val="0"/>
          <w:i w:val="0"/>
          <w:sz w:val="21"/>
        </w:rPr>
        <w:t>这套识别首先解决的是“用什么输入把所关心的频带照亮”。如果逐个频率施加稳态正弦波，单个频点容易解释，但每个参数组合都要重复许多次计算；若直接选取一条天然地震波，又会因为其能量集中在少数频带，使弱能量区的传递关系难以稳定辨认。G1b把多个频率成分置于同一次计算中，且所有工况保持相同幅值、相位编排和持续时间，因而既保留逐频分析的频率坐标，又把每个构型的识别压缩为一次宽频计算。此处比较的是同一输入下的线性系统响应，不是用宽频波替代后文真实地震波的工程检验；真实波闭环仍需在时域另行完成。</w:t>
      </w:r>
    </w:p>
    <w:p w14:paraId="04E6536F">
      <w:pPr>
        <w:spacing w:before="0" w:after="0"/>
        <w:ind w:firstLine="420"/>
        <w:jc w:val="both"/>
      </w:pPr>
      <w:r>
        <w:rPr>
          <w:rFonts w:hint="eastAsia" w:ascii="Times New Roman" w:hAnsi="Times New Roman" w:eastAsia="宋体" w:cs="Times New Roman"/>
          <w:b w:val="0"/>
          <w:i w:val="0"/>
          <w:sz w:val="21"/>
        </w:rPr>
        <w:t>8.190 s之后的静默段也属于识别设计的一部分。输入停止并不意味着坡体响应立即结束，覆盖层内往返传播、坡顶和坡脚散射以及平台间干涉仍会在一段时间内继续。若在激励结束处截断记录，晚到响应会被硬切入频谱，输入结束时刻附近的残余振动还可能扩散到相邻频率。保留6 s尾段的作用，是把这些由模型产生的后续响应纳入同一记录，并为频域变换提供完整一些的衰减过程；它没有向系统补充新的激励能量，也不会把尾段的自由振动另算成一个工况。总记录长14.191 s对应约0.0705 Hz的倒数时间尺度，随后统一到0.1 Hz分析网格，频率分辨率与跨工况对齐由此分开控制。</w:t>
      </w:r>
    </w:p>
    <w:p w14:paraId="3DCB3C53">
      <w:pPr>
        <w:spacing w:before="0" w:after="0"/>
        <w:ind w:firstLine="420"/>
        <w:jc w:val="both"/>
      </w:pPr>
      <w:r>
        <w:rPr>
          <w:rFonts w:hint="eastAsia" w:ascii="Times New Roman" w:hAnsi="Times New Roman" w:eastAsia="宋体" w:cs="Times New Roman"/>
          <w:b w:val="0"/>
          <w:i w:val="0"/>
          <w:sz w:val="21"/>
        </w:rPr>
        <w:t>识别频带的上下限还与数值模型的可信范围相互约束。下限过低时，有限记录内包含的周期数很少，峰形容易受记录长度影响；上限过高时，输入谱、网格波长分辨率和相位导数的误差会同时变得敏感。本文没有针对每个工况单独挑选“看起来最好”的频段，而是先固定0.5～10 Hz，再用频带外的原始存储结果检查边缘走势。这样，一个工况在10 Hz取得最大值时会被如实标为上界峰，而不会因为临时延长频带得到一个与其他工况口径不同的所谓主频。</w:t>
      </w:r>
    </w:p>
    <w:p w14:paraId="25ED8AF1">
      <w:pPr>
        <w:spacing w:before="0" w:after="0"/>
        <w:ind w:firstLine="420"/>
        <w:jc w:val="both"/>
      </w:pPr>
      <w:r>
        <w:rPr>
          <w:rFonts w:hint="eastAsia" w:ascii="Times New Roman" w:hAnsi="Times New Roman" w:eastAsia="宋体" w:cs="Times New Roman"/>
          <w:b w:val="0"/>
          <w:i w:val="0"/>
          <w:sz w:val="21"/>
        </w:rPr>
        <w:t>图5(a)、(b)给出了 G1b 的时程和归一化输入谱。0.5～10 Hz 内归一化谱幅的中位数为 0.921，5%分位数仍为 0.533，说明该频带不存在长距离的近零输入谱谷。宽频覆盖是复频响可辨识的前提：当输入谱接近零时，输出与输入的复数相除会放大数值噪声，即使所得幅值很大，也不能解释为真实共振。后处理先在0.3 Hz以上、预设频带上限以内确定候选频点，再要求参考输入谱幅值不低于候选带内峰值的5%，同时要求输出复谱实部和虚部有限；不满足条件的点写为无效值。采用单条宽频输入还使 68 个 H/P 构型在完全相同的输入条件下比较，避免逐频扫频带来的工况数膨胀。</w:t>
      </w:r>
    </w:p>
    <w:p w14:paraId="0BBFF3BB">
      <w:pPr>
        <w:spacing w:before="0" w:after="0"/>
        <w:ind w:firstLine="420"/>
        <w:jc w:val="both"/>
      </w:pPr>
      <w:r>
        <w:rPr>
          <w:rFonts w:hint="eastAsia" w:ascii="Times New Roman" w:hAnsi="Times New Roman" w:eastAsia="宋体" w:cs="Times New Roman"/>
          <w:b w:val="0"/>
          <w:i w:val="0"/>
          <w:sz w:val="21"/>
        </w:rPr>
        <w:t>这里所说的“系统识别”不是把一条地震动时程拆成若干彼此独立的单频工况，而是在本文线性计算框架内，利用同一次响应中各个频率分量同时估计输入—输出关系。由于二维坡体和一维参考场接受同一条 G1b 输入，输入波的共同谱形在复数比值中被约去，保留下来的是两种传播体系在幅值和相位上的相对差异。因而，宽频输入的作用是提高一次计算可识别的频率覆盖，而不是把不同频率的最大响应在时域中人为叠加。对于参数对比而言，这种做法还有一个直接好处：各构型不需要分别选择“最有利”的输入频率，所有峰值都在同一个预先规定的分析频带内搜索，减少了输入选择对峰值排序的干扰。</w:t>
      </w:r>
    </w:p>
    <w:p w14:paraId="47F33CB2">
      <w:pPr>
        <w:spacing w:before="0" w:after="0"/>
        <w:ind w:firstLine="420"/>
        <w:jc w:val="both"/>
      </w:pPr>
      <w:r>
        <w:rPr>
          <w:rFonts w:hint="eastAsia" w:ascii="Times New Roman" w:hAnsi="Times New Roman" w:eastAsia="宋体" w:cs="Times New Roman"/>
          <w:b w:val="0"/>
          <w:i w:val="0"/>
          <w:sz w:val="21"/>
        </w:rPr>
        <w:t>存储频带和正式分析频带被有意区分。原始结果在低频侧比 0.5 Hz 多保留 0.195 Hz，在高频侧比 10 Hz 多保留 1.994 Hz，相当于在用于比较的 96 个频点之外留出检查区间。这样做不是认为 0.305～0.5 Hz 或 10～11.994 Hz 的结果没有物理意义，而是避免把靠近谱端、窗函数过渡段和数值分辨率边界的起伏直接当作参数规律。正文中的峰值搜索、分区统计和工况排序均使用固定的 0.5～10 Hz 口径，频带外数据只承担边界核查作用。尤其当曲线在 10 Hz 仍未回落时，额外存储频点能够帮助判断它属于“触及正文上界”还是整个可用频带内都没有稳定峰形，但正文仍按统一规则报告为边界峰，不能临时扩大某一工况的搜索区间。</w:t>
      </w:r>
    </w:p>
    <w:p w14:paraId="6CF0E711">
      <w:pPr>
        <w:spacing w:before="0" w:after="0"/>
        <w:ind w:firstLine="420"/>
        <w:jc w:val="both"/>
      </w:pPr>
      <w:r>
        <w:rPr>
          <w:rFonts w:hint="eastAsia" w:ascii="Times New Roman" w:hAnsi="Times New Roman" w:eastAsia="宋体" w:cs="Times New Roman"/>
          <w:b w:val="0"/>
          <w:i w:val="0"/>
          <w:sz w:val="21"/>
        </w:rPr>
        <w:t xml:space="preserve">有效掩码不仅保护幅值比，也决定相位是否可以连续解释。复数除法在分母很小时会同时污染模和辐角；若只删除异常大的幅值而保留这些频点的相位，后续相位展开仍可能把一个噪声点传递成整段 </w:t>
      </w:r>
      <m:oMath>
        <m:r>
          <m:rPr/>
          <m:t>2π</m:t>
        </m:r>
      </m:oMath>
      <w:r>
        <w:rPr>
          <w:rFonts w:hint="eastAsia" w:ascii="Times New Roman" w:hAnsi="Times New Roman" w:eastAsia="宋体" w:cs="Times New Roman"/>
          <w:b w:val="0"/>
          <w:i w:val="0"/>
          <w:sz w:val="21"/>
        </w:rPr>
        <w:t xml:space="preserve"> 分支偏移，群时延求导还会进一步放大该误差。因此，输入谱5%阈值和复谱有限性检查均在相位展开之前完成，幅值、相位及其导数使用同一套有效频点；相位只在相邻有效频点组成的连续区间内分别展开，不跨无效区间拼接分支。本文把分析网格统一为 0.1 Hz 间隔，也使不同工况的相位条带和峰位能够逐点比较，而不必把某一工况的缺失频点误认为主峰迁移。</w:t>
      </w:r>
    </w:p>
    <w:p w14:paraId="7B71427E">
      <w:pPr>
        <w:spacing w:before="0" w:after="0"/>
        <w:ind w:firstLine="420"/>
        <w:jc w:val="both"/>
      </w:pPr>
      <w:r>
        <w:rPr>
          <w:rFonts w:hint="eastAsia" w:ascii="Times New Roman" w:hAnsi="Times New Roman" w:eastAsia="宋体" w:cs="Times New Roman"/>
          <w:b w:val="0"/>
          <w:i w:val="0"/>
          <w:sz w:val="21"/>
        </w:rPr>
        <w:t>从原始时程到图5(f)可按一条不可颠倒的链条理解。先对基岩输入、二维地表响应和一维自由场响应在各自共同的时间记录上进行频域表示，再在相同频率处形成二维和一维相对基岩输入的复传递函数；随后用二维复传递函数除以左侧一维复传递函数，最后才提取模、展开相位及其导数。有效性检查位于复数相除和相位展开之前，统一频率网格则位于可用频段确认之后。若先对幅值取峰、先把相位化为绝对值，或者分别在两条曲线上寻找最大值后相除，复数之间原有的一一对应关系都会丢失。</w:t>
      </w:r>
    </w:p>
    <w:p w14:paraId="4CD93801">
      <w:pPr>
        <w:spacing w:before="0" w:after="0"/>
        <w:ind w:firstLine="420"/>
        <w:jc w:val="both"/>
      </w:pPr>
      <w:r>
        <w:rPr>
          <w:rFonts w:hint="eastAsia" w:ascii="Times New Roman" w:hAnsi="Times New Roman" w:eastAsia="宋体" w:cs="Times New Roman"/>
          <w:b w:val="0"/>
          <w:i w:val="0"/>
          <w:sz w:val="21"/>
        </w:rPr>
        <w:t>这条顺序还说明输入谱为何需要单独展示。只看输出谱无法区分某一频带的高响应究竟来自模型传递特性，还是输入本身在该处能量较大；只看复比值又容易忽略分母接近零时的不稳定性。图5(b)先证明正式频带内持续具有可识别的输入，图5(c)再说明二维坡顶与一维柱在同一输入下确实产生不同的时程，图5(d)把共同输入从两条响应中分别约去，图5(e)、(f)才给出两种传播体系之间的幅值和相位差。六幅子图并非重复展示同一结果，而是逐层回答“能否识别、识别什么以及结果如何解释”。</w:t>
      </w:r>
    </w:p>
    <w:p w14:paraId="6B2D896C">
      <w:pPr>
        <w:spacing w:before="0" w:after="0"/>
        <w:ind w:firstLine="420"/>
        <w:jc w:val="both"/>
      </w:pPr>
      <w:r>
        <w:rPr>
          <w:rFonts w:hint="eastAsia" w:ascii="Times New Roman" w:hAnsi="Times New Roman" w:eastAsia="宋体" w:cs="Times New Roman"/>
          <w:b w:val="0"/>
          <w:i w:val="0"/>
          <w:sz w:val="21"/>
        </w:rPr>
        <w:t>对68个H/P构型执行同一流程时，0.1 Hz网格上的每个点都具有相同含义，但相邻点并非独立试验。频域识别把一次宽频记录展开为一条连续响应曲线，曲线的峰、谷和相位转折要结合邻域形状判断，而不能把某个孤立频点当成一次额外验证。采用统一有效掩码和统一搜索区间的价值，正在于把判断规则固定在分析之前：模型参数可以改变曲线，却不能改变用于挑选曲线特征的标尺。</w:t>
      </w:r>
    </w:p>
    <w:p w14:paraId="48937CB2">
      <w:pPr>
        <w:spacing w:before="80" w:after="40"/>
        <w:ind w:firstLine="0"/>
        <w:jc w:val="center"/>
      </w:pPr>
      <w:r>
        <w:drawing>
          <wp:inline distT="0" distB="0" distL="114300" distR="114300">
            <wp:extent cx="2880360" cy="1451610"/>
            <wp:effectExtent l="0" t="0" r="1524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880360" cy="1451943"/>
                    </a:xfrm>
                    <a:prstGeom prst="rect">
                      <a:avLst/>
                    </a:prstGeom>
                  </pic:spPr>
                </pic:pic>
              </a:graphicData>
            </a:graphic>
          </wp:inline>
        </w:drawing>
      </w:r>
    </w:p>
    <w:p w14:paraId="5145FCFF">
      <w:pPr>
        <w:spacing w:before="0" w:after="0"/>
        <w:ind w:firstLine="0"/>
        <w:jc w:val="center"/>
      </w:pPr>
      <w:r>
        <w:rPr>
          <w:rFonts w:hint="eastAsia" w:ascii="Times New Roman" w:hAnsi="Times New Roman" w:eastAsia="宋体" w:cs="Times New Roman"/>
          <w:b w:val="0"/>
          <w:i w:val="0"/>
          <w:sz w:val="18"/>
        </w:rPr>
        <w:t>图5 P061 工况的宽频系统识别与复频响提取：（a）G1b 输入时程；（b）输入能量覆盖；（c）二维坡顶与左侧一维自由场响应；（d）两者相对基岩输入的传递函数；（e）复比值幅值；（f）展开相位</w:t>
      </w:r>
    </w:p>
    <w:p w14:paraId="5806CFEF">
      <w:pPr>
        <w:spacing w:before="0" w:after="60"/>
        <w:ind w:firstLine="0"/>
        <w:jc w:val="center"/>
      </w:pPr>
      <w:r>
        <w:rPr>
          <w:rFonts w:hint="eastAsia" w:ascii="Times New Roman" w:hAnsi="Times New Roman" w:eastAsia="Times New Roman" w:cs="Times New Roman"/>
          <w:b w:val="0"/>
          <w:i w:val="0"/>
          <w:sz w:val="18"/>
        </w:rPr>
        <w:t>Fig. 5 Broadband system identification and complex frequency-response extraction for P061</w:t>
      </w:r>
    </w:p>
    <w:p w14:paraId="4245286D">
      <w:pPr>
        <w:spacing w:before="0" w:after="0"/>
        <w:ind w:firstLine="420"/>
        <w:jc w:val="both"/>
      </w:pPr>
      <w:r>
        <w:rPr>
          <w:rFonts w:hint="eastAsia" w:ascii="Times New Roman" w:hAnsi="Times New Roman" w:eastAsia="宋体" w:cs="Times New Roman"/>
          <w:b w:val="0"/>
          <w:i w:val="0"/>
          <w:sz w:val="21"/>
        </w:rPr>
        <w:t>图5(c)～(f)用 P061 说明复频响的形成过程。基岩输入、二维坡顶和左侧一维自由场的峰值加速度分别为 0.980、4.796 和 3.275 m/s²；它们的时程峰值不能直接相除后当作传递函数，因为不同频率分量在峰值时刻并不同相。对时程作傅里叶变换后，二维坡顶相对基岩输入的传递函数幅值在 1.2 Hz 达到 8.596，左侧一维自由场在 1.1 Hz 达到 5.918；二者再作复数相除，才得到去除共同一维传播成分后的二维相对响应，其幅值峰值为 2.015，频率为 1.9 Hz。由 1.1～1.2 Hz 到 1.9 Hz 的峰位变化说明，二维地形作用不是在一维场地放大上乘一个常数，而是重新分配了频率成分及其相位。</w:t>
      </w:r>
    </w:p>
    <w:p w14:paraId="49F07482">
      <w:pPr>
        <w:spacing w:before="0" w:after="0"/>
        <w:ind w:firstLine="420"/>
        <w:jc w:val="both"/>
      </w:pPr>
      <w:r>
        <w:rPr>
          <w:rFonts w:hint="eastAsia" w:ascii="Times New Roman" w:hAnsi="Times New Roman" w:eastAsia="宋体" w:cs="Times New Roman"/>
          <w:b w:val="0"/>
          <w:i w:val="0"/>
          <w:sz w:val="21"/>
        </w:rPr>
        <w:t xml:space="preserve">这一差别也可以从数值上直观看出。若直接用两个时程峰值相除，P061 坡顶相对左侧自由场的比值仅为 1.464；而复频响的最大幅值为 2.015，且出现在 1.9 Hz。前者把发生在不同时刻、由不同频率组合形成的两个峰强行配对，既没有明确的频率坐标，也丢失了相位信息；后者则在每个频率上先完成复谱配对，再从所得曲线中寻找峰值。即使把二维和一维传递函数各自的最大值 8.596 与 5.918 相除，所得比值也不能代替 </w:t>
      </w:r>
      <m:oMath>
        <m:sSub>
          <m:sSubPr/>
          <m:e>
            <m:r>
              <m:rPr/>
              <m:t>G</m:t>
            </m:r>
          </m:e>
          <m:sub>
            <m:r>
              <m:rPr/>
              <m:t>h</m:t>
            </m:r>
          </m:sub>
        </m:sSub>
      </m:oMath>
      <w:r>
        <w:rPr>
          <w:rFonts w:hint="eastAsia" w:ascii="Times New Roman" w:hAnsi="Times New Roman" w:eastAsia="宋体" w:cs="Times New Roman"/>
          <w:b w:val="0"/>
          <w:i w:val="0"/>
          <w:sz w:val="21"/>
        </w:rPr>
        <w:t xml:space="preserve">，因为两个最大值分别位于 1.2 和 1.1 Hz，而 </w:t>
      </w:r>
      <m:oMath>
        <m:sSub>
          <m:sSubPr/>
          <m:e>
            <m:r>
              <m:rPr/>
              <m:t>G</m:t>
            </m:r>
          </m:e>
          <m:sub>
            <m:r>
              <m:rPr/>
              <m:t>h</m:t>
            </m:r>
          </m:sub>
        </m:sSub>
      </m:oMath>
      <w:r>
        <w:rPr>
          <w:rFonts w:hint="eastAsia" w:ascii="Times New Roman" w:hAnsi="Times New Roman" w:eastAsia="宋体" w:cs="Times New Roman"/>
          <w:b w:val="0"/>
          <w:i w:val="0"/>
          <w:sz w:val="21"/>
        </w:rPr>
        <w:t xml:space="preserve"> 的最大值位于 1.9 Hz。复数相除必须在相同频点进行，这正是图5从时程、单独传递函数到复比值逐层展示的原因。</w:t>
      </w:r>
    </w:p>
    <w:p w14:paraId="1DC2EC08">
      <w:pPr>
        <w:spacing w:before="0" w:after="0"/>
        <w:ind w:firstLine="420"/>
        <w:jc w:val="both"/>
      </w:pPr>
      <w:r>
        <w:rPr>
          <w:rFonts w:hint="eastAsia" w:ascii="Times New Roman" w:hAnsi="Times New Roman" w:eastAsia="宋体" w:cs="Times New Roman"/>
          <w:b w:val="0"/>
          <w:i w:val="0"/>
          <w:sz w:val="21"/>
        </w:rPr>
        <w:t>由此，本文所用“放大”始终是带参考条件的相对概念。</w:t>
      </w:r>
      <m:oMath>
        <m:sSub>
          <m:sSubPr/>
          <m:e>
            <m:r>
              <m:rPr/>
              <m:t>G</m:t>
            </m:r>
          </m:e>
          <m:sub>
            <m:r>
              <m:rPr/>
              <m:t>h</m:t>
            </m:r>
          </m:sub>
        </m:sSub>
      </m:oMath>
      <w:r>
        <w:rPr>
          <w:rFonts w:hint="eastAsia" w:ascii="Times New Roman" w:hAnsi="Times New Roman" w:eastAsia="宋体" w:cs="Times New Roman"/>
          <w:b w:val="0"/>
          <w:i w:val="0"/>
          <w:sz w:val="21"/>
        </w:rPr>
        <w:t xml:space="preserve"> 并不等于二维坡体相对基岩的绝对传递函数，而是二维坡体与指定一维自由场在相同输入下的复数响应之比。它消除了共同的一维传播放大后，突出坡形、覆盖层横向非均匀性和入射方向共同造成的二维偏离。工程上若需要恢复二维地表相对基岩输入的传递函数，仍应把 </w:t>
      </w:r>
      <m:oMath>
        <m:sSub>
          <m:sSubPr/>
          <m:e>
            <m:r>
              <m:rPr/>
              <m:t>G</m:t>
            </m:r>
          </m:e>
          <m:sub>
            <m:r>
              <m:rPr/>
              <m:t>h</m:t>
            </m:r>
          </m:sub>
        </m:sSub>
      </m:oMath>
      <w:r>
        <w:rPr>
          <w:rFonts w:hint="eastAsia" w:ascii="Times New Roman" w:hAnsi="Times New Roman" w:eastAsia="宋体" w:cs="Times New Roman"/>
          <w:b w:val="0"/>
          <w:i w:val="0"/>
          <w:sz w:val="21"/>
        </w:rPr>
        <w:t xml:space="preserve"> 与同一左侧一维自由场传递函数按复数相乘，而不能只把二者的幅值峰值相乘。这个定义边界使第3章各类参数对比始终围绕同一个响应量展开，也避免把参考场本身的共振重复归入地形效应。</w:t>
      </w:r>
    </w:p>
    <w:p w14:paraId="727A0385">
      <w:pPr>
        <w:spacing w:before="0" w:after="0"/>
        <w:ind w:firstLine="420"/>
        <w:jc w:val="both"/>
      </w:pPr>
      <w:r>
        <w:rPr>
          <w:rFonts w:hint="eastAsia" w:ascii="Times New Roman" w:hAnsi="Times New Roman" w:eastAsia="宋体" w:cs="Times New Roman"/>
          <w:b w:val="0"/>
          <w:i w:val="0"/>
          <w:sz w:val="21"/>
        </w:rPr>
        <w:t>图5中的三个峰进一步表明，这一约分不是简单“消去一个数字”。二维传递函数在1.2 Hz取8.596，一维传递函数在1.1 Hz取5.918，而二者复比值在1.9 Hz取2.015；三个峰不在同一频率，说明分子和分母在频率轴上的相对起伏共同塑造了最终结果。某频率处即使二维传递幅值很高，只要一维自由场也同步放大，</w:t>
      </w:r>
      <m:oMath>
        <m:sSub>
          <m:sSubPr/>
          <m:e>
            <m:r>
              <m:rPr/>
              <m:t>G</m:t>
            </m:r>
          </m:e>
          <m:sub>
            <m:r>
              <m:rPr/>
              <m:t>h</m:t>
            </m:r>
          </m:sub>
        </m:sSub>
      </m:oMath>
      <w:r>
        <w:rPr>
          <w:rFonts w:hint="eastAsia" w:ascii="Times New Roman" w:hAnsi="Times New Roman" w:eastAsia="宋体" w:cs="Times New Roman"/>
          <w:b w:val="0"/>
          <w:i w:val="0"/>
          <w:sz w:val="21"/>
        </w:rPr>
        <w:t>未必很大；反之，二维传递函数不在自身峰值处，也可能因相对一维场偏离更明显而形成</w:t>
      </w:r>
      <m:oMath>
        <m:sSub>
          <m:sSubPr/>
          <m:e>
            <m:r>
              <m:rPr/>
              <m:t>G</m:t>
            </m:r>
          </m:e>
          <m:sub>
            <m:r>
              <m:rPr/>
              <m:t>h</m:t>
            </m:r>
          </m:sub>
        </m:sSub>
      </m:oMath>
      <w:r>
        <w:rPr>
          <w:rFonts w:hint="eastAsia" w:ascii="Times New Roman" w:hAnsi="Times New Roman" w:eastAsia="宋体" w:cs="Times New Roman"/>
          <w:b w:val="0"/>
          <w:i w:val="0"/>
          <w:sz w:val="21"/>
        </w:rPr>
        <w:t>局部峰。相位差同样来自同频复数商，不能由两条幅值曲线推回。</w:t>
      </w:r>
    </w:p>
    <w:p w14:paraId="2E8B95D8">
      <w:pPr>
        <w:spacing w:before="0" w:after="0"/>
        <w:ind w:firstLine="420"/>
        <w:jc w:val="both"/>
      </w:pPr>
      <w:r>
        <w:rPr>
          <w:rFonts w:hint="eastAsia" w:ascii="Times New Roman" w:hAnsi="Times New Roman" w:eastAsia="宋体" w:cs="Times New Roman"/>
          <w:b w:val="0"/>
          <w:i w:val="0"/>
          <w:sz w:val="21"/>
        </w:rPr>
        <w:t>因此，宽频识别的产物不是一张“峰值排行表”，而是一组在频率和空间上保持复数关系的场。后文从场中摘取全场峰、固定频率剖面和固定位置谱，是对同一数据作不同方向的切片：全场峰回答最不利组合在哪里，固定频率剖面回答同一时刻尺度下响应怎样沿地表重新分配，固定位置谱回答某一工程位置受哪些频带控制。三类读法必须共同使用，才能避免把某个偶然极值等同于完整的坡体规律。</w:t>
      </w:r>
    </w:p>
    <w:p w14:paraId="4C71965E">
      <w:pPr>
        <w:spacing w:before="0" w:after="0"/>
        <w:ind w:firstLine="420"/>
        <w:jc w:val="both"/>
      </w:pPr>
      <w:r>
        <w:rPr>
          <w:rFonts w:hint="eastAsia" w:ascii="Times New Roman" w:hAnsi="Times New Roman" w:eastAsia="宋体" w:cs="Times New Roman"/>
          <w:b w:val="0"/>
          <w:i w:val="0"/>
          <w:sz w:val="21"/>
        </w:rPr>
        <w:t xml:space="preserve">采用式（2）沿折线地表分段定义的归一化坐标 </w:t>
      </w:r>
      <m:oMath>
        <m:r>
          <m:rPr/>
          <m:t>s</m:t>
        </m:r>
        <m:r>
          <m:rPr>
            <m:sty m:val="p"/>
          </m:rPr>
          <m:t>∈[−</m:t>
        </m:r>
        <m:r>
          <m:rPr/>
          <m:t>4</m:t>
        </m:r>
        <m:r>
          <m:rPr>
            <m:sty m:val="p"/>
          </m:rPr>
          <m:t>,</m:t>
        </m:r>
        <m:r>
          <m:rPr/>
          <m:t>4</m:t>
        </m:r>
        <m:r>
          <m:rPr>
            <m:sty m:val="p"/>
          </m:rPr>
          <m:t>]</m:t>
        </m:r>
      </m:oMath>
      <w:r>
        <w:rPr>
          <w:rFonts w:hint="eastAsia" w:ascii="Times New Roman" w:hAnsi="Times New Roman" w:eastAsia="宋体" w:cs="Times New Roman"/>
          <w:b w:val="0"/>
          <w:i w:val="0"/>
          <w:sz w:val="21"/>
        </w:rPr>
        <w:t xml:space="preserve">：上平台为 </w:t>
      </w:r>
      <m:oMath>
        <m:r>
          <m:rPr>
            <m:sty m:val="p"/>
          </m:rPr>
          <m:t>−</m:t>
        </m:r>
        <m:r>
          <m:rPr/>
          <m:t>4</m:t>
        </m:r>
        <m:r>
          <m:rPr>
            <m:sty m:val="p"/>
          </m:rPr>
          <m:t>≤</m:t>
        </m:r>
        <m:r>
          <m:rPr/>
          <m:t>s</m:t>
        </m:r>
        <m:r>
          <m:rPr>
            <m:sty m:val="p"/>
          </m:rPr>
          <m:t>≤</m:t>
        </m:r>
        <m:r>
          <m:rPr/>
          <m:t>0</m:t>
        </m:r>
      </m:oMath>
      <w:r>
        <w:rPr>
          <w:rFonts w:hint="eastAsia" w:ascii="Times New Roman" w:hAnsi="Times New Roman" w:eastAsia="宋体" w:cs="Times New Roman"/>
          <w:b w:val="0"/>
          <w:i w:val="0"/>
          <w:sz w:val="21"/>
        </w:rPr>
        <w:t xml:space="preserve">，坡顶为 </w:t>
      </w:r>
      <m:oMath>
        <m:r>
          <m:rPr/>
          <m:t>s</m:t>
        </m:r>
        <m:r>
          <m:rPr>
            <m:sty m:val="p"/>
          </m:rPr>
          <m:t>=</m:t>
        </m:r>
        <m:r>
          <m:rPr/>
          <m:t>0</m:t>
        </m:r>
      </m:oMath>
      <w:r>
        <w:rPr>
          <w:rFonts w:hint="eastAsia" w:ascii="Times New Roman" w:hAnsi="Times New Roman" w:eastAsia="宋体" w:cs="Times New Roman"/>
          <w:b w:val="0"/>
          <w:i w:val="0"/>
          <w:sz w:val="21"/>
        </w:rPr>
        <w:t xml:space="preserve">，坡面为 </w:t>
      </w:r>
      <m:oMath>
        <m:r>
          <m:rPr/>
          <m:t>0</m:t>
        </m:r>
        <m:r>
          <m:rPr>
            <m:sty m:val="p"/>
          </m:rPr>
          <m:t>&lt;</m:t>
        </m:r>
        <m:r>
          <m:rPr/>
          <m:t>s</m:t>
        </m:r>
        <m:r>
          <m:rPr>
            <m:sty m:val="p"/>
          </m:rPr>
          <m:t>&lt;</m:t>
        </m:r>
        <m:r>
          <m:rPr/>
          <m:t>1</m:t>
        </m:r>
      </m:oMath>
      <w:r>
        <w:rPr>
          <w:rFonts w:hint="eastAsia" w:ascii="Times New Roman" w:hAnsi="Times New Roman" w:eastAsia="宋体" w:cs="Times New Roman"/>
          <w:b w:val="0"/>
          <w:i w:val="0"/>
          <w:sz w:val="21"/>
        </w:rPr>
        <w:t xml:space="preserve">，坡脚为 </w:t>
      </w:r>
      <m:oMath>
        <m:r>
          <m:rPr/>
          <m:t>s</m:t>
        </m:r>
        <m:r>
          <m:rPr>
            <m:sty m:val="p"/>
          </m:rPr>
          <m:t>=</m:t>
        </m:r>
        <m:r>
          <m:rPr/>
          <m:t>1</m:t>
        </m:r>
      </m:oMath>
      <w:r>
        <w:rPr>
          <w:rFonts w:hint="eastAsia" w:ascii="Times New Roman" w:hAnsi="Times New Roman" w:eastAsia="宋体" w:cs="Times New Roman"/>
          <w:b w:val="0"/>
          <w:i w:val="0"/>
          <w:sz w:val="21"/>
        </w:rPr>
        <w:t xml:space="preserve">，下平台为 </w:t>
      </w:r>
      <m:oMath>
        <m:r>
          <m:rPr/>
          <m:t>1</m:t>
        </m:r>
        <m:r>
          <m:rPr>
            <m:sty m:val="p"/>
          </m:rPr>
          <m:t>&lt;</m:t>
        </m:r>
        <m:r>
          <m:rPr/>
          <m:t>s</m:t>
        </m:r>
        <m:r>
          <m:rPr>
            <m:sty m:val="p"/>
          </m:rPr>
          <m:t>≤</m:t>
        </m:r>
        <m:r>
          <m:rPr/>
          <m:t>4</m:t>
        </m:r>
      </m:oMath>
      <w:r>
        <w:rPr>
          <w:rFonts w:hint="eastAsia" w:ascii="Times New Roman" w:hAnsi="Times New Roman" w:eastAsia="宋体" w:cs="Times New Roman"/>
          <w:b w:val="0"/>
          <w:i w:val="0"/>
          <w:sz w:val="21"/>
        </w:rPr>
        <w:t>。水平复频响函数定义为二维地表水平加速度复谱与左侧上平台一维自由场水平加速度复谱之比：</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04425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0D043C4E">
            <w:pPr>
              <w:spacing w:before="60" w:after="60"/>
              <w:jc w:val="center"/>
            </w:pPr>
            <m:oMathPara>
              <m:oMath>
                <m:sSub>
                  <m:sSubPr/>
                  <m:e>
                    <m:r>
                      <m:rPr/>
                      <m:t>G</m:t>
                    </m:r>
                  </m:e>
                  <m:sub>
                    <m:r>
                      <m:rPr/>
                      <m:t>h</m:t>
                    </m:r>
                  </m:sub>
                </m:sSub>
                <m:r>
                  <m:rPr>
                    <m:sty m:val="p"/>
                  </m:rPr>
                  <m:t>(</m:t>
                </m:r>
                <m:r>
                  <m:rPr/>
                  <m:t>f</m:t>
                </m:r>
                <m:r>
                  <m:rPr>
                    <m:sty m:val="p"/>
                  </m:rPr>
                  <m:t>,</m:t>
                </m:r>
                <m:r>
                  <m:rPr/>
                  <m:t>s</m:t>
                </m:r>
                <m:r>
                  <m:rPr>
                    <m:sty m:val="p"/>
                  </m:rPr>
                  <m:t>)=</m:t>
                </m:r>
                <m:f>
                  <m:fPr/>
                  <m:num>
                    <m:sSubSup>
                      <m:sSubSupPr/>
                      <m:e>
                        <m:acc>
                          <m:accPr/>
                          <m:e>
                            <m:r>
                              <m:rPr/>
                              <m:t>a</m:t>
                            </m:r>
                          </m:e>
                        </m:acc>
                      </m:e>
                      <m:sub>
                        <m:r>
                          <m:rPr/>
                          <m:t>h</m:t>
                        </m:r>
                      </m:sub>
                      <m:sup>
                        <m:r>
                          <m:rPr>
                            <m:sty m:val="p"/>
                          </m:rPr>
                          <m:t>2D</m:t>
                        </m:r>
                      </m:sup>
                    </m:sSubSup>
                    <m:r>
                      <m:rPr>
                        <m:sty m:val="p"/>
                      </m:rPr>
                      <m:t>(</m:t>
                    </m:r>
                    <m:r>
                      <m:rPr/>
                      <m:t>f</m:t>
                    </m:r>
                    <m:r>
                      <m:rPr>
                        <m:sty m:val="p"/>
                      </m:rPr>
                      <m:t>,</m:t>
                    </m:r>
                    <m:r>
                      <m:rPr/>
                      <m:t>s</m:t>
                    </m:r>
                    <m:r>
                      <m:rPr>
                        <m:sty m:val="p"/>
                      </m:rPr>
                      <m:t>)</m:t>
                    </m:r>
                  </m:num>
                  <m:den>
                    <m:sSubSup>
                      <m:sSubSupPr/>
                      <m:e>
                        <m:acc>
                          <m:accPr/>
                          <m:e>
                            <m:r>
                              <m:rPr/>
                              <m:t>a</m:t>
                            </m:r>
                          </m:e>
                        </m:acc>
                      </m:e>
                      <m:sub>
                        <m:r>
                          <m:rPr/>
                          <m:t>h</m:t>
                        </m:r>
                        <m:r>
                          <m:rPr>
                            <m:sty m:val="p"/>
                          </m:rPr>
                          <m:t>,left</m:t>
                        </m:r>
                      </m:sub>
                      <m:sup>
                        <m:r>
                          <m:rPr>
                            <m:sty m:val="p"/>
                          </m:rPr>
                          <m:t>1D</m:t>
                        </m:r>
                      </m:sup>
                    </m:sSubSup>
                    <m:r>
                      <m:rPr>
                        <m:sty m:val="p"/>
                      </m:rPr>
                      <m:t>(</m:t>
                    </m:r>
                    <m:r>
                      <m:rPr/>
                      <m:t>f</m:t>
                    </m:r>
                    <m:r>
                      <m:rPr>
                        <m:sty m:val="p"/>
                      </m:rPr>
                      <m:t>)</m:t>
                    </m:r>
                  </m:den>
                </m:f>
                <m:r>
                  <m:rPr>
                    <m:sty m:val="p"/>
                  </m:rPr>
                  <m:t>.</m:t>
                </m:r>
              </m:oMath>
            </m:oMathPara>
          </w:p>
        </w:tc>
        <w:tc>
          <w:tcPr>
            <w:tcW w:w="4819" w:type="dxa"/>
          </w:tcPr>
          <w:p w14:paraId="6627C5FE">
            <w:pPr>
              <w:spacing w:before="60" w:after="60"/>
              <w:jc w:val="right"/>
            </w:pPr>
            <w:r>
              <w:rPr>
                <w:rFonts w:hint="eastAsia" w:ascii="Times New Roman" w:hAnsi="Times New Roman" w:eastAsia="Times New Roman" w:cs="Times New Roman"/>
                <w:b w:val="0"/>
                <w:i w:val="0"/>
                <w:sz w:val="21"/>
              </w:rPr>
              <w:t>(13)</w:t>
            </w:r>
          </w:p>
        </w:tc>
      </w:tr>
    </w:tbl>
    <w:p w14:paraId="38A0754A">
      <w:pPr>
        <w:spacing w:before="0" w:after="0"/>
        <w:ind w:firstLine="420"/>
        <w:jc w:val="both"/>
      </w:pPr>
      <w:r>
        <w:rPr>
          <w:rFonts w:hint="eastAsia" w:ascii="Times New Roman" w:hAnsi="Times New Roman" w:eastAsia="宋体" w:cs="Times New Roman"/>
          <w:b w:val="0"/>
          <w:i w:val="0"/>
          <w:sz w:val="21"/>
        </w:rPr>
        <w:t>式（13）的分母在全地表保持不变。这里要区分建模自由场与后处理参考场。建模阶段采用的上平台成层柱直接用于生成三侧边界等效节点力；若改变柱的地层厚度、顶面高程或与二维边界的对应关系，一维传播路径和边界荷载都会改变，二维模型必须重新求解。式（13）讨论的是已有左、右一维结果中选哪一个作归一化分母：此时二维地表复谱这一分子不变，改变的只是结果的参照基准。图6所示修正属于后者，未重算二维有限元响应，也未改变人工边界荷载。</w:t>
      </w:r>
    </w:p>
    <w:p w14:paraId="2D011C79">
      <w:pPr>
        <w:spacing w:before="0" w:after="0"/>
        <w:ind w:firstLine="420"/>
        <w:jc w:val="both"/>
      </w:pPr>
      <w:r>
        <w:rPr>
          <w:rFonts w:hint="eastAsia" w:ascii="Times New Roman" w:hAnsi="Times New Roman" w:eastAsia="宋体" w:cs="Times New Roman"/>
          <w:b w:val="0"/>
          <w:i w:val="0"/>
          <w:sz w:val="21"/>
        </w:rPr>
        <w:t xml:space="preserve">选择左侧自由场作为全地表共同分母，还具有明确的可比性含义。对于给定工况和频率，分母只随 </w:t>
      </w:r>
      <m:oMath>
        <m:r>
          <m:rPr/>
          <m:t>f</m:t>
        </m:r>
      </m:oMath>
      <w:r>
        <w:rPr>
          <w:rFonts w:hint="eastAsia" w:ascii="Times New Roman" w:hAnsi="Times New Roman" w:eastAsia="宋体" w:cs="Times New Roman"/>
          <w:b w:val="0"/>
          <w:i w:val="0"/>
          <w:sz w:val="21"/>
        </w:rPr>
        <w:t xml:space="preserve"> 变化而不随 </w:t>
      </w:r>
      <m:oMath>
        <m:r>
          <m:rPr/>
          <m:t>s</m:t>
        </m:r>
      </m:oMath>
      <w:r>
        <w:rPr>
          <w:rFonts w:hint="eastAsia" w:ascii="Times New Roman" w:hAnsi="Times New Roman" w:eastAsia="宋体" w:cs="Times New Roman"/>
          <w:b w:val="0"/>
          <w:i w:val="0"/>
          <w:sz w:val="21"/>
        </w:rPr>
        <w:t xml:space="preserve"> 变化，因而同一频率下任意两个地表位置的 </w:t>
      </w:r>
      <m:oMath>
        <m:sSub>
          <m:sSubPr/>
          <m:e>
            <m:r>
              <m:rPr/>
              <m:t>G</m:t>
            </m:r>
          </m:e>
          <m:sub>
            <m:r>
              <m:rPr/>
              <m:t>h</m:t>
            </m:r>
          </m:sub>
        </m:sSub>
      </m:oMath>
      <w:r>
        <w:rPr>
          <w:rFonts w:hint="eastAsia" w:ascii="Times New Roman" w:hAnsi="Times New Roman" w:eastAsia="宋体" w:cs="Times New Roman"/>
          <w:b w:val="0"/>
          <w:i w:val="0"/>
          <w:sz w:val="21"/>
        </w:rPr>
        <w:t xml:space="preserve"> 之比等于其二维复谱之比；换言之，空间剖面中的相对高低不会再受到参考柱在坡脚处切换的干扰。不同工况之间也使用同一“左侧上平台一维自由场”定义，使幅值峰值、相位条带和群时延都对应同一物理问题。代价是下平台结果不再表示“相对当地右侧一维柱”的局部偏离，但这不是信息损失：如需研究左右自由场本身的差别，可以另行给出右/左一维复谱比，而不应把该差别暗中嵌入地表坐标的分段分母中。</w:t>
      </w:r>
    </w:p>
    <w:p w14:paraId="3AF4E67B">
      <w:pPr>
        <w:spacing w:before="0" w:after="0"/>
        <w:ind w:firstLine="420"/>
        <w:jc w:val="both"/>
      </w:pPr>
      <w:r>
        <w:rPr>
          <w:rFonts w:hint="eastAsia" w:ascii="Times New Roman" w:hAnsi="Times New Roman" w:eastAsia="宋体" w:cs="Times New Roman"/>
          <w:b w:val="0"/>
          <w:i w:val="0"/>
          <w:sz w:val="21"/>
        </w:rPr>
        <w:t xml:space="preserve">旧同侧口径对上平台和坡面采用左侧一维柱、对下平台采用右侧一维柱。左右自由场因参考自由面高程、有效层厚和斜入射传播相位不同，其复谱并不相等；分母在 </w:t>
      </w:r>
      <m:oMath>
        <m:r>
          <m:rPr/>
          <m:t>s</m:t>
        </m:r>
        <m:r>
          <m:rPr>
            <m:sty m:val="p"/>
          </m:rPr>
          <m:t>=</m:t>
        </m:r>
        <m:r>
          <m:rPr/>
          <m:t>1</m:t>
        </m:r>
      </m:oMath>
      <w:r>
        <w:rPr>
          <w:rFonts w:hint="eastAsia" w:ascii="Times New Roman" w:hAnsi="Times New Roman" w:eastAsia="宋体" w:cs="Times New Roman"/>
          <w:b w:val="0"/>
          <w:i w:val="0"/>
          <w:sz w:val="21"/>
        </w:rPr>
        <w:t xml:space="preserve"> 处切换时，即使二维分子沿地表连续，所得比值也会出现整齐的竖向分界。图6(a)、(b)用同一批二维地表复谱分别构造旧同侧口径和统一左侧口径，坡脚附近不作插值、桥接或平滑。统一后，H004坡脚复数邻点跳变量中位数由25.9%降至4.7%，P061由71.0%降至8.6%，90%分位数也分别由46.8%降至9.6%、由99.9%降至13.5%。规则且跨频带的分界显著削弱，说明原突变主要来自分母切换。</w:t>
      </w:r>
    </w:p>
    <w:p w14:paraId="5606232A">
      <w:pPr>
        <w:spacing w:before="0" w:after="0"/>
        <w:ind w:firstLine="420"/>
        <w:jc w:val="both"/>
      </w:pPr>
      <w:r>
        <w:rPr>
          <w:rFonts w:hint="eastAsia" w:ascii="Times New Roman" w:hAnsi="Times New Roman" w:eastAsia="宋体" w:cs="Times New Roman"/>
          <w:b w:val="0"/>
          <w:i w:val="0"/>
          <w:sz w:val="21"/>
        </w:rPr>
        <w:t>旧、新定义之间的关系可以直接解释整条竖线为何出现。上平台和坡面原本已用左侧柱归一化，因此改用统一左参考后这些区段基本保持原口径；下平台旧值使用右侧柱，新值则相当于把同一个二维分子改除以左侧柱。对任一固定频率而言，这一改动给下平台整体乘上一个由右、左自由场复谱之比决定的复数系数。该系数在同一频率不随地表位置变化，却会同时改变下平台的幅值和相位，于是旧图在坡脚处形成位置固定、跨越许多频率的齐整边界。它看起来像二维场突变，实质上是下平台整段换了一把复数标尺。</w:t>
      </w:r>
    </w:p>
    <w:p w14:paraId="4B99BB64">
      <w:pPr>
        <w:spacing w:before="0" w:after="0"/>
        <w:ind w:firstLine="420"/>
        <w:jc w:val="both"/>
      </w:pPr>
      <w:r>
        <w:rPr>
          <w:rFonts w:hint="eastAsia" w:ascii="Times New Roman" w:hAnsi="Times New Roman" w:eastAsia="宋体" w:cs="Times New Roman"/>
          <w:b w:val="0"/>
          <w:i w:val="0"/>
          <w:sz w:val="21"/>
        </w:rPr>
        <w:t>这一点也说明只统一幅值分母并不足够。左右自由场不仅幅值不同，在斜入射与不同传播高度下还存在相位差；如果幅值改用左柱而相位仍沿用旧同侧参考，热图的幅值断面可能减弱，相位与群时延却仍保留参考切换的痕迹。本文从原始二维复传递函数出发，以完整左侧一维复谱重新构造</w:t>
      </w:r>
      <m:oMath>
        <m:sSub>
          <m:sSubPr/>
          <m:e>
            <m:r>
              <m:rPr/>
              <m:t>G</m:t>
            </m:r>
          </m:e>
          <m:sub>
            <m:r>
              <m:rPr/>
              <m:t>h</m:t>
            </m:r>
          </m:sub>
        </m:sSub>
      </m:oMath>
      <w:r>
        <w:rPr>
          <w:rFonts w:hint="eastAsia" w:ascii="Times New Roman" w:hAnsi="Times New Roman" w:eastAsia="宋体" w:cs="Times New Roman"/>
          <w:b w:val="0"/>
          <w:i w:val="0"/>
          <w:sz w:val="21"/>
        </w:rPr>
        <w:t>，使模和辐角来自同一个复数商。后续相位展开和群时延求导均基于这个新场，避免出现“幅值已经统一、相位仍跨参考系”的半修正状态。</w:t>
      </w:r>
    </w:p>
    <w:p w14:paraId="51D11FF3">
      <w:pPr>
        <w:spacing w:before="80" w:after="40"/>
        <w:ind w:firstLine="0"/>
        <w:jc w:val="center"/>
      </w:pPr>
      <w:r>
        <w:drawing>
          <wp:inline distT="0" distB="0" distL="114300" distR="114300">
            <wp:extent cx="2880360" cy="2000885"/>
            <wp:effectExtent l="0" t="0" r="15240" b="18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2880360" cy="2001186"/>
                    </a:xfrm>
                    <a:prstGeom prst="rect">
                      <a:avLst/>
                    </a:prstGeom>
                  </pic:spPr>
                </pic:pic>
              </a:graphicData>
            </a:graphic>
          </wp:inline>
        </w:drawing>
      </w:r>
    </w:p>
    <w:p w14:paraId="04AC885B">
      <w:pPr>
        <w:spacing w:before="0" w:after="0"/>
        <w:ind w:firstLine="0"/>
        <w:jc w:val="center"/>
      </w:pPr>
      <w:r>
        <w:rPr>
          <w:rFonts w:hint="eastAsia" w:ascii="Times New Roman" w:hAnsi="Times New Roman" w:eastAsia="宋体" w:cs="Times New Roman"/>
          <w:b w:val="0"/>
          <w:i w:val="0"/>
          <w:sz w:val="18"/>
        </w:rPr>
        <w:t>图6 一维自由场参考口径的真实数据核对：（a）旧同侧参考；（b）统一左侧参考；（c）5 Hz 空间剖面；（d）H004 与 P061 坡脚邻点复数跳变量；虚线标出坡顶和坡脚</w:t>
      </w:r>
    </w:p>
    <w:p w14:paraId="52A48BB2">
      <w:pPr>
        <w:spacing w:before="0" w:after="60"/>
        <w:ind w:firstLine="0"/>
        <w:jc w:val="center"/>
      </w:pPr>
      <w:r>
        <w:rPr>
          <w:rFonts w:hint="eastAsia" w:ascii="Times New Roman" w:hAnsi="Times New Roman" w:eastAsia="Times New Roman" w:cs="Times New Roman"/>
          <w:b w:val="0"/>
          <w:i w:val="0"/>
          <w:sz w:val="18"/>
        </w:rPr>
        <w:t>Fig. 6 Data-based correction from the same-side one-dimensional reference to a single left-side reference</w:t>
      </w:r>
    </w:p>
    <w:p w14:paraId="4C28F444">
      <w:pPr>
        <w:spacing w:before="0" w:after="0"/>
        <w:ind w:firstLine="420"/>
        <w:jc w:val="both"/>
      </w:pPr>
      <w:r>
        <w:rPr>
          <w:rFonts w:hint="eastAsia" w:ascii="Times New Roman" w:hAnsi="Times New Roman" w:eastAsia="宋体" w:cs="Times New Roman"/>
          <w:b w:val="0"/>
          <w:i w:val="0"/>
          <w:sz w:val="21"/>
        </w:rPr>
        <w:t>统一分母不意味着下平台数值应与旧图保持不变。以 P061 的 5 Hz、</w:t>
      </w:r>
      <m:oMath>
        <m:r>
          <m:rPr/>
          <m:t>s</m:t>
        </m:r>
        <m:r>
          <m:rPr>
            <m:sty m:val="p"/>
          </m:rPr>
          <m:t>=</m:t>
        </m:r>
        <m:r>
          <m:rPr/>
          <m:t>2</m:t>
        </m:r>
      </m:oMath>
      <w:r>
        <w:rPr>
          <w:rFonts w:hint="eastAsia" w:ascii="Times New Roman" w:hAnsi="Times New Roman" w:eastAsia="宋体" w:cs="Times New Roman"/>
          <w:b w:val="0"/>
          <w:i w:val="0"/>
          <w:sz w:val="21"/>
        </w:rPr>
        <w:t xml:space="preserve"> 为例，幅值由旧口径的 1.257 重标定为 1.496，变化 19.0%，这是用统一基准重新回答问题的必然结果。也不能因为修正后坡脚邻点差异仍有 4.7%～8.6%，就继续对数据做平滑：坡脚是地表方向和边界条件发生变化的位置，二维散射会产生随频率变化的连续陡梯度。区分二者的要点不在于“坡脚能否有变化”，而在于该变化是否与分母切换严格同位、是否表现为贯穿全频带的整齐断面，以及统一分母后是否显著减弱。图6显示修正后的剩余梯度具有明显频率依赖，因而作为物理响应保留。</w:t>
      </w:r>
    </w:p>
    <w:p w14:paraId="4BDA1A00">
      <w:pPr>
        <w:spacing w:before="0" w:after="0"/>
        <w:ind w:firstLine="420"/>
        <w:jc w:val="both"/>
      </w:pPr>
      <w:r>
        <w:rPr>
          <w:rFonts w:hint="eastAsia" w:ascii="Times New Roman" w:hAnsi="Times New Roman" w:eastAsia="宋体" w:cs="Times New Roman"/>
          <w:b w:val="0"/>
          <w:i w:val="0"/>
          <w:sz w:val="21"/>
        </w:rPr>
        <w:t>图6(d)还说明，判断伪影不能只看某一个频率的剖面。旧口径下 H004 和 P061 的坡脚邻点复数跳变量中位数分别为 25.9% 和 71.0%，90%分位数分别达到 46.8% 和 99.9%，表明大部分频率都在同一空间位置发生显著改变；统一分母后，中位数分别降至原值的 18.1% 和 12.1%，90%分位数也分别降至原值的 20.5% 和 13.5%。这种跨分位数的同步下降，比“某条曲线看起来更平滑”更有力地支持参考切换是原规则分界的主要来源。与此同时，新口径曲线并未被压到零，说明统一参考显著削弱了与分母切换同步的非物理分量，同时保留了坡脚处仍可能由几何散射形成的响应梯度。</w:t>
      </w:r>
    </w:p>
    <w:p w14:paraId="3F15FCDA">
      <w:pPr>
        <w:spacing w:before="0" w:after="0"/>
        <w:ind w:firstLine="420"/>
        <w:jc w:val="both"/>
      </w:pPr>
      <w:r>
        <w:rPr>
          <w:rFonts w:hint="eastAsia" w:ascii="Times New Roman" w:hAnsi="Times New Roman" w:eastAsia="宋体" w:cs="Times New Roman"/>
          <w:b w:val="0"/>
          <w:i w:val="0"/>
          <w:sz w:val="21"/>
        </w:rPr>
        <w:t>图6(d)使用的是复数对称相对跳变量：先求坡脚左邻点与坡脚点复数之差的模，再用两点幅值之和归一化。它同时感受幅值差和相位差，又不会因为任选左点或右点作分母而造成不对称。若两点只有幅值略有变化但相位连续，该指标保持较小；若幅值接近而相位突然换支，它仍会显著增大。因此，25.9%和71.0%的旧值不能解释为单纯的“坡脚幅值台阶”，而是旧参考切换对完整复数关系的综合破坏。统一后H004与P061仍分别有4.7%和8.6%，成层坡约为均质坡的1.83倍，这一差别与P061更复杂的散射和干涉结构相符。</w:t>
      </w:r>
    </w:p>
    <w:p w14:paraId="1AD7187B">
      <w:pPr>
        <w:spacing w:before="0" w:after="0"/>
        <w:ind w:firstLine="420"/>
        <w:jc w:val="both"/>
      </w:pPr>
      <w:r>
        <w:rPr>
          <w:rFonts w:hint="eastAsia" w:ascii="Times New Roman" w:hAnsi="Times New Roman" w:eastAsia="宋体" w:cs="Times New Roman"/>
          <w:b w:val="0"/>
          <w:i w:val="0"/>
          <w:sz w:val="21"/>
        </w:rPr>
        <w:t>残余变化是否物理可信，还要看它在频率和空间上的形态。参考切换产生的系数作用于整个下平台，所以边界位置严格锁定在</w:t>
      </w:r>
      <m:oMath>
        <m:r>
          <m:rPr/>
          <m:t>s</m:t>
        </m:r>
        <m:r>
          <m:rPr>
            <m:sty m:val="p"/>
          </m:rPr>
          <m:t>=</m:t>
        </m:r>
        <m:r>
          <m:rPr/>
          <m:t>1</m:t>
        </m:r>
      </m:oMath>
      <w:r>
        <w:rPr>
          <w:rFonts w:hint="eastAsia" w:ascii="Times New Roman" w:hAnsi="Times New Roman" w:eastAsia="宋体" w:cs="Times New Roman"/>
          <w:b w:val="0"/>
          <w:i w:val="0"/>
          <w:sz w:val="21"/>
        </w:rPr>
        <w:t>，并在较宽频带内呈现同方向的整段重标定；真实坡脚散射则会随波长、覆盖层特征尺度和相位关系改变，在某些频率增强、另一些频率减弱，并与邻近若干空间点共同形成弯曲条带。图6修正后保留的正是后一类结构。此时继续强求坡脚两点完全相等，等于把几何折点处本应存在的响应梯度当作噪声，会降低而不是提高结果的物理可信度。</w:t>
      </w:r>
    </w:p>
    <w:p w14:paraId="6D2DD553">
      <w:pPr>
        <w:spacing w:before="0" w:after="0"/>
        <w:ind w:firstLine="420"/>
        <w:jc w:val="both"/>
      </w:pPr>
      <w:r>
        <w:rPr>
          <w:rFonts w:hint="eastAsia" w:ascii="Times New Roman" w:hAnsi="Times New Roman" w:eastAsia="宋体" w:cs="Times New Roman"/>
          <w:b w:val="0"/>
          <w:i w:val="0"/>
          <w:sz w:val="21"/>
        </w:rPr>
        <w:t>5 Hz剖面提供了对这种“整体重标定而非局部补缝”的直观核对。P061在</w:t>
      </w:r>
      <m:oMath>
        <m:r>
          <m:rPr/>
          <m:t>s</m:t>
        </m:r>
        <m:r>
          <m:rPr>
            <m:sty m:val="p"/>
          </m:rPr>
          <m:t>=</m:t>
        </m:r>
        <m:r>
          <m:rPr/>
          <m:t>2</m:t>
        </m:r>
      </m:oMath>
      <w:r>
        <w:rPr>
          <w:rFonts w:hint="eastAsia" w:ascii="Times New Roman" w:hAnsi="Times New Roman" w:eastAsia="宋体" w:cs="Times New Roman"/>
          <w:b w:val="0"/>
          <w:i w:val="0"/>
          <w:sz w:val="21"/>
        </w:rPr>
        <w:t>处由1.257变为1.496，增加0.239，旧值与新值之比约为0.840；同一频率下，下平台其他位置也按同一复数参考关系变化，而上平台和坡面没有被人为拉向下平台。若修正方法是在</w:t>
      </w:r>
      <m:oMath>
        <m:r>
          <m:rPr/>
          <m:t>s</m:t>
        </m:r>
        <m:r>
          <m:rPr>
            <m:sty m:val="p"/>
          </m:rPr>
          <m:t>=</m:t>
        </m:r>
        <m:r>
          <m:rPr/>
          <m:t>1</m:t>
        </m:r>
      </m:oMath>
      <w:r>
        <w:rPr>
          <w:rFonts w:hint="eastAsia" w:ascii="Times New Roman" w:hAnsi="Times New Roman" w:eastAsia="宋体" w:cs="Times New Roman"/>
          <w:b w:val="0"/>
          <w:i w:val="0"/>
          <w:sz w:val="21"/>
        </w:rPr>
        <w:t>附近插值，只会改变少数邻点，不可能同时解释下平台整段的幅相变化。因而，图6既验证了分界来源，也明确了修正范围：需要重算的是后处理得到的复频响及其派生指标，不是已经完成的二维绝对响应。</w:t>
      </w:r>
    </w:p>
    <w:p w14:paraId="214204F0">
      <w:pPr>
        <w:spacing w:before="0" w:after="0"/>
        <w:ind w:firstLine="420"/>
        <w:jc w:val="both"/>
      </w:pPr>
      <w:r>
        <w:rPr>
          <w:rFonts w:hint="eastAsia" w:ascii="Times New Roman" w:hAnsi="Times New Roman" w:eastAsia="宋体" w:cs="Times New Roman"/>
          <w:b w:val="0"/>
          <w:i w:val="0"/>
          <w:sz w:val="21"/>
        </w:rPr>
        <w:t>后续全场图与分区统计均从这一复数场定义出发。若全场热图和分区指标使用不同参考，区段差异会同时混入物理响应与标尺变化，参数效应也会随参考选择而改变。统一左侧参考后，图7—图17中同一颜色和数值具有一致含义；坡脚附近仍可保留由地表折角、材料界面和二维散射形成的真实梯度。</w:t>
      </w:r>
    </w:p>
    <w:p w14:paraId="347ABD6C">
      <w:pPr>
        <w:spacing w:before="0" w:after="0"/>
        <w:ind w:firstLine="420"/>
        <w:jc w:val="both"/>
      </w:pPr>
      <w:r>
        <w:rPr>
          <w:rFonts w:hint="eastAsia" w:ascii="Times New Roman" w:hAnsi="Times New Roman" w:eastAsia="宋体" w:cs="Times New Roman"/>
          <w:b w:val="0"/>
          <w:i w:val="0"/>
          <w:sz w:val="21"/>
        </w:rPr>
        <w:t>复频响的幅值和频率展开相位定义为</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452ED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44C621B0">
            <w:pPr>
              <w:spacing w:before="60" w:after="60"/>
              <w:jc w:val="center"/>
            </w:pPr>
            <m:oMathPara>
              <m:oMath>
                <m:sSub>
                  <m:sSubPr/>
                  <m:e>
                    <m:r>
                      <m:rPr/>
                      <m:t>A</m:t>
                    </m:r>
                  </m:e>
                  <m:sub>
                    <m:r>
                      <m:rPr/>
                      <m:t>h</m:t>
                    </m:r>
                  </m:sub>
                </m:sSub>
                <m:r>
                  <m:rPr>
                    <m:sty m:val="p"/>
                  </m:rPr>
                  <m:t>(</m:t>
                </m:r>
                <m:r>
                  <m:rPr/>
                  <m:t>f</m:t>
                </m:r>
                <m:r>
                  <m:rPr>
                    <m:sty m:val="p"/>
                  </m:rPr>
                  <m:t>,</m:t>
                </m:r>
                <m:r>
                  <m:rPr/>
                  <m:t>s</m:t>
                </m:r>
                <m:r>
                  <m:rPr>
                    <m:sty m:val="p"/>
                  </m:rPr>
                  <m:t>)=|</m:t>
                </m:r>
                <m:sSub>
                  <m:sSubPr/>
                  <m:e>
                    <m:r>
                      <m:rPr/>
                      <m:t>G</m:t>
                    </m:r>
                  </m:e>
                  <m:sub>
                    <m:r>
                      <m:rPr/>
                      <m:t>h</m:t>
                    </m:r>
                  </m:sub>
                </m:sSub>
                <m:r>
                  <m:rPr>
                    <m:sty m:val="p"/>
                  </m:rPr>
                  <m:t>(</m:t>
                </m:r>
                <m:r>
                  <m:rPr/>
                  <m:t>f</m:t>
                </m:r>
                <m:r>
                  <m:rPr>
                    <m:sty m:val="p"/>
                  </m:rPr>
                  <m:t>,</m:t>
                </m:r>
                <m:r>
                  <m:rPr/>
                  <m:t>s</m:t>
                </m:r>
                <m:r>
                  <m:rPr>
                    <m:sty m:val="p"/>
                  </m:rPr>
                  <m:t>)|,</m:t>
                </m:r>
                <m:r>
                  <m:rPr/>
                  <m:t>  </m:t>
                </m:r>
                <m:sSub>
                  <m:sSubPr/>
                  <m:e>
                    <m:r>
                      <m:rPr>
                        <m:sty m:val="p"/>
                      </m:rPr>
                      <m:t>Φ</m:t>
                    </m:r>
                  </m:e>
                  <m:sub>
                    <m:r>
                      <m:rPr/>
                      <m:t>h</m:t>
                    </m:r>
                  </m:sub>
                </m:sSub>
                <m:r>
                  <m:rPr>
                    <m:sty m:val="p"/>
                  </m:rPr>
                  <m:t>(</m:t>
                </m:r>
                <m:r>
                  <m:rPr/>
                  <m:t>f</m:t>
                </m:r>
                <m:r>
                  <m:rPr>
                    <m:sty m:val="p"/>
                  </m:rPr>
                  <m:t>,</m:t>
                </m:r>
                <m:r>
                  <m:rPr/>
                  <m:t>s</m:t>
                </m:r>
                <m:r>
                  <m:rPr>
                    <m:sty m:val="p"/>
                  </m:rPr>
                  <m:t>)=</m:t>
                </m:r>
                <m:sSub>
                  <m:sSubPr/>
                  <m:e>
                    <m:r>
                      <m:rPr>
                        <m:sty m:val="p"/>
                      </m:rPr>
                      <m:t>unwrap</m:t>
                    </m:r>
                  </m:e>
                  <m:sub>
                    <m:r>
                      <m:rPr/>
                      <m:t>f</m:t>
                    </m:r>
                  </m:sub>
                </m:sSub>
                <m:r>
                  <m:rPr/>
                  <m:t>​</m:t>
                </m:r>
                <m:d>
                  <m:dPr>
                    <m:begChr m:val="["/>
                    <m:sepChr m:val=""/>
                    <m:endChr m:val="]"/>
                  </m:dPr>
                  <m:e>
                    <m:r>
                      <m:rPr>
                        <m:sty m:val="p"/>
                      </m:rPr>
                      <m:t>arg</m:t>
                    </m:r>
                    <m:sSub>
                      <m:sSubPr/>
                      <m:e>
                        <m:r>
                          <m:rPr/>
                          <m:t>G</m:t>
                        </m:r>
                      </m:e>
                      <m:sub>
                        <m:r>
                          <m:rPr/>
                          <m:t>h</m:t>
                        </m:r>
                      </m:sub>
                    </m:sSub>
                    <m:r>
                      <m:rPr>
                        <m:sty m:val="p"/>
                      </m:rPr>
                      <m:t>(</m:t>
                    </m:r>
                    <m:r>
                      <m:rPr/>
                      <m:t>f</m:t>
                    </m:r>
                    <m:r>
                      <m:rPr>
                        <m:sty m:val="p"/>
                      </m:rPr>
                      <m:t>,</m:t>
                    </m:r>
                    <m:r>
                      <m:rPr/>
                      <m:t>s</m:t>
                    </m:r>
                    <m:r>
                      <m:rPr>
                        <m:sty m:val="p"/>
                      </m:rPr>
                      <m:t>)</m:t>
                    </m:r>
                  </m:e>
                </m:d>
                <m:r>
                  <m:rPr>
                    <m:sty m:val="p"/>
                  </m:rPr>
                  <m:t>.</m:t>
                </m:r>
              </m:oMath>
            </m:oMathPara>
          </w:p>
        </w:tc>
        <w:tc>
          <w:tcPr>
            <w:tcW w:w="4819" w:type="dxa"/>
          </w:tcPr>
          <w:p w14:paraId="6D887C05">
            <w:pPr>
              <w:spacing w:before="60" w:after="60"/>
              <w:jc w:val="right"/>
            </w:pPr>
            <w:r>
              <w:rPr>
                <w:rFonts w:hint="eastAsia" w:ascii="Times New Roman" w:hAnsi="Times New Roman" w:eastAsia="Times New Roman" w:cs="Times New Roman"/>
                <w:b w:val="0"/>
                <w:i w:val="0"/>
                <w:sz w:val="21"/>
              </w:rPr>
              <w:t>(14)</w:t>
            </w:r>
          </w:p>
        </w:tc>
      </w:tr>
    </w:tbl>
    <w:p w14:paraId="1F4E17B1">
      <w:pPr>
        <w:spacing w:before="0" w:after="0"/>
        <w:ind w:firstLine="420"/>
        <w:jc w:val="both"/>
      </w:pPr>
      <m:oMath>
        <m:sSub>
          <m:sSubPr/>
          <m:e>
            <m:r>
              <m:rPr/>
              <m:t>A</m:t>
            </m:r>
          </m:e>
          <m:sub>
            <m:r>
              <m:rPr/>
              <m:t>h</m:t>
            </m:r>
          </m:sub>
        </m:sSub>
        <m:r>
          <m:rPr>
            <m:sty m:val="p"/>
          </m:rPr>
          <m:t>&gt;</m:t>
        </m:r>
        <m:r>
          <m:rPr/>
          <m:t>1</m:t>
        </m:r>
      </m:oMath>
      <w:r>
        <w:rPr>
          <w:rFonts w:hint="eastAsia" w:ascii="Times New Roman" w:hAnsi="Times New Roman" w:eastAsia="宋体" w:cs="Times New Roman"/>
          <w:b w:val="0"/>
          <w:i w:val="0"/>
          <w:sz w:val="21"/>
        </w:rPr>
        <w:t xml:space="preserve"> 表示二维响应相对左侧一维自由场放大，</w:t>
      </w:r>
      <m:oMath>
        <m:sSub>
          <m:sSubPr/>
          <m:e>
            <m:r>
              <m:rPr/>
              <m:t>A</m:t>
            </m:r>
          </m:e>
          <m:sub>
            <m:r>
              <m:rPr/>
              <m:t>h</m:t>
            </m:r>
          </m:sub>
        </m:sSub>
        <m:r>
          <m:rPr>
            <m:sty m:val="p"/>
          </m:rPr>
          <m:t>&lt;</m:t>
        </m:r>
        <m:r>
          <m:rPr/>
          <m:t>1</m:t>
        </m:r>
      </m:oMath>
      <w:r>
        <w:rPr>
          <w:rFonts w:hint="eastAsia" w:ascii="Times New Roman" w:hAnsi="Times New Roman" w:eastAsia="宋体" w:cs="Times New Roman"/>
          <w:b w:val="0"/>
          <w:i w:val="0"/>
          <w:sz w:val="21"/>
        </w:rPr>
        <w:t xml:space="preserve"> 表示相对削弱。相位不是另一个“放大系数”，而是二维响应相对于参考场的频率相关超前或迟滞。P061 坡顶相位在 0.5～10 Hz 内由约 </w:t>
      </w:r>
      <m:oMath>
        <m:r>
          <m:rPr>
            <m:sty m:val="p"/>
          </m:rPr>
          <m:t>−</m:t>
        </m:r>
        <m:sSup>
          <m:sSupPr/>
          <m:e>
            <m:r>
              <m:rPr/>
              <m:t>5</m:t>
            </m:r>
          </m:e>
          <m:sup>
            <m:r>
              <m:rPr>
                <m:sty m:val="p"/>
              </m:rPr>
              <m:t>∘</m:t>
            </m:r>
          </m:sup>
        </m:sSup>
      </m:oMath>
      <w:r>
        <w:rPr>
          <w:rFonts w:hint="eastAsia" w:ascii="Times New Roman" w:hAnsi="Times New Roman" w:eastAsia="宋体" w:cs="Times New Roman"/>
          <w:b w:val="0"/>
          <w:i w:val="0"/>
          <w:sz w:val="21"/>
        </w:rPr>
        <w:t xml:space="preserve"> 演化至 </w:t>
      </w:r>
      <m:oMath>
        <m:r>
          <m:rPr>
            <m:sty m:val="p"/>
          </m:rPr>
          <m:t>−</m:t>
        </m:r>
        <m:sSup>
          <m:sSupPr/>
          <m:e>
            <m:r>
              <m:rPr/>
              <m:t>296</m:t>
            </m:r>
          </m:e>
          <m:sup>
            <m:r>
              <m:rPr>
                <m:sty m:val="p"/>
              </m:rPr>
              <m:t>∘</m:t>
            </m:r>
          </m:sup>
        </m:sSup>
      </m:oMath>
      <w:r>
        <w:rPr>
          <w:rFonts w:hint="eastAsia" w:ascii="Times New Roman" w:hAnsi="Times New Roman" w:eastAsia="宋体" w:cs="Times New Roman"/>
          <w:b w:val="0"/>
          <w:i w:val="0"/>
          <w:sz w:val="21"/>
        </w:rPr>
        <w:t xml:space="preserve">，这类跨越 </w:t>
      </w:r>
      <m:oMath>
        <m:sSup>
          <m:sSupPr/>
          <m:e>
            <m:r>
              <m:rPr/>
              <m:t>180</m:t>
            </m:r>
          </m:e>
          <m:sup>
            <m:r>
              <m:rPr>
                <m:sty m:val="p"/>
              </m:rPr>
              <m:t>∘</m:t>
            </m:r>
          </m:sup>
        </m:sSup>
      </m:oMath>
      <w:r>
        <w:rPr>
          <w:rFonts w:hint="eastAsia" w:ascii="Times New Roman" w:hAnsi="Times New Roman" w:eastAsia="宋体" w:cs="Times New Roman"/>
          <w:b w:val="0"/>
          <w:i w:val="0"/>
          <w:sz w:val="21"/>
        </w:rPr>
        <w:t xml:space="preserve"> 的连续变化若只保留卷绕相位，会在 </w:t>
      </w:r>
      <m:oMath>
        <m:r>
          <m:rPr>
            <m:sty m:val="p"/>
          </m:rPr>
          <m:t>−</m:t>
        </m:r>
        <m:sSup>
          <m:sSupPr/>
          <m:e>
            <m:r>
              <m:rPr/>
              <m:t>180</m:t>
            </m:r>
          </m:e>
          <m:sup>
            <m:r>
              <m:rPr>
                <m:sty m:val="p"/>
              </m:rPr>
              <m:t>∘</m:t>
            </m:r>
          </m:sup>
        </m:sSup>
      </m:oMath>
      <w:r>
        <w:rPr>
          <w:rFonts w:hint="eastAsia" w:ascii="Times New Roman" w:hAnsi="Times New Roman" w:eastAsia="宋体" w:cs="Times New Roman"/>
          <w:b w:val="0"/>
          <w:i w:val="0"/>
          <w:sz w:val="21"/>
        </w:rPr>
        <w:t xml:space="preserve"> 与 </w:t>
      </w:r>
      <m:oMath>
        <m:sSup>
          <m:sSupPr/>
          <m:e>
            <m:r>
              <m:rPr/>
              <m:t>180</m:t>
            </m:r>
          </m:e>
          <m:sup>
            <m:r>
              <m:rPr>
                <m:sty m:val="p"/>
              </m:rPr>
              <m:t>∘</m:t>
            </m:r>
          </m:sup>
        </m:sSup>
      </m:oMath>
      <w:r>
        <w:rPr>
          <w:rFonts w:hint="eastAsia" w:ascii="Times New Roman" w:hAnsi="Times New Roman" w:eastAsia="宋体" w:cs="Times New Roman"/>
          <w:b w:val="0"/>
          <w:i w:val="0"/>
          <w:sz w:val="21"/>
        </w:rPr>
        <w:t xml:space="preserve"> 之间产生人为跳跃。因此，相位仅在每个连续有效频段内沿频率展开；跨越无效频段的两段相位不强行连接，也不直接对卷绕角作算术平均。</w:t>
      </w:r>
    </w:p>
    <w:p w14:paraId="1E8E9EAD">
      <w:pPr>
        <w:spacing w:before="0" w:after="0"/>
        <w:ind w:firstLine="420"/>
        <w:jc w:val="both"/>
      </w:pPr>
      <w:r>
        <w:rPr>
          <w:rFonts w:hint="eastAsia" w:ascii="Times New Roman" w:hAnsi="Times New Roman" w:eastAsia="宋体" w:cs="Times New Roman"/>
          <w:b w:val="0"/>
          <w:i w:val="0"/>
          <w:sz w:val="21"/>
        </w:rPr>
        <w:t xml:space="preserve">幅值场在热图中采用 </w:t>
      </w:r>
      <m:oMath>
        <m:r>
          <m:rPr>
            <m:sty m:val="p"/>
          </m:rPr>
          <m:t>ln</m:t>
        </m:r>
        <m:sSub>
          <m:sSubPr/>
          <m:e>
            <m:r>
              <m:rPr/>
              <m:t>A</m:t>
            </m:r>
          </m:e>
          <m:sub>
            <m:r>
              <m:rPr/>
              <m:t>h</m:t>
            </m:r>
          </m:sub>
        </m:sSub>
      </m:oMath>
      <w:r>
        <w:rPr>
          <w:rFonts w:hint="eastAsia" w:ascii="Times New Roman" w:hAnsi="Times New Roman" w:eastAsia="宋体" w:cs="Times New Roman"/>
          <w:b w:val="0"/>
          <w:i w:val="0"/>
          <w:sz w:val="21"/>
        </w:rPr>
        <w:t xml:space="preserve"> 表示，是为了让相对放大和相对削弱以 </w:t>
      </w:r>
      <m:oMath>
        <m:sSub>
          <m:sSubPr/>
          <m:e>
            <m:r>
              <m:rPr/>
              <m:t>A</m:t>
            </m:r>
          </m:e>
          <m:sub>
            <m:r>
              <m:rPr/>
              <m:t>h</m:t>
            </m:r>
          </m:sub>
        </m:sSub>
        <m:r>
          <m:rPr>
            <m:sty m:val="p"/>
          </m:rPr>
          <m:t>=</m:t>
        </m:r>
        <m:r>
          <m:rPr/>
          <m:t>1</m:t>
        </m:r>
      </m:oMath>
      <w:r>
        <w:rPr>
          <w:rFonts w:hint="eastAsia" w:ascii="Times New Roman" w:hAnsi="Times New Roman" w:eastAsia="宋体" w:cs="Times New Roman"/>
          <w:b w:val="0"/>
          <w:i w:val="0"/>
          <w:sz w:val="21"/>
        </w:rPr>
        <w:t xml:space="preserve"> 为共同零点展开，而不是改变复频响的定义。直接使用线性幅值时，大幅值峰会占据大部分色阶，小于 1 的削弱区容易被压缩；取对数后，互为倒数的放大与削弱在数值上大小相同、符号相反，更适合比较成层前后的相对变化。不过，正文报告的全场峰值仍使用 </w:t>
      </w:r>
      <m:oMath>
        <m:sSub>
          <m:sSubPr/>
          <m:e>
            <m:r>
              <m:rPr/>
              <m:t>A</m:t>
            </m:r>
          </m:e>
          <m:sub>
            <m:r>
              <m:rPr/>
              <m:t>h</m:t>
            </m:r>
          </m:sub>
        </m:sSub>
      </m:oMath>
      <w:r>
        <w:rPr>
          <w:rFonts w:hint="eastAsia" w:ascii="Times New Roman" w:hAnsi="Times New Roman" w:eastAsia="宋体" w:cs="Times New Roman"/>
          <w:b w:val="0"/>
          <w:i w:val="0"/>
          <w:sz w:val="21"/>
        </w:rPr>
        <w:t xml:space="preserve"> 本身，以保留直观的倍数意义。图中颜色、峰值表和公式三者分别服务于场形识别、工程量级判断和复数运算，不能混用为同一统计量。</w:t>
      </w:r>
    </w:p>
    <w:p w14:paraId="0F5DA235">
      <w:pPr>
        <w:spacing w:before="0" w:after="0"/>
        <w:ind w:firstLine="420"/>
        <w:jc w:val="both"/>
      </w:pPr>
      <w:r>
        <w:rPr>
          <w:rFonts w:hint="eastAsia" w:ascii="Times New Roman" w:hAnsi="Times New Roman" w:eastAsia="宋体" w:cs="Times New Roman"/>
          <w:b w:val="0"/>
          <w:i w:val="0"/>
          <w:sz w:val="21"/>
        </w:rPr>
        <w:t xml:space="preserve">相位展开解决的是表示分支，而不是“修正”物理相位。对一个连续频段整体加减 </w:t>
      </w:r>
      <m:oMath>
        <m:sSup>
          <m:sSupPr/>
          <m:e>
            <m:r>
              <m:rPr/>
              <m:t>360</m:t>
            </m:r>
          </m:e>
          <m:sup>
            <m:r>
              <m:rPr>
                <m:sty m:val="p"/>
              </m:rPr>
              <m:t>∘</m:t>
            </m:r>
          </m:sup>
        </m:sSup>
      </m:oMath>
      <w:r>
        <w:rPr>
          <w:rFonts w:hint="eastAsia" w:ascii="Times New Roman" w:hAnsi="Times New Roman" w:eastAsia="宋体" w:cs="Times New Roman"/>
          <w:b w:val="0"/>
          <w:i w:val="0"/>
          <w:sz w:val="21"/>
        </w:rPr>
        <w:t xml:space="preserve"> 不会改变该段内的群时延，因为常数分支的导数为零；真正会污染群时延的是在相邻频点间错误跳到另一分支，或跨越无效谱谷强行连接两段相位。因而，展开过程以频率方向为主，并以连续有效段为单位。空间比较时则关注同一频率下各位置的相对相位变化，不能把每个位置独立展开后的任意常数分支直接拼成空间梯度。本文将频率展开、空间分段和有效掩码按固定顺序执行，就是为了使图中的相位条带与式（15）的导数来自同一套连续关系。</w:t>
      </w:r>
    </w:p>
    <w:p w14:paraId="00AFC296">
      <w:pPr>
        <w:spacing w:before="0" w:after="0"/>
        <w:ind w:firstLine="420"/>
        <w:jc w:val="both"/>
      </w:pPr>
      <w:r>
        <w:rPr>
          <w:rFonts w:hint="eastAsia" w:ascii="Times New Roman" w:hAnsi="Times New Roman" w:eastAsia="宋体" w:cs="Times New Roman"/>
          <w:b w:val="0"/>
          <w:i w:val="0"/>
          <w:sz w:val="21"/>
        </w:rPr>
        <w:t>相位对角频率的负导数给出群时延，沿地表坐标的导数给出表观空间相位梯度：</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79C8F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18C275AC">
            <w:pPr>
              <w:spacing w:before="60" w:after="60"/>
              <w:jc w:val="center"/>
            </w:pPr>
            <m:oMathPara>
              <m:oMath>
                <m:sSub>
                  <m:sSubPr/>
                  <m:e>
                    <m:r>
                      <m:rPr/>
                      <m:t>τ</m:t>
                    </m:r>
                  </m:e>
                  <m:sub>
                    <m:r>
                      <m:rPr/>
                      <m:t>g</m:t>
                    </m:r>
                  </m:sub>
                </m:sSub>
                <m:r>
                  <m:rPr>
                    <m:sty m:val="p"/>
                  </m:rPr>
                  <m:t>(</m:t>
                </m:r>
                <m:r>
                  <m:rPr/>
                  <m:t>f</m:t>
                </m:r>
                <m:r>
                  <m:rPr>
                    <m:sty m:val="p"/>
                  </m:rPr>
                  <m:t>,</m:t>
                </m:r>
                <m:r>
                  <m:rPr/>
                  <m:t>s</m:t>
                </m:r>
                <m:r>
                  <m:rPr>
                    <m:sty m:val="p"/>
                  </m:rPr>
                  <m:t>)=−</m:t>
                </m:r>
                <m:f>
                  <m:fPr/>
                  <m:num>
                    <m:r>
                      <m:rPr/>
                      <m:t>1</m:t>
                    </m:r>
                  </m:num>
                  <m:den>
                    <m:r>
                      <m:rPr/>
                      <m:t>2π</m:t>
                    </m:r>
                  </m:den>
                </m:f>
                <m:f>
                  <m:fPr/>
                  <m:num>
                    <m:r>
                      <m:rPr>
                        <m:sty m:val="p"/>
                      </m:rPr>
                      <m:t>∂</m:t>
                    </m:r>
                    <m:sSub>
                      <m:sSubPr/>
                      <m:e>
                        <m:r>
                          <m:rPr>
                            <m:sty m:val="p"/>
                          </m:rPr>
                          <m:t>Φ</m:t>
                        </m:r>
                      </m:e>
                      <m:sub>
                        <m:r>
                          <m:rPr/>
                          <m:t>h</m:t>
                        </m:r>
                      </m:sub>
                    </m:sSub>
                  </m:num>
                  <m:den>
                    <m:r>
                      <m:rPr>
                        <m:sty m:val="p"/>
                      </m:rPr>
                      <m:t>∂</m:t>
                    </m:r>
                    <m:r>
                      <m:rPr/>
                      <m:t>f</m:t>
                    </m:r>
                  </m:den>
                </m:f>
                <m:r>
                  <m:rPr>
                    <m:sty m:val="p"/>
                  </m:rPr>
                  <m:t>,</m:t>
                </m:r>
                <m:r>
                  <m:rPr/>
                  <m:t>  </m:t>
                </m:r>
                <m:sSub>
                  <m:sSubPr/>
                  <m:e>
                    <m:r>
                      <m:rPr/>
                      <m:t>k</m:t>
                    </m:r>
                  </m:e>
                  <m:sub>
                    <m:r>
                      <m:rPr>
                        <m:sty m:val="p"/>
                      </m:rPr>
                      <m:t>app</m:t>
                    </m:r>
                  </m:sub>
                </m:sSub>
                <m:r>
                  <m:rPr>
                    <m:sty m:val="p"/>
                  </m:rPr>
                  <m:t>(</m:t>
                </m:r>
                <m:r>
                  <m:rPr/>
                  <m:t>f</m:t>
                </m:r>
                <m:r>
                  <m:rPr>
                    <m:sty m:val="p"/>
                  </m:rPr>
                  <m:t>,</m:t>
                </m:r>
                <m:r>
                  <m:rPr/>
                  <m:t>s</m:t>
                </m:r>
                <m:r>
                  <m:rPr>
                    <m:sty m:val="p"/>
                  </m:rPr>
                  <m:t>)=</m:t>
                </m:r>
                <m:f>
                  <m:fPr/>
                  <m:num>
                    <m:r>
                      <m:rPr>
                        <m:sty m:val="p"/>
                      </m:rPr>
                      <m:t>∂</m:t>
                    </m:r>
                    <m:sSub>
                      <m:sSubPr/>
                      <m:e>
                        <m:r>
                          <m:rPr>
                            <m:sty m:val="p"/>
                          </m:rPr>
                          <m:t>Φ</m:t>
                        </m:r>
                      </m:e>
                      <m:sub>
                        <m:r>
                          <m:rPr/>
                          <m:t>h</m:t>
                        </m:r>
                      </m:sub>
                    </m:sSub>
                  </m:num>
                  <m:den>
                    <m:r>
                      <m:rPr>
                        <m:sty m:val="p"/>
                      </m:rPr>
                      <m:t>∂</m:t>
                    </m:r>
                    <m:r>
                      <m:rPr/>
                      <m:t>s</m:t>
                    </m:r>
                  </m:den>
                </m:f>
                <m:r>
                  <m:rPr>
                    <m:sty m:val="p"/>
                  </m:rPr>
                  <m:t>.</m:t>
                </m:r>
              </m:oMath>
            </m:oMathPara>
          </w:p>
        </w:tc>
        <w:tc>
          <w:tcPr>
            <w:tcW w:w="4819" w:type="dxa"/>
          </w:tcPr>
          <w:p w14:paraId="6FE2C00D">
            <w:pPr>
              <w:spacing w:before="60" w:after="60"/>
              <w:jc w:val="right"/>
            </w:pPr>
            <w:r>
              <w:rPr>
                <w:rFonts w:hint="eastAsia" w:ascii="Times New Roman" w:hAnsi="Times New Roman" w:eastAsia="Times New Roman" w:cs="Times New Roman"/>
                <w:b w:val="0"/>
                <w:i w:val="0"/>
                <w:sz w:val="21"/>
              </w:rPr>
              <w:t>(15)</w:t>
            </w:r>
          </w:p>
        </w:tc>
      </w:tr>
    </w:tbl>
    <w:p w14:paraId="5C815761">
      <w:pPr>
        <w:spacing w:before="0" w:after="0"/>
        <w:ind w:firstLine="420"/>
        <w:jc w:val="both"/>
      </w:pPr>
      <w:r>
        <w:rPr>
          <w:rFonts w:hint="eastAsia" w:ascii="Times New Roman" w:hAnsi="Times New Roman" w:eastAsia="宋体" w:cs="Times New Roman"/>
          <w:b w:val="0"/>
          <w:i w:val="0"/>
          <w:sz w:val="21"/>
        </w:rPr>
        <w:t xml:space="preserve">式（15）求导时 </w:t>
      </w:r>
      <m:oMath>
        <m:sSub>
          <m:sSubPr/>
          <m:e>
            <m:r>
              <m:rPr>
                <m:sty m:val="p"/>
              </m:rPr>
              <m:t>Φ</m:t>
            </m:r>
          </m:e>
          <m:sub>
            <m:r>
              <m:rPr/>
              <m:t>h</m:t>
            </m:r>
          </m:sub>
        </m:sSub>
      </m:oMath>
      <w:r>
        <w:rPr>
          <w:rFonts w:hint="eastAsia" w:ascii="Times New Roman" w:hAnsi="Times New Roman" w:eastAsia="宋体" w:cs="Times New Roman"/>
          <w:b w:val="0"/>
          <w:i w:val="0"/>
          <w:sz w:val="21"/>
        </w:rPr>
        <w:t xml:space="preserve"> 以弧度表示，图中相位和相位RMSE再换算为度。群时延反映窄频带包络相对于左侧一维参考的到时变化，其正负不能简单解释为波的绝对传播时间；负值可能来自干涉结构和参考场相位，并不意味着违反因果性。表观空间相位梯度用于识别相位沿平台、坡面和下平台变化的快慢。由于地表几何在 </w:t>
      </w:r>
      <m:oMath>
        <m:r>
          <m:rPr/>
          <m:t>s</m:t>
        </m:r>
        <m:r>
          <m:rPr>
            <m:sty m:val="p"/>
          </m:rPr>
          <m:t>=</m:t>
        </m:r>
        <m:r>
          <m:rPr/>
          <m:t>0</m:t>
        </m:r>
      </m:oMath>
      <w:r>
        <w:rPr>
          <w:rFonts w:hint="eastAsia" w:ascii="Times New Roman" w:hAnsi="Times New Roman" w:eastAsia="宋体" w:cs="Times New Roman"/>
          <w:b w:val="0"/>
          <w:i w:val="0"/>
          <w:sz w:val="21"/>
        </w:rPr>
        <w:t xml:space="preserve"> 和 </w:t>
      </w:r>
      <m:oMath>
        <m:r>
          <m:rPr/>
          <m:t>s</m:t>
        </m:r>
        <m:r>
          <m:rPr>
            <m:sty m:val="p"/>
          </m:rPr>
          <m:t>=</m:t>
        </m:r>
        <m:r>
          <m:rPr/>
          <m:t>1</m:t>
        </m:r>
      </m:oMath>
      <w:r>
        <w:rPr>
          <w:rFonts w:hint="eastAsia" w:ascii="Times New Roman" w:hAnsi="Times New Roman" w:eastAsia="宋体" w:cs="Times New Roman"/>
          <w:b w:val="0"/>
          <w:i w:val="0"/>
          <w:sz w:val="21"/>
        </w:rPr>
        <w:t xml:space="preserve"> 处改变，空间展开和求导分别在 A、B、C 三段内进行，不跨区段用一个差分模板。第3章物理统计对每段连续有效相位采用9点、二阶Savitzky–Golay滤波；连续区间不足9点时取不超过区间长度的最大奇数窗，少于5点则不平滑，边界采用多项式外插模式。随后计算数值梯度，连续区间首、末点不纳入统计，以避免边缘导数放大噪声。</w:t>
      </w:r>
    </w:p>
    <w:p w14:paraId="0CC11403">
      <w:pPr>
        <w:spacing w:before="0" w:after="0"/>
        <w:ind w:firstLine="420"/>
        <w:jc w:val="both"/>
      </w:pPr>
      <w:r>
        <w:rPr>
          <w:rFonts w:hint="eastAsia" w:ascii="Times New Roman" w:hAnsi="Times New Roman" w:eastAsia="宋体" w:cs="Times New Roman"/>
          <w:b w:val="0"/>
          <w:i w:val="0"/>
          <w:sz w:val="21"/>
        </w:rPr>
        <w:t>群时延之所以比相位本身更敏感，是因为它刻画相位曲线的局部斜率，而不是累计转角。两条曲线即使在某个频率具有相同相位，只要邻域内斜率不同，其窄频带包络相对到时仍会不同；反之，一条相位曲线可以累计跨越数百度，但若变化平缓，群时延并不一定很大。短窗二次多项式平滑用于抑制逐频微小摆动被微分放大，而非抹去跨越若干频点的稳定条带。本文因此用群时延的分位范围比较整体复杂程度，对孤立极值保持谨慎，并将其与幅值谱谷、相位转折和频带边界共同核对。第4章代理误差评价采用5点滑动平均，因此两章导数型指标分别在各自固定算子下比较，不将其绝对值交叉混用。</w:t>
      </w:r>
    </w:p>
    <w:p w14:paraId="70D75BFE">
      <w:pPr>
        <w:spacing w:before="0" w:after="0"/>
        <w:ind w:firstLine="420"/>
        <w:jc w:val="both"/>
      </w:pPr>
      <w:r>
        <w:rPr>
          <w:rFonts w:hint="eastAsia" w:ascii="Times New Roman" w:hAnsi="Times New Roman" w:eastAsia="宋体" w:cs="Times New Roman"/>
          <w:b w:val="0"/>
          <w:i w:val="0"/>
          <w:sz w:val="21"/>
        </w:rPr>
        <w:t xml:space="preserve">空间分区同样不是排版上的方便。上平台 A 段、坡面 B 段和下平台 C 段具有不同的地表切向方向与散射环境；在 </w:t>
      </w:r>
      <m:oMath>
        <m:r>
          <m:rPr/>
          <m:t>s</m:t>
        </m:r>
        <m:r>
          <m:rPr>
            <m:sty m:val="p"/>
          </m:rPr>
          <m:t>=</m:t>
        </m:r>
        <m:r>
          <m:rPr/>
          <m:t>0</m:t>
        </m:r>
      </m:oMath>
      <w:r>
        <w:rPr>
          <w:rFonts w:hint="eastAsia" w:ascii="Times New Roman" w:hAnsi="Times New Roman" w:eastAsia="宋体" w:cs="Times New Roman"/>
          <w:b w:val="0"/>
          <w:i w:val="0"/>
          <w:sz w:val="21"/>
        </w:rPr>
        <w:t xml:space="preserve"> 和 </w:t>
      </w:r>
      <m:oMath>
        <m:r>
          <m:rPr/>
          <m:t>s</m:t>
        </m:r>
        <m:r>
          <m:rPr>
            <m:sty m:val="p"/>
          </m:rPr>
          <m:t>=</m:t>
        </m:r>
        <m:r>
          <m:rPr/>
          <m:t>1</m:t>
        </m:r>
      </m:oMath>
      <w:r>
        <w:rPr>
          <w:rFonts w:hint="eastAsia" w:ascii="Times New Roman" w:hAnsi="Times New Roman" w:eastAsia="宋体" w:cs="Times New Roman"/>
          <w:b w:val="0"/>
          <w:i w:val="0"/>
          <w:sz w:val="21"/>
        </w:rPr>
        <w:t xml:space="preserve"> 处跨段差分，会把坐标方向变化和局部响应变化混在一个导数里。特别是坡面仅占 </w:t>
      </w:r>
      <m:oMath>
        <m:r>
          <m:rPr/>
          <m:t>0</m:t>
        </m:r>
        <m:r>
          <m:rPr>
            <m:sty m:val="p"/>
          </m:rPr>
          <m:t>&lt;</m:t>
        </m:r>
        <m:r>
          <m:rPr/>
          <m:t>s</m:t>
        </m:r>
        <m:r>
          <m:rPr>
            <m:sty m:val="p"/>
          </m:rPr>
          <m:t>&lt;</m:t>
        </m:r>
        <m:r>
          <m:rPr/>
          <m:t>1</m:t>
        </m:r>
      </m:oMath>
      <w:r>
        <w:rPr>
          <w:rFonts w:hint="eastAsia" w:ascii="Times New Roman" w:hAnsi="Times New Roman" w:eastAsia="宋体" w:cs="Times New Roman"/>
          <w:b w:val="0"/>
          <w:i w:val="0"/>
          <w:sz w:val="21"/>
        </w:rPr>
        <w:t xml:space="preserve"> 的有限弧长，若直接用全地表统计，其高梯度可能被两侧长平台的大量网格点稀释。分段计算后，空间相位梯度回答的是“各几何区段内部相位怎样变化”，全场热图则保留区段之间的整体关系。两者配合，既不会把坡顶、坡脚的物理转折误当作数值异常，也不会因平台点数较多而掩盖坡面局部效应。</w:t>
      </w:r>
    </w:p>
    <w:p w14:paraId="7E1A5276">
      <w:pPr>
        <w:spacing w:before="0" w:after="0"/>
        <w:ind w:firstLine="420"/>
        <w:jc w:val="both"/>
      </w:pPr>
      <w:r>
        <w:rPr>
          <w:rFonts w:hint="eastAsia" w:ascii="Times New Roman" w:hAnsi="Times New Roman" w:eastAsia="宋体" w:cs="Times New Roman"/>
          <w:b w:val="0"/>
          <w:i w:val="0"/>
          <w:sz w:val="21"/>
        </w:rPr>
        <w:t xml:space="preserve">全部工况被重采样到相同的 96×161 网格，频率为 0.5～10.0 Hz、间隔 0.1 Hz，空间坐标为 </w:t>
      </w:r>
      <m:oMath>
        <m:r>
          <m:rPr>
            <m:sty m:val="p"/>
          </m:rPr>
          <m:t>−</m:t>
        </m:r>
        <m:r>
          <m:rPr/>
          <m:t>4.00</m:t>
        </m:r>
      </m:oMath>
      <w:r>
        <w:rPr>
          <w:rFonts w:hint="eastAsia" w:ascii="Times New Roman" w:hAnsi="Times New Roman" w:eastAsia="宋体" w:cs="Times New Roman"/>
          <w:b w:val="0"/>
          <w:i w:val="0"/>
          <w:sz w:val="21"/>
        </w:rPr>
        <w:t>～4.00、间隔 0.05。一个 96×161 复数场对应一个物理工况；频率点和地表点用于描述场内结构，不被当作 15 456 个彼此独立的样本。后文使用的主要指标列于表7。全场峰值能够显示最强响应，却容易被频带上界或空间端点控制，因此同时报告峰值频率、峰值位置、分区峰值和频带统计。位于 10 Hz 的峰统一标为“</w:t>
      </w:r>
      <m:oMath>
        <m:r>
          <m:rPr>
            <m:sty m:val="p"/>
          </m:rPr>
          <m:t>≥</m:t>
        </m:r>
        <m:r>
          <m:rPr/>
          <m:t>10</m:t>
        </m:r>
      </m:oMath>
      <w:r>
        <w:rPr>
          <w:rFonts w:hint="eastAsia" w:ascii="Times New Roman" w:hAnsi="Times New Roman" w:eastAsia="宋体" w:cs="Times New Roman"/>
          <w:b w:val="0"/>
          <w:i w:val="0"/>
          <w:sz w:val="21"/>
        </w:rPr>
        <w:t xml:space="preserve"> Hz”，位于 </w:t>
      </w:r>
      <m:oMath>
        <m:r>
          <m:rPr/>
          <m:t>s</m:t>
        </m:r>
        <m:r>
          <m:rPr>
            <m:sty m:val="p"/>
          </m:rPr>
          <m:t>=−</m:t>
        </m:r>
        <m:r>
          <m:rPr/>
          <m:t>4</m:t>
        </m:r>
      </m:oMath>
      <w:r>
        <w:rPr>
          <w:rFonts w:hint="eastAsia" w:ascii="Times New Roman" w:hAnsi="Times New Roman" w:eastAsia="宋体" w:cs="Times New Roman"/>
          <w:b w:val="0"/>
          <w:i w:val="0"/>
          <w:sz w:val="21"/>
        </w:rPr>
        <w:t xml:space="preserve"> 或 </w:t>
      </w:r>
      <m:oMath>
        <m:r>
          <m:rPr/>
          <m:t>s</m:t>
        </m:r>
        <m:r>
          <m:rPr>
            <m:sty m:val="p"/>
          </m:rPr>
          <m:t>=</m:t>
        </m:r>
        <m:r>
          <m:rPr/>
          <m:t>4</m:t>
        </m:r>
      </m:oMath>
      <w:r>
        <w:rPr>
          <w:rFonts w:hint="eastAsia" w:ascii="Times New Roman" w:hAnsi="Times New Roman" w:eastAsia="宋体" w:cs="Times New Roman"/>
          <w:b w:val="0"/>
          <w:i w:val="0"/>
          <w:sz w:val="21"/>
        </w:rPr>
        <w:t xml:space="preserve"> 的峰标为搜索域端点，均不外推为已经解析的内部极值。</w:t>
      </w:r>
    </w:p>
    <w:p w14:paraId="3910B92E">
      <w:pPr>
        <w:spacing w:before="0" w:after="0"/>
        <w:ind w:firstLine="420"/>
        <w:jc w:val="both"/>
      </w:pPr>
      <w:r>
        <w:rPr>
          <w:rFonts w:hint="eastAsia" w:ascii="Times New Roman" w:hAnsi="Times New Roman" w:eastAsia="宋体" w:cs="Times New Roman"/>
          <w:b w:val="0"/>
          <w:i w:val="0"/>
          <w:sz w:val="21"/>
        </w:rPr>
        <w:t>统一网格的意义在于使场形比较具有相同坐标，而不是把插值后的网格扩充为更多独立证据。同一工况内相邻频点来自同一条时程，相邻地表点也由同一个有限元波场耦合，其相关性很强；若把 15 456 个网格值直接作为独立样本计算显著性，样本量会被严重夸大。本文以“物理工况”为参数比较的基本单位，以网格值描述每个工况内部的峰、分区和条带。这样既保留二维场的信息量，又不把空间分辨率误写成试验重复数。</w:t>
      </w:r>
    </w:p>
    <w:p w14:paraId="47325E42">
      <w:pPr>
        <w:spacing w:before="0" w:after="0"/>
        <w:ind w:firstLine="420"/>
        <w:jc w:val="both"/>
      </w:pPr>
      <w:r>
        <w:rPr>
          <w:rFonts w:hint="eastAsia" w:ascii="Times New Roman" w:hAnsi="Times New Roman" w:eastAsia="宋体" w:cs="Times New Roman"/>
          <w:b w:val="0"/>
          <w:i w:val="0"/>
          <w:sz w:val="21"/>
        </w:rPr>
        <w:t>边界峰的标记还关系到参数规律的解释。内部峰意味着曲线在搜索区间内经历了上升和回落，峰频与峰位可以作为局部特征量；上界峰或端点峰只表明在当前观察域内最大，真正极值可能位于域外。把 10 Hz 直接写成精确主频，会使后续参数变化看起来像“频率稳定在 10 Hz”，实际上它可能只是多个尚未回落的谱支被同一上界截断。同理，远平台端点峰不能未经核查就归因于坡体局部放大。因此，本文在比较幅值大小的同时保留边界标签，参数导致的峰值升高只有在峰形、峰位和分区结果相互支持时才解释为稳定的响应增强。</w:t>
      </w:r>
    </w:p>
    <w:p w14:paraId="73F543DB">
      <w:pPr>
        <w:spacing w:before="0" w:after="0"/>
        <w:ind w:firstLine="420"/>
        <w:jc w:val="both"/>
      </w:pPr>
      <w:r>
        <w:rPr>
          <w:rFonts w:hint="eastAsia" w:ascii="Times New Roman" w:hAnsi="Times New Roman" w:eastAsia="宋体" w:cs="Times New Roman"/>
          <w:b w:val="0"/>
          <w:i w:val="0"/>
          <w:sz w:val="21"/>
        </w:rPr>
        <w:t>这里还需区分“几何分界点”和“搜索域端点”。</w:t>
      </w:r>
      <m:oMath>
        <m:r>
          <m:rPr/>
          <m:t>s</m:t>
        </m:r>
        <m:r>
          <m:rPr>
            <m:sty m:val="p"/>
          </m:rPr>
          <m:t>=</m:t>
        </m:r>
        <m:r>
          <m:rPr/>
          <m:t>0</m:t>
        </m:r>
      </m:oMath>
      <w:r>
        <w:rPr>
          <w:rFonts w:hint="eastAsia" w:ascii="Times New Roman" w:hAnsi="Times New Roman" w:eastAsia="宋体" w:cs="Times New Roman"/>
          <w:b w:val="0"/>
          <w:i w:val="0"/>
          <w:sz w:val="21"/>
        </w:rPr>
        <w:t>的坡顶与</w:t>
      </w:r>
      <m:oMath>
        <m:r>
          <m:rPr/>
          <m:t>s</m:t>
        </m:r>
        <m:r>
          <m:rPr>
            <m:sty m:val="p"/>
          </m:rPr>
          <m:t>=</m:t>
        </m:r>
        <m:r>
          <m:rPr/>
          <m:t>1</m:t>
        </m:r>
      </m:oMath>
      <w:r>
        <w:rPr>
          <w:rFonts w:hint="eastAsia" w:ascii="Times New Roman" w:hAnsi="Times New Roman" w:eastAsia="宋体" w:cs="Times New Roman"/>
          <w:b w:val="0"/>
          <w:i w:val="0"/>
          <w:sz w:val="21"/>
        </w:rPr>
        <w:t>的坡脚虽然是地表几何分段位置，却都位于</w:t>
      </w:r>
      <m:oMath>
        <m:r>
          <m:rPr>
            <m:sty m:val="p"/>
          </m:rPr>
          <m:t>[−</m:t>
        </m:r>
        <m:r>
          <m:rPr/>
          <m:t>4</m:t>
        </m:r>
        <m:r>
          <m:rPr>
            <m:sty m:val="p"/>
          </m:rPr>
          <m:t>,</m:t>
        </m:r>
        <m:r>
          <m:rPr/>
          <m:t>4</m:t>
        </m:r>
        <m:r>
          <m:rPr>
            <m:sty m:val="p"/>
          </m:rPr>
          <m:t>]</m:t>
        </m:r>
      </m:oMath>
      <w:r>
        <w:rPr>
          <w:rFonts w:hint="eastAsia" w:ascii="Times New Roman" w:hAnsi="Times New Roman" w:eastAsia="宋体" w:cs="Times New Roman"/>
          <w:b w:val="0"/>
          <w:i w:val="0"/>
          <w:sz w:val="21"/>
        </w:rPr>
        <w:t>搜索域内部；峰值落在这两处，可以精确报告其坐标，但要结合折角散射解释。真正的空间端点是</w:t>
      </w:r>
      <m:oMath>
        <m:r>
          <m:rPr/>
          <m:t>s</m:t>
        </m:r>
        <m:r>
          <m:rPr>
            <m:sty m:val="p"/>
          </m:rPr>
          <m:t>=−</m:t>
        </m:r>
        <m:r>
          <m:rPr/>
          <m:t>4</m:t>
        </m:r>
      </m:oMath>
      <w:r>
        <w:rPr>
          <w:rFonts w:hint="eastAsia" w:ascii="Times New Roman" w:hAnsi="Times New Roman" w:eastAsia="宋体" w:cs="Times New Roman"/>
          <w:b w:val="0"/>
          <w:i w:val="0"/>
          <w:sz w:val="21"/>
        </w:rPr>
        <w:t>或</w:t>
      </w:r>
      <m:oMath>
        <m:r>
          <m:rPr/>
          <m:t>s</m:t>
        </m:r>
        <m:r>
          <m:rPr>
            <m:sty m:val="p"/>
          </m:rPr>
          <m:t>=</m:t>
        </m:r>
        <m:r>
          <m:rPr/>
          <m:t>4</m:t>
        </m:r>
      </m:oMath>
      <w:r>
        <w:rPr>
          <w:rFonts w:hint="eastAsia" w:ascii="Times New Roman" w:hAnsi="Times New Roman" w:eastAsia="宋体" w:cs="Times New Roman"/>
          <w:b w:val="0"/>
          <w:i w:val="0"/>
          <w:sz w:val="21"/>
        </w:rPr>
        <w:t>，在该处取最大只能说明曲线到观测边界仍未回落。频率端点同理，10 Hz是正文搜索上界，而4.0 Hz或3.2 Hz等在频带内部形成并回落的峰，其频率定位证据更完整。边界标签评价的是搜索域是否截断峰形，不是否定边界处响应本身。</w:t>
      </w:r>
    </w:p>
    <w:p w14:paraId="68EDFBC4">
      <w:pPr>
        <w:spacing w:before="0" w:after="0"/>
        <w:ind w:firstLine="420"/>
        <w:jc w:val="both"/>
      </w:pPr>
      <w:r>
        <w:rPr>
          <w:rFonts w:hint="eastAsia" w:ascii="Times New Roman" w:hAnsi="Times New Roman" w:eastAsia="宋体" w:cs="Times New Roman"/>
          <w:b w:val="0"/>
          <w:i w:val="0"/>
          <w:sz w:val="21"/>
        </w:rPr>
        <w:t>“全场峰”还包含频率和空间两个方向，因而需要分别检查两类边界。一个点可能在频率方向是内部峰，却位于远平台空间端点；也可能像图9的坡脚谱那样，空间位置</w:t>
      </w:r>
      <m:oMath>
        <m:r>
          <m:rPr/>
          <m:t>s</m:t>
        </m:r>
        <m:r>
          <m:rPr>
            <m:sty m:val="p"/>
          </m:rPr>
          <m:t>=</m:t>
        </m:r>
        <m:r>
          <m:rPr/>
          <m:t>1</m:t>
        </m:r>
      </m:oMath>
      <w:r>
        <w:rPr>
          <w:rFonts w:hint="eastAsia" w:ascii="Times New Roman" w:hAnsi="Times New Roman" w:eastAsia="宋体" w:cs="Times New Roman"/>
          <w:b w:val="0"/>
          <w:i w:val="0"/>
          <w:sz w:val="21"/>
        </w:rPr>
        <w:t>在模型内部，频率最大值却触及10 Hz。只有两个方向都未被截断，且相邻频点、相邻位置呈现相应回落，才适合称为已解析的内部峰。本文保留峰值幅度用于风险筛查，同时以“</w:t>
      </w:r>
      <m:oMath>
        <m:r>
          <m:rPr>
            <m:sty m:val="p"/>
          </m:rPr>
          <m:t>≥</m:t>
        </m:r>
        <m:r>
          <m:rPr/>
          <m:t>10</m:t>
        </m:r>
      </m:oMath>
      <w:r>
        <w:rPr>
          <w:rFonts w:hint="eastAsia" w:ascii="Times New Roman" w:hAnsi="Times New Roman" w:eastAsia="宋体" w:cs="Times New Roman"/>
          <w:b w:val="0"/>
          <w:i w:val="0"/>
          <w:sz w:val="21"/>
        </w:rPr>
        <w:t xml:space="preserve"> Hz”和端点标记降低对峰频、峰位的过度解释。</w:t>
      </w:r>
    </w:p>
    <w:p w14:paraId="262FFFA2">
      <w:pPr>
        <w:spacing w:before="156" w:after="0"/>
        <w:ind w:firstLine="0"/>
        <w:jc w:val="center"/>
      </w:pPr>
      <w:r>
        <w:rPr>
          <w:rFonts w:hint="eastAsia" w:ascii="Times New Roman" w:hAnsi="Times New Roman" w:eastAsia="宋体" w:cs="Times New Roman"/>
          <w:b w:val="0"/>
          <w:i w:val="0"/>
          <w:sz w:val="18"/>
        </w:rPr>
        <w:t>表7 复频响场的主要描述指标及解释</w:t>
      </w:r>
    </w:p>
    <w:p w14:paraId="52BF4316">
      <w:pPr>
        <w:spacing w:before="0" w:after="40"/>
        <w:ind w:firstLine="0"/>
        <w:jc w:val="center"/>
      </w:pPr>
      <w:r>
        <w:rPr>
          <w:rFonts w:hint="eastAsia" w:ascii="Times New Roman" w:hAnsi="Times New Roman" w:eastAsia="Times New Roman" w:cs="Times New Roman"/>
          <w:b w:val="0"/>
          <w:i w:val="0"/>
          <w:sz w:val="18"/>
        </w:rPr>
        <w:t>Table 7 Main descriptors of the complex frequency-response field</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9"/>
        <w:gridCol w:w="2409"/>
        <w:gridCol w:w="2409"/>
        <w:gridCol w:w="2409"/>
      </w:tblGrid>
      <w:tr w14:paraId="24E752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Borders>
              <w:bottom w:val="single" w:color="auto" w:sz="6" w:space="0"/>
            </w:tcBorders>
            <w:vAlign w:val="center"/>
          </w:tcPr>
          <w:p w14:paraId="21CF5DD1">
            <w:pPr>
              <w:spacing w:before="30" w:after="30"/>
              <w:ind w:firstLine="0"/>
              <w:jc w:val="center"/>
            </w:pPr>
            <w:r>
              <w:rPr>
                <w:rFonts w:hint="eastAsia" w:ascii="Times New Roman" w:hAnsi="Times New Roman" w:eastAsia="宋体" w:cs="Times New Roman"/>
                <w:b/>
                <w:i w:val="0"/>
                <w:sz w:val="18"/>
              </w:rPr>
              <w:t>指标</w:t>
            </w:r>
          </w:p>
        </w:tc>
        <w:tc>
          <w:tcPr>
            <w:tcW w:w="2409" w:type="dxa"/>
            <w:tcBorders>
              <w:bottom w:val="single" w:color="auto" w:sz="6" w:space="0"/>
            </w:tcBorders>
            <w:vAlign w:val="center"/>
          </w:tcPr>
          <w:p w14:paraId="2EC8CCA7">
            <w:pPr>
              <w:spacing w:before="30" w:after="30"/>
              <w:ind w:firstLine="0"/>
              <w:jc w:val="center"/>
            </w:pPr>
            <w:r>
              <w:rPr>
                <w:rFonts w:hint="eastAsia" w:ascii="Times New Roman" w:hAnsi="Times New Roman" w:eastAsia="宋体" w:cs="Times New Roman"/>
                <w:b/>
                <w:i w:val="0"/>
                <w:sz w:val="18"/>
              </w:rPr>
              <w:t>定义或计算口径</w:t>
            </w:r>
          </w:p>
        </w:tc>
        <w:tc>
          <w:tcPr>
            <w:tcW w:w="2409" w:type="dxa"/>
            <w:tcBorders>
              <w:bottom w:val="single" w:color="auto" w:sz="6" w:space="0"/>
            </w:tcBorders>
            <w:vAlign w:val="center"/>
          </w:tcPr>
          <w:p w14:paraId="2CB146EB">
            <w:pPr>
              <w:spacing w:before="30" w:after="30"/>
              <w:ind w:firstLine="0"/>
              <w:jc w:val="center"/>
            </w:pPr>
            <w:r>
              <w:rPr>
                <w:rFonts w:hint="eastAsia" w:ascii="Times New Roman" w:hAnsi="Times New Roman" w:eastAsia="宋体" w:cs="Times New Roman"/>
                <w:b/>
                <w:i w:val="0"/>
                <w:sz w:val="18"/>
              </w:rPr>
              <w:t>主要用途</w:t>
            </w:r>
          </w:p>
        </w:tc>
        <w:tc>
          <w:tcPr>
            <w:tcW w:w="2409" w:type="dxa"/>
            <w:tcBorders>
              <w:bottom w:val="single" w:color="auto" w:sz="6" w:space="0"/>
            </w:tcBorders>
            <w:vAlign w:val="center"/>
          </w:tcPr>
          <w:p w14:paraId="153927AE">
            <w:pPr>
              <w:spacing w:before="30" w:after="30"/>
              <w:ind w:firstLine="0"/>
              <w:jc w:val="center"/>
            </w:pPr>
            <w:r>
              <w:rPr>
                <w:rFonts w:hint="eastAsia" w:ascii="Times New Roman" w:hAnsi="Times New Roman" w:eastAsia="宋体" w:cs="Times New Roman"/>
                <w:b/>
                <w:i w:val="0"/>
                <w:sz w:val="18"/>
              </w:rPr>
              <w:t>使用时的限制</w:t>
            </w:r>
          </w:p>
        </w:tc>
      </w:tr>
      <w:tr w14:paraId="407B30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112D7726">
            <w:pPr>
              <w:spacing w:before="30" w:after="30"/>
              <w:ind w:firstLine="0"/>
              <w:jc w:val="center"/>
            </w:pPr>
            <w:r>
              <w:rPr>
                <w:rFonts w:hint="eastAsia" w:ascii="Times New Roman" w:hAnsi="Times New Roman" w:eastAsia="宋体" w:cs="Times New Roman"/>
                <w:b w:val="0"/>
                <w:i w:val="0"/>
                <w:sz w:val="18"/>
              </w:rPr>
              <w:t xml:space="preserve">幅值 </w:t>
            </w:r>
            <m:oMath>
              <m:sSub>
                <m:sSubPr/>
                <m:e>
                  <m:r>
                    <m:rPr/>
                    <m:t>A</m:t>
                  </m:r>
                </m:e>
                <m:sub>
                  <m:r>
                    <m:rPr/>
                    <m:t>h</m:t>
                  </m:r>
                </m:sub>
              </m:sSub>
            </m:oMath>
          </w:p>
        </w:tc>
        <w:tc>
          <w:tcPr>
            <w:tcW w:w="2409" w:type="dxa"/>
            <w:vAlign w:val="center"/>
          </w:tcPr>
          <w:p w14:paraId="4F88E5A7">
            <w:pPr>
              <w:spacing w:before="30" w:after="30"/>
              <w:ind w:firstLine="0"/>
              <w:jc w:val="center"/>
            </w:pPr>
            <m:oMathPara>
              <m:oMath>
                <m:r>
                  <m:rPr>
                    <m:sty m:val="p"/>
                  </m:rPr>
                  <m:t>|</m:t>
                </m:r>
                <m:sSub>
                  <m:sSubPr/>
                  <m:e>
                    <m:r>
                      <m:rPr/>
                      <m:t>G</m:t>
                    </m:r>
                  </m:e>
                  <m:sub>
                    <m:r>
                      <m:rPr/>
                      <m:t>h</m:t>
                    </m:r>
                  </m:sub>
                </m:sSub>
                <m:r>
                  <m:rPr>
                    <m:sty m:val="p"/>
                  </m:rPr>
                  <m:t>|</m:t>
                </m:r>
              </m:oMath>
            </m:oMathPara>
          </w:p>
        </w:tc>
        <w:tc>
          <w:tcPr>
            <w:tcW w:w="2409" w:type="dxa"/>
            <w:vAlign w:val="center"/>
          </w:tcPr>
          <w:p w14:paraId="18D5EC22">
            <w:pPr>
              <w:spacing w:before="30" w:after="30"/>
              <w:ind w:firstLine="0"/>
              <w:jc w:val="center"/>
            </w:pPr>
            <w:r>
              <w:rPr>
                <w:rFonts w:hint="eastAsia" w:ascii="Times New Roman" w:hAnsi="Times New Roman" w:eastAsia="宋体" w:cs="Times New Roman"/>
                <w:b w:val="0"/>
                <w:i w:val="0"/>
                <w:sz w:val="18"/>
              </w:rPr>
              <w:t>描述相对左侧一维自由场的放大或削弱</w:t>
            </w:r>
          </w:p>
        </w:tc>
        <w:tc>
          <w:tcPr>
            <w:tcW w:w="2409" w:type="dxa"/>
            <w:vAlign w:val="center"/>
          </w:tcPr>
          <w:p w14:paraId="6DDE4E9C">
            <w:pPr>
              <w:spacing w:before="30" w:after="30"/>
              <w:ind w:firstLine="0"/>
              <w:jc w:val="center"/>
            </w:pPr>
            <w:r>
              <w:rPr>
                <w:rFonts w:hint="eastAsia" w:ascii="Times New Roman" w:hAnsi="Times New Roman" w:eastAsia="宋体" w:cs="Times New Roman"/>
                <w:b w:val="0"/>
                <w:i w:val="0"/>
                <w:sz w:val="18"/>
              </w:rPr>
              <w:t>不包含到时与波形信息</w:t>
            </w:r>
          </w:p>
        </w:tc>
      </w:tr>
      <w:tr w14:paraId="3685DE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4B96DD88">
            <w:pPr>
              <w:spacing w:before="30" w:after="30"/>
              <w:ind w:firstLine="0"/>
              <w:jc w:val="center"/>
            </w:pPr>
            <w:r>
              <w:rPr>
                <w:rFonts w:hint="eastAsia" w:ascii="Times New Roman" w:hAnsi="Times New Roman" w:eastAsia="宋体" w:cs="Times New Roman"/>
                <w:b w:val="0"/>
                <w:i w:val="0"/>
                <w:sz w:val="18"/>
              </w:rPr>
              <w:t xml:space="preserve">展开相位 </w:t>
            </w:r>
            <m:oMath>
              <m:sSub>
                <m:sSubPr/>
                <m:e>
                  <m:r>
                    <m:rPr>
                      <m:sty m:val="p"/>
                    </m:rPr>
                    <m:t>Φ</m:t>
                  </m:r>
                </m:e>
                <m:sub>
                  <m:r>
                    <m:rPr/>
                    <m:t>h</m:t>
                  </m:r>
                </m:sub>
              </m:sSub>
            </m:oMath>
          </w:p>
        </w:tc>
        <w:tc>
          <w:tcPr>
            <w:tcW w:w="2409" w:type="dxa"/>
            <w:vAlign w:val="center"/>
          </w:tcPr>
          <w:p w14:paraId="120E0AE1">
            <w:pPr>
              <w:spacing w:before="30" w:after="30"/>
              <w:ind w:firstLine="0"/>
              <w:jc w:val="center"/>
            </w:pPr>
            <w:r>
              <w:rPr>
                <w:rFonts w:hint="eastAsia" w:ascii="Times New Roman" w:hAnsi="Times New Roman" w:eastAsia="宋体" w:cs="Times New Roman"/>
                <w:b w:val="0"/>
                <w:i w:val="0"/>
                <w:sz w:val="18"/>
              </w:rPr>
              <w:t xml:space="preserve">有效连续频段内展开 </w:t>
            </w:r>
            <m:oMath>
              <m:r>
                <m:rPr>
                  <m:sty m:val="p"/>
                </m:rPr>
                <m:t>arg</m:t>
              </m:r>
              <m:sSub>
                <m:sSubPr/>
                <m:e>
                  <m:r>
                    <m:rPr/>
                    <m:t>G</m:t>
                  </m:r>
                </m:e>
                <m:sub>
                  <m:r>
                    <m:rPr/>
                    <m:t>h</m:t>
                  </m:r>
                </m:sub>
              </m:sSub>
            </m:oMath>
          </w:p>
        </w:tc>
        <w:tc>
          <w:tcPr>
            <w:tcW w:w="2409" w:type="dxa"/>
            <w:vAlign w:val="center"/>
          </w:tcPr>
          <w:p w14:paraId="6DF2DED5">
            <w:pPr>
              <w:spacing w:before="30" w:after="30"/>
              <w:ind w:firstLine="0"/>
              <w:jc w:val="center"/>
            </w:pPr>
            <w:r>
              <w:rPr>
                <w:rFonts w:hint="eastAsia" w:ascii="Times New Roman" w:hAnsi="Times New Roman" w:eastAsia="宋体" w:cs="Times New Roman"/>
                <w:b w:val="0"/>
                <w:i w:val="0"/>
                <w:sz w:val="18"/>
              </w:rPr>
              <w:t>描述频率相关超前或迟滞</w:t>
            </w:r>
          </w:p>
        </w:tc>
        <w:tc>
          <w:tcPr>
            <w:tcW w:w="2409" w:type="dxa"/>
            <w:vAlign w:val="center"/>
          </w:tcPr>
          <w:p w14:paraId="65B01B70">
            <w:pPr>
              <w:spacing w:before="30" w:after="30"/>
              <w:ind w:firstLine="0"/>
              <w:jc w:val="center"/>
            </w:pPr>
            <w:r>
              <w:rPr>
                <w:rFonts w:hint="eastAsia" w:ascii="Times New Roman" w:hAnsi="Times New Roman" w:eastAsia="宋体" w:cs="Times New Roman"/>
                <w:b w:val="0"/>
                <w:i w:val="0"/>
                <w:sz w:val="18"/>
              </w:rPr>
              <w:t>不跨无效频段拼接分支</w:t>
            </w:r>
          </w:p>
        </w:tc>
      </w:tr>
      <w:tr w14:paraId="686898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2546D509">
            <w:pPr>
              <w:spacing w:before="30" w:after="30"/>
              <w:ind w:firstLine="0"/>
              <w:jc w:val="center"/>
            </w:pPr>
            <w:r>
              <w:rPr>
                <w:rFonts w:hint="eastAsia" w:ascii="Times New Roman" w:hAnsi="Times New Roman" w:eastAsia="宋体" w:cs="Times New Roman"/>
                <w:b w:val="0"/>
                <w:i w:val="0"/>
                <w:sz w:val="18"/>
              </w:rPr>
              <w:t xml:space="preserve">群时延 </w:t>
            </w:r>
            <m:oMath>
              <m:sSub>
                <m:sSubPr/>
                <m:e>
                  <m:r>
                    <m:rPr/>
                    <m:t>τ</m:t>
                  </m:r>
                </m:e>
                <m:sub>
                  <m:r>
                    <m:rPr/>
                    <m:t>g</m:t>
                  </m:r>
                </m:sub>
              </m:sSub>
            </m:oMath>
          </w:p>
        </w:tc>
        <w:tc>
          <w:tcPr>
            <w:tcW w:w="2409" w:type="dxa"/>
            <w:vAlign w:val="center"/>
          </w:tcPr>
          <w:p w14:paraId="38B86B21">
            <w:pPr>
              <w:spacing w:before="30" w:after="30"/>
              <w:ind w:firstLine="0"/>
              <w:jc w:val="center"/>
            </w:pPr>
            <m:oMathPara>
              <m:oMath>
                <m:r>
                  <m:rPr>
                    <m:sty m:val="p"/>
                  </m:rPr>
                  <m:t>−(</m:t>
                </m:r>
                <m:r>
                  <m:rPr/>
                  <m:t>2π</m:t>
                </m:r>
                <m:sSup>
                  <m:sSupPr/>
                  <m:e>
                    <m:r>
                      <m:rPr>
                        <m:sty m:val="p"/>
                      </m:rPr>
                      <m:t>)</m:t>
                    </m:r>
                  </m:e>
                  <m:sup>
                    <m:r>
                      <m:rPr>
                        <m:sty m:val="p"/>
                      </m:rPr>
                      <m:t>−</m:t>
                    </m:r>
                    <m:r>
                      <m:rPr/>
                      <m:t>1</m:t>
                    </m:r>
                  </m:sup>
                </m:sSup>
                <m:r>
                  <m:rPr>
                    <m:sty m:val="p"/>
                  </m:rPr>
                  <m:t>∂</m:t>
                </m:r>
                <m:sSub>
                  <m:sSubPr/>
                  <m:e>
                    <m:r>
                      <m:rPr>
                        <m:sty m:val="p"/>
                      </m:rPr>
                      <m:t>Φ</m:t>
                    </m:r>
                  </m:e>
                  <m:sub>
                    <m:r>
                      <m:rPr/>
                      <m:t>h</m:t>
                    </m:r>
                  </m:sub>
                </m:sSub>
                <m:r>
                  <m:rPr>
                    <m:sty m:val="p"/>
                  </m:rPr>
                  <m:t>/∂</m:t>
                </m:r>
                <m:r>
                  <m:rPr/>
                  <m:t>f</m:t>
                </m:r>
              </m:oMath>
            </m:oMathPara>
          </w:p>
        </w:tc>
        <w:tc>
          <w:tcPr>
            <w:tcW w:w="2409" w:type="dxa"/>
            <w:vAlign w:val="center"/>
          </w:tcPr>
          <w:p w14:paraId="0A9C2558">
            <w:pPr>
              <w:spacing w:before="30" w:after="30"/>
              <w:ind w:firstLine="0"/>
              <w:jc w:val="center"/>
            </w:pPr>
            <w:r>
              <w:rPr>
                <w:rFonts w:hint="eastAsia" w:ascii="Times New Roman" w:hAnsi="Times New Roman" w:eastAsia="宋体" w:cs="Times New Roman"/>
                <w:b w:val="0"/>
                <w:i w:val="0"/>
                <w:sz w:val="18"/>
              </w:rPr>
              <w:t>识别相位随频率快速变化的频带</w:t>
            </w:r>
          </w:p>
        </w:tc>
        <w:tc>
          <w:tcPr>
            <w:tcW w:w="2409" w:type="dxa"/>
            <w:vAlign w:val="center"/>
          </w:tcPr>
          <w:p w14:paraId="4C85C664">
            <w:pPr>
              <w:spacing w:before="30" w:after="30"/>
              <w:ind w:firstLine="0"/>
              <w:jc w:val="center"/>
            </w:pPr>
            <w:r>
              <w:rPr>
                <w:rFonts w:hint="eastAsia" w:ascii="Times New Roman" w:hAnsi="Times New Roman" w:eastAsia="宋体" w:cs="Times New Roman"/>
                <w:b w:val="0"/>
                <w:i w:val="0"/>
                <w:sz w:val="18"/>
              </w:rPr>
              <w:t>导数对谱谷和频带边缘敏感</w:t>
            </w:r>
          </w:p>
        </w:tc>
      </w:tr>
      <w:tr w14:paraId="7B69C7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7DA98375">
            <w:pPr>
              <w:spacing w:before="30" w:after="30"/>
              <w:ind w:firstLine="0"/>
              <w:jc w:val="center"/>
            </w:pPr>
            <w:r>
              <w:rPr>
                <w:rFonts w:hint="eastAsia" w:ascii="Times New Roman" w:hAnsi="Times New Roman" w:eastAsia="宋体" w:cs="Times New Roman"/>
                <w:b w:val="0"/>
                <w:i w:val="0"/>
                <w:sz w:val="18"/>
              </w:rPr>
              <w:t xml:space="preserve">空间相位梯度 </w:t>
            </w:r>
            <m:oMath>
              <m:sSub>
                <m:sSubPr/>
                <m:e>
                  <m:r>
                    <m:rPr/>
                    <m:t>k</m:t>
                  </m:r>
                </m:e>
                <m:sub>
                  <m:r>
                    <m:rPr>
                      <m:sty m:val="p"/>
                    </m:rPr>
                    <m:t>app</m:t>
                  </m:r>
                </m:sub>
              </m:sSub>
            </m:oMath>
          </w:p>
        </w:tc>
        <w:tc>
          <w:tcPr>
            <w:tcW w:w="2409" w:type="dxa"/>
            <w:vAlign w:val="center"/>
          </w:tcPr>
          <w:p w14:paraId="15DAF85D">
            <w:pPr>
              <w:spacing w:before="30" w:after="30"/>
              <w:ind w:firstLine="0"/>
              <w:jc w:val="center"/>
            </w:pPr>
            <w:r>
              <w:rPr>
                <w:rFonts w:hint="eastAsia" w:ascii="Times New Roman" w:hAnsi="Times New Roman" w:eastAsia="宋体" w:cs="Times New Roman"/>
                <w:b w:val="0"/>
                <w:i w:val="0"/>
                <w:sz w:val="18"/>
              </w:rPr>
              <w:t xml:space="preserve">A/B/C段内 </w:t>
            </w:r>
            <m:oMath>
              <m:r>
                <m:rPr>
                  <m:sty m:val="p"/>
                </m:rPr>
                <m:t>∂</m:t>
              </m:r>
              <m:sSub>
                <m:sSubPr/>
                <m:e>
                  <m:r>
                    <m:rPr>
                      <m:sty m:val="p"/>
                    </m:rPr>
                    <m:t>Φ</m:t>
                  </m:r>
                </m:e>
                <m:sub>
                  <m:r>
                    <m:rPr/>
                    <m:t>h</m:t>
                  </m:r>
                </m:sub>
              </m:sSub>
              <m:r>
                <m:rPr>
                  <m:sty m:val="p"/>
                </m:rPr>
                <m:t>/∂</m:t>
              </m:r>
              <m:r>
                <m:rPr/>
                <m:t>s</m:t>
              </m:r>
            </m:oMath>
          </w:p>
        </w:tc>
        <w:tc>
          <w:tcPr>
            <w:tcW w:w="2409" w:type="dxa"/>
            <w:vAlign w:val="center"/>
          </w:tcPr>
          <w:p w14:paraId="67309D86">
            <w:pPr>
              <w:spacing w:before="30" w:after="30"/>
              <w:ind w:firstLine="0"/>
              <w:jc w:val="center"/>
            </w:pPr>
            <w:r>
              <w:rPr>
                <w:rFonts w:hint="eastAsia" w:ascii="Times New Roman" w:hAnsi="Times New Roman" w:eastAsia="宋体" w:cs="Times New Roman"/>
                <w:b w:val="0"/>
                <w:i w:val="0"/>
                <w:sz w:val="18"/>
              </w:rPr>
              <w:t>比较平台、坡面和下平台的相位变化</w:t>
            </w:r>
          </w:p>
        </w:tc>
        <w:tc>
          <w:tcPr>
            <w:tcW w:w="2409" w:type="dxa"/>
            <w:vAlign w:val="center"/>
          </w:tcPr>
          <w:p w14:paraId="7A53743E">
            <w:pPr>
              <w:spacing w:before="30" w:after="30"/>
              <w:ind w:firstLine="0"/>
              <w:jc w:val="center"/>
            </w:pPr>
            <w:r>
              <w:rPr>
                <w:rFonts w:hint="eastAsia" w:ascii="Times New Roman" w:hAnsi="Times New Roman" w:eastAsia="宋体" w:cs="Times New Roman"/>
                <w:b w:val="0"/>
                <w:i w:val="0"/>
                <w:sz w:val="18"/>
              </w:rPr>
              <w:t>不跨坡顶、坡脚差分</w:t>
            </w:r>
          </w:p>
        </w:tc>
      </w:tr>
      <w:tr w14:paraId="0F5205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66376220">
            <w:pPr>
              <w:spacing w:before="30" w:after="30"/>
              <w:ind w:firstLine="0"/>
              <w:jc w:val="center"/>
            </w:pPr>
            <w:r>
              <w:rPr>
                <w:rFonts w:hint="eastAsia" w:ascii="Times New Roman" w:hAnsi="Times New Roman" w:eastAsia="宋体" w:cs="Times New Roman"/>
                <w:b w:val="0"/>
                <w:i w:val="0"/>
                <w:sz w:val="18"/>
              </w:rPr>
              <w:t>全场峰值</w:t>
            </w:r>
          </w:p>
        </w:tc>
        <w:tc>
          <w:tcPr>
            <w:tcW w:w="2409" w:type="dxa"/>
            <w:vAlign w:val="center"/>
          </w:tcPr>
          <w:p w14:paraId="608837D5">
            <w:pPr>
              <w:spacing w:before="30" w:after="30"/>
              <w:ind w:firstLine="0"/>
              <w:jc w:val="center"/>
            </w:pPr>
            <w:r>
              <w:rPr>
                <w:rFonts w:hint="eastAsia" w:ascii="Times New Roman" w:hAnsi="Times New Roman" w:eastAsia="宋体" w:cs="Times New Roman"/>
                <w:b w:val="0"/>
                <w:i w:val="0"/>
                <w:sz w:val="18"/>
              </w:rPr>
              <w:t xml:space="preserve">有效网格内 </w:t>
            </w:r>
            <m:oMath>
              <m:r>
                <m:rPr>
                  <m:sty m:val="p"/>
                </m:rPr>
                <m:t>max</m:t>
              </m:r>
              <m:sSub>
                <m:sSubPr/>
                <m:e>
                  <m:r>
                    <m:rPr/>
                    <m:t>A</m:t>
                  </m:r>
                </m:e>
                <m:sub>
                  <m:r>
                    <m:rPr/>
                    <m:t>h</m:t>
                  </m:r>
                </m:sub>
              </m:sSub>
            </m:oMath>
            <w:r>
              <w:rPr>
                <w:rFonts w:hint="eastAsia" w:ascii="Times New Roman" w:hAnsi="Times New Roman" w:eastAsia="宋体" w:cs="Times New Roman"/>
                <w:b w:val="0"/>
                <w:i w:val="0"/>
                <w:sz w:val="18"/>
              </w:rPr>
              <w:t xml:space="preserve"> 及其 </w:t>
            </w:r>
            <m:oMath>
              <m:r>
                <m:rPr>
                  <m:sty m:val="p"/>
                </m:rPr>
                <m:t>(</m:t>
              </m:r>
              <m:sSub>
                <m:sSubPr/>
                <m:e>
                  <m:r>
                    <m:rPr/>
                    <m:t>f</m:t>
                  </m:r>
                </m:e>
                <m:sub>
                  <m:r>
                    <m:rPr/>
                    <m:t>p</m:t>
                  </m:r>
                </m:sub>
              </m:sSub>
              <m:r>
                <m:rPr>
                  <m:sty m:val="p"/>
                </m:rPr>
                <m:t>,</m:t>
              </m:r>
              <m:sSub>
                <m:sSubPr/>
                <m:e>
                  <m:r>
                    <m:rPr/>
                    <m:t>s</m:t>
                  </m:r>
                </m:e>
                <m:sub>
                  <m:r>
                    <m:rPr/>
                    <m:t>p</m:t>
                  </m:r>
                </m:sub>
              </m:sSub>
              <m:r>
                <m:rPr>
                  <m:sty m:val="p"/>
                </m:rPr>
                <m:t>)</m:t>
              </m:r>
            </m:oMath>
          </w:p>
        </w:tc>
        <w:tc>
          <w:tcPr>
            <w:tcW w:w="2409" w:type="dxa"/>
            <w:vAlign w:val="center"/>
          </w:tcPr>
          <w:p w14:paraId="02734733">
            <w:pPr>
              <w:spacing w:before="30" w:after="30"/>
              <w:ind w:firstLine="0"/>
              <w:jc w:val="center"/>
            </w:pPr>
            <w:r>
              <w:rPr>
                <w:rFonts w:hint="eastAsia" w:ascii="Times New Roman" w:hAnsi="Times New Roman" w:eastAsia="宋体" w:cs="Times New Roman"/>
                <w:b w:val="0"/>
                <w:i w:val="0"/>
                <w:sz w:val="18"/>
              </w:rPr>
              <w:t>定位最强响应与主控频带</w:t>
            </w:r>
          </w:p>
        </w:tc>
        <w:tc>
          <w:tcPr>
            <w:tcW w:w="2409" w:type="dxa"/>
            <w:vAlign w:val="center"/>
          </w:tcPr>
          <w:p w14:paraId="6F7D9C6F">
            <w:pPr>
              <w:spacing w:before="30" w:after="30"/>
              <w:ind w:firstLine="0"/>
              <w:jc w:val="center"/>
            </w:pPr>
            <w:r>
              <w:rPr>
                <w:rFonts w:hint="eastAsia" w:ascii="Times New Roman" w:hAnsi="Times New Roman" w:eastAsia="宋体" w:cs="Times New Roman"/>
                <w:b w:val="0"/>
                <w:i w:val="0"/>
                <w:sz w:val="18"/>
              </w:rPr>
              <w:t>需标记频带和空间端点峰</w:t>
            </w:r>
          </w:p>
        </w:tc>
      </w:tr>
      <w:tr w14:paraId="2F1E02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5ADF83D3">
            <w:pPr>
              <w:spacing w:before="30" w:after="30"/>
              <w:ind w:firstLine="0"/>
              <w:jc w:val="center"/>
            </w:pPr>
            <w:r>
              <w:rPr>
                <w:rFonts w:hint="eastAsia" w:ascii="Times New Roman" w:hAnsi="Times New Roman" w:eastAsia="宋体" w:cs="Times New Roman"/>
                <w:b w:val="0"/>
                <w:i w:val="0"/>
                <w:sz w:val="18"/>
              </w:rPr>
              <w:t>分区、分带统计</w:t>
            </w:r>
          </w:p>
        </w:tc>
        <w:tc>
          <w:tcPr>
            <w:tcW w:w="2409" w:type="dxa"/>
            <w:vAlign w:val="center"/>
          </w:tcPr>
          <w:p w14:paraId="0AADCECD">
            <w:pPr>
              <w:spacing w:before="30" w:after="30"/>
              <w:ind w:firstLine="0"/>
              <w:jc w:val="center"/>
            </w:pPr>
            <w:r>
              <w:rPr>
                <w:rFonts w:hint="eastAsia" w:ascii="Times New Roman" w:hAnsi="Times New Roman" w:eastAsia="宋体" w:cs="Times New Roman"/>
                <w:b w:val="0"/>
                <w:i w:val="0"/>
                <w:sz w:val="18"/>
              </w:rPr>
              <w:t>A/B/C段及低、中、高频分别汇总</w:t>
            </w:r>
          </w:p>
        </w:tc>
        <w:tc>
          <w:tcPr>
            <w:tcW w:w="2409" w:type="dxa"/>
            <w:vAlign w:val="center"/>
          </w:tcPr>
          <w:p w14:paraId="01367ED9">
            <w:pPr>
              <w:spacing w:before="30" w:after="30"/>
              <w:ind w:firstLine="0"/>
              <w:jc w:val="center"/>
            </w:pPr>
            <w:r>
              <w:rPr>
                <w:rFonts w:hint="eastAsia" w:ascii="Times New Roman" w:hAnsi="Times New Roman" w:eastAsia="宋体" w:cs="Times New Roman"/>
                <w:b w:val="0"/>
                <w:i w:val="0"/>
                <w:sz w:val="18"/>
              </w:rPr>
              <w:t>避免全场峰值掩盖局部规律</w:t>
            </w:r>
          </w:p>
        </w:tc>
        <w:tc>
          <w:tcPr>
            <w:tcW w:w="2409" w:type="dxa"/>
            <w:vAlign w:val="center"/>
          </w:tcPr>
          <w:p w14:paraId="2B792E08">
            <w:pPr>
              <w:spacing w:before="30" w:after="30"/>
              <w:ind w:firstLine="0"/>
              <w:jc w:val="center"/>
            </w:pPr>
            <w:r>
              <w:rPr>
                <w:rFonts w:hint="eastAsia" w:ascii="Times New Roman" w:hAnsi="Times New Roman" w:eastAsia="宋体" w:cs="Times New Roman"/>
                <w:b w:val="0"/>
                <w:i w:val="0"/>
                <w:sz w:val="18"/>
              </w:rPr>
              <w:t>各区段点数不同，不作样本显著性推断</w:t>
            </w:r>
          </w:p>
        </w:tc>
      </w:tr>
    </w:tbl>
    <w:p w14:paraId="0750DAFF">
      <w:pPr>
        <w:spacing w:before="0" w:after="0"/>
        <w:ind w:firstLine="420"/>
        <w:jc w:val="both"/>
      </w:pPr>
      <w:r>
        <w:rPr>
          <w:rFonts w:hint="eastAsia" w:ascii="Times New Roman" w:hAnsi="Times New Roman" w:eastAsia="宋体" w:cs="Times New Roman"/>
          <w:b w:val="0"/>
          <w:i w:val="0"/>
          <w:sz w:val="21"/>
        </w:rPr>
        <w:t>为分离覆盖层和纯地形的作用，每个成层工况与相同坡角的均质工况配对，定义覆盖层复数修正</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3EFFC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2D8F1071">
            <w:pPr>
              <w:spacing w:before="60" w:after="60"/>
              <w:jc w:val="center"/>
            </w:pPr>
            <m:oMathPara>
              <m:oMath>
                <m:sSub>
                  <m:sSubPr/>
                  <m:e>
                    <m:r>
                      <m:rPr/>
                      <m:t>C</m:t>
                    </m:r>
                  </m:e>
                  <m:sub>
                    <m:r>
                      <m:rPr/>
                      <m:t>G</m:t>
                    </m:r>
                  </m:sub>
                </m:sSub>
                <m:r>
                  <m:rPr>
                    <m:sty m:val="p"/>
                  </m:rPr>
                  <m:t>(</m:t>
                </m:r>
                <m:r>
                  <m:rPr/>
                  <m:t>f</m:t>
                </m:r>
                <m:r>
                  <m:rPr>
                    <m:sty m:val="p"/>
                  </m:rPr>
                  <m:t>,</m:t>
                </m:r>
                <m:r>
                  <m:rPr/>
                  <m:t>s</m:t>
                </m:r>
                <m:r>
                  <m:rPr>
                    <m:sty m:val="p"/>
                  </m:rPr>
                  <m:t>)=</m:t>
                </m:r>
                <m:f>
                  <m:fPr/>
                  <m:num>
                    <m:sSubSup>
                      <m:sSubSupPr/>
                      <m:e>
                        <m:r>
                          <m:rPr/>
                          <m:t>G</m:t>
                        </m:r>
                      </m:e>
                      <m:sub>
                        <m:r>
                          <m:rPr/>
                          <m:t>h</m:t>
                        </m:r>
                      </m:sub>
                      <m:sup>
                        <m:r>
                          <m:rPr>
                            <m:sty m:val="p"/>
                          </m:rPr>
                          <m:t>layer</m:t>
                        </m:r>
                      </m:sup>
                    </m:sSubSup>
                    <m:r>
                      <m:rPr>
                        <m:sty m:val="p"/>
                      </m:rPr>
                      <m:t>(</m:t>
                    </m:r>
                    <m:r>
                      <m:rPr/>
                      <m:t>f</m:t>
                    </m:r>
                    <m:r>
                      <m:rPr>
                        <m:sty m:val="p"/>
                      </m:rPr>
                      <m:t>,</m:t>
                    </m:r>
                    <m:r>
                      <m:rPr/>
                      <m:t>s</m:t>
                    </m:r>
                    <m:r>
                      <m:rPr>
                        <m:sty m:val="p"/>
                      </m:rPr>
                      <m:t>)</m:t>
                    </m:r>
                  </m:num>
                  <m:den>
                    <m:sSubSup>
                      <m:sSubSupPr/>
                      <m:e>
                        <m:r>
                          <m:rPr/>
                          <m:t>G</m:t>
                        </m:r>
                      </m:e>
                      <m:sub>
                        <m:r>
                          <m:rPr/>
                          <m:t>h</m:t>
                        </m:r>
                      </m:sub>
                      <m:sup>
                        <m:r>
                          <m:rPr>
                            <m:sty m:val="p"/>
                          </m:rPr>
                          <m:t>homo</m:t>
                        </m:r>
                      </m:sup>
                    </m:sSubSup>
                    <m:r>
                      <m:rPr>
                        <m:sty m:val="p"/>
                      </m:rPr>
                      <m:t>(</m:t>
                    </m:r>
                    <m:r>
                      <m:rPr/>
                      <m:t>f</m:t>
                    </m:r>
                    <m:r>
                      <m:rPr>
                        <m:sty m:val="p"/>
                      </m:rPr>
                      <m:t>,</m:t>
                    </m:r>
                    <m:r>
                      <m:rPr/>
                      <m:t>s</m:t>
                    </m:r>
                    <m:r>
                      <m:rPr>
                        <m:sty m:val="p"/>
                      </m:rPr>
                      <m:t>)</m:t>
                    </m:r>
                  </m:den>
                </m:f>
                <m:r>
                  <m:rPr>
                    <m:sty m:val="p"/>
                  </m:rPr>
                  <m:t>=</m:t>
                </m:r>
                <m:sSub>
                  <m:sSubPr/>
                  <m:e>
                    <m:r>
                      <m:rPr/>
                      <m:t>C</m:t>
                    </m:r>
                  </m:e>
                  <m:sub>
                    <m:r>
                      <m:rPr/>
                      <m:t>A</m:t>
                    </m:r>
                  </m:sub>
                </m:sSub>
                <m:r>
                  <m:rPr>
                    <m:sty m:val="p"/>
                  </m:rPr>
                  <m:t>(</m:t>
                </m:r>
                <m:r>
                  <m:rPr/>
                  <m:t>f</m:t>
                </m:r>
                <m:r>
                  <m:rPr>
                    <m:sty m:val="p"/>
                  </m:rPr>
                  <m:t>,</m:t>
                </m:r>
                <m:r>
                  <m:rPr/>
                  <m:t>s</m:t>
                </m:r>
                <m:r>
                  <m:rPr>
                    <m:sty m:val="p"/>
                  </m:rPr>
                  <m:t>)</m:t>
                </m:r>
                <m:sSup>
                  <m:sSupPr/>
                  <m:e>
                    <m:r>
                      <m:rPr/>
                      <m:t>e</m:t>
                    </m:r>
                  </m:e>
                  <m:sup>
                    <m:r>
                      <m:rPr>
                        <m:sty m:val="p"/>
                      </m:rPr>
                      <m:t>i</m:t>
                    </m:r>
                    <m:sSub>
                      <m:sSubPr/>
                      <m:e>
                        <m:r>
                          <m:rPr>
                            <m:sty m:val="p"/>
                          </m:rPr>
                          <m:t>Δ</m:t>
                        </m:r>
                      </m:e>
                      <m:sub>
                        <m:r>
                          <m:rPr>
                            <m:sty m:val="p"/>
                          </m:rPr>
                          <m:t>Φ</m:t>
                        </m:r>
                      </m:sub>
                    </m:sSub>
                    <m:r>
                      <m:rPr>
                        <m:sty m:val="p"/>
                      </m:rPr>
                      <m:t>(</m:t>
                    </m:r>
                    <m:r>
                      <m:rPr/>
                      <m:t>f</m:t>
                    </m:r>
                    <m:r>
                      <m:rPr>
                        <m:sty m:val="p"/>
                      </m:rPr>
                      <m:t>,</m:t>
                    </m:r>
                    <m:r>
                      <m:rPr/>
                      <m:t>s</m:t>
                    </m:r>
                    <m:r>
                      <m:rPr>
                        <m:sty m:val="p"/>
                      </m:rPr>
                      <m:t>)</m:t>
                    </m:r>
                  </m:sup>
                </m:sSup>
                <m:r>
                  <m:rPr>
                    <m:sty m:val="p"/>
                  </m:rPr>
                  <m:t>,</m:t>
                </m:r>
                <m:r>
                  <m:rPr/>
                  <m:t>  </m:t>
                </m:r>
                <m:sSub>
                  <m:sSubPr/>
                  <m:e>
                    <m:r>
                      <m:rPr>
                        <m:sty m:val="p"/>
                      </m:rPr>
                      <m:t>Δ</m:t>
                    </m:r>
                  </m:e>
                  <m:sub>
                    <m:r>
                      <m:rPr/>
                      <m:t>A</m:t>
                    </m:r>
                  </m:sub>
                </m:sSub>
                <m:r>
                  <m:rPr>
                    <m:sty m:val="p"/>
                  </m:rPr>
                  <m:t>(</m:t>
                </m:r>
                <m:r>
                  <m:rPr/>
                  <m:t>f</m:t>
                </m:r>
                <m:r>
                  <m:rPr>
                    <m:sty m:val="p"/>
                  </m:rPr>
                  <m:t>,</m:t>
                </m:r>
                <m:r>
                  <m:rPr/>
                  <m:t>s</m:t>
                </m:r>
                <m:r>
                  <m:rPr>
                    <m:sty m:val="p"/>
                  </m:rPr>
                  <m:t>)=ln</m:t>
                </m:r>
                <m:sSub>
                  <m:sSubPr/>
                  <m:e>
                    <m:r>
                      <m:rPr/>
                      <m:t>C</m:t>
                    </m:r>
                  </m:e>
                  <m:sub>
                    <m:r>
                      <m:rPr/>
                      <m:t>A</m:t>
                    </m:r>
                  </m:sub>
                </m:sSub>
                <m:r>
                  <m:rPr>
                    <m:sty m:val="p"/>
                  </m:rPr>
                  <m:t>(</m:t>
                </m:r>
                <m:r>
                  <m:rPr/>
                  <m:t>f</m:t>
                </m:r>
                <m:r>
                  <m:rPr>
                    <m:sty m:val="p"/>
                  </m:rPr>
                  <m:t>,</m:t>
                </m:r>
                <m:r>
                  <m:rPr/>
                  <m:t>s</m:t>
                </m:r>
                <m:r>
                  <m:rPr>
                    <m:sty m:val="p"/>
                  </m:rPr>
                  <m:t>).</m:t>
                </m:r>
              </m:oMath>
            </m:oMathPara>
          </w:p>
        </w:tc>
        <w:tc>
          <w:tcPr>
            <w:tcW w:w="4819" w:type="dxa"/>
          </w:tcPr>
          <w:p w14:paraId="59AD6219">
            <w:pPr>
              <w:spacing w:before="60" w:after="60"/>
              <w:jc w:val="right"/>
            </w:pPr>
            <w:r>
              <w:rPr>
                <w:rFonts w:hint="eastAsia" w:ascii="Times New Roman" w:hAnsi="Times New Roman" w:eastAsia="Times New Roman" w:cs="Times New Roman"/>
                <w:b w:val="0"/>
                <w:i w:val="0"/>
                <w:sz w:val="21"/>
              </w:rPr>
              <w:t>(16)</w:t>
            </w:r>
          </w:p>
        </w:tc>
      </w:tr>
    </w:tbl>
    <w:p w14:paraId="16087936">
      <w:pPr>
        <w:spacing w:before="0" w:after="0"/>
        <w:ind w:firstLine="420"/>
        <w:jc w:val="both"/>
      </w:pPr>
      <m:oMath>
        <m:sSub>
          <m:sSubPr/>
          <m:e>
            <m:r>
              <m:rPr>
                <m:sty m:val="p"/>
              </m:rPr>
              <m:t>Δ</m:t>
            </m:r>
          </m:e>
          <m:sub>
            <m:r>
              <m:rPr/>
              <m:t>A</m:t>
            </m:r>
          </m:sub>
        </m:sSub>
        <m:r>
          <m:rPr>
            <m:sty m:val="p"/>
          </m:rPr>
          <m:t>&gt;</m:t>
        </m:r>
        <m:r>
          <m:rPr/>
          <m:t>0</m:t>
        </m:r>
      </m:oMath>
      <w:r>
        <w:rPr>
          <w:rFonts w:hint="eastAsia" w:ascii="Times New Roman" w:hAnsi="Times New Roman" w:eastAsia="宋体" w:cs="Times New Roman"/>
          <w:b w:val="0"/>
          <w:i w:val="0"/>
          <w:sz w:val="21"/>
        </w:rPr>
        <w:t xml:space="preserve"> 表示覆盖层使该频率、该位置的相对幅值增大，</w:t>
      </w:r>
      <m:oMath>
        <m:sSub>
          <m:sSubPr/>
          <m:e>
            <m:r>
              <m:rPr>
                <m:sty m:val="p"/>
              </m:rPr>
              <m:t>Δ</m:t>
            </m:r>
          </m:e>
          <m:sub>
            <m:r>
              <m:rPr/>
              <m:t>A</m:t>
            </m:r>
          </m:sub>
        </m:sSub>
        <m:r>
          <m:rPr>
            <m:sty m:val="p"/>
          </m:rPr>
          <m:t>&lt;</m:t>
        </m:r>
        <m:r>
          <m:rPr/>
          <m:t>0</m:t>
        </m:r>
      </m:oMath>
      <w:r>
        <w:rPr>
          <w:rFonts w:hint="eastAsia" w:ascii="Times New Roman" w:hAnsi="Times New Roman" w:eastAsia="宋体" w:cs="Times New Roman"/>
          <w:b w:val="0"/>
          <w:i w:val="0"/>
          <w:sz w:val="21"/>
        </w:rPr>
        <w:t xml:space="preserve"> 表示削弱；</w:t>
      </w:r>
      <m:oMath>
        <m:sSub>
          <m:sSubPr/>
          <m:e>
            <m:r>
              <m:rPr>
                <m:sty m:val="p"/>
              </m:rPr>
              <m:t>Δ</m:t>
            </m:r>
          </m:e>
          <m:sub>
            <m:r>
              <m:rPr>
                <m:sty m:val="p"/>
              </m:rPr>
              <m:t>Φ</m:t>
            </m:r>
          </m:sub>
        </m:sSub>
      </m:oMath>
      <w:r>
        <w:rPr>
          <w:rFonts w:hint="eastAsia" w:ascii="Times New Roman" w:hAnsi="Times New Roman" w:eastAsia="宋体" w:cs="Times New Roman"/>
          <w:b w:val="0"/>
          <w:i w:val="0"/>
          <w:sz w:val="21"/>
        </w:rPr>
        <w:t xml:space="preserve"> 和相应的群时延差反映覆盖层引入的附加相位结构。这里的配对比值不是把“地层效应”和“地形效应”假定为可线性相加，而是以同坡角均质坡为对照，观察覆盖层加入后完整复数场怎样变化。</w:t>
      </w:r>
    </w:p>
    <w:p w14:paraId="183DC81A">
      <w:pPr>
        <w:spacing w:before="0" w:after="0"/>
        <w:ind w:firstLine="420"/>
        <w:jc w:val="both"/>
      </w:pPr>
      <w:r>
        <w:rPr>
          <w:rFonts w:hint="eastAsia" w:ascii="Times New Roman" w:hAnsi="Times New Roman" w:eastAsia="宋体" w:cs="Times New Roman"/>
          <w:b w:val="0"/>
          <w:i w:val="0"/>
          <w:sz w:val="21"/>
        </w:rPr>
        <w:t>采用复数比值而不是分别相减幅值和相位，可以保持两类信息的耦合关系。</w:t>
      </w:r>
      <m:oMath>
        <m:sSub>
          <m:sSubPr/>
          <m:e>
            <m:r>
              <m:rPr/>
              <m:t>C</m:t>
            </m:r>
          </m:e>
          <m:sub>
            <m:r>
              <m:rPr/>
              <m:t>G</m:t>
            </m:r>
          </m:sub>
        </m:sSub>
      </m:oMath>
      <w:r>
        <w:rPr>
          <w:rFonts w:hint="eastAsia" w:ascii="Times New Roman" w:hAnsi="Times New Roman" w:eastAsia="宋体" w:cs="Times New Roman"/>
          <w:b w:val="0"/>
          <w:i w:val="0"/>
          <w:sz w:val="21"/>
        </w:rPr>
        <w:t xml:space="preserve"> 先在同一频率、同一位置对成层场和均质场做复数相除，再提取 </w:t>
      </w:r>
      <m:oMath>
        <m:sSub>
          <m:sSubPr/>
          <m:e>
            <m:r>
              <m:rPr/>
              <m:t>C</m:t>
            </m:r>
          </m:e>
          <m:sub>
            <m:r>
              <m:rPr/>
              <m:t>A</m:t>
            </m:r>
          </m:sub>
        </m:sSub>
      </m:oMath>
      <w:r>
        <w:rPr>
          <w:rFonts w:hint="eastAsia" w:ascii="Times New Roman" w:hAnsi="Times New Roman" w:eastAsia="宋体" w:cs="Times New Roman"/>
          <w:b w:val="0"/>
          <w:i w:val="0"/>
          <w:sz w:val="21"/>
        </w:rPr>
        <w:t xml:space="preserve"> 与 </w:t>
      </w:r>
      <m:oMath>
        <m:sSub>
          <m:sSubPr/>
          <m:e>
            <m:r>
              <m:rPr>
                <m:sty m:val="p"/>
              </m:rPr>
              <m:t>Δ</m:t>
            </m:r>
          </m:e>
          <m:sub>
            <m:r>
              <m:rPr>
                <m:sty m:val="p"/>
              </m:rPr>
              <m:t>Φ</m:t>
            </m:r>
          </m:sub>
        </m:sSub>
      </m:oMath>
      <w:r>
        <w:rPr>
          <w:rFonts w:hint="eastAsia" w:ascii="Times New Roman" w:hAnsi="Times New Roman" w:eastAsia="宋体" w:cs="Times New Roman"/>
          <w:b w:val="0"/>
          <w:i w:val="0"/>
          <w:sz w:val="21"/>
        </w:rPr>
        <w:t xml:space="preserve">；这样，相位差天然位于同一个复数商中，避免两条独立展开相位因分支常数不同而产生虚假的整周差。对幅值取对数则把成层相对均质的增大与减小放到同一加法尺度上，便于跨频带汇总。但 </w:t>
      </w:r>
      <m:oMath>
        <m:sSub>
          <m:sSubPr/>
          <m:e>
            <m:r>
              <m:rPr>
                <m:sty m:val="p"/>
              </m:rPr>
              <m:t>Δ</m:t>
            </m:r>
          </m:e>
          <m:sub>
            <m:r>
              <m:rPr/>
              <m:t>A</m:t>
            </m:r>
          </m:sub>
        </m:sSub>
      </m:oMath>
      <w:r>
        <w:rPr>
          <w:rFonts w:hint="eastAsia" w:ascii="Times New Roman" w:hAnsi="Times New Roman" w:eastAsia="宋体" w:cs="Times New Roman"/>
          <w:b w:val="0"/>
          <w:i w:val="0"/>
          <w:sz w:val="21"/>
        </w:rPr>
        <w:t xml:space="preserve"> 的正负只说明覆盖层相对同坡角均质坡的净修正，不等于某位置的最终 </w:t>
      </w:r>
      <m:oMath>
        <m:sSub>
          <m:sSubPr/>
          <m:e>
            <m:r>
              <m:rPr/>
              <m:t>A</m:t>
            </m:r>
          </m:e>
          <m:sub>
            <m:r>
              <m:rPr/>
              <m:t>h</m:t>
            </m:r>
          </m:sub>
        </m:sSub>
      </m:oMath>
      <w:r>
        <w:rPr>
          <w:rFonts w:hint="eastAsia" w:ascii="Times New Roman" w:hAnsi="Times New Roman" w:eastAsia="宋体" w:cs="Times New Roman"/>
          <w:b w:val="0"/>
          <w:i w:val="0"/>
          <w:sz w:val="21"/>
        </w:rPr>
        <w:t xml:space="preserve"> 必然大于或小于 1：一个原本被地形削弱的位置，经覆盖层增强后仍可能低于一维参考，反之亦然。为检验覆盖层尺度与二维响应变化能否对应，再以覆盖层四分之一波长频率构造相对于坡高尺度频率的无量纲比值：</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2DFBD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7FD560C9">
            <w:pPr>
              <w:spacing w:before="60" w:after="60"/>
              <w:jc w:val="center"/>
            </w:pPr>
            <m:oMathPara>
              <m:oMath>
                <m:r>
                  <m:rPr/>
                  <m:t>χ</m:t>
                </m:r>
                <m:r>
                  <m:rPr>
                    <m:sty m:val="p"/>
                  </m:rPr>
                  <m:t>=</m:t>
                </m:r>
                <m:f>
                  <m:fPr/>
                  <m:num>
                    <m:sSub>
                      <m:sSubPr/>
                      <m:e>
                        <m:r>
                          <m:rPr/>
                          <m:t>f</m:t>
                        </m:r>
                      </m:e>
                      <m:sub>
                        <m:r>
                          <m:rPr/>
                          <m:t>s</m:t>
                        </m:r>
                      </m:sub>
                    </m:sSub>
                    <m:r>
                      <m:rPr/>
                      <m:t>h</m:t>
                    </m:r>
                  </m:num>
                  <m:den>
                    <m:sSub>
                      <m:sSubPr/>
                      <m:e>
                        <m:r>
                          <m:rPr/>
                          <m:t>V</m:t>
                        </m:r>
                      </m:e>
                      <m:sub>
                        <m:r>
                          <m:rPr>
                            <m:sty m:val="p"/>
                          </m:rPr>
                          <m:t>s,b</m:t>
                        </m:r>
                      </m:sub>
                    </m:sSub>
                  </m:den>
                </m:f>
                <m:r>
                  <m:rPr>
                    <m:sty m:val="p"/>
                  </m:rPr>
                  <m:t>=</m:t>
                </m:r>
                <m:f>
                  <m:fPr/>
                  <m:num>
                    <m:sSub>
                      <m:sSubPr/>
                      <m:e>
                        <m:r>
                          <m:rPr/>
                          <m:t>r</m:t>
                        </m:r>
                      </m:e>
                      <m:sub>
                        <m:r>
                          <m:rPr/>
                          <m:t>v</m:t>
                        </m:r>
                      </m:sub>
                    </m:sSub>
                  </m:num>
                  <m:den>
                    <m:r>
                      <m:rPr/>
                      <m:t>4</m:t>
                    </m:r>
                    <m:r>
                      <m:rPr>
                        <m:sty m:val="p"/>
                      </m:rPr>
                      <m:t>(</m:t>
                    </m:r>
                    <m:r>
                      <m:rPr/>
                      <m:t>d</m:t>
                    </m:r>
                    <m:r>
                      <m:rPr>
                        <m:sty m:val="p"/>
                      </m:rPr>
                      <m:t>/</m:t>
                    </m:r>
                    <m:r>
                      <m:rPr/>
                      <m:t>h</m:t>
                    </m:r>
                    <m:r>
                      <m:rPr>
                        <m:sty m:val="p"/>
                      </m:rPr>
                      <m:t>)</m:t>
                    </m:r>
                  </m:den>
                </m:f>
                <m:r>
                  <m:rPr>
                    <m:sty m:val="p"/>
                  </m:rPr>
                  <m:t>,</m:t>
                </m:r>
                <m:r>
                  <m:rPr/>
                  <m:t>  </m:t>
                </m:r>
                <m:sSub>
                  <m:sSubPr/>
                  <m:e>
                    <m:r>
                      <m:rPr/>
                      <m:t>f</m:t>
                    </m:r>
                  </m:e>
                  <m:sub>
                    <m:r>
                      <m:rPr/>
                      <m:t>s</m:t>
                    </m:r>
                  </m:sub>
                </m:sSub>
                <m:r>
                  <m:rPr>
                    <m:sty m:val="p"/>
                  </m:rPr>
                  <m:t>=</m:t>
                </m:r>
                <m:f>
                  <m:fPr/>
                  <m:num>
                    <m:sSub>
                      <m:sSubPr/>
                      <m:e>
                        <m:r>
                          <m:rPr/>
                          <m:t>V</m:t>
                        </m:r>
                      </m:e>
                      <m:sub>
                        <m:r>
                          <m:rPr>
                            <m:sty m:val="p"/>
                          </m:rPr>
                          <m:t>s,c</m:t>
                        </m:r>
                      </m:sub>
                    </m:sSub>
                  </m:num>
                  <m:den>
                    <m:r>
                      <m:rPr/>
                      <m:t>4d</m:t>
                    </m:r>
                  </m:den>
                </m:f>
                <m:r>
                  <m:rPr>
                    <m:sty m:val="p"/>
                  </m:rPr>
                  <m:t>.</m:t>
                </m:r>
              </m:oMath>
            </m:oMathPara>
          </w:p>
        </w:tc>
        <w:tc>
          <w:tcPr>
            <w:tcW w:w="4819" w:type="dxa"/>
          </w:tcPr>
          <w:p w14:paraId="3BB6CE2A">
            <w:pPr>
              <w:spacing w:before="60" w:after="60"/>
              <w:jc w:val="right"/>
            </w:pPr>
            <w:r>
              <w:rPr>
                <w:rFonts w:hint="eastAsia" w:ascii="Times New Roman" w:hAnsi="Times New Roman" w:eastAsia="Times New Roman" w:cs="Times New Roman"/>
                <w:b w:val="0"/>
                <w:i w:val="0"/>
                <w:sz w:val="21"/>
              </w:rPr>
              <w:t>(17)</w:t>
            </w:r>
          </w:p>
        </w:tc>
      </w:tr>
    </w:tbl>
    <w:p w14:paraId="348198F2">
      <w:pPr>
        <w:spacing w:before="0" w:after="0"/>
        <w:ind w:firstLine="420"/>
        <w:jc w:val="both"/>
      </w:pPr>
      <m:oMath>
        <m:r>
          <m:rPr/>
          <m:t>χ</m:t>
        </m:r>
      </m:oMath>
      <w:r>
        <w:rPr>
          <w:rFonts w:hint="eastAsia" w:ascii="Times New Roman" w:hAnsi="Times New Roman" w:eastAsia="宋体" w:cs="Times New Roman"/>
          <w:b w:val="0"/>
          <w:i w:val="0"/>
          <w:sz w:val="21"/>
        </w:rPr>
        <w:t xml:space="preserve"> 小表示覆盖层特征频率相对坡高尺度频率较低，可能进入本文主要分析频带；</w:t>
      </w:r>
      <m:oMath>
        <m:r>
          <m:rPr/>
          <m:t>χ</m:t>
        </m:r>
      </m:oMath>
      <w:r>
        <w:rPr>
          <w:rFonts w:hint="eastAsia" w:ascii="Times New Roman" w:hAnsi="Times New Roman" w:eastAsia="宋体" w:cs="Times New Roman"/>
          <w:b w:val="0"/>
          <w:i w:val="0"/>
          <w:sz w:val="21"/>
        </w:rPr>
        <w:t xml:space="preserve"> 大则表示覆盖层特征频率相对较高。式（17）只提供频率尺度，不预先规定二维坡体的主峰一定等于 </w:t>
      </w:r>
      <m:oMath>
        <m:sSub>
          <m:sSubPr/>
          <m:e>
            <m:r>
              <m:rPr/>
              <m:t>f</m:t>
            </m:r>
          </m:e>
          <m:sub>
            <m:r>
              <m:rPr/>
              <m:t>s</m:t>
            </m:r>
          </m:sub>
        </m:sSub>
      </m:oMath>
      <w:r>
        <w:rPr>
          <w:rFonts w:hint="eastAsia" w:ascii="Times New Roman" w:hAnsi="Times New Roman" w:eastAsia="宋体" w:cs="Times New Roman"/>
          <w:b w:val="0"/>
          <w:i w:val="0"/>
          <w:sz w:val="21"/>
        </w:rPr>
        <w:t xml:space="preserve">。坡角散射、平台干涉和斜入射水平相位差都会使局部主峰偏离一维四分之一波长频率。后文因此先比较完整频率—空间场，再检验各类修正指标是否随 </w:t>
      </w:r>
      <m:oMath>
        <m:r>
          <m:rPr/>
          <m:t>χ</m:t>
        </m:r>
      </m:oMath>
      <w:r>
        <w:rPr>
          <w:rFonts w:hint="eastAsia" w:ascii="Times New Roman" w:hAnsi="Times New Roman" w:eastAsia="宋体" w:cs="Times New Roman"/>
          <w:b w:val="0"/>
          <w:i w:val="0"/>
          <w:sz w:val="21"/>
        </w:rPr>
        <w:t xml:space="preserve"> 呈稳定变化，避免用一条一维频率公式替代二维结果。</w:t>
      </w:r>
    </w:p>
    <w:p w14:paraId="358E04AA">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pPr>
      <w:r>
        <w:rPr>
          <w:rFonts w:hint="eastAsia" w:ascii="Times New Roman" w:hAnsi="Times New Roman" w:eastAsia="宋体" w:cs="Times New Roman"/>
          <w:b/>
          <w:i w:val="0"/>
          <w:sz w:val="24"/>
        </w:rPr>
        <w:t>3.2 复频响的总体分布特征</w:t>
      </w:r>
    </w:p>
    <w:p w14:paraId="693D73B3">
      <w:pPr>
        <w:spacing w:before="0" w:after="0"/>
        <w:ind w:firstLine="420"/>
        <w:jc w:val="both"/>
      </w:pPr>
      <w:r>
        <w:rPr>
          <w:rFonts w:hint="eastAsia" w:ascii="Times New Roman" w:hAnsi="Times New Roman" w:eastAsia="宋体" w:cs="Times New Roman"/>
          <w:b w:val="0"/>
          <w:i w:val="0"/>
          <w:sz w:val="21"/>
        </w:rPr>
        <w:t xml:space="preserve">图7以均质陡坡 H004 和成层陡坡 P061 建立总体认识。两者坡角均为 </w:t>
      </w:r>
      <m:oMath>
        <m:sSup>
          <m:sSupPr/>
          <m:e>
            <m:r>
              <m:rPr/>
              <m:t>60</m:t>
            </m:r>
          </m:e>
          <m:sup>
            <m:r>
              <m:rPr>
                <m:sty m:val="p"/>
              </m:rPr>
              <m:t>∘</m:t>
            </m:r>
          </m:sup>
        </m:sSup>
      </m:oMath>
      <w:r>
        <w:rPr>
          <w:rFonts w:hint="eastAsia" w:ascii="Times New Roman" w:hAnsi="Times New Roman" w:eastAsia="宋体" w:cs="Times New Roman"/>
          <w:b w:val="0"/>
          <w:i w:val="0"/>
          <w:sz w:val="21"/>
        </w:rPr>
        <w:t xml:space="preserve">，区别在于 P061 含 </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 xml:space="preserve"> 的软厚覆盖层。H004 的 </w:t>
      </w:r>
      <m:oMath>
        <m:r>
          <m:rPr>
            <m:sty m:val="p"/>
          </m:rPr>
          <m:t>ln|</m:t>
        </m:r>
        <m:sSub>
          <m:sSubPr/>
          <m:e>
            <m:r>
              <m:rPr/>
              <m:t>G</m:t>
            </m:r>
          </m:e>
          <m:sub>
            <m:r>
              <m:rPr/>
              <m:t>h</m:t>
            </m:r>
          </m:sub>
        </m:sSub>
        <m:r>
          <m:rPr>
            <m:sty m:val="p"/>
          </m:rPr>
          <m:t>|</m:t>
        </m:r>
      </m:oMath>
      <w:r>
        <w:rPr>
          <w:rFonts w:hint="eastAsia" w:ascii="Times New Roman" w:hAnsi="Times New Roman" w:eastAsia="宋体" w:cs="Times New Roman"/>
          <w:b w:val="0"/>
          <w:i w:val="0"/>
          <w:sz w:val="21"/>
        </w:rPr>
        <w:t xml:space="preserve"> 场较平滑，显著变化主要集中在坡顶和坡面附近；其全场峰值为 1.638，位于 3.2 Hz、</w:t>
      </w:r>
      <m:oMath>
        <m:r>
          <m:rPr/>
          <m:t>s</m:t>
        </m:r>
        <m:r>
          <m:rPr>
            <m:sty m:val="p"/>
          </m:rPr>
          <m:t>=</m:t>
        </m:r>
        <m:r>
          <m:rPr/>
          <m:t>0</m:t>
        </m:r>
      </m:oMath>
      <w:r>
        <w:rPr>
          <w:rFonts w:hint="eastAsia" w:ascii="Times New Roman" w:hAnsi="Times New Roman" w:eastAsia="宋体" w:cs="Times New Roman"/>
          <w:b w:val="0"/>
          <w:i w:val="0"/>
          <w:sz w:val="21"/>
        </w:rPr>
        <w:t xml:space="preserve">。相位随频率和空间缓慢变化，群时延的1%～99%范围为 </w:t>
      </w:r>
      <m:oMath>
        <m:r>
          <m:rPr>
            <m:sty m:val="p"/>
          </m:rPr>
          <m:t>−</m:t>
        </m:r>
        <m:r>
          <m:rPr/>
          <m:t>0.074</m:t>
        </m:r>
      </m:oMath>
      <w:r>
        <w:rPr>
          <w:rFonts w:hint="eastAsia" w:ascii="Times New Roman" w:hAnsi="Times New Roman" w:eastAsia="宋体" w:cs="Times New Roman"/>
          <w:b w:val="0"/>
          <w:i w:val="0"/>
          <w:sz w:val="21"/>
        </w:rPr>
        <w:t>～0.100 s。该结果说明，即便没有覆盖层，陡坡几何也会使坡顶附近出现频带选择性放大，但主要结构仍由较少的宽缓条带组成。</w:t>
      </w:r>
    </w:p>
    <w:p w14:paraId="28670DEB">
      <w:pPr>
        <w:spacing w:before="80" w:after="40"/>
        <w:ind w:firstLine="0"/>
        <w:jc w:val="center"/>
      </w:pPr>
      <w:r>
        <w:drawing>
          <wp:inline distT="0" distB="0" distL="114300" distR="114300">
            <wp:extent cx="2880360" cy="1635125"/>
            <wp:effectExtent l="0" t="0" r="152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880360" cy="1635296"/>
                    </a:xfrm>
                    <a:prstGeom prst="rect">
                      <a:avLst/>
                    </a:prstGeom>
                  </pic:spPr>
                </pic:pic>
              </a:graphicData>
            </a:graphic>
          </wp:inline>
        </w:drawing>
      </w:r>
    </w:p>
    <w:p w14:paraId="215491A1">
      <w:pPr>
        <w:spacing w:before="0" w:after="0"/>
        <w:ind w:firstLine="0"/>
        <w:jc w:val="center"/>
      </w:pPr>
      <w:r>
        <w:rPr>
          <w:rFonts w:hint="eastAsia" w:ascii="Times New Roman" w:hAnsi="Times New Roman" w:eastAsia="宋体" w:cs="Times New Roman"/>
          <w:b w:val="0"/>
          <w:i w:val="0"/>
          <w:sz w:val="18"/>
        </w:rPr>
        <w:t>图7 统一左侧一维自由场参考下的代表工况复频响联合场：（a）～（c）H004 的对数幅值、展开相位和群时延；（d）～（f）P061 对应结果；虚线为坡顶与坡脚</w:t>
      </w:r>
    </w:p>
    <w:p w14:paraId="0DF936A1">
      <w:pPr>
        <w:spacing w:before="0" w:after="60"/>
        <w:ind w:firstLine="0"/>
        <w:jc w:val="center"/>
      </w:pPr>
      <w:r>
        <w:rPr>
          <w:rFonts w:hint="eastAsia" w:ascii="Times New Roman" w:hAnsi="Times New Roman" w:eastAsia="Times New Roman" w:cs="Times New Roman"/>
          <w:b w:val="0"/>
          <w:i w:val="0"/>
          <w:sz w:val="18"/>
        </w:rPr>
        <w:t>Fig. 7 Joint complex frequency-response fields of representative homogeneous and layered slopes under a single left-side reference</w:t>
      </w:r>
    </w:p>
    <w:p w14:paraId="2F68FD55">
      <w:pPr>
        <w:spacing w:before="0" w:after="0"/>
        <w:ind w:firstLine="420"/>
        <w:jc w:val="both"/>
      </w:pPr>
      <w:r>
        <w:rPr>
          <w:rFonts w:hint="eastAsia" w:ascii="Times New Roman" w:hAnsi="Times New Roman" w:eastAsia="宋体" w:cs="Times New Roman"/>
          <w:b w:val="0"/>
          <w:i w:val="0"/>
          <w:sz w:val="21"/>
        </w:rPr>
        <w:t xml:space="preserve">加入软厚覆盖层后，P061 场内出现多条弯曲的高低幅值条带，相位在坡脚前后形成大范围不同分支，群时延也出现交替的正负条带。其全场峰值为 4.012，位于 4.0 Hz、下平台 </w:t>
      </w:r>
      <m:oMath>
        <m:r>
          <m:rPr/>
          <m:t>s</m:t>
        </m:r>
        <m:r>
          <m:rPr>
            <m:sty m:val="p"/>
          </m:rPr>
          <m:t>=</m:t>
        </m:r>
        <m:r>
          <m:rPr/>
          <m:t>3.2</m:t>
        </m:r>
      </m:oMath>
      <w:r>
        <w:rPr>
          <w:rFonts w:hint="eastAsia" w:ascii="Times New Roman" w:hAnsi="Times New Roman" w:eastAsia="宋体" w:cs="Times New Roman"/>
          <w:b w:val="0"/>
          <w:i w:val="0"/>
          <w:sz w:val="21"/>
        </w:rPr>
        <w:t xml:space="preserve">，是 H004 的 2.45 倍；群时延1%～99%范围扩大为 </w:t>
      </w:r>
      <m:oMath>
        <m:r>
          <m:rPr>
            <m:sty m:val="p"/>
          </m:rPr>
          <m:t>−</m:t>
        </m:r>
        <m:r>
          <m:rPr/>
          <m:t>0.584</m:t>
        </m:r>
      </m:oMath>
      <w:r>
        <w:rPr>
          <w:rFonts w:hint="eastAsia" w:ascii="Times New Roman" w:hAnsi="Times New Roman" w:eastAsia="宋体" w:cs="Times New Roman"/>
          <w:b w:val="0"/>
          <w:i w:val="0"/>
          <w:sz w:val="21"/>
        </w:rPr>
        <w:t>～0.269 s，绝对极值由 H004 的 0.224 s 增至 0.685 s。峰值从坡顶移至下平台以及时延范围的显著增大共同表明，覆盖层带来的变化不只是“坡顶放大系数提高”，而是主控位置、主控频带和相位结构同时重组。</w:t>
      </w:r>
    </w:p>
    <w:p w14:paraId="275DBB22">
      <w:pPr>
        <w:spacing w:before="0" w:after="0"/>
        <w:ind w:firstLine="420"/>
        <w:jc w:val="both"/>
      </w:pPr>
      <w:r>
        <w:rPr>
          <w:rFonts w:hint="eastAsia" w:ascii="Times New Roman" w:hAnsi="Times New Roman" w:eastAsia="宋体" w:cs="Times New Roman"/>
          <w:b w:val="0"/>
          <w:i w:val="0"/>
          <w:sz w:val="21"/>
        </w:rPr>
        <w:t xml:space="preserve">若把两个工况放在同一坐标下比较，这种重组包含三个同时发生的量变。首先，全场最大幅值由 1.638 增至 4.012，增幅约 145%；其次，峰频由 3.2 Hz 移至 4.0 Hz，空间位置则由坡顶 </w:t>
      </w:r>
      <m:oMath>
        <m:r>
          <m:rPr/>
          <m:t>s</m:t>
        </m:r>
        <m:r>
          <m:rPr>
            <m:sty m:val="p"/>
          </m:rPr>
          <m:t>=</m:t>
        </m:r>
        <m:r>
          <m:rPr/>
          <m:t>0</m:t>
        </m:r>
      </m:oMath>
      <w:r>
        <w:rPr>
          <w:rFonts w:hint="eastAsia" w:ascii="Times New Roman" w:hAnsi="Times New Roman" w:eastAsia="宋体" w:cs="Times New Roman"/>
          <w:b w:val="0"/>
          <w:i w:val="0"/>
          <w:sz w:val="21"/>
        </w:rPr>
        <w:t xml:space="preserve"> 移到下平台 </w:t>
      </w:r>
      <m:oMath>
        <m:r>
          <m:rPr/>
          <m:t>s</m:t>
        </m:r>
        <m:r>
          <m:rPr>
            <m:sty m:val="p"/>
          </m:rPr>
          <m:t>=</m:t>
        </m:r>
        <m:r>
          <m:rPr/>
          <m:t>3.2</m:t>
        </m:r>
      </m:oMath>
      <w:r>
        <w:rPr>
          <w:rFonts w:hint="eastAsia" w:ascii="Times New Roman" w:hAnsi="Times New Roman" w:eastAsia="宋体" w:cs="Times New Roman"/>
          <w:b w:val="0"/>
          <w:i w:val="0"/>
          <w:sz w:val="21"/>
        </w:rPr>
        <w:t>，说明最大值不是原坡顶峰的简单抬高；再次，按图示1%～99%范围计算，群时延覆盖宽度由 0.174 s 扩大到 0.853 s，约为均质坡的 4.90 倍。幅值、峰位和时延响应格局同时重组，因此不能只用“成层后放大2.45倍”概括P061的响应。</w:t>
      </w:r>
    </w:p>
    <w:p w14:paraId="29CADC20">
      <w:pPr>
        <w:spacing w:before="0" w:after="0"/>
        <w:ind w:firstLine="420"/>
        <w:jc w:val="both"/>
      </w:pPr>
      <w:r>
        <w:rPr>
          <w:rFonts w:hint="eastAsia" w:ascii="Times New Roman" w:hAnsi="Times New Roman" w:eastAsia="宋体" w:cs="Times New Roman"/>
          <w:b w:val="0"/>
          <w:i w:val="0"/>
          <w:sz w:val="21"/>
        </w:rPr>
        <w:t xml:space="preserve">图7中 P061 在 </w:t>
      </w:r>
      <m:oMath>
        <m:r>
          <m:rPr/>
          <m:t>s</m:t>
        </m:r>
        <m:r>
          <m:rPr>
            <m:sty m:val="p"/>
          </m:rPr>
          <m:t>=</m:t>
        </m:r>
        <m:r>
          <m:rPr/>
          <m:t>1</m:t>
        </m:r>
      </m:oMath>
      <w:r>
        <w:rPr>
          <w:rFonts w:hint="eastAsia" w:ascii="Times New Roman" w:hAnsi="Times New Roman" w:eastAsia="宋体" w:cs="Times New Roman"/>
          <w:b w:val="0"/>
          <w:i w:val="0"/>
          <w:sz w:val="21"/>
        </w:rPr>
        <w:t xml:space="preserve"> 右侧仍有较强梯度，但它不再是一条贯穿全部频率的整齐断面。1～2 Hz 的低频条带、约 4 Hz 的下平台强响应以及 5～8 Hz 的多组干涉结构分别以不同方式穿过坡脚。这与图6所示的统一参考修正相吻合：与分母切换同步的规则伪影显著削弱后，二维坡脚散射和覆盖层干涉仍被保留。若为了追求图面连续而在 </w:t>
      </w:r>
      <m:oMath>
        <m:r>
          <m:rPr/>
          <m:t>s</m:t>
        </m:r>
        <m:r>
          <m:rPr>
            <m:sty m:val="p"/>
          </m:rPr>
          <m:t>=</m:t>
        </m:r>
        <m:r>
          <m:rPr/>
          <m:t>1</m:t>
        </m:r>
      </m:oMath>
      <w:r>
        <w:rPr>
          <w:rFonts w:hint="eastAsia" w:ascii="Times New Roman" w:hAnsi="Times New Roman" w:eastAsia="宋体" w:cs="Times New Roman"/>
          <w:b w:val="0"/>
          <w:i w:val="0"/>
          <w:sz w:val="21"/>
        </w:rPr>
        <w:t xml:space="preserve"> 附近做平滑，反而会抹去真实的局部相位梯度和峰位迁移。</w:t>
      </w:r>
    </w:p>
    <w:p w14:paraId="07E48D99">
      <w:pPr>
        <w:spacing w:before="0" w:after="0"/>
        <w:ind w:firstLine="420"/>
        <w:jc w:val="both"/>
      </w:pPr>
      <w:r>
        <w:rPr>
          <w:rFonts w:hint="eastAsia" w:ascii="Times New Roman" w:hAnsi="Times New Roman" w:eastAsia="宋体" w:cs="Times New Roman"/>
          <w:b w:val="0"/>
          <w:i w:val="0"/>
          <w:sz w:val="21"/>
        </w:rPr>
        <w:t>从群时延分位范围还能看出，P061的复杂性主要向负时延一侧扩展。H004的1%下限和99%上限分别为</w:t>
      </w:r>
      <m:oMath>
        <m:r>
          <m:rPr>
            <m:sty m:val="p"/>
          </m:rPr>
          <m:t>−</m:t>
        </m:r>
        <m:r>
          <m:rPr/>
          <m:t>0.074</m:t>
        </m:r>
      </m:oMath>
      <w:r>
        <w:rPr>
          <w:rFonts w:hint="eastAsia" w:ascii="Times New Roman" w:hAnsi="Times New Roman" w:eastAsia="宋体" w:cs="Times New Roman"/>
          <w:b w:val="0"/>
          <w:i w:val="0"/>
          <w:sz w:val="21"/>
        </w:rPr>
        <w:t xml:space="preserve"> s与0.100 s，P061则为</w:t>
      </w:r>
      <m:oMath>
        <m:r>
          <m:rPr>
            <m:sty m:val="p"/>
          </m:rPr>
          <m:t>−</m:t>
        </m:r>
        <m:r>
          <m:rPr/>
          <m:t>0.584</m:t>
        </m:r>
      </m:oMath>
      <w:r>
        <w:rPr>
          <w:rFonts w:hint="eastAsia" w:ascii="Times New Roman" w:hAnsi="Times New Roman" w:eastAsia="宋体" w:cs="Times New Roman"/>
          <w:b w:val="0"/>
          <w:i w:val="0"/>
          <w:sz w:val="21"/>
        </w:rPr>
        <w:t xml:space="preserve"> s与0.269 s；负侧绝对范围扩大约7.89倍，正侧约2.69倍。这个不对称扩展说明覆盖层并非给所有频率统一附加一个固定到时，而是在部分频带形成更陡的相位反转和干涉谷。若只是整体平移时程，相位随频率应近似增加一条线性趋势，群时延场也更接近单一符号；图7中交替的正负条带显然不是这种情况。</w:t>
      </w:r>
    </w:p>
    <w:p w14:paraId="0FF05A67">
      <w:pPr>
        <w:spacing w:before="0" w:after="0"/>
        <w:ind w:firstLine="420"/>
        <w:jc w:val="both"/>
      </w:pPr>
      <w:r>
        <w:rPr>
          <w:rFonts w:hint="eastAsia" w:ascii="Times New Roman" w:hAnsi="Times New Roman" w:eastAsia="宋体" w:cs="Times New Roman"/>
          <w:b w:val="0"/>
          <w:i w:val="0"/>
          <w:sz w:val="21"/>
        </w:rPr>
        <w:t>幅值峰的位置变化与群时延展宽应合在一起阅读。H004的1.638峰位于坡顶、3.2 Hz，仍属于几何折角附近的局部控制；P061的4.012峰位于下平台</w:t>
      </w:r>
      <m:oMath>
        <m:r>
          <m:rPr/>
          <m:t>s</m:t>
        </m:r>
        <m:r>
          <m:rPr>
            <m:sty m:val="p"/>
          </m:rPr>
          <m:t>=</m:t>
        </m:r>
        <m:r>
          <m:rPr/>
          <m:t>3.2</m:t>
        </m:r>
      </m:oMath>
      <w:r>
        <w:rPr>
          <w:rFonts w:hint="eastAsia" w:ascii="Times New Roman" w:hAnsi="Times New Roman" w:eastAsia="宋体" w:cs="Times New Roman"/>
          <w:b w:val="0"/>
          <w:i w:val="0"/>
          <w:sz w:val="21"/>
        </w:rPr>
        <w:t>、4.0 Hz，在频率和空间搜索范围内均未触及端点。后者不是把H004坡顶峰在原位放大2.45倍，而是另一组频率—位置组合成为全场最大。与此同时，群时延分位宽度扩大4.90倍，表明峰位迁移伴随更强的相位频散。两项证据相互补充：幅值说明相长干涉在哪里最强，群时延说明这种干涉在邻近频率上怎样快速重排。</w:t>
      </w:r>
    </w:p>
    <w:p w14:paraId="1F9B0368">
      <w:pPr>
        <w:spacing w:before="0" w:after="0"/>
        <w:ind w:firstLine="420"/>
        <w:jc w:val="both"/>
      </w:pPr>
      <w:r>
        <w:rPr>
          <w:rFonts w:hint="eastAsia" w:ascii="Times New Roman" w:hAnsi="Times New Roman" w:eastAsia="宋体" w:cs="Times New Roman"/>
          <w:b w:val="0"/>
          <w:i w:val="0"/>
          <w:sz w:val="21"/>
        </w:rPr>
        <w:t>频率—空间热图适合观察整体结构，但不易读出单一频率上各位置的相对关系。图8因而截取 1、3、5、7 和 9 Hz 的地表空间剖面。均质 H004 在五个频率下的幅值最大值都位于坡顶，依次为 1.147、1.633、1.540、1.489 和 1.490。随频率升高，坡顶两侧的空间波动增多，但“坡顶控制”的基本格局没有改变。相位剖面则由低频近似缓变逐渐形成更大的平台间差异，1～9 Hz 的全地表相位跨度由 24.3°增至161.2°。</w:t>
      </w:r>
    </w:p>
    <w:p w14:paraId="52421CD8">
      <w:pPr>
        <w:spacing w:before="80" w:after="40"/>
        <w:ind w:firstLine="0"/>
        <w:jc w:val="center"/>
      </w:pPr>
      <w:r>
        <w:drawing>
          <wp:inline distT="0" distB="0" distL="114300" distR="114300">
            <wp:extent cx="2880360" cy="1746885"/>
            <wp:effectExtent l="0" t="0" r="152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2880360" cy="1747481"/>
                    </a:xfrm>
                    <a:prstGeom prst="rect">
                      <a:avLst/>
                    </a:prstGeom>
                  </pic:spPr>
                </pic:pic>
              </a:graphicData>
            </a:graphic>
          </wp:inline>
        </w:drawing>
      </w:r>
    </w:p>
    <w:p w14:paraId="18C7C198">
      <w:pPr>
        <w:spacing w:before="0" w:after="0"/>
        <w:ind w:firstLine="0"/>
        <w:jc w:val="center"/>
      </w:pPr>
      <w:r>
        <w:rPr>
          <w:rFonts w:hint="eastAsia" w:ascii="Times New Roman" w:hAnsi="Times New Roman" w:eastAsia="宋体" w:cs="Times New Roman"/>
          <w:b w:val="0"/>
          <w:i w:val="0"/>
          <w:sz w:val="18"/>
        </w:rPr>
        <w:t>图8 H004 与 P061 在1、3、5、7和9 Hz固定频率下的地表空间响应：（a）、（b）幅值；（c）、（d）展开相位；灰带为坡面，虚线为坡顶和坡脚</w:t>
      </w:r>
    </w:p>
    <w:p w14:paraId="68A700C1">
      <w:pPr>
        <w:spacing w:before="0" w:after="60"/>
        <w:ind w:firstLine="0"/>
        <w:jc w:val="center"/>
      </w:pPr>
      <w:r>
        <w:rPr>
          <w:rFonts w:hint="eastAsia" w:ascii="Times New Roman" w:hAnsi="Times New Roman" w:eastAsia="Times New Roman" w:cs="Times New Roman"/>
          <w:b w:val="0"/>
          <w:i w:val="0"/>
          <w:sz w:val="18"/>
        </w:rPr>
        <w:t>Fig. 8 Surface response profiles at selected frequencies for H004 and P061</w:t>
      </w:r>
    </w:p>
    <w:p w14:paraId="37D2179B">
      <w:pPr>
        <w:spacing w:before="0" w:after="0"/>
        <w:ind w:firstLine="420"/>
        <w:jc w:val="both"/>
      </w:pPr>
      <w:r>
        <w:rPr>
          <w:rFonts w:hint="eastAsia" w:ascii="Times New Roman" w:hAnsi="Times New Roman" w:eastAsia="宋体" w:cs="Times New Roman"/>
          <w:b w:val="0"/>
          <w:i w:val="0"/>
          <w:sz w:val="21"/>
        </w:rPr>
        <w:t xml:space="preserve">P061 的空间剖面对频率更敏感。1 Hz 时，坡顶幅值为 1.227，而下平台 </w:t>
      </w:r>
      <m:oMath>
        <m:r>
          <m:rPr/>
          <m:t>s</m:t>
        </m:r>
        <m:r>
          <m:rPr>
            <m:sty m:val="p"/>
          </m:rPr>
          <m:t>=</m:t>
        </m:r>
        <m:r>
          <m:rPr/>
          <m:t>2</m:t>
        </m:r>
      </m:oMath>
      <w:r>
        <w:rPr>
          <w:rFonts w:hint="eastAsia" w:ascii="Times New Roman" w:hAnsi="Times New Roman" w:eastAsia="宋体" w:cs="Times New Roman"/>
          <w:b w:val="0"/>
          <w:i w:val="0"/>
          <w:sz w:val="21"/>
        </w:rPr>
        <w:t xml:space="preserve"> 仅为 0.232，相对坡顶低 81.1%；这一低频状态表现为坡顶附近放大、下平台大范围削弱。到 5 Hz，空间最大值移至 </w:t>
      </w:r>
      <m:oMath>
        <m:r>
          <m:rPr/>
          <m:t>s</m:t>
        </m:r>
        <m:r>
          <m:rPr>
            <m:sty m:val="p"/>
          </m:rPr>
          <m:t>=</m:t>
        </m:r>
        <m:r>
          <m:rPr/>
          <m:t>1.65</m:t>
        </m:r>
      </m:oMath>
      <w:r>
        <w:rPr>
          <w:rFonts w:hint="eastAsia" w:ascii="Times New Roman" w:hAnsi="Times New Roman" w:eastAsia="宋体" w:cs="Times New Roman"/>
          <w:b w:val="0"/>
          <w:i w:val="0"/>
          <w:sz w:val="21"/>
        </w:rPr>
        <w:t xml:space="preserve"> 并达到1.710；9 Hz 时又移至 </w:t>
      </w:r>
      <m:oMath>
        <m:r>
          <m:rPr/>
          <m:t>s</m:t>
        </m:r>
        <m:r>
          <m:rPr>
            <m:sty m:val="p"/>
          </m:rPr>
          <m:t>=</m:t>
        </m:r>
        <m:r>
          <m:rPr/>
          <m:t>1.20</m:t>
        </m:r>
      </m:oMath>
      <w:r>
        <w:rPr>
          <w:rFonts w:hint="eastAsia" w:ascii="Times New Roman" w:hAnsi="Times New Roman" w:eastAsia="宋体" w:cs="Times New Roman"/>
          <w:b w:val="0"/>
          <w:i w:val="0"/>
          <w:sz w:val="21"/>
        </w:rPr>
        <w:t>，幅值增至2.079。固定位置并不在所有频率上最不利，固定频率的危险位置也会变化。P061 的全地表相位跨度由1 Hz的41.4°扩大到9 Hz的575.0°，明显高于H004，说明高频成层干涉主要体现在空间相位快速变化及其伴随的局部幅值重分配。</w:t>
      </w:r>
    </w:p>
    <w:p w14:paraId="1EC5623C">
      <w:pPr>
        <w:spacing w:before="0" w:after="0"/>
        <w:ind w:firstLine="420"/>
        <w:jc w:val="both"/>
      </w:pPr>
      <w:r>
        <w:rPr>
          <w:rFonts w:hint="eastAsia" w:ascii="Times New Roman" w:hAnsi="Times New Roman" w:eastAsia="宋体" w:cs="Times New Roman"/>
          <w:b w:val="0"/>
          <w:i w:val="0"/>
          <w:sz w:val="21"/>
        </w:rPr>
        <w:t>五条剖面把图7中的弯曲条带转化为一组可追踪的空间迁移。P061在1、3、5、7和9 Hz的空间最大值依次为1.227、1.349、1.710、1.502和2.079，对应位置依次为</w:t>
      </w:r>
      <m:oMath>
        <m:r>
          <m:rPr/>
          <m:t>s</m:t>
        </m:r>
        <m:r>
          <m:rPr>
            <m:sty m:val="p"/>
          </m:rPr>
          <m:t>=</m:t>
        </m:r>
        <m:r>
          <m:rPr/>
          <m:t>0</m:t>
        </m:r>
      </m:oMath>
      <w:r>
        <w:rPr>
          <w:rFonts w:hint="eastAsia" w:ascii="Times New Roman" w:hAnsi="Times New Roman" w:eastAsia="宋体" w:cs="Times New Roman"/>
          <w:b w:val="0"/>
          <w:i w:val="0"/>
          <w:sz w:val="21"/>
        </w:rPr>
        <w:t>、</w:t>
      </w:r>
      <m:oMath>
        <m:r>
          <m:rPr>
            <m:sty m:val="p"/>
          </m:rPr>
          <m:t>−</m:t>
        </m:r>
        <m:r>
          <m:rPr/>
          <m:t>3.40</m:t>
        </m:r>
      </m:oMath>
      <w:r>
        <w:rPr>
          <w:rFonts w:hint="eastAsia" w:ascii="Times New Roman" w:hAnsi="Times New Roman" w:eastAsia="宋体" w:cs="Times New Roman"/>
          <w:b w:val="0"/>
          <w:i w:val="0"/>
          <w:sz w:val="21"/>
        </w:rPr>
        <w:t>、1.65、</w:t>
      </w:r>
      <m:oMath>
        <m:r>
          <m:rPr>
            <m:sty m:val="p"/>
          </m:rPr>
          <m:t>−</m:t>
        </m:r>
        <m:r>
          <m:rPr/>
          <m:t>0.65</m:t>
        </m:r>
      </m:oMath>
      <w:r>
        <w:rPr>
          <w:rFonts w:hint="eastAsia" w:ascii="Times New Roman" w:hAnsi="Times New Roman" w:eastAsia="宋体" w:cs="Times New Roman"/>
          <w:b w:val="0"/>
          <w:i w:val="0"/>
          <w:sz w:val="21"/>
        </w:rPr>
        <w:t>和1.20。控制位置由坡顶转到远上平台，再跨过坡面进入下平台，随后回到上平台并再次落到坡脚右侧，未形成“频率越高，峰值越沿同一方向移动”的简单规律。这里3 Hz的</w:t>
      </w:r>
      <m:oMath>
        <m:r>
          <m:rPr/>
          <m:t>s</m:t>
        </m:r>
        <m:r>
          <m:rPr>
            <m:sty m:val="p"/>
          </m:rPr>
          <m:t>=−</m:t>
        </m:r>
        <m:r>
          <m:rPr/>
          <m:t>3.40</m:t>
        </m:r>
      </m:oMath>
      <w:r>
        <w:rPr>
          <w:rFonts w:hint="eastAsia" w:ascii="Times New Roman" w:hAnsi="Times New Roman" w:eastAsia="宋体" w:cs="Times New Roman"/>
          <w:b w:val="0"/>
          <w:i w:val="0"/>
          <w:sz w:val="21"/>
        </w:rPr>
        <w:t>仍在搜索域内部，不应标为空间端点，但它距坡体较远，解释时要与坡体邻域的分区统计区分；5 Hz和9 Hz的峰则明确位于下平台内部。</w:t>
      </w:r>
    </w:p>
    <w:p w14:paraId="00708FDC">
      <w:pPr>
        <w:spacing w:before="0" w:after="0"/>
        <w:ind w:firstLine="420"/>
        <w:jc w:val="both"/>
      </w:pPr>
      <w:r>
        <w:rPr>
          <w:rFonts w:hint="eastAsia" w:ascii="Times New Roman" w:hAnsi="Times New Roman" w:eastAsia="宋体" w:cs="Times New Roman"/>
          <w:b w:val="0"/>
          <w:i w:val="0"/>
          <w:sz w:val="21"/>
        </w:rPr>
        <w:t>相位剖面给出的迁移比幅值更连续。H004在1、3、5、7和9 Hz的全地表相位跨度分别为24.3°、39.8°、99.5°、138.5°和161.2°，总体随频率增大；P061对应为41.4°、203.2°、254.6°、418.2°和575.0°，从3 Hz开始便超过一个较大的空间相位转角。相位跨度增大并不要求每个位置的幅值同步上升，而是意味着沿地表更容易出现相长与相消位置的交替。因此，P061在7 Hz的空间最大值1.502低于5 Hz的1.710，但相位跨度仍由254.6°增至418.2°，表明场形变得更复杂而全场最大幅值没有单调增大。</w:t>
      </w:r>
    </w:p>
    <w:p w14:paraId="2E1AEB7A">
      <w:pPr>
        <w:spacing w:before="0" w:after="0"/>
        <w:ind w:firstLine="420"/>
        <w:jc w:val="both"/>
      </w:pPr>
      <w:r>
        <w:rPr>
          <w:rFonts w:hint="eastAsia" w:ascii="Times New Roman" w:hAnsi="Times New Roman" w:eastAsia="宋体" w:cs="Times New Roman"/>
          <w:b w:val="0"/>
          <w:i w:val="0"/>
          <w:sz w:val="21"/>
        </w:rPr>
        <w:t>两类坡在固定频率下的差异并非所有频率都同样显著。H004 五条剖面的最大值在 1.147～1.633 之间，3 Hz 最大值比 1 Hz 高 42.4%，但控制位置始终为坡顶；P061 在 5 Hz 和 9 Hz 的空间最大值则分别比 H004 同频最大值高 11.0% 和 39.5%，且两次都落在坡脚右侧。相位差异随频率增长得更快：1 Hz 时 P061 的全地表相位跨度为 H004 的 1.70 倍，9 Hz 时扩大为 3.57 倍；从1 Hz到9 Hz，H004 相位跨度增至原来的6.63倍，P061则增至13.89倍。可见覆盖层影响在高频端更突出地表现为位置间相位失配，而幅值峰只是这种失配在部分位置形成相长干涉后的结果。</w:t>
      </w:r>
    </w:p>
    <w:p w14:paraId="255FF64F">
      <w:pPr>
        <w:spacing w:before="0" w:after="0"/>
        <w:ind w:firstLine="420"/>
        <w:jc w:val="both"/>
      </w:pPr>
      <w:r>
        <w:rPr>
          <w:rFonts w:hint="eastAsia" w:ascii="Times New Roman" w:hAnsi="Times New Roman" w:eastAsia="宋体" w:cs="Times New Roman"/>
          <w:b w:val="0"/>
          <w:i w:val="0"/>
          <w:sz w:val="21"/>
        </w:rPr>
        <w:t>固定频率剖面也给出了理解工程“坡顶放大”的边界。对于 H004，坡顶作为几何突变位置在本文频带内持续控制幅值，使用坡顶谱能够概括主要趋势；对于 P061，强响应可以出现在坡顶、坡脚邻域或下平台，单独报告坡顶会漏掉 5 Hz 和 9 Hz 的空间最大值。本文后续参数统计因此同时保留全场峰值和 A/B/C 分区结果。全场峰值用于识别最不利频率—位置组合，分区统计则判断峰值是否只是远平台端点或某个局部窄带造成。</w:t>
      </w:r>
    </w:p>
    <w:p w14:paraId="5B886C79">
      <w:pPr>
        <w:spacing w:before="0" w:after="0"/>
        <w:ind w:firstLine="420"/>
        <w:jc w:val="both"/>
      </w:pPr>
      <w:r>
        <w:rPr>
          <w:rFonts w:hint="eastAsia" w:ascii="Times New Roman" w:hAnsi="Times New Roman" w:eastAsia="宋体" w:cs="Times New Roman"/>
          <w:b w:val="0"/>
          <w:i w:val="0"/>
          <w:sz w:val="21"/>
        </w:rPr>
        <w:t>H004的五个固定频率最大值全部位于</w:t>
      </w:r>
      <m:oMath>
        <m:r>
          <m:rPr/>
          <m:t>s</m:t>
        </m:r>
        <m:r>
          <m:rPr>
            <m:sty m:val="p"/>
          </m:rPr>
          <m:t>=</m:t>
        </m:r>
        <m:r>
          <m:rPr/>
          <m:t>0</m:t>
        </m:r>
      </m:oMath>
      <w:r>
        <w:rPr>
          <w:rFonts w:hint="eastAsia" w:ascii="Times New Roman" w:hAnsi="Times New Roman" w:eastAsia="宋体" w:cs="Times New Roman"/>
          <w:b w:val="0"/>
          <w:i w:val="0"/>
          <w:sz w:val="21"/>
        </w:rPr>
        <w:t>，但幅值由1 Hz的1.147升至3 Hz的1.633后，又在5～9 Hz维持于1.489～1.540，并非随频率持续增加。这说明“坡顶控制”指控制位置稳定，不等于坡顶放大系数单调随频率增大。与之相比，P061的幅值和位置同时变化，9 Hz最大值2.079虽比H004同频高39.5%，却仍低于P061完整场在4.0 Hz、</w:t>
      </w:r>
      <m:oMath>
        <m:r>
          <m:rPr/>
          <m:t>s</m:t>
        </m:r>
        <m:r>
          <m:rPr>
            <m:sty m:val="p"/>
          </m:rPr>
          <m:t>=</m:t>
        </m:r>
        <m:r>
          <m:rPr/>
          <m:t>3.2</m:t>
        </m:r>
      </m:oMath>
      <w:r>
        <w:rPr>
          <w:rFonts w:hint="eastAsia" w:ascii="Times New Roman" w:hAnsi="Times New Roman" w:eastAsia="宋体" w:cs="Times New Roman"/>
          <w:b w:val="0"/>
          <w:i w:val="0"/>
          <w:sz w:val="21"/>
        </w:rPr>
        <w:t>处的4.012。固定频率剖面只负责说明所选切片的空间格局，不能用五条切片中的最大值替代96个频率组成的全场搜索。</w:t>
      </w:r>
    </w:p>
    <w:p w14:paraId="737B62D6">
      <w:pPr>
        <w:spacing w:before="0" w:after="0"/>
        <w:ind w:firstLine="420"/>
        <w:jc w:val="both"/>
      </w:pPr>
      <w:r>
        <w:rPr>
          <w:rFonts w:hint="eastAsia" w:ascii="Times New Roman" w:hAnsi="Times New Roman" w:eastAsia="宋体" w:cs="Times New Roman"/>
          <w:b w:val="0"/>
          <w:i w:val="0"/>
          <w:sz w:val="21"/>
        </w:rPr>
        <w:t>图7和图8由此形成“全场—横切片”的对应关系。热图中的斜向或弯曲条带意味着峰位随频率移动，固定频率剖面正好给出条带与某一水平截线的交点；若热图出现贯穿频带的竖直断面，剖面则会在每个频率的同一位置同步跳变。修正后的P061表现为前者而非后者，这既支持参考统一后的连续性判断，也说明剩余空间起伏属于频率相关的二维响应。将两种图并列，可以避免凭单幅热图色差判断突变，也避免凭少数剖面遗漏条带的整体走向。</w:t>
      </w:r>
    </w:p>
    <w:p w14:paraId="404CF257">
      <w:pPr>
        <w:spacing w:before="0" w:after="0"/>
        <w:ind w:firstLine="420"/>
        <w:jc w:val="both"/>
      </w:pPr>
      <w:r>
        <w:rPr>
          <w:rFonts w:hint="eastAsia" w:ascii="Times New Roman" w:hAnsi="Times New Roman" w:eastAsia="宋体" w:cs="Times New Roman"/>
          <w:b w:val="0"/>
          <w:i w:val="0"/>
          <w:sz w:val="21"/>
        </w:rPr>
        <w:t xml:space="preserve">图9从另一方向截取 P061：固定上平台 </w:t>
      </w:r>
      <m:oMath>
        <m:r>
          <m:rPr/>
          <m:t>s</m:t>
        </m:r>
        <m:r>
          <m:rPr>
            <m:sty m:val="p"/>
          </m:rPr>
          <m:t>=−</m:t>
        </m:r>
        <m:r>
          <m:rPr/>
          <m:t>2</m:t>
        </m:r>
      </m:oMath>
      <w:r>
        <w:rPr>
          <w:rFonts w:hint="eastAsia" w:ascii="Times New Roman" w:hAnsi="Times New Roman" w:eastAsia="宋体" w:cs="Times New Roman"/>
          <w:b w:val="0"/>
          <w:i w:val="0"/>
          <w:sz w:val="21"/>
        </w:rPr>
        <w:t xml:space="preserve">、坡顶 </w:t>
      </w:r>
      <m:oMath>
        <m:r>
          <m:rPr/>
          <m:t>s</m:t>
        </m:r>
        <m:r>
          <m:rPr>
            <m:sty m:val="p"/>
          </m:rPr>
          <m:t>=</m:t>
        </m:r>
        <m:r>
          <m:rPr/>
          <m:t>0</m:t>
        </m:r>
      </m:oMath>
      <w:r>
        <w:rPr>
          <w:rFonts w:hint="eastAsia" w:ascii="Times New Roman" w:hAnsi="Times New Roman" w:eastAsia="宋体" w:cs="Times New Roman"/>
          <w:b w:val="0"/>
          <w:i w:val="0"/>
          <w:sz w:val="21"/>
        </w:rPr>
        <w:t xml:space="preserve">、坡面中部 </w:t>
      </w:r>
      <m:oMath>
        <m:r>
          <m:rPr/>
          <m:t>s</m:t>
        </m:r>
        <m:r>
          <m:rPr>
            <m:sty m:val="p"/>
          </m:rPr>
          <m:t>=</m:t>
        </m:r>
        <m:r>
          <m:rPr/>
          <m:t>0.5</m:t>
        </m:r>
      </m:oMath>
      <w:r>
        <w:rPr>
          <w:rFonts w:hint="eastAsia" w:ascii="Times New Roman" w:hAnsi="Times New Roman" w:eastAsia="宋体" w:cs="Times New Roman"/>
          <w:b w:val="0"/>
          <w:i w:val="0"/>
          <w:sz w:val="21"/>
        </w:rPr>
        <w:t xml:space="preserve">、坡脚 </w:t>
      </w:r>
      <m:oMath>
        <m:r>
          <m:rPr/>
          <m:t>s</m:t>
        </m:r>
        <m:r>
          <m:rPr>
            <m:sty m:val="p"/>
          </m:rPr>
          <m:t>=</m:t>
        </m:r>
        <m:r>
          <m:rPr/>
          <m:t>1</m:t>
        </m:r>
      </m:oMath>
      <w:r>
        <w:rPr>
          <w:rFonts w:hint="eastAsia" w:ascii="Times New Roman" w:hAnsi="Times New Roman" w:eastAsia="宋体" w:cs="Times New Roman"/>
          <w:b w:val="0"/>
          <w:i w:val="0"/>
          <w:sz w:val="21"/>
        </w:rPr>
        <w:t xml:space="preserve"> 和下平台 </w:t>
      </w:r>
      <m:oMath>
        <m:r>
          <m:rPr/>
          <m:t>s</m:t>
        </m:r>
        <m:r>
          <m:rPr>
            <m:sty m:val="p"/>
          </m:rPr>
          <m:t>=</m:t>
        </m:r>
        <m:r>
          <m:rPr/>
          <m:t>2</m:t>
        </m:r>
      </m:oMath>
      <w:r>
        <w:rPr>
          <w:rFonts w:hint="eastAsia" w:ascii="Times New Roman" w:hAnsi="Times New Roman" w:eastAsia="宋体" w:cs="Times New Roman"/>
          <w:b w:val="0"/>
          <w:i w:val="0"/>
          <w:sz w:val="21"/>
        </w:rPr>
        <w:t>，比较幅值、相位和群时延随频率的变化。五个位置的幅值峰分别在4.5 Hz处达到1.595、在1.9 Hz处达到2.015、在6.5 Hz处达到1.316、在10 Hz分析上界达到1.571，以及在3.8 Hz处达到2.310。覆盖层一维四分之一波长频率为1.07 Hz，但除坡顶1.9 Hz峰相对接近外，其余位置峰频分布在3.8 Hz至不低于10 Hz，未出现全地表统一锁定于1.07 Hz的现象。这说明一维覆盖层频率只能作为耦合尺度，不能直接代替二维局部主峰。</w:t>
      </w:r>
    </w:p>
    <w:p w14:paraId="15442540">
      <w:pPr>
        <w:spacing w:before="0" w:after="0"/>
        <w:ind w:firstLine="420"/>
        <w:jc w:val="both"/>
      </w:pPr>
      <w:r>
        <w:rPr>
          <w:rFonts w:hint="eastAsia" w:ascii="Times New Roman" w:hAnsi="Times New Roman" w:eastAsia="宋体" w:cs="Times New Roman"/>
          <w:b w:val="0"/>
          <w:i w:val="0"/>
          <w:sz w:val="21"/>
        </w:rPr>
        <w:t xml:space="preserve">用 </w:t>
      </w:r>
      <m:oMath>
        <m:sSub>
          <m:sSubPr/>
          <m:e>
            <m:r>
              <m:rPr/>
              <m:t>f</m:t>
            </m:r>
          </m:e>
          <m:sub>
            <m:r>
              <m:rPr/>
              <m:t>s</m:t>
            </m:r>
          </m:sub>
        </m:sSub>
        <m:r>
          <m:rPr>
            <m:sty m:val="p"/>
          </m:rPr>
          <m:t>=</m:t>
        </m:r>
        <m:r>
          <m:rPr/>
          <m:t>1.07</m:t>
        </m:r>
      </m:oMath>
      <w:r>
        <w:rPr>
          <w:rFonts w:hint="eastAsia" w:ascii="Times New Roman" w:hAnsi="Times New Roman" w:eastAsia="宋体" w:cs="Times New Roman"/>
          <w:b w:val="0"/>
          <w:i w:val="0"/>
          <w:sz w:val="21"/>
        </w:rPr>
        <w:t xml:space="preserve"> Hz 对五个局部峰频归一化，可得到上平台、坡顶、坡面中部、坡脚和下平台的 </w:t>
      </w:r>
      <m:oMath>
        <m:sSub>
          <m:sSubPr/>
          <m:e>
            <m:r>
              <m:rPr/>
              <m:t>f</m:t>
            </m:r>
          </m:e>
          <m:sub>
            <m:r>
              <m:rPr/>
              <m:t>p</m:t>
            </m:r>
          </m:sub>
        </m:sSub>
        <m:r>
          <m:rPr>
            <m:sty m:val="p"/>
          </m:rPr>
          <m:t>/</m:t>
        </m:r>
        <m:sSub>
          <m:sSubPr/>
          <m:e>
            <m:r>
              <m:rPr/>
              <m:t>f</m:t>
            </m:r>
          </m:e>
          <m:sub>
            <m:r>
              <m:rPr/>
              <m:t>s</m:t>
            </m:r>
          </m:sub>
        </m:sSub>
      </m:oMath>
      <w:r>
        <w:rPr>
          <w:rFonts w:hint="eastAsia" w:ascii="Times New Roman" w:hAnsi="Times New Roman" w:eastAsia="宋体" w:cs="Times New Roman"/>
          <w:b w:val="0"/>
          <w:i w:val="0"/>
          <w:sz w:val="21"/>
        </w:rPr>
        <w:t xml:space="preserve"> 分别约为 4.21、1.78、6.07、</w:t>
      </w:r>
      <m:oMath>
        <m:r>
          <m:rPr>
            <m:sty m:val="p"/>
          </m:rPr>
          <m:t>≥</m:t>
        </m:r>
        <m:r>
          <m:rPr/>
          <m:t>9.35</m:t>
        </m:r>
      </m:oMath>
      <w:r>
        <w:rPr>
          <w:rFonts w:hint="eastAsia" w:ascii="Times New Roman" w:hAnsi="Times New Roman" w:eastAsia="宋体" w:cs="Times New Roman"/>
          <w:b w:val="0"/>
          <w:i w:val="0"/>
          <w:sz w:val="21"/>
        </w:rPr>
        <w:t xml:space="preserve"> 和 3.55。若覆盖层仅以一维驻波形式整体控制地表，这些比值应在各位置附近集中；实际结果却跨越至少 1.78～9.35，并且最大幅值 2.310 出现在 </w:t>
      </w:r>
      <m:oMath>
        <m:r>
          <m:rPr/>
          <m:t>s</m:t>
        </m:r>
        <m:r>
          <m:rPr>
            <m:sty m:val="p"/>
          </m:rPr>
          <m:t>=</m:t>
        </m:r>
        <m:r>
          <m:rPr/>
          <m:t>2</m:t>
        </m:r>
      </m:oMath>
      <w:r>
        <w:rPr>
          <w:rFonts w:hint="eastAsia" w:ascii="Times New Roman" w:hAnsi="Times New Roman" w:eastAsia="宋体" w:cs="Times New Roman"/>
          <w:b w:val="0"/>
          <w:i w:val="0"/>
          <w:sz w:val="21"/>
        </w:rPr>
        <w:t xml:space="preserve">、3.8 Hz，而不是最接近 </w:t>
      </w:r>
      <m:oMath>
        <m:sSub>
          <m:sSubPr/>
          <m:e>
            <m:r>
              <m:rPr/>
              <m:t>f</m:t>
            </m:r>
          </m:e>
          <m:sub>
            <m:r>
              <m:rPr/>
              <m:t>s</m:t>
            </m:r>
          </m:sub>
        </m:sSub>
      </m:oMath>
      <w:r>
        <w:rPr>
          <w:rFonts w:hint="eastAsia" w:ascii="Times New Roman" w:hAnsi="Times New Roman" w:eastAsia="宋体" w:cs="Times New Roman"/>
          <w:b w:val="0"/>
          <w:i w:val="0"/>
          <w:sz w:val="21"/>
        </w:rPr>
        <w:t xml:space="preserve"> 的坡顶峰。下平台峰值还比坡顶高 14.6%，坡面中部峰值仅为下平台的 57.0%。这些对比表明，同一覆盖层尺度进入二维坡体后，会因位置不同而与坡顶散射、坡脚绕射及平台传播形成不同组合。</w:t>
      </w:r>
    </w:p>
    <w:p w14:paraId="1513E3B4">
      <w:pPr>
        <w:spacing w:before="0" w:after="0"/>
        <w:ind w:firstLine="420"/>
        <w:jc w:val="both"/>
      </w:pPr>
      <w:r>
        <w:rPr>
          <w:rFonts w:hint="eastAsia" w:ascii="Times New Roman" w:hAnsi="Times New Roman" w:eastAsia="宋体" w:cs="Times New Roman"/>
          <w:b w:val="0"/>
          <w:i w:val="0"/>
          <w:sz w:val="21"/>
        </w:rPr>
        <w:t>固定位置谱是图8的正交读法。图8在每个选定频率沿</w:t>
      </w:r>
      <m:oMath>
        <m:r>
          <m:rPr/>
          <m:t>s</m:t>
        </m:r>
      </m:oMath>
      <w:r>
        <w:rPr>
          <w:rFonts w:hint="eastAsia" w:ascii="Times New Roman" w:hAnsi="Times New Roman" w:eastAsia="宋体" w:cs="Times New Roman"/>
          <w:b w:val="0"/>
          <w:i w:val="0"/>
          <w:sz w:val="21"/>
        </w:rPr>
        <w:t>横向观察，图9则在每个选定位置沿</w:t>
      </w:r>
      <m:oMath>
        <m:r>
          <m:rPr/>
          <m:t>f</m:t>
        </m:r>
      </m:oMath>
      <w:r>
        <w:rPr>
          <w:rFonts w:hint="eastAsia" w:ascii="Times New Roman" w:hAnsi="Times New Roman" w:eastAsia="宋体" w:cs="Times New Roman"/>
          <w:b w:val="0"/>
          <w:i w:val="0"/>
          <w:sz w:val="21"/>
        </w:rPr>
        <w:t>纵向追踪；二者交叉处必须来自同一复数场。例如，图8显示1 Hz下平台</w:t>
      </w:r>
      <m:oMath>
        <m:r>
          <m:rPr/>
          <m:t>s</m:t>
        </m:r>
        <m:r>
          <m:rPr>
            <m:sty m:val="p"/>
          </m:rPr>
          <m:t>=</m:t>
        </m:r>
        <m:r>
          <m:rPr/>
          <m:t>2</m:t>
        </m:r>
      </m:oMath>
      <w:r>
        <w:rPr>
          <w:rFonts w:hint="eastAsia" w:ascii="Times New Roman" w:hAnsi="Times New Roman" w:eastAsia="宋体" w:cs="Times New Roman"/>
          <w:b w:val="0"/>
          <w:i w:val="0"/>
          <w:sz w:val="21"/>
        </w:rPr>
        <w:t>幅值仅0.232，图9则显示该位置随频率继续演化并在3.8 Hz形成2.310的内部峰。若只看1 Hz剖面，会把下平台概括为持续削弱；若只看3.8 Hz的局部峰，又会遗漏同一位置在低频的显著削弱。二维场的核心正在于同一位置和同一频率都不能脱离另一坐标单独概括。</w:t>
      </w:r>
    </w:p>
    <w:p w14:paraId="14DFD8D3">
      <w:pPr>
        <w:spacing w:before="0" w:after="0"/>
        <w:ind w:firstLine="420"/>
        <w:jc w:val="both"/>
      </w:pPr>
      <w:r>
        <w:rPr>
          <w:rFonts w:hint="eastAsia" w:ascii="Times New Roman" w:hAnsi="Times New Roman" w:eastAsia="宋体" w:cs="Times New Roman"/>
          <w:b w:val="0"/>
          <w:i w:val="0"/>
          <w:sz w:val="21"/>
        </w:rPr>
        <w:t>五个位置的展开相位跨度也没有按幅值峰值大小排序。上平台、坡顶、坡面中部、坡脚和下平台在0.5～10 Hz内的相位跨度分别约为140.5°、291.9°、91.2°、345.6°和312.2°；幅值峰值最低的坡面中部，相位跨度也最小，而幅值峰值最大的下平台具有较大但并非最大的相位跨度。坡脚幅值峰仅1.571，却有345.6°的最大跨度。由此可见，幅值衡量相对响应强弱，相位跨度衡量频率推进过程中复数方向的累计变化，两者相关但不能互相替代。</w:t>
      </w:r>
    </w:p>
    <w:p w14:paraId="75C3F2E5">
      <w:pPr>
        <w:spacing w:before="80" w:after="40"/>
        <w:ind w:firstLine="0"/>
        <w:jc w:val="center"/>
      </w:pPr>
      <w:r>
        <w:drawing>
          <wp:inline distT="0" distB="0" distL="114300" distR="114300">
            <wp:extent cx="2880360" cy="962025"/>
            <wp:effectExtent l="0" t="0" r="152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2880360" cy="962129"/>
                    </a:xfrm>
                    <a:prstGeom prst="rect">
                      <a:avLst/>
                    </a:prstGeom>
                  </pic:spPr>
                </pic:pic>
              </a:graphicData>
            </a:graphic>
          </wp:inline>
        </w:drawing>
      </w:r>
    </w:p>
    <w:p w14:paraId="5B379E3A">
      <w:pPr>
        <w:spacing w:before="0" w:after="0"/>
        <w:ind w:firstLine="0"/>
        <w:jc w:val="center"/>
      </w:pPr>
      <w:r>
        <w:rPr>
          <w:rFonts w:hint="eastAsia" w:ascii="Times New Roman" w:hAnsi="Times New Roman" w:eastAsia="宋体" w:cs="Times New Roman"/>
          <w:b w:val="0"/>
          <w:i w:val="0"/>
          <w:sz w:val="18"/>
        </w:rPr>
        <w:t xml:space="preserve">图9 P061在上平台 </w:t>
      </w:r>
      <m:oMath>
        <m:r>
          <m:rPr/>
          <m:t>s</m:t>
        </m:r>
        <m:r>
          <m:rPr>
            <m:sty m:val="p"/>
          </m:rPr>
          <m:t>=−</m:t>
        </m:r>
        <m:r>
          <m:rPr/>
          <m:t>2</m:t>
        </m:r>
      </m:oMath>
      <w:r>
        <w:rPr>
          <w:rFonts w:hint="eastAsia" w:ascii="Times New Roman" w:hAnsi="Times New Roman" w:eastAsia="宋体" w:cs="Times New Roman"/>
          <w:b w:val="0"/>
          <w:i w:val="0"/>
          <w:sz w:val="18"/>
        </w:rPr>
        <w:t xml:space="preserve">、坡顶 </w:t>
      </w:r>
      <m:oMath>
        <m:r>
          <m:rPr/>
          <m:t>s</m:t>
        </m:r>
        <m:r>
          <m:rPr>
            <m:sty m:val="p"/>
          </m:rPr>
          <m:t>=</m:t>
        </m:r>
        <m:r>
          <m:rPr/>
          <m:t>0</m:t>
        </m:r>
      </m:oMath>
      <w:r>
        <w:rPr>
          <w:rFonts w:hint="eastAsia" w:ascii="Times New Roman" w:hAnsi="Times New Roman" w:eastAsia="宋体" w:cs="Times New Roman"/>
          <w:b w:val="0"/>
          <w:i w:val="0"/>
          <w:sz w:val="18"/>
        </w:rPr>
        <w:t xml:space="preserve">、坡面中部 </w:t>
      </w:r>
      <m:oMath>
        <m:r>
          <m:rPr/>
          <m:t>s</m:t>
        </m:r>
        <m:r>
          <m:rPr>
            <m:sty m:val="p"/>
          </m:rPr>
          <m:t>=</m:t>
        </m:r>
        <m:r>
          <m:rPr/>
          <m:t>0.5</m:t>
        </m:r>
      </m:oMath>
      <w:r>
        <w:rPr>
          <w:rFonts w:hint="eastAsia" w:ascii="Times New Roman" w:hAnsi="Times New Roman" w:eastAsia="宋体" w:cs="Times New Roman"/>
          <w:b w:val="0"/>
          <w:i w:val="0"/>
          <w:sz w:val="18"/>
        </w:rPr>
        <w:t xml:space="preserve">、坡脚 </w:t>
      </w:r>
      <m:oMath>
        <m:r>
          <m:rPr/>
          <m:t>s</m:t>
        </m:r>
        <m:r>
          <m:rPr>
            <m:sty m:val="p"/>
          </m:rPr>
          <m:t>=</m:t>
        </m:r>
        <m:r>
          <m:rPr/>
          <m:t>1</m:t>
        </m:r>
      </m:oMath>
      <w:r>
        <w:rPr>
          <w:rFonts w:hint="eastAsia" w:ascii="Times New Roman" w:hAnsi="Times New Roman" w:eastAsia="宋体" w:cs="Times New Roman"/>
          <w:b w:val="0"/>
          <w:i w:val="0"/>
          <w:sz w:val="18"/>
        </w:rPr>
        <w:t xml:space="preserve"> 和下平台 </w:t>
      </w:r>
      <m:oMath>
        <m:r>
          <m:rPr/>
          <m:t>s</m:t>
        </m:r>
        <m:r>
          <m:rPr>
            <m:sty m:val="p"/>
          </m:rPr>
          <m:t>=</m:t>
        </m:r>
        <m:r>
          <m:rPr/>
          <m:t>2</m:t>
        </m:r>
      </m:oMath>
      <w:r>
        <w:rPr>
          <w:rFonts w:hint="eastAsia" w:ascii="Times New Roman" w:hAnsi="Times New Roman" w:eastAsia="宋体" w:cs="Times New Roman"/>
          <w:b w:val="0"/>
          <w:i w:val="0"/>
          <w:sz w:val="18"/>
        </w:rPr>
        <w:t xml:space="preserve"> 的复频响谱：（a）幅值；（b）展开相位；（c）群时延；竖虚线为覆盖层一维四分之一波长频率</w:t>
      </w:r>
    </w:p>
    <w:p w14:paraId="06F88425">
      <w:pPr>
        <w:spacing w:before="0" w:after="60"/>
        <w:ind w:firstLine="0"/>
        <w:jc w:val="center"/>
      </w:pPr>
      <w:r>
        <w:rPr>
          <w:rFonts w:hint="eastAsia" w:ascii="Times New Roman" w:hAnsi="Times New Roman" w:eastAsia="Times New Roman" w:cs="Times New Roman"/>
          <w:b w:val="0"/>
          <w:i w:val="0"/>
          <w:sz w:val="18"/>
        </w:rPr>
        <w:t>Fig. 9 Complex frequency-response spectra at selected surface locations of P061</w:t>
      </w:r>
    </w:p>
    <w:p w14:paraId="3522F2F5">
      <w:pPr>
        <w:spacing w:before="0" w:after="0"/>
        <w:ind w:firstLine="420"/>
        <w:jc w:val="both"/>
      </w:pPr>
      <w:r>
        <w:rPr>
          <w:rFonts w:hint="eastAsia" w:ascii="Times New Roman" w:hAnsi="Times New Roman" w:eastAsia="宋体" w:cs="Times New Roman"/>
          <w:b w:val="0"/>
          <w:i w:val="0"/>
          <w:sz w:val="21"/>
        </w:rPr>
        <w:t>坡脚幅值在10 Hz分析上界仍呈上升趋势，其峰值只能写作“</w:t>
      </w:r>
      <m:oMath>
        <m:r>
          <m:rPr>
            <m:sty m:val="p"/>
          </m:rPr>
          <m:t>≥</m:t>
        </m:r>
        <m:r>
          <m:rPr/>
          <m:t>10</m:t>
        </m:r>
      </m:oMath>
      <w:r>
        <w:rPr>
          <w:rFonts w:hint="eastAsia" w:ascii="Times New Roman" w:hAnsi="Times New Roman" w:eastAsia="宋体" w:cs="Times New Roman"/>
          <w:b w:val="0"/>
          <w:i w:val="0"/>
          <w:sz w:val="21"/>
        </w:rPr>
        <w:t xml:space="preserve"> Hz”，不能据此认定真实主峰恰为10 Hz。类似地，坡脚和下平台的负群时延极值分别达到 </w:t>
      </w:r>
      <m:oMath>
        <m:r>
          <m:rPr>
            <m:sty m:val="p"/>
          </m:rPr>
          <m:t>−</m:t>
        </m:r>
        <m:r>
          <m:rPr/>
          <m:t>0.621</m:t>
        </m:r>
      </m:oMath>
      <w:r>
        <w:rPr>
          <w:rFonts w:hint="eastAsia" w:ascii="Times New Roman" w:hAnsi="Times New Roman" w:eastAsia="宋体" w:cs="Times New Roman"/>
          <w:b w:val="0"/>
          <w:i w:val="0"/>
          <w:sz w:val="21"/>
        </w:rPr>
        <w:t xml:space="preserve"> s 和 </w:t>
      </w:r>
      <m:oMath>
        <m:r>
          <m:rPr>
            <m:sty m:val="p"/>
          </m:rPr>
          <m:t>−</m:t>
        </m:r>
        <m:r>
          <m:rPr/>
          <m:t>0.680</m:t>
        </m:r>
      </m:oMath>
      <w:r>
        <w:rPr>
          <w:rFonts w:hint="eastAsia" w:ascii="Times New Roman" w:hAnsi="Times New Roman" w:eastAsia="宋体" w:cs="Times New Roman"/>
          <w:b w:val="0"/>
          <w:i w:val="0"/>
          <w:sz w:val="21"/>
        </w:rPr>
        <w:t xml:space="preserve"> s，远大于坡顶的 </w:t>
      </w:r>
      <m:oMath>
        <m:r>
          <m:rPr>
            <m:sty m:val="p"/>
          </m:rPr>
          <m:t>−</m:t>
        </m:r>
        <m:r>
          <m:rPr/>
          <m:t>0.100</m:t>
        </m:r>
      </m:oMath>
      <w:r>
        <w:rPr>
          <w:rFonts w:hint="eastAsia" w:ascii="Times New Roman" w:hAnsi="Times New Roman" w:eastAsia="宋体" w:cs="Times New Roman"/>
          <w:b w:val="0"/>
          <w:i w:val="0"/>
          <w:sz w:val="21"/>
        </w:rPr>
        <w:t xml:space="preserve"> s。这些极值集中在幅值快速变化的频带，既反映强干涉，也对相位导数和频带边缘敏感。本文将其用于比较成层前后的相位复杂程度，不把单个负时延极值解释为某条波以负时间传播。</w:t>
      </w:r>
    </w:p>
    <w:p w14:paraId="18E41222">
      <w:pPr>
        <w:spacing w:before="0" w:after="0"/>
        <w:ind w:firstLine="420"/>
        <w:jc w:val="both"/>
      </w:pPr>
      <w:r>
        <w:rPr>
          <w:rFonts w:hint="eastAsia" w:ascii="Times New Roman" w:hAnsi="Times New Roman" w:eastAsia="宋体" w:cs="Times New Roman"/>
          <w:b w:val="0"/>
          <w:i w:val="0"/>
          <w:sz w:val="21"/>
        </w:rPr>
        <w:t>群时延极值所在频率进一步揭示幅值峰与相位转折并不重合。上平台、坡顶、坡面中部、坡脚和下平台的最小群时延分别约为</w:t>
      </w:r>
      <m:oMath>
        <m:r>
          <m:rPr>
            <m:sty m:val="p"/>
          </m:rPr>
          <m:t>−</m:t>
        </m:r>
        <m:r>
          <m:rPr/>
          <m:t>0.230</m:t>
        </m:r>
      </m:oMath>
      <w:r>
        <w:rPr>
          <w:rFonts w:hint="eastAsia" w:ascii="Times New Roman" w:hAnsi="Times New Roman" w:eastAsia="宋体" w:cs="Times New Roman"/>
          <w:b w:val="0"/>
          <w:i w:val="0"/>
          <w:sz w:val="21"/>
        </w:rPr>
        <w:t>、</w:t>
      </w:r>
      <m:oMath>
        <m:r>
          <m:rPr>
            <m:sty m:val="p"/>
          </m:rPr>
          <m:t>−</m:t>
        </m:r>
        <m:r>
          <m:rPr/>
          <m:t>0.100</m:t>
        </m:r>
      </m:oMath>
      <w:r>
        <w:rPr>
          <w:rFonts w:hint="eastAsia" w:ascii="Times New Roman" w:hAnsi="Times New Roman" w:eastAsia="宋体" w:cs="Times New Roman"/>
          <w:b w:val="0"/>
          <w:i w:val="0"/>
          <w:sz w:val="21"/>
        </w:rPr>
        <w:t>、</w:t>
      </w:r>
      <m:oMath>
        <m:r>
          <m:rPr>
            <m:sty m:val="p"/>
          </m:rPr>
          <m:t>−</m:t>
        </m:r>
        <m:r>
          <m:rPr/>
          <m:t>0.324</m:t>
        </m:r>
      </m:oMath>
      <w:r>
        <w:rPr>
          <w:rFonts w:hint="eastAsia" w:ascii="Times New Roman" w:hAnsi="Times New Roman" w:eastAsia="宋体" w:cs="Times New Roman"/>
          <w:b w:val="0"/>
          <w:i w:val="0"/>
          <w:sz w:val="21"/>
        </w:rPr>
        <w:t>、</w:t>
      </w:r>
      <m:oMath>
        <m:r>
          <m:rPr>
            <m:sty m:val="p"/>
          </m:rPr>
          <m:t>−</m:t>
        </m:r>
        <m:r>
          <m:rPr/>
          <m:t>0.621</m:t>
        </m:r>
      </m:oMath>
      <w:r>
        <w:rPr>
          <w:rFonts w:hint="eastAsia" w:ascii="Times New Roman" w:hAnsi="Times New Roman" w:eastAsia="宋体" w:cs="Times New Roman"/>
          <w:b w:val="0"/>
          <w:i w:val="0"/>
          <w:sz w:val="21"/>
        </w:rPr>
        <w:t>和</w:t>
      </w:r>
      <m:oMath>
        <m:r>
          <m:rPr>
            <m:sty m:val="p"/>
          </m:rPr>
          <m:t>−</m:t>
        </m:r>
        <m:r>
          <m:rPr/>
          <m:t>0.680</m:t>
        </m:r>
      </m:oMath>
      <w:r>
        <w:rPr>
          <w:rFonts w:hint="eastAsia" w:ascii="Times New Roman" w:hAnsi="Times New Roman" w:eastAsia="宋体" w:cs="Times New Roman"/>
          <w:b w:val="0"/>
          <w:i w:val="0"/>
          <w:sz w:val="21"/>
        </w:rPr>
        <w:t xml:space="preserve"> s，对应频率为6.2、4.7、5.0、5.3和1.1 Hz；而各位置幅值峰频分别为4.5、1.9、6.5、</w:t>
      </w:r>
      <m:oMath>
        <m:r>
          <m:rPr>
            <m:sty m:val="p"/>
          </m:rPr>
          <m:t>≥</m:t>
        </m:r>
        <m:r>
          <m:rPr/>
          <m:t>10</m:t>
        </m:r>
      </m:oMath>
      <w:r>
        <w:rPr>
          <w:rFonts w:hint="eastAsia" w:ascii="Times New Roman" w:hAnsi="Times New Roman" w:eastAsia="宋体" w:cs="Times New Roman"/>
          <w:b w:val="0"/>
          <w:i w:val="0"/>
          <w:sz w:val="21"/>
        </w:rPr>
        <w:t>和3.8 Hz。尤其下平台最负群时延出现在1.1 Hz，接近覆盖层一维特征频率1.07 Hz，但其幅值最大值在3.8 Hz。这表明一维尺度可以首先体现在相位斜率上，二维空间中的最大幅值则由后续干涉共同决定，不能要求二者在同一频率重合。</w:t>
      </w:r>
    </w:p>
    <w:p w14:paraId="3834510E">
      <w:pPr>
        <w:spacing w:before="0" w:after="0"/>
        <w:ind w:firstLine="420"/>
        <w:jc w:val="both"/>
      </w:pPr>
      <w:r>
        <w:rPr>
          <w:rFonts w:hint="eastAsia" w:ascii="Times New Roman" w:hAnsi="Times New Roman" w:eastAsia="宋体" w:cs="Times New Roman"/>
          <w:b w:val="0"/>
          <w:i w:val="0"/>
          <w:sz w:val="21"/>
        </w:rPr>
        <w:t>上述负极值也要与分位范围区分。极值只对应单个或少数频点，适合定位需要核查的相位急转；1%～99%范围舍去最外侧少量值，更适合比较一整幅场的常见变化程度。图7用分位范围说明P061总体比H004复杂，图9再用极值指出复杂性集中在哪些位置和频带。若只报告极值，可能把微分对局部起伏的放大写成全场特征；若只报告分位范围，又会看不到坡脚和下平台的局部强干涉。两种统计承担不同任务，并不相互替代。</w:t>
      </w:r>
    </w:p>
    <w:p w14:paraId="4D2F740B">
      <w:pPr>
        <w:spacing w:before="0" w:after="0"/>
        <w:ind w:firstLine="420"/>
        <w:jc w:val="both"/>
      </w:pPr>
      <w:r>
        <w:rPr>
          <w:rFonts w:hint="eastAsia" w:ascii="Times New Roman" w:hAnsi="Times New Roman" w:eastAsia="宋体" w:cs="Times New Roman"/>
          <w:b w:val="0"/>
          <w:i w:val="0"/>
          <w:sz w:val="21"/>
        </w:rPr>
        <w:t>坡脚这一边界结果尤其说明“最大值”和“已识别主峰”不能等同。</w:t>
      </w:r>
      <m:oMath>
        <m:r>
          <m:rPr/>
          <m:t>s</m:t>
        </m:r>
        <m:r>
          <m:rPr>
            <m:sty m:val="p"/>
          </m:rPr>
          <m:t>=</m:t>
        </m:r>
        <m:r>
          <m:rPr/>
          <m:t>1</m:t>
        </m:r>
      </m:oMath>
      <w:r>
        <w:rPr>
          <w:rFonts w:hint="eastAsia" w:ascii="Times New Roman" w:hAnsi="Times New Roman" w:eastAsia="宋体" w:cs="Times New Roman"/>
          <w:b w:val="0"/>
          <w:i w:val="0"/>
          <w:sz w:val="21"/>
        </w:rPr>
        <w:t xml:space="preserve"> 的幅值在当前频带上界取到 1.571，只能确认截至10 Hz仍存在上升谱支；若把它与下平台3.8 Hz处2.310的内部峰按同一种精度报告，就会掩盖两者证据等级的差别。群时延亦然：坡脚和下平台的负极值绝对值分别约为坡顶的6.21倍和6.80倍，但这些数值来自相位导数，不能脱离相邻幅值与相位曲线单独排序。本文保留它们，是为了标记高干涉频带和后续参数比较的重点，而不是把负号解释成绝对到时提前。</w:t>
      </w:r>
    </w:p>
    <w:p w14:paraId="05B13068">
      <w:pPr>
        <w:spacing w:before="0" w:after="0"/>
        <w:ind w:firstLine="420"/>
        <w:jc w:val="both"/>
      </w:pPr>
      <w:r>
        <w:rPr>
          <w:rFonts w:hint="eastAsia" w:ascii="Times New Roman" w:hAnsi="Times New Roman" w:eastAsia="宋体" w:cs="Times New Roman"/>
          <w:b w:val="0"/>
          <w:i w:val="0"/>
          <w:sz w:val="21"/>
        </w:rPr>
        <w:t>下平台3.8 Hz峰、P061全场4.0 Hz峰和图8的5 Hz空间峰可以连成一条清楚的证据链。</w:t>
      </w:r>
      <m:oMath>
        <m:r>
          <m:rPr/>
          <m:t>s</m:t>
        </m:r>
        <m:r>
          <m:rPr>
            <m:sty m:val="p"/>
          </m:rPr>
          <m:t>=</m:t>
        </m:r>
        <m:r>
          <m:rPr/>
          <m:t>2</m:t>
        </m:r>
      </m:oMath>
      <w:r>
        <w:rPr>
          <w:rFonts w:hint="eastAsia" w:ascii="Times New Roman" w:hAnsi="Times New Roman" w:eastAsia="宋体" w:cs="Times New Roman"/>
          <w:b w:val="0"/>
          <w:i w:val="0"/>
          <w:sz w:val="21"/>
        </w:rPr>
        <w:t>位置谱在3.8 Hz达到2.310，说明下平台内部确有可解析的频带峰；完整场又在邻近4.0 Hz、</w:t>
      </w:r>
      <m:oMath>
        <m:r>
          <m:rPr/>
          <m:t>s</m:t>
        </m:r>
        <m:r>
          <m:rPr>
            <m:sty m:val="p"/>
          </m:rPr>
          <m:t>=</m:t>
        </m:r>
        <m:r>
          <m:rPr/>
          <m:t>3.2</m:t>
        </m:r>
      </m:oMath>
      <w:r>
        <w:rPr>
          <w:rFonts w:hint="eastAsia" w:ascii="Times New Roman" w:hAnsi="Times New Roman" w:eastAsia="宋体" w:cs="Times New Roman"/>
          <w:b w:val="0"/>
          <w:i w:val="0"/>
          <w:sz w:val="21"/>
        </w:rPr>
        <w:t>达到4.012，说明沿下平台继续变化后出现更强局部响应；到5 Hz，空间最大值移到</w:t>
      </w:r>
      <m:oMath>
        <m:r>
          <m:rPr/>
          <m:t>s</m:t>
        </m:r>
        <m:r>
          <m:rPr>
            <m:sty m:val="p"/>
          </m:rPr>
          <m:t>=</m:t>
        </m:r>
        <m:r>
          <m:rPr/>
          <m:t>1.65</m:t>
        </m:r>
      </m:oMath>
      <w:r>
        <w:rPr>
          <w:rFonts w:hint="eastAsia" w:ascii="Times New Roman" w:hAnsi="Times New Roman" w:eastAsia="宋体" w:cs="Times New Roman"/>
          <w:b w:val="0"/>
          <w:i w:val="0"/>
          <w:sz w:val="21"/>
        </w:rPr>
        <w:t>并降为1.710，表明该强峰不是贯穿中频的整段高台，而是一组具有明确频率和空间范围的干涉结构。三幅图对同一结构的不同切片相互吻合，比单独引用4.012这一最大值更能说明其物理含义。</w:t>
      </w:r>
    </w:p>
    <w:p w14:paraId="343A4BB3">
      <w:pPr>
        <w:spacing w:before="0" w:after="0"/>
        <w:ind w:firstLine="420"/>
        <w:jc w:val="both"/>
      </w:pPr>
      <w:r>
        <w:rPr>
          <w:rFonts w:hint="eastAsia" w:ascii="Times New Roman" w:hAnsi="Times New Roman" w:eastAsia="宋体" w:cs="Times New Roman"/>
          <w:b w:val="0"/>
          <w:i w:val="0"/>
          <w:sz w:val="21"/>
        </w:rPr>
        <w:t>相反，坡脚10 Hz结果目前只有“达到搜索上界”这一层证据。它的空间坐标</w:t>
      </w:r>
      <m:oMath>
        <m:r>
          <m:rPr/>
          <m:t>s</m:t>
        </m:r>
        <m:r>
          <m:rPr>
            <m:sty m:val="p"/>
          </m:rPr>
          <m:t>=</m:t>
        </m:r>
        <m:r>
          <m:rPr/>
          <m:t>1</m:t>
        </m:r>
      </m:oMath>
      <w:r>
        <w:rPr>
          <w:rFonts w:hint="eastAsia" w:ascii="Times New Roman" w:hAnsi="Times New Roman" w:eastAsia="宋体" w:cs="Times New Roman"/>
          <w:b w:val="0"/>
          <w:i w:val="0"/>
          <w:sz w:val="21"/>
        </w:rPr>
        <w:t>并非观测端点，坡脚处的响应值得关注；但频率方向尚未看到峰后回落，因此可以比较其截至10 Hz的最大幅值，却不宜用10 Hz参与内部主峰迁移的精确拟合。若后续需要判断真实坡脚峰频，应扩大可信分析频带并同步核查输入能量、网格分辨率和相位连续性，而不是只在现有曲线上外插。本文采取边界标签，正是把当前数据能回答的问题与尚不能回答的问题分开。</w:t>
      </w:r>
    </w:p>
    <w:p w14:paraId="3B762B0E">
      <w:pPr>
        <w:spacing w:before="0" w:after="0"/>
        <w:ind w:firstLine="420"/>
        <w:jc w:val="both"/>
      </w:pPr>
      <w:r>
        <w:rPr>
          <w:rFonts w:hint="eastAsia" w:ascii="Times New Roman" w:hAnsi="Times New Roman" w:eastAsia="宋体" w:cs="Times New Roman"/>
          <w:b w:val="0"/>
          <w:i w:val="0"/>
          <w:sz w:val="21"/>
        </w:rPr>
        <w:t>综合图6—图9，复频响场的判读可以落到一条可复核的证据顺序上。首先确认输入在目标频带可识别，并保证二维分子和全地表分母采用同一复数定义；其次观察热图中的异常是否固定在参考切换位置、是否贯穿全部频带，以排除后处理标尺造成的整齐分界；然后用固定频率剖面核对响应在上平台、坡面和下平台之间怎样分配，再用固定位置谱判断峰形是否在频率方向闭合；最后才比较全场峰、相位跨度和群时延。按此顺序，H004可以概括为控制位置较稳定但幅值随频率起伏的坡顶型响应，P061则表现为频率、位置和相位结构共同迁移的成层响应。这个结论来自多种切片之间的相互印证，而不是由某一个最大值或某一条色带单独决定。</w:t>
      </w:r>
    </w:p>
    <w:p w14:paraId="43C6EE42">
      <w:pPr>
        <w:spacing w:before="0" w:after="0"/>
        <w:ind w:firstLine="420"/>
        <w:jc w:val="both"/>
      </w:pPr>
      <w:r>
        <w:rPr>
          <w:rFonts w:hint="eastAsia" w:ascii="Times New Roman" w:hAnsi="Times New Roman" w:eastAsia="宋体" w:cs="Times New Roman"/>
          <w:b w:val="0"/>
          <w:i w:val="0"/>
          <w:sz w:val="21"/>
        </w:rPr>
        <w:t>三组图从互补角度给出同一结论：均质坡的主要特征是坡顶附近较稳定的频带放大，成层坡则呈现位置随频率迁移、频带随位置变化的二维响应。完整复数场保留了这种对应关系，而全场单一峰值只能给出其中一个最不利点。后续比较坡角、厚度比和波速比时，若某参数使全场峰值升高，还需同时检查峰位是否由坡顶转到下平台、主峰是否碰到10 Hz上界、相位和群时延是否同步变化；只有这些信息合并起来，才能判断参数改变的是响应强度、主控频带，还是空间干涉格局。</w:t>
      </w:r>
    </w:p>
    <w:p w14:paraId="63E23562">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pPr>
      <w:r>
        <w:rPr>
          <w:rFonts w:hint="eastAsia" w:ascii="Times New Roman" w:hAnsi="Times New Roman" w:eastAsia="宋体" w:cs="Times New Roman"/>
          <w:b/>
          <w:i w:val="0"/>
          <w:sz w:val="24"/>
        </w:rPr>
        <w:t>3.3 坡角及覆盖层参数的影响</w:t>
      </w:r>
    </w:p>
    <w:p w14:paraId="1EAA9608">
      <w:pPr>
        <w:spacing w:before="0" w:after="0"/>
        <w:ind w:firstLine="420"/>
        <w:jc w:val="both"/>
      </w:pPr>
      <w:r>
        <w:rPr>
          <w:rFonts w:hint="eastAsia" w:ascii="Times New Roman" w:hAnsi="Times New Roman" w:eastAsia="宋体" w:cs="Times New Roman"/>
          <w:b w:val="0"/>
          <w:i w:val="0"/>
          <w:sz w:val="21"/>
        </w:rPr>
        <w:t>上一节表明，成层坡地的最大响应可能在坡顶、坡面或下平台之间迁移。参数比较若只取坡顶单点，容易把“峰值减小”与“峰值移到别处”混为一谈。本节采用两种互补口径：控制变量序列用于观察完整谱形怎样改变，64 个全因子工况的边际分布用于判断该变化在其余参数组合下是否仍然存在。边际分布中的每个参数水平含16个确定性工况，图中的中位数和四分位距只用于概括离散结果，不作随机抽样意义上的显著性推断。</w:t>
      </w:r>
    </w:p>
    <w:p w14:paraId="7CC051CE">
      <w:pPr>
        <w:spacing w:before="0" w:after="0"/>
        <w:ind w:firstLine="420"/>
        <w:jc w:val="both"/>
      </w:pPr>
      <w:r>
        <w:rPr>
          <w:rFonts w:hint="eastAsia" w:ascii="Times New Roman" w:hAnsi="Times New Roman" w:eastAsia="宋体" w:cs="Times New Roman"/>
          <w:b w:val="0"/>
          <w:i w:val="0"/>
          <w:sz w:val="21"/>
        </w:rPr>
        <w:t>坡角的影响先由 H001～H004 四个均质坡建立基线。图10(a)显示，随着坡角由15°增至60°，地表最大幅值包络整体抬升；全频—全空间峰值依次为1.269、1.492、1.571和1.638，增幅为29.1%，表现为单调增强。这个趋势与地形突变变陡后坡顶散射加强的认识一致，但峰频并不随坡角单调移动：四个均质坡的主峰频率依次为2.2、9.9、8.1和3.2 Hz。30°坡的控制峰靠近分析高频端，60°坡又回到3.2 Hz，说明几何变陡同时改变了多个散射模态的相对强弱，而不是把同一个峰连续推向高频或低频。</w:t>
      </w:r>
    </w:p>
    <w:p w14:paraId="3F57D9B5">
      <w:pPr>
        <w:spacing w:before="0" w:after="0"/>
        <w:ind w:firstLine="420"/>
        <w:jc w:val="both"/>
      </w:pPr>
      <w:r>
        <w:rPr>
          <w:rFonts w:hint="eastAsia" w:ascii="Times New Roman" w:hAnsi="Times New Roman" w:eastAsia="宋体" w:cs="Times New Roman"/>
          <w:b w:val="0"/>
          <w:i w:val="0"/>
          <w:sz w:val="21"/>
        </w:rPr>
        <w:t xml:space="preserve">峰值位置进一步说明，均质坡幅值的单调抬升并不等于同一空间峰被连续放大。H001、H002、H003和H004的峰位依次为 </w:t>
      </w:r>
      <m:oMath>
        <m:r>
          <m:rPr/>
          <m:t>s</m:t>
        </m:r>
        <m:r>
          <m:rPr>
            <m:sty m:val="p"/>
          </m:rPr>
          <m:t>=</m:t>
        </m:r>
        <m:r>
          <m:rPr/>
          <m:t>0.05</m:t>
        </m:r>
      </m:oMath>
      <w:r>
        <w:rPr>
          <w:rFonts w:hint="eastAsia" w:ascii="Times New Roman" w:hAnsi="Times New Roman" w:eastAsia="宋体" w:cs="Times New Roman"/>
          <w:b w:val="0"/>
          <w:i w:val="0"/>
          <w:sz w:val="21"/>
        </w:rPr>
        <w:t>、</w:t>
      </w:r>
      <m:oMath>
        <m:r>
          <m:rPr>
            <m:sty m:val="p"/>
          </m:rPr>
          <m:t>−</m:t>
        </m:r>
        <m:r>
          <m:rPr/>
          <m:t>0.05</m:t>
        </m:r>
      </m:oMath>
      <w:r>
        <w:rPr>
          <w:rFonts w:hint="eastAsia" w:ascii="Times New Roman" w:hAnsi="Times New Roman" w:eastAsia="宋体" w:cs="Times New Roman"/>
          <w:b w:val="0"/>
          <w:i w:val="0"/>
          <w:sz w:val="21"/>
        </w:rPr>
        <w:t>、3.90和0，其中45°坡的8.1 Hz控制峰落在下平台远端，而其余三例位于坡顶邻域。也就是说，均质基线中较稳定的是“最大幅值随坡角总体增大”，并非“峰频和峰位都由坡角唯一决定”。这种区别很重要：若只记录四个峰值大小，会得到清楚的单调曲线；把峰频和峰位一并保留后，看到的却是不同空间—频率峰之间的换位。后文判断覆盖层效应时，因此以同坡角均质场作复数配对，而不把某一个均质峰当作所有成层坡共同的固定模态。</w:t>
      </w:r>
    </w:p>
    <w:p w14:paraId="7839A296">
      <w:pPr>
        <w:spacing w:before="80" w:after="40"/>
        <w:ind w:firstLine="0"/>
        <w:jc w:val="center"/>
      </w:pPr>
      <w:r>
        <w:drawing>
          <wp:inline distT="0" distB="0" distL="114300" distR="114300">
            <wp:extent cx="2880360" cy="1777365"/>
            <wp:effectExtent l="0" t="0" r="15240"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2880360" cy="1777656"/>
                    </a:xfrm>
                    <a:prstGeom prst="rect">
                      <a:avLst/>
                    </a:prstGeom>
                  </pic:spPr>
                </pic:pic>
              </a:graphicData>
            </a:graphic>
          </wp:inline>
        </w:drawing>
      </w:r>
    </w:p>
    <w:p w14:paraId="41776041">
      <w:pPr>
        <w:spacing w:before="0" w:after="0"/>
        <w:ind w:firstLine="0"/>
        <w:jc w:val="center"/>
      </w:pPr>
      <w:r>
        <w:rPr>
          <w:rFonts w:hint="eastAsia" w:ascii="Times New Roman" w:hAnsi="Times New Roman" w:eastAsia="宋体" w:cs="Times New Roman"/>
          <w:b w:val="0"/>
          <w:i w:val="0"/>
          <w:sz w:val="18"/>
        </w:rPr>
        <w:t xml:space="preserve">图10 坡角对地表最大幅值包络及全场峰值的影响：（a）均质坡；（b）固定 </w:t>
      </w:r>
      <m:oMath>
        <m:r>
          <m:rPr/>
          <m:t>d</m:t>
        </m:r>
        <m:r>
          <m:rPr>
            <m:sty m:val="p"/>
          </m:rPr>
          <m:t>/</m:t>
        </m:r>
        <m:r>
          <m:rPr/>
          <m:t>h</m:t>
        </m:r>
        <m:r>
          <m:rPr>
            <m:sty m:val="p"/>
          </m:rPr>
          <m:t>=</m:t>
        </m:r>
        <m:r>
          <m:rPr/>
          <m:t>1.00</m:t>
        </m:r>
      </m:oMath>
      <w:r>
        <w:rPr>
          <w:rFonts w:hint="eastAsia" w:ascii="Times New Roman" w:hAnsi="Times New Roman" w:eastAsia="宋体" w:cs="Times New Roman"/>
          <w:b w:val="0"/>
          <w:i w:val="0"/>
          <w:sz w:val="18"/>
        </w:rPr>
        <w:t>、</w:t>
      </w:r>
      <m:oMath>
        <m:sSub>
          <m:sSubPr/>
          <m:e>
            <m:r>
              <m:rPr/>
              <m:t>r</m:t>
            </m:r>
          </m:e>
          <m:sub>
            <m:r>
              <m:rPr/>
              <m:t>v</m:t>
            </m:r>
          </m:sub>
        </m:sSub>
        <m:r>
          <m:rPr>
            <m:sty m:val="p"/>
          </m:rPr>
          <m:t>=</m:t>
        </m:r>
        <m:r>
          <m:rPr/>
          <m:t>0.45</m:t>
        </m:r>
      </m:oMath>
      <w:r>
        <w:rPr>
          <w:rFonts w:hint="eastAsia" w:ascii="Times New Roman" w:hAnsi="Times New Roman" w:eastAsia="宋体" w:cs="Times New Roman"/>
          <w:b w:val="0"/>
          <w:i w:val="0"/>
          <w:sz w:val="18"/>
        </w:rPr>
        <w:t xml:space="preserve"> 的成层坡；（c）峰值幅值；（d）主峰频率</w:t>
      </w:r>
    </w:p>
    <w:p w14:paraId="78E705F4">
      <w:pPr>
        <w:spacing w:before="0" w:after="60"/>
        <w:ind w:firstLine="0"/>
        <w:jc w:val="center"/>
      </w:pPr>
      <w:r>
        <w:rPr>
          <w:rFonts w:hint="eastAsia" w:ascii="Times New Roman" w:hAnsi="Times New Roman" w:eastAsia="Times New Roman" w:cs="Times New Roman"/>
          <w:b w:val="0"/>
          <w:i w:val="0"/>
          <w:sz w:val="18"/>
        </w:rPr>
        <w:t>Fig. 10 Effect of slope angle on the surface-envelope spectrum and global peak response</w:t>
      </w:r>
    </w:p>
    <w:p w14:paraId="373F9DFA">
      <w:pPr>
        <w:spacing w:before="0" w:after="0"/>
        <w:ind w:firstLine="420"/>
        <w:jc w:val="both"/>
      </w:pPr>
      <w:r>
        <w:rPr>
          <w:rFonts w:hint="eastAsia" w:ascii="Times New Roman" w:hAnsi="Times New Roman" w:eastAsia="宋体" w:cs="Times New Roman"/>
          <w:b w:val="0"/>
          <w:i w:val="0"/>
          <w:sz w:val="21"/>
        </w:rPr>
        <w:t xml:space="preserve">加入固定覆盖层后，坡角趋势发生改变。在 </w:t>
      </w:r>
      <m:oMath>
        <m:r>
          <m:rPr/>
          <m:t>d</m:t>
        </m:r>
        <m:r>
          <m:rPr>
            <m:sty m:val="p"/>
          </m:rPr>
          <m:t>/</m:t>
        </m:r>
        <m:r>
          <m:rPr/>
          <m:t>h</m:t>
        </m:r>
        <m:r>
          <m:rPr>
            <m:sty m:val="p"/>
          </m:rPr>
          <m:t>=</m:t>
        </m:r>
        <m:r>
          <m:rPr/>
          <m:t>1.00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0.45</m:t>
        </m:r>
      </m:oMath>
      <w:r>
        <w:rPr>
          <w:rFonts w:hint="eastAsia" w:ascii="Times New Roman" w:hAnsi="Times New Roman" w:eastAsia="宋体" w:cs="Times New Roman"/>
          <w:b w:val="0"/>
          <w:i w:val="0"/>
          <w:sz w:val="21"/>
        </w:rPr>
        <w:t xml:space="preserve"> 条件下，15°、30°、45°和60°坡的峰值分别为1.734、1.898、1.669和1.651，最大值出现在30°而非最陡的60°，主峰频率则为9.3、8.8、9.3和2.1 Hz。15°至30°时幅值提高9.5%，继续增至60°反而较30°降低13.0%。均质结果和成层结果并不矛盾：均质坡只包含几何散射，成层坡还叠加了覆盖层频带与坡角模态的相对位置；坡角改变后，覆盖层共振附近的增强带可能与地形强响应重合，也可能错开。图10因此给出一个重要限制——“坡越陡放大越强”在本文均质基线的峰值幅值上成立，却不能直接推广到任意成层组合。</w:t>
      </w:r>
    </w:p>
    <w:p w14:paraId="36553851">
      <w:pPr>
        <w:spacing w:before="0" w:after="0"/>
        <w:ind w:firstLine="420"/>
        <w:jc w:val="both"/>
      </w:pPr>
      <w:r>
        <w:rPr>
          <w:rFonts w:hint="eastAsia" w:ascii="Times New Roman" w:hAnsi="Times New Roman" w:eastAsia="宋体" w:cs="Times New Roman"/>
          <w:b w:val="0"/>
          <w:i w:val="0"/>
          <w:sz w:val="21"/>
        </w:rPr>
        <w:t>均质坡幅值随坡角总体抬升，与既有均质岩坡及斜入射参数研究中“坡形和入射方向共同改变放大水平”的趋势一致</w:t>
      </w:r>
      <w:r>
        <w:rPr>
          <w:rFonts w:hint="eastAsia" w:ascii="Times New Roman" w:hAnsi="Times New Roman" w:eastAsia="宋体" w:cs="Times New Roman"/>
          <w:b w:val="0"/>
          <w:i w:val="0"/>
          <w:sz w:val="21"/>
          <w:vertAlign w:val="superscript"/>
        </w:rPr>
        <w:t>[7-8,24]</w:t>
      </w:r>
      <w:r>
        <w:rPr>
          <w:rFonts w:hint="eastAsia" w:ascii="Times New Roman" w:hAnsi="Times New Roman" w:eastAsia="宋体" w:cs="Times New Roman"/>
          <w:b w:val="0"/>
          <w:i w:val="0"/>
          <w:sz w:val="21"/>
        </w:rPr>
        <w:t xml:space="preserve">；但这些研究多以PGA或若干频率处的谱比评价，本文的 </w:t>
      </w:r>
      <m:oMath>
        <m:sSub>
          <m:sSubPr/>
          <m:e>
            <m:r>
              <m:rPr/>
              <m:t>G</m:t>
            </m:r>
          </m:e>
          <m:sub>
            <m:r>
              <m:rPr/>
              <m:t>h</m:t>
            </m:r>
          </m:sub>
        </m:sSub>
      </m:oMath>
      <w:r>
        <w:rPr>
          <w:rFonts w:hint="eastAsia" w:ascii="Times New Roman" w:hAnsi="Times New Roman" w:eastAsia="宋体" w:cs="Times New Roman"/>
          <w:b w:val="0"/>
          <w:i w:val="0"/>
          <w:sz w:val="21"/>
        </w:rPr>
        <w:t xml:space="preserve"> 又以统一左侧一维自由场为复数分母，数值大小不宜直接横向比较。加入覆盖层后出现的非单调坡角序列，则与已有研究关于地形—地层耦合不能由两个独立系数简单叠加的认识相符</w:t>
      </w:r>
      <w:r>
        <w:rPr>
          <w:rFonts w:hint="eastAsia" w:ascii="Times New Roman" w:hAnsi="Times New Roman" w:eastAsia="宋体" w:cs="Times New Roman"/>
          <w:b w:val="0"/>
          <w:i w:val="0"/>
          <w:sz w:val="21"/>
          <w:vertAlign w:val="superscript"/>
        </w:rPr>
        <w:t>[16-20]</w:t>
      </w:r>
      <w:r>
        <w:rPr>
          <w:rFonts w:hint="eastAsia" w:ascii="Times New Roman" w:hAnsi="Times New Roman" w:eastAsia="宋体" w:cs="Times New Roman"/>
          <w:b w:val="0"/>
          <w:i w:val="0"/>
          <w:sz w:val="21"/>
        </w:rPr>
        <w:t>。本文在这一趋势基础上进一步指出，非单调变化同时伴随峰频和控制位置换位，而不仅是峰值系数改变。</w:t>
      </w:r>
    </w:p>
    <w:p w14:paraId="001B36C7">
      <w:pPr>
        <w:spacing w:before="0" w:after="0"/>
        <w:ind w:firstLine="420"/>
        <w:jc w:val="both"/>
      </w:pPr>
      <w:r>
        <w:rPr>
          <w:rFonts w:hint="eastAsia" w:ascii="Times New Roman" w:hAnsi="Times New Roman" w:eastAsia="宋体" w:cs="Times New Roman"/>
          <w:b w:val="0"/>
          <w:i w:val="0"/>
          <w:sz w:val="21"/>
        </w:rPr>
        <w:t xml:space="preserve">同坡角逐一相除可以看出这条限制从何而来。上述四个成层坡相对对应均质坡的峰值比分别为1.366、1.273、1.062和1.008，即固定覆盖层使15°坡的全场峰值提高36.6%，对60°坡却只提高0.8%；同时，成层峰位依次位于 </w:t>
      </w:r>
      <m:oMath>
        <m:r>
          <m:rPr/>
          <m:t>s</m:t>
        </m:r>
        <m:r>
          <m:rPr>
            <m:sty m:val="p"/>
          </m:rPr>
          <m:t>=</m:t>
        </m:r>
        <m:r>
          <m:rPr/>
          <m:t>0.75</m:t>
        </m:r>
      </m:oMath>
      <w:r>
        <w:rPr>
          <w:rFonts w:hint="eastAsia" w:ascii="Times New Roman" w:hAnsi="Times New Roman" w:eastAsia="宋体" w:cs="Times New Roman"/>
          <w:b w:val="0"/>
          <w:i w:val="0"/>
          <w:sz w:val="21"/>
        </w:rPr>
        <w:t>、</w:t>
      </w:r>
      <m:oMath>
        <m:r>
          <m:rPr>
            <m:sty m:val="p"/>
          </m:rPr>
          <m:t>−</m:t>
        </m:r>
        <m:r>
          <m:rPr/>
          <m:t>0.10</m:t>
        </m:r>
      </m:oMath>
      <w:r>
        <w:rPr>
          <w:rFonts w:hint="eastAsia" w:ascii="Times New Roman" w:hAnsi="Times New Roman" w:eastAsia="宋体" w:cs="Times New Roman"/>
          <w:b w:val="0"/>
          <w:i w:val="0"/>
          <w:sz w:val="21"/>
        </w:rPr>
        <w:t>、</w:t>
      </w:r>
      <m:oMath>
        <m:r>
          <m:rPr>
            <m:sty m:val="p"/>
          </m:rPr>
          <m:t>−</m:t>
        </m:r>
        <m:r>
          <m:rPr/>
          <m:t>0.45</m:t>
        </m:r>
      </m:oMath>
      <w:r>
        <w:rPr>
          <w:rFonts w:hint="eastAsia" w:ascii="Times New Roman" w:hAnsi="Times New Roman" w:eastAsia="宋体" w:cs="Times New Roman"/>
          <w:b w:val="0"/>
          <w:i w:val="0"/>
          <w:sz w:val="21"/>
        </w:rPr>
        <w:t xml:space="preserve"> 和0。15°组的控制点由均质坡坡顶邻域移到坡面，45°组则由均质坡下平台远端回到上平台，而60°组峰位保持在坡顶、峰频由3.2 Hz降至2.1 Hz。因而，固定覆盖层并不是在四条均质曲线上施加相同倍数的修正，而是对每个坡角已有的频率—空间结构作不同重排。这里的比值只服务于这条控制变量序列，不能据此推断覆盖层在陡坡中普遍无效；软厚组合中的P061恰好给出相反情形。</w:t>
      </w:r>
    </w:p>
    <w:p w14:paraId="13CCB0E0">
      <w:pPr>
        <w:spacing w:before="0" w:after="0"/>
        <w:ind w:firstLine="420"/>
        <w:jc w:val="both"/>
      </w:pPr>
      <w:r>
        <w:rPr>
          <w:rFonts w:hint="eastAsia" w:ascii="Times New Roman" w:hAnsi="Times New Roman" w:eastAsia="宋体" w:cs="Times New Roman"/>
          <w:b w:val="0"/>
          <w:i w:val="0"/>
          <w:sz w:val="21"/>
        </w:rPr>
        <w:t>64 个成层工况的坡角边际分布进一步限定了这一结论。图13(a)中四个坡角水平的峰值中位数为1.665、1.694、1.688和1.718，最大差仅3.15%；而各水平的最大值由3.539逐步增至4.012。坡角对典型工况的中位响应影响较弱，却会抬高分布上尾。换言之，坡角更像是困难组合的放大器：覆盖层参数不利时，陡坡能达到更高的极端响应；覆盖层参数取其他水平时，这种几何增强可能被频带错开所抵消。主峰频率中位数随坡角为6.40、8.85、6.85和4.35 Hz，仍呈显著非单调，且60°组整体偏低频。</w:t>
      </w:r>
    </w:p>
    <w:p w14:paraId="286AC967">
      <w:pPr>
        <w:spacing w:before="0" w:after="0"/>
        <w:ind w:firstLine="420"/>
        <w:jc w:val="both"/>
      </w:pPr>
      <w:r>
        <w:rPr>
          <w:rFonts w:hint="eastAsia" w:ascii="Times New Roman" w:hAnsi="Times New Roman" w:eastAsia="宋体" w:cs="Times New Roman"/>
          <w:b w:val="0"/>
          <w:i w:val="0"/>
          <w:sz w:val="21"/>
        </w:rPr>
        <w:t xml:space="preserve">边际分布的离散宽度也支持“中位影响弱、组合影响强”的判断。15°、30°、45°和60°组峰值的四分位区间分别为1.447～2.101、1.520～2.067、1.538～1.996和1.629～2.103，四组高度重叠；但全距上限随坡角由3.539增至4.012，下限也由1.249增至1.590。把64例按固定 </w:t>
      </w:r>
      <m:oMath>
        <m:r>
          <m:rPr/>
          <m:t>d</m:t>
        </m:r>
        <m:r>
          <m:rPr>
            <m:sty m:val="p"/>
          </m:rPr>
          <m:t>/</m:t>
        </m:r>
        <m:r>
          <m:rPr/>
          <m:t>h</m:t>
        </m:r>
      </m:oMath>
      <w:r>
        <w:rPr>
          <w:rFonts w:hint="eastAsia" w:ascii="Times New Roman" w:hAnsi="Times New Roman" w:eastAsia="宋体" w:cs="Times New Roman"/>
          <w:b w:val="0"/>
          <w:i w:val="0"/>
          <w:sz w:val="21"/>
        </w:rPr>
        <w:t xml:space="preserve"> 和 </w:t>
      </w:r>
      <m:oMath>
        <m:sSub>
          <m:sSubPr/>
          <m:e>
            <m:r>
              <m:rPr/>
              <m:t>r</m:t>
            </m:r>
          </m:e>
          <m:sub>
            <m:r>
              <m:rPr/>
              <m:t>v</m:t>
            </m:r>
          </m:sub>
        </m:sSub>
      </m:oMath>
      <w:r>
        <w:rPr>
          <w:rFonts w:hint="eastAsia" w:ascii="Times New Roman" w:hAnsi="Times New Roman" w:eastAsia="宋体" w:cs="Times New Roman"/>
          <w:b w:val="0"/>
          <w:i w:val="0"/>
          <w:sz w:val="21"/>
        </w:rPr>
        <w:t xml:space="preserve"> 划成16条坡角序列，其中仅7条峰值单调增加，1条单调降低，另外8条至少出现一次方向反转；主峰频率更有14条为非单调，只有各1条单调升高或降低。这组计数说明，坡角对最不利软厚组合的增强是清晰的，而把它写成覆盖整个参数域的一维单调函数则不成立。图10给出物理基线，图13给出跨组合的适用范围，两者缺一不可。</w:t>
      </w:r>
    </w:p>
    <w:p w14:paraId="04F09D71">
      <w:pPr>
        <w:spacing w:before="0" w:after="0"/>
        <w:ind w:firstLine="420"/>
        <w:jc w:val="both"/>
      </w:pPr>
      <w:r>
        <w:rPr>
          <w:rFonts w:hint="eastAsia" w:ascii="Times New Roman" w:hAnsi="Times New Roman" w:eastAsia="宋体" w:cs="Times New Roman"/>
          <w:b w:val="0"/>
          <w:i w:val="0"/>
          <w:sz w:val="21"/>
        </w:rPr>
        <w:t>四组全距的变化还揭示了坡角作用的另一面。坡角从15°增至60°时，峰值下限由1.249提高到1.590，增幅为27.3%，而中位数只提高3.15%；这说明陡坡并非只把少数极端值向上拉长，也在一定程度上抬高了最弱组合的响应底部。然而，30°和45°组的中位数、四分位区间及上四分位数互有交叉，参数排序在分布中部并不稳定。对设计比较而言，坡角的影响因所问指标而异：若关注同一类软厚覆盖层的最不利峰值，四种坡角给出连续增大的序列；若关注覆盖全部厚度和波速比后的典型工况，四组差异远小于组内离散；若关注主峰频率，则连总体方向也会因候选峰换位而改变。把这三种口径分开，能避免用一个“坡角效应”同时代替基线、典型值和上尾风险。</w:t>
      </w:r>
    </w:p>
    <w:p w14:paraId="1A0ABC5B">
      <w:pPr>
        <w:spacing w:before="0" w:after="0"/>
        <w:ind w:firstLine="420"/>
        <w:jc w:val="both"/>
      </w:pPr>
      <w:r>
        <w:rPr>
          <w:rFonts w:hint="eastAsia" w:ascii="Times New Roman" w:hAnsi="Times New Roman" w:eastAsia="宋体" w:cs="Times New Roman"/>
          <w:b w:val="0"/>
          <w:i w:val="0"/>
          <w:sz w:val="21"/>
        </w:rPr>
        <w:t>空间—频带分层进一步解释了中位数为何接近。上平台低频区域的幅值中位数随坡角由1.078、1.105、1.118增至1.132，呈温和而稳定的增加；但同一区域的中频序列为1.014、1.046、1.005和0.977，高频序列为1.021、1.078、1.046和1.002，均在30°达到局部最大后回落。坡面则出现更明确的频带分化：低频由0.981增至1.047，随坡角升高而上升，中频由0.935降至0.794，高频由1.043降至0.780，后两者均随坡角升高而降低。下平台的坡角跨度只有1.01～1.10倍，远小于坡面高频的1.34倍。由此可见，陡坡提高全场上尾并不要求所有地表区段、所有频带同步提高；它可以在坡顶附近形成更局部的尖峰，同时使坡面中高频的区域典型值降低。这种空间压缩和局部集中，正是全场最大值与区域中位数方向不同的直接原因。</w:t>
      </w:r>
    </w:p>
    <w:p w14:paraId="4BC0EBCF">
      <w:pPr>
        <w:spacing w:before="0" w:after="0"/>
        <w:ind w:firstLine="420"/>
        <w:jc w:val="both"/>
      </w:pPr>
      <w:r>
        <w:rPr>
          <w:rFonts w:hint="eastAsia" w:ascii="Times New Roman" w:hAnsi="Times New Roman" w:eastAsia="宋体" w:cs="Times New Roman"/>
          <w:b w:val="0"/>
          <w:i w:val="0"/>
          <w:sz w:val="21"/>
        </w:rPr>
        <w:t xml:space="preserve">覆盖层厚度的控制变量结果见图11。固定 </w:t>
      </w:r>
      <m:oMath>
        <m:r>
          <m:rPr/>
          <m:t>i</m:t>
        </m:r>
        <m:r>
          <m:rPr>
            <m:sty m:val="p"/>
          </m:rPr>
          <m:t>=</m:t>
        </m:r>
        <m:sSup>
          <m:sSupPr/>
          <m:e>
            <m:r>
              <m:rPr/>
              <m:t>45</m:t>
            </m:r>
          </m:e>
          <m:sup>
            <m:r>
              <m:rPr>
                <m:sty m:val="p"/>
              </m:rPr>
              <m:t>∘</m:t>
            </m:r>
          </m:sup>
        </m:sSup>
      </m:oMath>
      <w:r>
        <w:rPr>
          <w:rFonts w:hint="eastAsia" w:ascii="Times New Roman" w:hAnsi="Times New Roman" w:eastAsia="宋体" w:cs="Times New Roman"/>
          <w:b w:val="0"/>
          <w:i w:val="0"/>
          <w:sz w:val="21"/>
        </w:rPr>
        <w:t>、</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 xml:space="preserve"> 时，</w:t>
      </w:r>
      <m:oMath>
        <m:r>
          <m:rPr/>
          <m:t>d</m:t>
        </m:r>
        <m:r>
          <m:rPr>
            <m:sty m:val="p"/>
          </m:rPr>
          <m:t>/</m:t>
        </m:r>
        <m:r>
          <m:rPr/>
          <m:t>h</m:t>
        </m:r>
        <m:r>
          <m:rPr>
            <m:sty m:val="p"/>
          </m:rPr>
          <m:t>=</m:t>
        </m:r>
        <m:r>
          <m:rPr/>
          <m:t>0.20</m:t>
        </m:r>
      </m:oMath>
      <w:r>
        <w:rPr>
          <w:rFonts w:hint="eastAsia" w:ascii="Times New Roman" w:hAnsi="Times New Roman" w:eastAsia="宋体" w:cs="Times New Roman"/>
          <w:b w:val="0"/>
          <w:i w:val="0"/>
          <w:sz w:val="21"/>
        </w:rPr>
        <w:t>、0.60、1.00和1.40的全场峰值为1.861、2.148、1.958和3.904，顺序为“升高—降低—再显著升高”；最厚层相对最薄层提高109.8%。相应主峰频率为9.3、4.3、8.8和4.0 Hz，同样发生两次方向反转。厚度增加并非只是使峰值沿一条曲线平滑左移，而是在约4 Hz和约9 Hz两组响应之间改变控制权。</w:t>
      </w:r>
    </w:p>
    <w:p w14:paraId="2BDADD4B">
      <w:pPr>
        <w:spacing w:before="80" w:after="40"/>
        <w:ind w:firstLine="0"/>
        <w:jc w:val="center"/>
      </w:pPr>
      <w:r>
        <w:drawing>
          <wp:inline distT="0" distB="0" distL="114300" distR="114300">
            <wp:extent cx="2880360" cy="1621790"/>
            <wp:effectExtent l="0" t="0" r="15240" b="165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2880360" cy="1622061"/>
                    </a:xfrm>
                    <a:prstGeom prst="rect">
                      <a:avLst/>
                    </a:prstGeom>
                  </pic:spPr>
                </pic:pic>
              </a:graphicData>
            </a:graphic>
          </wp:inline>
        </w:drawing>
      </w:r>
    </w:p>
    <w:p w14:paraId="50FB2777">
      <w:pPr>
        <w:spacing w:before="0" w:after="0"/>
        <w:ind w:firstLine="0"/>
        <w:jc w:val="center"/>
      </w:pPr>
      <w:r>
        <w:rPr>
          <w:rFonts w:hint="eastAsia" w:ascii="Times New Roman" w:hAnsi="Times New Roman" w:eastAsia="宋体" w:cs="Times New Roman"/>
          <w:b w:val="0"/>
          <w:i w:val="0"/>
          <w:sz w:val="18"/>
        </w:rPr>
        <w:t xml:space="preserve">图11 固定 </w:t>
      </w:r>
      <m:oMath>
        <m:r>
          <m:rPr/>
          <m:t>i</m:t>
        </m:r>
        <m:r>
          <m:rPr>
            <m:sty m:val="p"/>
          </m:rPr>
          <m:t>=</m:t>
        </m:r>
        <m:sSup>
          <m:sSupPr/>
          <m:e>
            <m:r>
              <m:rPr/>
              <m:t>45</m:t>
            </m:r>
          </m:e>
          <m:sup>
            <m:r>
              <m:rPr>
                <m:sty m:val="p"/>
              </m:rPr>
              <m:t>∘</m:t>
            </m:r>
          </m:sup>
        </m:sSup>
      </m:oMath>
      <w:r>
        <w:rPr>
          <w:rFonts w:hint="eastAsia" w:ascii="Times New Roman" w:hAnsi="Times New Roman" w:eastAsia="宋体" w:cs="Times New Roman"/>
          <w:b w:val="0"/>
          <w:i w:val="0"/>
          <w:sz w:val="18"/>
        </w:rPr>
        <w:t>、</w:t>
      </w:r>
      <m:oMath>
        <m:sSub>
          <m:sSubPr/>
          <m:e>
            <m:r>
              <m:rPr/>
              <m:t>r</m:t>
            </m:r>
          </m:e>
          <m:sub>
            <m:r>
              <m:rPr/>
              <m:t>v</m:t>
            </m:r>
          </m:sub>
        </m:sSub>
        <m:r>
          <m:rPr>
            <m:sty m:val="p"/>
          </m:rPr>
          <m:t>=</m:t>
        </m:r>
        <m:r>
          <m:rPr/>
          <m:t>0.30</m:t>
        </m:r>
      </m:oMath>
      <w:r>
        <w:rPr>
          <w:rFonts w:hint="eastAsia" w:ascii="Times New Roman" w:hAnsi="Times New Roman" w:eastAsia="宋体" w:cs="Times New Roman"/>
          <w:b w:val="0"/>
          <w:i w:val="0"/>
          <w:sz w:val="18"/>
        </w:rPr>
        <w:t xml:space="preserve"> 时覆盖层厚度比的单因素对比：（a）～（d）频率—空间幅值场；（e）全频带空间峰值包络；星号为全场峰值</w:t>
      </w:r>
    </w:p>
    <w:p w14:paraId="03ABE74D">
      <w:pPr>
        <w:spacing w:before="0" w:after="60"/>
        <w:ind w:firstLine="0"/>
        <w:jc w:val="center"/>
      </w:pPr>
      <w:r>
        <w:rPr>
          <w:rFonts w:hint="eastAsia" w:ascii="Times New Roman" w:hAnsi="Times New Roman" w:eastAsia="Times New Roman" w:cs="Times New Roman"/>
          <w:b w:val="0"/>
          <w:i w:val="0"/>
          <w:sz w:val="18"/>
        </w:rPr>
        <w:t>Fig. 11 Single-factor comparison of cover-layer thickness ratio at fixed slope angle and velocity ratio</w:t>
      </w:r>
    </w:p>
    <w:p w14:paraId="21E4F317">
      <w:pPr>
        <w:spacing w:before="0" w:after="0"/>
        <w:ind w:firstLine="420"/>
        <w:jc w:val="both"/>
      </w:pPr>
      <w:r>
        <w:rPr>
          <w:rFonts w:hint="eastAsia" w:ascii="Times New Roman" w:hAnsi="Times New Roman" w:eastAsia="宋体" w:cs="Times New Roman"/>
          <w:b w:val="0"/>
          <w:i w:val="0"/>
          <w:sz w:val="21"/>
        </w:rPr>
        <w:t xml:space="preserve">图11还显示峰值位置随厚度改变。前三个厚度的峰位分别为 </w:t>
      </w:r>
      <m:oMath>
        <m:r>
          <m:rPr/>
          <m:t>s</m:t>
        </m:r>
        <m:r>
          <m:rPr>
            <m:sty m:val="p"/>
          </m:rPr>
          <m:t>=</m:t>
        </m:r>
        <m:r>
          <m:rPr/>
          <m:t>0</m:t>
        </m:r>
      </m:oMath>
      <w:r>
        <w:rPr>
          <w:rFonts w:hint="eastAsia" w:ascii="Times New Roman" w:hAnsi="Times New Roman" w:eastAsia="宋体" w:cs="Times New Roman"/>
          <w:b w:val="0"/>
          <w:i w:val="0"/>
          <w:sz w:val="21"/>
        </w:rPr>
        <w:t>、</w:t>
      </w:r>
      <m:oMath>
        <m:r>
          <m:rPr/>
          <m:t>s</m:t>
        </m:r>
        <m:r>
          <m:rPr>
            <m:sty m:val="p"/>
          </m:rPr>
          <m:t>=</m:t>
        </m:r>
        <m:r>
          <m:rPr/>
          <m:t>0</m:t>
        </m:r>
      </m:oMath>
      <w:r>
        <w:rPr>
          <w:rFonts w:hint="eastAsia" w:ascii="Times New Roman" w:hAnsi="Times New Roman" w:eastAsia="宋体" w:cs="Times New Roman"/>
          <w:b w:val="0"/>
          <w:i w:val="0"/>
          <w:sz w:val="21"/>
        </w:rPr>
        <w:t xml:space="preserve"> 和 </w:t>
      </w:r>
      <m:oMath>
        <m:r>
          <m:rPr/>
          <m:t>s</m:t>
        </m:r>
        <m:r>
          <m:rPr>
            <m:sty m:val="p"/>
          </m:rPr>
          <m:t>=−</m:t>
        </m:r>
        <m:r>
          <m:rPr/>
          <m:t>0.35</m:t>
        </m:r>
      </m:oMath>
      <w:r>
        <w:rPr>
          <w:rFonts w:hint="eastAsia" w:ascii="Times New Roman" w:hAnsi="Times New Roman" w:eastAsia="宋体" w:cs="Times New Roman"/>
          <w:b w:val="0"/>
          <w:i w:val="0"/>
          <w:sz w:val="21"/>
        </w:rPr>
        <w:t>，仍由坡顶邻域或上平台控制；</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 xml:space="preserve"> 时峰位跃迁至下平台 </w:t>
      </w:r>
      <m:oMath>
        <m:r>
          <m:rPr/>
          <m:t>s</m:t>
        </m:r>
        <m:r>
          <m:rPr>
            <m:sty m:val="p"/>
          </m:rPr>
          <m:t>=</m:t>
        </m:r>
        <m:r>
          <m:rPr/>
          <m:t>3.15</m:t>
        </m:r>
      </m:oMath>
      <w:r>
        <w:rPr>
          <w:rFonts w:hint="eastAsia" w:ascii="Times New Roman" w:hAnsi="Times New Roman" w:eastAsia="宋体" w:cs="Times New Roman"/>
          <w:b w:val="0"/>
          <w:i w:val="0"/>
          <w:sz w:val="21"/>
        </w:rPr>
        <w:t xml:space="preserve">。若只读取坡顶曲线，最厚层的全场峰值会被漏掉，并可能得到完全不同的厚度趋势。图11(e)中的空间包络表明，最厚层在上平台并未处处显著高于其他曲线，其主要增量集中于下平台约 </w:t>
      </w:r>
      <m:oMath>
        <m:r>
          <m:rPr/>
          <m:t>s</m:t>
        </m:r>
        <m:r>
          <m:rPr>
            <m:sty m:val="p"/>
          </m:rPr>
          <m:t>=</m:t>
        </m:r>
        <m:r>
          <m:rPr/>
          <m:t>2</m:t>
        </m:r>
      </m:oMath>
      <w:r>
        <w:rPr>
          <w:rFonts w:hint="eastAsia" w:ascii="Times New Roman" w:hAnsi="Times New Roman" w:eastAsia="宋体" w:cs="Times New Roman"/>
          <w:b w:val="0"/>
          <w:i w:val="0"/>
          <w:sz w:val="21"/>
        </w:rPr>
        <w:t>～4。厚度既改变局部一维传播，也改变上下平台之间的相位关系，因此“厚层更强”需要同时说明强在哪里、出现在哪个频带。</w:t>
      </w:r>
    </w:p>
    <w:p w14:paraId="6D8A0B9C">
      <w:pPr>
        <w:spacing w:before="0" w:after="0"/>
        <w:ind w:firstLine="420"/>
        <w:jc w:val="both"/>
      </w:pPr>
      <w:r>
        <w:rPr>
          <w:rFonts w:hint="eastAsia" w:ascii="Times New Roman" w:hAnsi="Times New Roman" w:eastAsia="宋体" w:cs="Times New Roman"/>
          <w:b w:val="0"/>
          <w:i w:val="0"/>
          <w:sz w:val="21"/>
        </w:rPr>
        <w:t>把其他坡角和波速比纳入后，16条“坡角×波速比”厚度序列中有9条至少发生一次相邻差分变号，表现为非单调；另外7条在四个离散厚度水平上单调递增。该统计说明非单调不是图11特选序列的孤例，也不是全参数域唯一规律。图13(b)的厚度边际中位数分别为1.517、1.754、1.647和2.245：</w:t>
      </w:r>
      <m:oMath>
        <m:r>
          <m:rPr/>
          <m:t>d</m:t>
        </m:r>
        <m:r>
          <m:rPr>
            <m:sty m:val="p"/>
          </m:rPr>
          <m:t>/</m:t>
        </m:r>
        <m:r>
          <m:rPr/>
          <m:t>h</m:t>
        </m:r>
        <m:r>
          <m:rPr>
            <m:sty m:val="p"/>
          </m:rPr>
          <m:t>=</m:t>
        </m:r>
        <m:r>
          <m:rPr/>
          <m:t>0.60</m:t>
        </m:r>
      </m:oMath>
      <w:r>
        <w:rPr>
          <w:rFonts w:hint="eastAsia" w:ascii="Times New Roman" w:hAnsi="Times New Roman" w:eastAsia="宋体" w:cs="Times New Roman"/>
          <w:b w:val="0"/>
          <w:i w:val="0"/>
          <w:sz w:val="21"/>
        </w:rPr>
        <w:t>高于1.00，1.40又达到最高，保留了与代表序列相同的转折。最厚组相对最薄组的中位峰值提高47.96%，但这一净增量不能被解释为线性厚度效应。</w:t>
      </w:r>
    </w:p>
    <w:p w14:paraId="553FDAA8">
      <w:pPr>
        <w:spacing w:before="0" w:after="0"/>
        <w:ind w:firstLine="420"/>
        <w:jc w:val="both"/>
      </w:pPr>
      <w:r>
        <w:rPr>
          <w:rFonts w:hint="eastAsia" w:ascii="Times New Roman" w:hAnsi="Times New Roman" w:eastAsia="宋体" w:cs="Times New Roman"/>
          <w:b w:val="0"/>
          <w:i w:val="0"/>
          <w:sz w:val="21"/>
        </w:rPr>
        <w:t>厚度对控制位置的作用比其对中位峰值的作用更具分段性。</w:t>
      </w:r>
      <m:oMath>
        <m:r>
          <m:rPr/>
          <m:t>d</m:t>
        </m:r>
        <m:r>
          <m:rPr>
            <m:sty m:val="p"/>
          </m:rPr>
          <m:t>/</m:t>
        </m:r>
        <m:r>
          <m:rPr/>
          <m:t>h</m:t>
        </m:r>
        <m:r>
          <m:rPr>
            <m:sty m:val="p"/>
          </m:rPr>
          <m:t>=</m:t>
        </m:r>
        <m:r>
          <m:rPr/>
          <m:t>0.20</m:t>
        </m:r>
      </m:oMath>
      <w:r>
        <w:rPr>
          <w:rFonts w:hint="eastAsia" w:ascii="Times New Roman" w:hAnsi="Times New Roman" w:eastAsia="宋体" w:cs="Times New Roman"/>
          <w:b w:val="0"/>
          <w:i w:val="0"/>
          <w:sz w:val="21"/>
        </w:rPr>
        <w:t xml:space="preserve"> 和0.60的32个工况全部由上平台控制；</w:t>
      </w:r>
      <m:oMath>
        <m:r>
          <m:rPr/>
          <m:t>d</m:t>
        </m:r>
        <m:r>
          <m:rPr>
            <m:sty m:val="p"/>
          </m:rPr>
          <m:t>/</m:t>
        </m:r>
        <m:r>
          <m:rPr/>
          <m:t>h</m:t>
        </m:r>
        <m:r>
          <m:rPr>
            <m:sty m:val="p"/>
          </m:rPr>
          <m:t>=</m:t>
        </m:r>
        <m:r>
          <m:rPr/>
          <m:t>1.00</m:t>
        </m:r>
      </m:oMath>
      <w:r>
        <w:rPr>
          <w:rFonts w:hint="eastAsia" w:ascii="Times New Roman" w:hAnsi="Times New Roman" w:eastAsia="宋体" w:cs="Times New Roman"/>
          <w:b w:val="0"/>
          <w:i w:val="0"/>
          <w:sz w:val="21"/>
        </w:rPr>
        <w:t xml:space="preserve"> 时有13例由上平台控制、3例转到坡面；</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 xml:space="preserve"> 时则有15例转由下平台控制，仅P064仍在坡顶取得全场峰值。由此可见，最厚组的高边际中位数不是各区段同步按同一比例抬升，而主要来自下平台响应成为新的控制量。与幅值序列的“7条递增、9条非单调”相比，16条厚度—峰频序列无一在四个水平上保持单调，说明厚度对频率的影响更适合描述为候选频带换位，而不是连续的频移率。这个结论在离散的四水平网格内成立；它揭示了转折存在，却不能确定两相邻厚度水平之间的精确转折点。</w:t>
      </w:r>
    </w:p>
    <w:p w14:paraId="5460404B">
      <w:pPr>
        <w:spacing w:before="0" w:after="0"/>
        <w:ind w:firstLine="420"/>
        <w:jc w:val="both"/>
      </w:pPr>
      <w:r>
        <w:rPr>
          <w:rFonts w:hint="eastAsia" w:ascii="Times New Roman" w:hAnsi="Times New Roman" w:eastAsia="宋体" w:cs="Times New Roman"/>
          <w:b w:val="0"/>
          <w:i w:val="0"/>
          <w:sz w:val="21"/>
        </w:rPr>
        <w:t>按低、中、高三个频带统计控制峰，可看到位置迁移与频带迁移并非同一步骤。</w:t>
      </w:r>
      <m:oMath>
        <m:r>
          <m:rPr/>
          <m:t>d</m:t>
        </m:r>
        <m:r>
          <m:rPr>
            <m:sty m:val="p"/>
          </m:rPr>
          <m:t>/</m:t>
        </m:r>
        <m:r>
          <m:rPr/>
          <m:t>h</m:t>
        </m:r>
        <m:r>
          <m:rPr>
            <m:sty m:val="p"/>
          </m:rPr>
          <m:t>=</m:t>
        </m:r>
        <m:r>
          <m:rPr/>
          <m:t>0.20</m:t>
        </m:r>
      </m:oMath>
      <w:r>
        <w:rPr>
          <w:rFonts w:hint="eastAsia" w:ascii="Times New Roman" w:hAnsi="Times New Roman" w:eastAsia="宋体" w:cs="Times New Roman"/>
          <w:b w:val="0"/>
          <w:i w:val="0"/>
          <w:sz w:val="21"/>
        </w:rPr>
        <w:t xml:space="preserve"> 的16例中，低、中、高频控制峰分别有3、5和8例；</w:t>
      </w:r>
      <m:oMath>
        <m:r>
          <m:rPr/>
          <m:t>d</m:t>
        </m:r>
        <m:r>
          <m:rPr>
            <m:sty m:val="p"/>
          </m:rPr>
          <m:t>/</m:t>
        </m:r>
        <m:r>
          <m:rPr/>
          <m:t>h</m:t>
        </m:r>
        <m:r>
          <m:rPr>
            <m:sty m:val="p"/>
          </m:rPr>
          <m:t>=</m:t>
        </m:r>
        <m:r>
          <m:rPr/>
          <m:t>0.60</m:t>
        </m:r>
      </m:oMath>
      <w:r>
        <w:rPr>
          <w:rFonts w:hint="eastAsia" w:ascii="Times New Roman" w:hAnsi="Times New Roman" w:eastAsia="宋体" w:cs="Times New Roman"/>
          <w:b w:val="0"/>
          <w:i w:val="0"/>
          <w:sz w:val="21"/>
        </w:rPr>
        <w:t xml:space="preserve"> 时变为0、6和10例；</w:t>
      </w:r>
      <m:oMath>
        <m:r>
          <m:rPr/>
          <m:t>d</m:t>
        </m:r>
        <m:r>
          <m:rPr>
            <m:sty m:val="p"/>
          </m:rPr>
          <m:t>/</m:t>
        </m:r>
        <m:r>
          <m:rPr/>
          <m:t>h</m:t>
        </m:r>
        <m:r>
          <m:rPr>
            <m:sty m:val="p"/>
          </m:rPr>
          <m:t>=</m:t>
        </m:r>
        <m:r>
          <m:rPr/>
          <m:t>1.00</m:t>
        </m:r>
      </m:oMath>
      <w:r>
        <w:rPr>
          <w:rFonts w:hint="eastAsia" w:ascii="Times New Roman" w:hAnsi="Times New Roman" w:eastAsia="宋体" w:cs="Times New Roman"/>
          <w:b w:val="0"/>
          <w:i w:val="0"/>
          <w:sz w:val="21"/>
        </w:rPr>
        <w:t xml:space="preserve"> 时为3、3和10例；</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 xml:space="preserve"> 时则为1、4和11例。最厚组虽然有4个最软工况在约4 Hz形成显著下平台峰，但其余较硬工况多由6～10 Hz控制，所以该组主峰频率中位数仍为6.70 Hz。换言之，“最厚层出现4 Hz强响应”与“最厚层多数工况的控制峰位于高频”可以同时成立：前者描述幅值最大的软厚分支，后者描述16例的数量构成。若仅报告峰频中位数，软厚分支的工程重要性会被多数中等响应的高频工况掩盖；若只展示P061，又会误以为最厚层必然由4 Hz控制。</w:t>
      </w:r>
    </w:p>
    <w:p w14:paraId="3A4BCD72">
      <w:pPr>
        <w:spacing w:before="0" w:after="0"/>
        <w:ind w:firstLine="420"/>
        <w:jc w:val="both"/>
      </w:pPr>
      <w:r>
        <w:rPr>
          <w:rFonts w:hint="eastAsia" w:ascii="Times New Roman" w:hAnsi="Times New Roman" w:eastAsia="宋体" w:cs="Times New Roman"/>
          <w:b w:val="0"/>
          <w:i w:val="0"/>
          <w:sz w:val="21"/>
        </w:rPr>
        <w:t xml:space="preserve">四个坡角下的软厚序列为这一分支提供了重复证据。固定 </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 xml:space="preserve">，P013、P029、P045和P061的峰值由3.539、3.714、3.904增至4.012，峰频为4.0、4.1、4.0和4.0 Hz，峰位集中在 </w:t>
      </w:r>
      <m:oMath>
        <m:r>
          <m:rPr/>
          <m:t>s</m:t>
        </m:r>
        <m:r>
          <m:rPr>
            <m:sty m:val="p"/>
          </m:rPr>
          <m:t>=</m:t>
        </m:r>
        <m:r>
          <m:rPr/>
          <m:t>3.15</m:t>
        </m:r>
      </m:oMath>
      <w:r>
        <w:rPr>
          <w:rFonts w:hint="eastAsia" w:ascii="Times New Roman" w:hAnsi="Times New Roman" w:eastAsia="宋体" w:cs="Times New Roman"/>
          <w:b w:val="0"/>
          <w:i w:val="0"/>
          <w:sz w:val="21"/>
        </w:rPr>
        <w:t>～3.25。这里稳定的是控制频带、控制区段及随坡角抬升的幅值次序，而不是所有厚层工况都共享同一峰。当波速比提高到0.75时，同一厚度下四坡角峰值降至1.572、1.547、1.557和1.610，峰频分别为9.4、9.7、6.8和2.6 Hz，60°组甚至重新由坡顶控制。覆盖层厚度决定了下平台分支出现的可能性，足够低的波速比才使该分支在全场竞争中取得控制；二者必须同时满足，单独用“厚层”概括会扩大结论的适用范围。</w:t>
      </w:r>
    </w:p>
    <w:p w14:paraId="271E4C36">
      <w:pPr>
        <w:spacing w:before="0" w:after="0"/>
        <w:ind w:firstLine="420"/>
        <w:jc w:val="both"/>
      </w:pPr>
      <w:r>
        <w:rPr>
          <w:rFonts w:hint="eastAsia" w:ascii="Times New Roman" w:hAnsi="Times New Roman" w:eastAsia="宋体" w:cs="Times New Roman"/>
          <w:b w:val="0"/>
          <w:i w:val="0"/>
          <w:sz w:val="21"/>
        </w:rPr>
        <w:t xml:space="preserve">波速比序列提供了更稳定的方向性。固定 </w:t>
      </w:r>
      <m:oMath>
        <m:r>
          <m:rPr/>
          <m:t>i</m:t>
        </m:r>
        <m:r>
          <m:rPr>
            <m:sty m:val="p"/>
          </m:rPr>
          <m:t>=</m:t>
        </m:r>
        <m:sSup>
          <m:sSupPr/>
          <m:e>
            <m:r>
              <m:rPr/>
              <m:t>45</m:t>
            </m:r>
          </m:e>
          <m:sup>
            <m:r>
              <m:rPr>
                <m:sty m:val="p"/>
              </m:rPr>
              <m:t>∘</m:t>
            </m:r>
          </m:sup>
        </m:sSup>
      </m:oMath>
      <w:r>
        <w:rPr>
          <w:rFonts w:hint="eastAsia" w:ascii="Times New Roman" w:hAnsi="Times New Roman" w:eastAsia="宋体" w:cs="Times New Roman"/>
          <w:b w:val="0"/>
          <w:i w:val="0"/>
          <w:sz w:val="21"/>
        </w:rPr>
        <w:t>、</w:t>
      </w:r>
      <m:oMath>
        <m:r>
          <m:rPr/>
          <m:t>d</m:t>
        </m:r>
        <m:r>
          <m:rPr>
            <m:sty m:val="p"/>
          </m:rPr>
          <m:t>/</m:t>
        </m:r>
        <m:r>
          <m:rPr/>
          <m:t>h</m:t>
        </m:r>
        <m:r>
          <m:rPr>
            <m:sty m:val="p"/>
          </m:rPr>
          <m:t>=</m:t>
        </m:r>
        <m:r>
          <m:rPr/>
          <m:t>0.60</m:t>
        </m:r>
      </m:oMath>
      <w:r>
        <w:rPr>
          <w:rFonts w:hint="eastAsia" w:ascii="Times New Roman" w:hAnsi="Times New Roman" w:eastAsia="宋体" w:cs="Times New Roman"/>
          <w:b w:val="0"/>
          <w:i w:val="0"/>
          <w:sz w:val="21"/>
        </w:rPr>
        <w:t xml:space="preserve"> 时，</w:t>
      </w:r>
      <m:oMath>
        <m:sSub>
          <m:sSubPr/>
          <m:e>
            <m:r>
              <m:rPr/>
              <m:t>r</m:t>
            </m:r>
          </m:e>
          <m:sub>
            <m:r>
              <m:rPr/>
              <m:t>v</m:t>
            </m:r>
          </m:sub>
        </m:sSub>
      </m:oMath>
      <w:r>
        <w:rPr>
          <w:rFonts w:hint="eastAsia" w:ascii="Times New Roman" w:hAnsi="Times New Roman" w:eastAsia="宋体" w:cs="Times New Roman"/>
          <w:b w:val="0"/>
          <w:i w:val="0"/>
          <w:sz w:val="21"/>
        </w:rPr>
        <w:t xml:space="preserve"> 从0.30增至0.75，峰值由2.148依次降至1.860、1.707和1.572，首尾下降26.8%；主峰频率则由4.3 Hz依次升至5.4、7.7和8.2 Hz，净上移3.9 Hz。四个峰都位于坡顶 </w:t>
      </w:r>
      <m:oMath>
        <m:r>
          <m:rPr/>
          <m:t>s</m:t>
        </m:r>
        <m:r>
          <m:rPr>
            <m:sty m:val="p"/>
          </m:rPr>
          <m:t>=</m:t>
        </m:r>
        <m:r>
          <m:rPr/>
          <m:t>0</m:t>
        </m:r>
      </m:oMath>
      <w:r>
        <w:rPr>
          <w:rFonts w:hint="eastAsia" w:ascii="Times New Roman" w:hAnsi="Times New Roman" w:eastAsia="宋体" w:cs="Times New Roman"/>
          <w:b w:val="0"/>
          <w:i w:val="0"/>
          <w:sz w:val="21"/>
        </w:rPr>
        <w:t>，说明这条序列主要改变响应强度和主控频带，没有触发控制位置迁移。</w:t>
      </w:r>
    </w:p>
    <w:p w14:paraId="2C71CF36">
      <w:pPr>
        <w:spacing w:before="80" w:after="40"/>
        <w:ind w:firstLine="0"/>
        <w:jc w:val="center"/>
      </w:pPr>
      <w:r>
        <w:drawing>
          <wp:inline distT="0" distB="0" distL="114300" distR="114300">
            <wp:extent cx="2880360" cy="1614170"/>
            <wp:effectExtent l="0" t="0" r="152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2880360" cy="1614793"/>
                    </a:xfrm>
                    <a:prstGeom prst="rect">
                      <a:avLst/>
                    </a:prstGeom>
                  </pic:spPr>
                </pic:pic>
              </a:graphicData>
            </a:graphic>
          </wp:inline>
        </w:drawing>
      </w:r>
    </w:p>
    <w:p w14:paraId="7B862935">
      <w:pPr>
        <w:spacing w:before="0" w:after="0"/>
        <w:ind w:firstLine="0"/>
        <w:jc w:val="center"/>
      </w:pPr>
      <w:r>
        <w:rPr>
          <w:rFonts w:hint="eastAsia" w:ascii="Times New Roman" w:hAnsi="Times New Roman" w:eastAsia="宋体" w:cs="Times New Roman"/>
          <w:b w:val="0"/>
          <w:i w:val="0"/>
          <w:sz w:val="18"/>
        </w:rPr>
        <w:t xml:space="preserve">图12 固定 </w:t>
      </w:r>
      <m:oMath>
        <m:r>
          <m:rPr/>
          <m:t>i</m:t>
        </m:r>
        <m:r>
          <m:rPr>
            <m:sty m:val="p"/>
          </m:rPr>
          <m:t>=</m:t>
        </m:r>
        <m:sSup>
          <m:sSupPr/>
          <m:e>
            <m:r>
              <m:rPr/>
              <m:t>45</m:t>
            </m:r>
          </m:e>
          <m:sup>
            <m:r>
              <m:rPr>
                <m:sty m:val="p"/>
              </m:rPr>
              <m:t>∘</m:t>
            </m:r>
          </m:sup>
        </m:sSup>
      </m:oMath>
      <w:r>
        <w:rPr>
          <w:rFonts w:hint="eastAsia" w:ascii="Times New Roman" w:hAnsi="Times New Roman" w:eastAsia="宋体" w:cs="Times New Roman"/>
          <w:b w:val="0"/>
          <w:i w:val="0"/>
          <w:sz w:val="18"/>
        </w:rPr>
        <w:t>、</w:t>
      </w:r>
      <m:oMath>
        <m:r>
          <m:rPr/>
          <m:t>d</m:t>
        </m:r>
        <m:r>
          <m:rPr>
            <m:sty m:val="p"/>
          </m:rPr>
          <m:t>/</m:t>
        </m:r>
        <m:r>
          <m:rPr/>
          <m:t>h</m:t>
        </m:r>
        <m:r>
          <m:rPr>
            <m:sty m:val="p"/>
          </m:rPr>
          <m:t>=</m:t>
        </m:r>
        <m:r>
          <m:rPr/>
          <m:t>0.60</m:t>
        </m:r>
      </m:oMath>
      <w:r>
        <w:rPr>
          <w:rFonts w:hint="eastAsia" w:ascii="Times New Roman" w:hAnsi="Times New Roman" w:eastAsia="宋体" w:cs="Times New Roman"/>
          <w:b w:val="0"/>
          <w:i w:val="0"/>
          <w:sz w:val="18"/>
        </w:rPr>
        <w:t xml:space="preserve"> 时覆盖层波速比的单因素对比：（a）～（d）频率—空间幅值场；（e）全频带空间峰值包络</w:t>
      </w:r>
    </w:p>
    <w:p w14:paraId="4D7CD49B">
      <w:pPr>
        <w:spacing w:before="0" w:after="60"/>
        <w:ind w:firstLine="0"/>
        <w:jc w:val="center"/>
      </w:pPr>
      <w:r>
        <w:rPr>
          <w:rFonts w:hint="eastAsia" w:ascii="Times New Roman" w:hAnsi="Times New Roman" w:eastAsia="Times New Roman" w:cs="Times New Roman"/>
          <w:b w:val="0"/>
          <w:i w:val="0"/>
          <w:sz w:val="18"/>
        </w:rPr>
        <w:t>Fig. 12 Single-factor comparison of cover-layer velocity ratio at fixed slope angle and thickness ratio</w:t>
      </w:r>
    </w:p>
    <w:p w14:paraId="42349489">
      <w:pPr>
        <w:spacing w:before="0" w:after="0"/>
        <w:ind w:firstLine="420"/>
        <w:jc w:val="both"/>
      </w:pPr>
      <w:r>
        <w:rPr>
          <w:rFonts w:hint="eastAsia" w:ascii="Times New Roman" w:hAnsi="Times New Roman" w:eastAsia="宋体" w:cs="Times New Roman"/>
          <w:b w:val="0"/>
          <w:i w:val="0"/>
          <w:sz w:val="21"/>
        </w:rPr>
        <w:t xml:space="preserve">随着 </w:t>
      </w:r>
      <m:oMath>
        <m:sSub>
          <m:sSubPr/>
          <m:e>
            <m:r>
              <m:rPr/>
              <m:t>r</m:t>
            </m:r>
          </m:e>
          <m:sub>
            <m:r>
              <m:rPr/>
              <m:t>v</m:t>
            </m:r>
          </m:sub>
        </m:sSub>
      </m:oMath>
      <w:r>
        <w:rPr>
          <w:rFonts w:hint="eastAsia" w:ascii="Times New Roman" w:hAnsi="Times New Roman" w:eastAsia="宋体" w:cs="Times New Roman"/>
          <w:b w:val="0"/>
          <w:i w:val="0"/>
          <w:sz w:val="21"/>
        </w:rPr>
        <w:t xml:space="preserve"> 增大，覆盖层与基岩的波阻抗和波速差减小，图12中的低频强条带逐渐减弱并向高频移动。这里的“软覆盖层更强”是指本文固定密度比、线性阻尼和给定厚度下的相对结果，不能直接推广到密度、阻尼或非线性同步改变的天然土层。就64例边际结果而言，</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、0.45、0.60和0.75的峰值中位数为2.152、1.767、1.628和1.541，首尾下降28.39%，与代表序列一致；主峰频率中位数则为4.75、6.50、7.75和7.05 Hz，在最高波速比处略有回落。幅值的总体方向比峰频更稳定，峰频仍受厚度和坡角交互影响。</w:t>
      </w:r>
    </w:p>
    <w:p w14:paraId="53E9218B">
      <w:pPr>
        <w:spacing w:before="0" w:after="0"/>
        <w:ind w:firstLine="420"/>
        <w:jc w:val="both"/>
      </w:pPr>
      <w:r>
        <w:rPr>
          <w:rFonts w:hint="eastAsia" w:ascii="Times New Roman" w:hAnsi="Times New Roman" w:eastAsia="宋体" w:cs="Times New Roman"/>
          <w:b w:val="0"/>
          <w:i w:val="0"/>
          <w:sz w:val="21"/>
        </w:rPr>
        <w:t xml:space="preserve">逐组合检查给出了这种“更稳定”究竟稳定到什么程度。固定坡角和厚度形成的16条波速比序列中，有13条峰值随 </w:t>
      </w:r>
      <m:oMath>
        <m:sSub>
          <m:sSubPr/>
          <m:e>
            <m:r>
              <m:rPr/>
              <m:t>r</m:t>
            </m:r>
          </m:e>
          <m:sub>
            <m:r>
              <m:rPr/>
              <m:t>v</m:t>
            </m:r>
          </m:sub>
        </m:sSub>
      </m:oMath>
      <w:r>
        <w:rPr>
          <w:rFonts w:hint="eastAsia" w:ascii="Times New Roman" w:hAnsi="Times New Roman" w:eastAsia="宋体" w:cs="Times New Roman"/>
          <w:b w:val="0"/>
          <w:i w:val="0"/>
          <w:sz w:val="21"/>
        </w:rPr>
        <w:t xml:space="preserve"> 单调降低，另3条存在局部反转，没有一条单调升高；相应峰频只有5条单调升高，10条非单调，另1条单调降低。峰值分布也随 </w:t>
      </w:r>
      <m:oMath>
        <m:sSub>
          <m:sSubPr/>
          <m:e>
            <m:r>
              <m:rPr/>
              <m:t>r</m:t>
            </m:r>
          </m:e>
          <m:sub>
            <m:r>
              <m:rPr/>
              <m:t>v</m:t>
            </m:r>
          </m:sub>
        </m:sSub>
      </m:oMath>
      <w:r>
        <w:rPr>
          <w:rFonts w:hint="eastAsia" w:ascii="Times New Roman" w:hAnsi="Times New Roman" w:eastAsia="宋体" w:cs="Times New Roman"/>
          <w:b w:val="0"/>
          <w:i w:val="0"/>
          <w:sz w:val="21"/>
        </w:rPr>
        <w:t xml:space="preserve"> 增大而明显收缩：</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 xml:space="preserve"> 组的四分位区间为1.920～2.636、最大值为4.012，</w:t>
      </w:r>
      <m:oMath>
        <m:sSub>
          <m:sSubPr/>
          <m:e>
            <m:r>
              <m:rPr/>
              <m:t>r</m:t>
            </m:r>
          </m:e>
          <m:sub>
            <m:r>
              <m:rPr/>
              <m:t>v</m:t>
            </m:r>
          </m:sub>
        </m:sSub>
        <m:r>
          <m:rPr>
            <m:sty m:val="p"/>
          </m:rPr>
          <m:t>=</m:t>
        </m:r>
        <m:r>
          <m:rPr/>
          <m:t>0.75</m:t>
        </m:r>
      </m:oMath>
      <w:r>
        <w:rPr>
          <w:rFonts w:hint="eastAsia" w:ascii="Times New Roman" w:hAnsi="Times New Roman" w:eastAsia="宋体" w:cs="Times New Roman"/>
          <w:b w:val="0"/>
          <w:i w:val="0"/>
          <w:sz w:val="21"/>
        </w:rPr>
        <w:t xml:space="preserve"> 组缩小为1.454～1.576、最大值仅1.696。因而，波速比提高不仅降低了典型峰值，也压低了极端上尾，这一幅值方向可视为当前参数域内最稳健的单参数结论。至于主峰向高频移动，只能作为多数代表序列和边际中位数的总体倾向，不能保证每一个厚度—坡角组合均按此顺序变化。</w:t>
      </w:r>
    </w:p>
    <w:p w14:paraId="7D46ACC2">
      <w:pPr>
        <w:spacing w:before="0" w:after="0"/>
        <w:ind w:firstLine="420"/>
        <w:jc w:val="both"/>
      </w:pPr>
      <w:r>
        <w:rPr>
          <w:rFonts w:hint="eastAsia" w:ascii="Times New Roman" w:hAnsi="Times New Roman" w:eastAsia="宋体" w:cs="Times New Roman"/>
          <w:b w:val="0"/>
          <w:i w:val="0"/>
          <w:sz w:val="21"/>
        </w:rPr>
        <w:t>波速比作用的稳定性还体现在其对分布不同位置的同步压低。</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 xml:space="preserve"> 组的峰值最小值、中位数和最大值分别为1.739、2.152和4.012；到 </w:t>
      </w:r>
      <m:oMath>
        <m:sSub>
          <m:sSubPr/>
          <m:e>
            <m:r>
              <m:rPr/>
              <m:t>r</m:t>
            </m:r>
          </m:e>
          <m:sub>
            <m:r>
              <m:rPr/>
              <m:t>v</m:t>
            </m:r>
          </m:sub>
        </m:sSub>
        <m:r>
          <m:rPr>
            <m:sty m:val="p"/>
          </m:rPr>
          <m:t>=</m:t>
        </m:r>
        <m:r>
          <m:rPr/>
          <m:t>0.75</m:t>
        </m:r>
      </m:oMath>
      <w:r>
        <w:rPr>
          <w:rFonts w:hint="eastAsia" w:ascii="Times New Roman" w:hAnsi="Times New Roman" w:eastAsia="宋体" w:cs="Times New Roman"/>
          <w:b w:val="0"/>
          <w:i w:val="0"/>
          <w:sz w:val="21"/>
        </w:rPr>
        <w:t xml:space="preserve"> 时分别降为1.257、1.541和1.696。极差由2.273收缩到0.439，说明材料反差减小时，软厚角点形成的长上尾基本消失，64例之间的幅值差异也更接近几何差异本身。相反，峰频四分位区间没有按相同方式收缩：四个波速比水平的中位数由4.75升至6.50、7.75后回落至7.05 Hz，最低与最高频率在多数水平仍跨越多个频带。幅值分布的收缩来自强峰被压低，不意味着谱形随波速比变得单峰或峰频变得容易预测。</w:t>
      </w:r>
    </w:p>
    <w:p w14:paraId="25D89B51">
      <w:pPr>
        <w:spacing w:before="0" w:after="0"/>
        <w:ind w:firstLine="420"/>
        <w:jc w:val="both"/>
      </w:pPr>
      <w:r>
        <w:rPr>
          <w:rFonts w:hint="eastAsia" w:ascii="Times New Roman" w:hAnsi="Times New Roman" w:eastAsia="宋体" w:cs="Times New Roman"/>
          <w:b w:val="0"/>
          <w:i w:val="0"/>
          <w:sz w:val="21"/>
        </w:rPr>
        <w:t xml:space="preserve">代表序列中峰位固定在 </w:t>
      </w:r>
      <m:oMath>
        <m:r>
          <m:rPr/>
          <m:t>s</m:t>
        </m:r>
        <m:r>
          <m:rPr>
            <m:sty m:val="p"/>
          </m:rPr>
          <m:t>=</m:t>
        </m:r>
        <m:r>
          <m:rPr/>
          <m:t>0</m:t>
        </m:r>
      </m:oMath>
      <w:r>
        <w:rPr>
          <w:rFonts w:hint="eastAsia" w:ascii="Times New Roman" w:hAnsi="Times New Roman" w:eastAsia="宋体" w:cs="Times New Roman"/>
          <w:b w:val="0"/>
          <w:i w:val="0"/>
          <w:sz w:val="21"/>
        </w:rPr>
        <w:t>，使图12清楚呈现波速比对频带和幅值的作用，但全域结果仍包含空间换位。最厚层四个坡角下，</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 xml:space="preserve"> 的峰都落在下平台；当 </w:t>
      </w:r>
      <m:oMath>
        <m:sSub>
          <m:sSubPr/>
          <m:e>
            <m:r>
              <m:rPr/>
              <m:t>r</m:t>
            </m:r>
          </m:e>
          <m:sub>
            <m:r>
              <m:rPr/>
              <m:t>v</m:t>
            </m:r>
          </m:sub>
        </m:sSub>
      </m:oMath>
      <w:r>
        <w:rPr>
          <w:rFonts w:hint="eastAsia" w:ascii="Times New Roman" w:hAnsi="Times New Roman" w:eastAsia="宋体" w:cs="Times New Roman"/>
          <w:b w:val="0"/>
          <w:i w:val="0"/>
          <w:sz w:val="21"/>
        </w:rPr>
        <w:t xml:space="preserve"> 增至0.75后，15°、30°和45°组仍在下平台远端取得峰值，60°组却回到坡顶。也就是说，波速比提高通常削弱下平台强峰，却不必在同一阈值上触发所有坡角的区段切换。波速比主效应的“稳定”只针对全场峰值大小的下降方向；峰位是否保持、主峰越过哪个频带以及区段内典型响应怎样变化，仍受厚度和坡角共同控制。把这一限定写清，能够避免从图12单条坡顶序列误推到全部64例。</w:t>
      </w:r>
    </w:p>
    <w:p w14:paraId="74FEAA42">
      <w:pPr>
        <w:spacing w:before="80" w:after="40"/>
        <w:ind w:firstLine="0"/>
        <w:jc w:val="center"/>
      </w:pPr>
      <w:r>
        <w:drawing>
          <wp:inline distT="0" distB="0" distL="114300" distR="114300">
            <wp:extent cx="2880360" cy="1597660"/>
            <wp:effectExtent l="0" t="0" r="152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2880360" cy="1598204"/>
                    </a:xfrm>
                    <a:prstGeom prst="rect">
                      <a:avLst/>
                    </a:prstGeom>
                  </pic:spPr>
                </pic:pic>
              </a:graphicData>
            </a:graphic>
          </wp:inline>
        </w:drawing>
      </w:r>
    </w:p>
    <w:p w14:paraId="47FB99BA">
      <w:pPr>
        <w:spacing w:before="0" w:after="0"/>
        <w:ind w:firstLine="0"/>
        <w:jc w:val="center"/>
      </w:pPr>
      <w:r>
        <w:rPr>
          <w:rFonts w:hint="eastAsia" w:ascii="Times New Roman" w:hAnsi="Times New Roman" w:eastAsia="宋体" w:cs="Times New Roman"/>
          <w:b w:val="0"/>
          <w:i w:val="0"/>
          <w:sz w:val="18"/>
        </w:rPr>
        <w:t>图13 64 个全因子成层工况按参数水平汇总的全场峰值幅值和主峰频率：（a）～（c）峰值幅值；（d）～（f）主峰频率；黄色菱形为中位数，粗线为四分位距，空心三角为10 Hz上界峰</w:t>
      </w:r>
    </w:p>
    <w:p w14:paraId="2DFE0C88">
      <w:pPr>
        <w:spacing w:before="0" w:after="60"/>
        <w:ind w:firstLine="0"/>
        <w:jc w:val="center"/>
      </w:pPr>
      <w:r>
        <w:rPr>
          <w:rFonts w:hint="eastAsia" w:ascii="Times New Roman" w:hAnsi="Times New Roman" w:eastAsia="Times New Roman" w:cs="Times New Roman"/>
          <w:b w:val="0"/>
          <w:i w:val="0"/>
          <w:sz w:val="18"/>
        </w:rPr>
        <w:t>Fig. 13 Marginal distributions of peak amplitude and dominant frequency for the three parameters</w:t>
      </w:r>
    </w:p>
    <w:p w14:paraId="539FA943">
      <w:pPr>
        <w:spacing w:before="0" w:after="0"/>
        <w:ind w:firstLine="420"/>
        <w:jc w:val="both"/>
      </w:pPr>
      <w:r>
        <w:rPr>
          <w:rFonts w:hint="eastAsia" w:ascii="Times New Roman" w:hAnsi="Times New Roman" w:eastAsia="宋体" w:cs="Times New Roman"/>
          <w:b w:val="0"/>
          <w:i w:val="0"/>
          <w:sz w:val="21"/>
        </w:rPr>
        <w:t>表8汇总了三参数水平的边际中位数。坡角四水平的峰值中位数相近，不能据此说坡角“没有作用”，因为图10的均质序列和图13的上尾都显示几何影响存在；它只说明在覆盖层参数跨越全域后，坡角主效应被更强的厚度、波速比及交互变化遮蔽。厚度比的中位数非单调，波速比的幅值中位数近似单调下降，也不能把中位数趋势套到每个单独组合。边际统计的作用是给出全域方向，控制变量图则负责展示具体响应怎样转折。</w:t>
      </w:r>
    </w:p>
    <w:p w14:paraId="3275D5EE">
      <w:pPr>
        <w:spacing w:before="0" w:after="0"/>
        <w:ind w:firstLine="420"/>
        <w:jc w:val="both"/>
      </w:pPr>
      <w:r>
        <w:rPr>
          <w:rFonts w:hint="eastAsia" w:ascii="Times New Roman" w:hAnsi="Times New Roman" w:eastAsia="宋体" w:cs="Times New Roman"/>
          <w:b w:val="0"/>
          <w:i w:val="0"/>
          <w:sz w:val="21"/>
        </w:rPr>
        <w:t xml:space="preserve">频率分布尤其需要结合四分位区间阅读。四个厚度水平的峰频四分位区间依次为3.00～9.70、5.18～8.28、5.38～9.30和4.08～8.43 Hz，区间大幅重叠，且各自跨度都明显大于相邻中位数差；4个10 Hz上界峰中，3例出现在 </w:t>
      </w:r>
      <m:oMath>
        <m:r>
          <m:rPr/>
          <m:t>d</m:t>
        </m:r>
        <m:r>
          <m:rPr>
            <m:sty m:val="p"/>
          </m:rPr>
          <m:t>/</m:t>
        </m:r>
        <m:r>
          <m:rPr/>
          <m:t>h</m:t>
        </m:r>
        <m:r>
          <m:rPr>
            <m:sty m:val="p"/>
          </m:rPr>
          <m:t>=</m:t>
        </m:r>
        <m:r>
          <m:rPr/>
          <m:t>0.20</m:t>
        </m:r>
      </m:oMath>
      <w:r>
        <w:rPr>
          <w:rFonts w:hint="eastAsia" w:ascii="Times New Roman" w:hAnsi="Times New Roman" w:eastAsia="宋体" w:cs="Times New Roman"/>
          <w:b w:val="0"/>
          <w:i w:val="0"/>
          <w:sz w:val="21"/>
        </w:rPr>
        <w:t>，另1例出现在1.00。薄层组5.30 Hz的峰频中位数因此不能解释为稳定的“薄层主频”，它只是低频内部峰与高频截断峰共同形成的排序中心。幅值边际更容易形成可读方向，是因为峰值大小在换位前后仍为连续量；峰频由取最大值操作返回某一个离散频点，对候选峰的强弱次序更敏感。表8保留两类指标，正是为了避免把幅值趋势误写成峰频趋势。</w:t>
      </w:r>
    </w:p>
    <w:p w14:paraId="2D39D206">
      <w:pPr>
        <w:spacing w:before="156" w:after="0"/>
        <w:ind w:firstLine="0"/>
        <w:jc w:val="center"/>
      </w:pPr>
      <w:r>
        <w:rPr>
          <w:rFonts w:hint="eastAsia" w:ascii="Times New Roman" w:hAnsi="Times New Roman" w:eastAsia="宋体" w:cs="Times New Roman"/>
          <w:b w:val="0"/>
          <w:i w:val="0"/>
          <w:sz w:val="18"/>
        </w:rPr>
        <w:t>表8 三参数各水平的全场峰值与主峰频率中位数</w:t>
      </w:r>
    </w:p>
    <w:p w14:paraId="43A20BBE">
      <w:pPr>
        <w:spacing w:before="0" w:after="40"/>
        <w:ind w:firstLine="0"/>
        <w:jc w:val="center"/>
      </w:pPr>
      <w:r>
        <w:rPr>
          <w:rFonts w:hint="eastAsia" w:ascii="Times New Roman" w:hAnsi="Times New Roman" w:eastAsia="Times New Roman" w:cs="Times New Roman"/>
          <w:b w:val="0"/>
          <w:i w:val="0"/>
          <w:sz w:val="18"/>
        </w:rPr>
        <w:t>Table 8 Median global peak amplitude and dominant frequency at each parameter level</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9"/>
        <w:gridCol w:w="2409"/>
        <w:gridCol w:w="2409"/>
        <w:gridCol w:w="2409"/>
      </w:tblGrid>
      <w:tr w14:paraId="170846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Borders>
              <w:bottom w:val="single" w:color="auto" w:sz="6" w:space="0"/>
            </w:tcBorders>
            <w:vAlign w:val="center"/>
          </w:tcPr>
          <w:p w14:paraId="70B3C591">
            <w:pPr>
              <w:spacing w:before="30" w:after="30"/>
              <w:ind w:firstLine="0"/>
              <w:jc w:val="center"/>
            </w:pPr>
            <w:r>
              <w:rPr>
                <w:rFonts w:hint="eastAsia" w:ascii="Times New Roman" w:hAnsi="Times New Roman" w:eastAsia="宋体" w:cs="Times New Roman"/>
                <w:b/>
                <w:i w:val="0"/>
                <w:sz w:val="18"/>
              </w:rPr>
              <w:t>参数</w:t>
            </w:r>
          </w:p>
        </w:tc>
        <w:tc>
          <w:tcPr>
            <w:tcW w:w="2409" w:type="dxa"/>
            <w:tcBorders>
              <w:bottom w:val="single" w:color="auto" w:sz="6" w:space="0"/>
            </w:tcBorders>
            <w:vAlign w:val="center"/>
          </w:tcPr>
          <w:p w14:paraId="66B66F37">
            <w:pPr>
              <w:spacing w:before="30" w:after="30"/>
              <w:ind w:firstLine="0"/>
              <w:jc w:val="center"/>
            </w:pPr>
            <w:r>
              <w:rPr>
                <w:rFonts w:hint="eastAsia" w:ascii="Times New Roman" w:hAnsi="Times New Roman" w:eastAsia="宋体" w:cs="Times New Roman"/>
                <w:b/>
                <w:i w:val="0"/>
                <w:sz w:val="18"/>
              </w:rPr>
              <w:t>水平</w:t>
            </w:r>
          </w:p>
        </w:tc>
        <w:tc>
          <w:tcPr>
            <w:tcW w:w="2409" w:type="dxa"/>
            <w:tcBorders>
              <w:bottom w:val="single" w:color="auto" w:sz="6" w:space="0"/>
            </w:tcBorders>
            <w:vAlign w:val="center"/>
          </w:tcPr>
          <w:p w14:paraId="3C27D753">
            <w:pPr>
              <w:spacing w:before="30" w:after="30"/>
              <w:ind w:firstLine="0"/>
              <w:jc w:val="center"/>
            </w:pPr>
            <w:r>
              <w:rPr>
                <w:rFonts w:hint="eastAsia" w:ascii="Times New Roman" w:hAnsi="Times New Roman" w:eastAsia="宋体" w:cs="Times New Roman"/>
                <w:b/>
                <w:i w:val="0"/>
                <w:sz w:val="18"/>
              </w:rPr>
              <w:t>峰值幅值中位数</w:t>
            </w:r>
          </w:p>
        </w:tc>
        <w:tc>
          <w:tcPr>
            <w:tcW w:w="2409" w:type="dxa"/>
            <w:tcBorders>
              <w:bottom w:val="single" w:color="auto" w:sz="6" w:space="0"/>
            </w:tcBorders>
            <w:vAlign w:val="center"/>
          </w:tcPr>
          <w:p w14:paraId="755F4021">
            <w:pPr>
              <w:spacing w:before="30" w:after="30"/>
              <w:ind w:firstLine="0"/>
              <w:jc w:val="center"/>
            </w:pPr>
            <w:r>
              <w:rPr>
                <w:rFonts w:hint="eastAsia" w:ascii="Times New Roman" w:hAnsi="Times New Roman" w:eastAsia="宋体" w:cs="Times New Roman"/>
                <w:b/>
                <w:i w:val="0"/>
                <w:sz w:val="18"/>
              </w:rPr>
              <w:t>主峰频率中位数/Hz</w:t>
            </w:r>
          </w:p>
        </w:tc>
      </w:tr>
      <w:tr w14:paraId="758719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6A26318C">
            <w:pPr>
              <w:spacing w:before="30" w:after="30"/>
              <w:ind w:firstLine="0"/>
              <w:jc w:val="center"/>
            </w:pPr>
            <w:r>
              <w:rPr>
                <w:rFonts w:hint="eastAsia" w:ascii="Times New Roman" w:hAnsi="Times New Roman" w:eastAsia="宋体" w:cs="Times New Roman"/>
                <w:b w:val="0"/>
                <w:i w:val="0"/>
                <w:sz w:val="18"/>
              </w:rPr>
              <w:t xml:space="preserve">坡角 </w:t>
            </w:r>
            <m:oMath>
              <m:r>
                <m:rPr/>
                <m:t>i</m:t>
              </m:r>
            </m:oMath>
          </w:p>
        </w:tc>
        <w:tc>
          <w:tcPr>
            <w:tcW w:w="2409" w:type="dxa"/>
            <w:vAlign w:val="center"/>
          </w:tcPr>
          <w:p w14:paraId="52F7D1E0">
            <w:pPr>
              <w:spacing w:before="30" w:after="30"/>
              <w:ind w:firstLine="0"/>
              <w:jc w:val="center"/>
            </w:pPr>
            <w:r>
              <w:rPr>
                <w:rFonts w:hint="eastAsia" w:ascii="Times New Roman" w:hAnsi="Times New Roman" w:eastAsia="宋体" w:cs="Times New Roman"/>
                <w:b w:val="0"/>
                <w:i w:val="0"/>
                <w:sz w:val="18"/>
              </w:rPr>
              <w:t>15° / 30° / 45° / 60°</w:t>
            </w:r>
          </w:p>
        </w:tc>
        <w:tc>
          <w:tcPr>
            <w:tcW w:w="2409" w:type="dxa"/>
            <w:vAlign w:val="center"/>
          </w:tcPr>
          <w:p w14:paraId="4D800ECB">
            <w:pPr>
              <w:spacing w:before="30" w:after="30"/>
              <w:ind w:firstLine="0"/>
              <w:jc w:val="center"/>
            </w:pPr>
            <w:r>
              <w:rPr>
                <w:rFonts w:hint="eastAsia" w:ascii="Times New Roman" w:hAnsi="Times New Roman" w:eastAsia="宋体" w:cs="Times New Roman"/>
                <w:b w:val="0"/>
                <w:i w:val="0"/>
                <w:sz w:val="18"/>
              </w:rPr>
              <w:t>1.665 / 1.694 / 1.688 / 1.718</w:t>
            </w:r>
          </w:p>
        </w:tc>
        <w:tc>
          <w:tcPr>
            <w:tcW w:w="2409" w:type="dxa"/>
            <w:vAlign w:val="center"/>
          </w:tcPr>
          <w:p w14:paraId="65DB3B2F">
            <w:pPr>
              <w:spacing w:before="30" w:after="30"/>
              <w:ind w:firstLine="0"/>
              <w:jc w:val="center"/>
            </w:pPr>
            <w:r>
              <w:rPr>
                <w:rFonts w:hint="eastAsia" w:ascii="Times New Roman" w:hAnsi="Times New Roman" w:eastAsia="宋体" w:cs="Times New Roman"/>
                <w:b w:val="0"/>
                <w:i w:val="0"/>
                <w:sz w:val="18"/>
              </w:rPr>
              <w:t>6.40 / 8.85 / 6.85 / 4.35</w:t>
            </w:r>
          </w:p>
        </w:tc>
      </w:tr>
      <w:tr w14:paraId="7518F3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7FB8EFCA">
            <w:pPr>
              <w:spacing w:before="30" w:after="30"/>
              <w:ind w:firstLine="0"/>
              <w:jc w:val="center"/>
            </w:pPr>
            <w:r>
              <w:rPr>
                <w:rFonts w:hint="eastAsia" w:ascii="Times New Roman" w:hAnsi="Times New Roman" w:eastAsia="宋体" w:cs="Times New Roman"/>
                <w:b w:val="0"/>
                <w:i w:val="0"/>
                <w:sz w:val="18"/>
              </w:rPr>
              <w:t xml:space="preserve">厚度比 </w:t>
            </w:r>
            <m:oMath>
              <m:r>
                <m:rPr/>
                <m:t>d</m:t>
              </m:r>
              <m:r>
                <m:rPr>
                  <m:sty m:val="p"/>
                </m:rPr>
                <m:t>/</m:t>
              </m:r>
              <m:r>
                <m:rPr/>
                <m:t>h</m:t>
              </m:r>
            </m:oMath>
          </w:p>
        </w:tc>
        <w:tc>
          <w:tcPr>
            <w:tcW w:w="2409" w:type="dxa"/>
            <w:vAlign w:val="center"/>
          </w:tcPr>
          <w:p w14:paraId="594393A4">
            <w:pPr>
              <w:spacing w:before="30" w:after="30"/>
              <w:ind w:firstLine="0"/>
              <w:jc w:val="center"/>
            </w:pPr>
            <w:r>
              <w:rPr>
                <w:rFonts w:hint="eastAsia" w:ascii="Times New Roman" w:hAnsi="Times New Roman" w:eastAsia="宋体" w:cs="Times New Roman"/>
                <w:b w:val="0"/>
                <w:i w:val="0"/>
                <w:sz w:val="18"/>
              </w:rPr>
              <w:t>0.20 / 0.60 / 1.00 / 1.40</w:t>
            </w:r>
          </w:p>
        </w:tc>
        <w:tc>
          <w:tcPr>
            <w:tcW w:w="2409" w:type="dxa"/>
            <w:vAlign w:val="center"/>
          </w:tcPr>
          <w:p w14:paraId="7DD2A8B6">
            <w:pPr>
              <w:spacing w:before="30" w:after="30"/>
              <w:ind w:firstLine="0"/>
              <w:jc w:val="center"/>
            </w:pPr>
            <w:r>
              <w:rPr>
                <w:rFonts w:hint="eastAsia" w:ascii="Times New Roman" w:hAnsi="Times New Roman" w:eastAsia="宋体" w:cs="Times New Roman"/>
                <w:b w:val="0"/>
                <w:i w:val="0"/>
                <w:sz w:val="18"/>
              </w:rPr>
              <w:t>1.517 / 1.754 / 1.647 / 2.245</w:t>
            </w:r>
          </w:p>
        </w:tc>
        <w:tc>
          <w:tcPr>
            <w:tcW w:w="2409" w:type="dxa"/>
            <w:vAlign w:val="center"/>
          </w:tcPr>
          <w:p w14:paraId="52EAAD84">
            <w:pPr>
              <w:spacing w:before="30" w:after="30"/>
              <w:ind w:firstLine="0"/>
              <w:jc w:val="center"/>
            </w:pPr>
            <w:r>
              <w:rPr>
                <w:rFonts w:hint="eastAsia" w:ascii="Times New Roman" w:hAnsi="Times New Roman" w:eastAsia="宋体" w:cs="Times New Roman"/>
                <w:b w:val="0"/>
                <w:i w:val="0"/>
                <w:sz w:val="18"/>
              </w:rPr>
              <w:t>5.30 / 7.30 / 7.45 / 6.70</w:t>
            </w:r>
          </w:p>
        </w:tc>
      </w:tr>
      <w:tr w14:paraId="251E9B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107AA3FF">
            <w:pPr>
              <w:spacing w:before="30" w:after="30"/>
              <w:ind w:firstLine="0"/>
              <w:jc w:val="center"/>
            </w:pPr>
            <w:r>
              <w:rPr>
                <w:rFonts w:hint="eastAsia" w:ascii="Times New Roman" w:hAnsi="Times New Roman" w:eastAsia="宋体" w:cs="Times New Roman"/>
                <w:b w:val="0"/>
                <w:i w:val="0"/>
                <w:sz w:val="18"/>
              </w:rPr>
              <w:t xml:space="preserve">波速比 </w:t>
            </w:r>
            <m:oMath>
              <m:sSub>
                <m:sSubPr/>
                <m:e>
                  <m:r>
                    <m:rPr/>
                    <m:t>r</m:t>
                  </m:r>
                </m:e>
                <m:sub>
                  <m:r>
                    <m:rPr/>
                    <m:t>v</m:t>
                  </m:r>
                </m:sub>
              </m:sSub>
            </m:oMath>
          </w:p>
        </w:tc>
        <w:tc>
          <w:tcPr>
            <w:tcW w:w="2409" w:type="dxa"/>
            <w:vAlign w:val="center"/>
          </w:tcPr>
          <w:p w14:paraId="0087A927">
            <w:pPr>
              <w:spacing w:before="30" w:after="30"/>
              <w:ind w:firstLine="0"/>
              <w:jc w:val="center"/>
            </w:pPr>
            <w:r>
              <w:rPr>
                <w:rFonts w:hint="eastAsia" w:ascii="Times New Roman" w:hAnsi="Times New Roman" w:eastAsia="宋体" w:cs="Times New Roman"/>
                <w:b w:val="0"/>
                <w:i w:val="0"/>
                <w:sz w:val="18"/>
              </w:rPr>
              <w:t>0.30 / 0.45 / 0.60 / 0.75</w:t>
            </w:r>
          </w:p>
        </w:tc>
        <w:tc>
          <w:tcPr>
            <w:tcW w:w="2409" w:type="dxa"/>
            <w:vAlign w:val="center"/>
          </w:tcPr>
          <w:p w14:paraId="0F0EDB37">
            <w:pPr>
              <w:spacing w:before="30" w:after="30"/>
              <w:ind w:firstLine="0"/>
              <w:jc w:val="center"/>
            </w:pPr>
            <w:r>
              <w:rPr>
                <w:rFonts w:hint="eastAsia" w:ascii="Times New Roman" w:hAnsi="Times New Roman" w:eastAsia="宋体" w:cs="Times New Roman"/>
                <w:b w:val="0"/>
                <w:i w:val="0"/>
                <w:sz w:val="18"/>
              </w:rPr>
              <w:t>2.152 / 1.767 / 1.628 / 1.541</w:t>
            </w:r>
          </w:p>
        </w:tc>
        <w:tc>
          <w:tcPr>
            <w:tcW w:w="2409" w:type="dxa"/>
            <w:vAlign w:val="center"/>
          </w:tcPr>
          <w:p w14:paraId="3968A996">
            <w:pPr>
              <w:spacing w:before="30" w:after="30"/>
              <w:ind w:firstLine="0"/>
              <w:jc w:val="center"/>
            </w:pPr>
            <w:r>
              <w:rPr>
                <w:rFonts w:hint="eastAsia" w:ascii="Times New Roman" w:hAnsi="Times New Roman" w:eastAsia="宋体" w:cs="Times New Roman"/>
                <w:b w:val="0"/>
                <w:i w:val="0"/>
                <w:sz w:val="18"/>
              </w:rPr>
              <w:t>4.75 / 6.50 / 7.75 / 7.05</w:t>
            </w:r>
          </w:p>
        </w:tc>
      </w:tr>
    </w:tbl>
    <w:p w14:paraId="1B5A128D">
      <w:pPr>
        <w:spacing w:before="0" w:after="0"/>
        <w:ind w:firstLine="420"/>
        <w:jc w:val="both"/>
      </w:pPr>
      <w:r>
        <w:rPr>
          <w:rFonts w:hint="eastAsia" w:ascii="Times New Roman" w:hAnsi="Times New Roman" w:eastAsia="宋体" w:cs="Times New Roman"/>
          <w:b w:val="0"/>
          <w:i w:val="0"/>
          <w:sz w:val="21"/>
        </w:rPr>
        <w:t>厚度—波速比响应矩阵把边际趋势还原到具体组合。图14上排为峰值幅值，下排为主峰频率，每一列坡角对应完整的4×4厚度—波速比网格。64例中的最大值为 P061（</w:t>
      </w:r>
      <m:oMath>
        <m:r>
          <m:rPr/>
          <m:t>i</m:t>
        </m:r>
        <m:r>
          <m:rPr>
            <m:sty m:val="p"/>
          </m:rPr>
          <m:t>=</m:t>
        </m:r>
        <m:sSup>
          <m:sSupPr/>
          <m:e>
            <m:r>
              <m:rPr/>
              <m:t>60</m:t>
            </m:r>
          </m:e>
          <m:sup>
            <m:r>
              <m:rPr>
                <m:sty m:val="p"/>
              </m:rPr>
              <m:t>∘</m:t>
            </m:r>
          </m:sup>
        </m:sSup>
      </m:oMath>
      <w:r>
        <w:rPr>
          <w:rFonts w:hint="eastAsia" w:ascii="Times New Roman" w:hAnsi="Times New Roman" w:eastAsia="宋体" w:cs="Times New Roman"/>
          <w:b w:val="0"/>
          <w:i w:val="0"/>
          <w:sz w:val="21"/>
        </w:rPr>
        <w:t>、</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）的4.012，最小值为 P002（</w:t>
      </w:r>
      <m:oMath>
        <m:r>
          <m:rPr/>
          <m:t>i</m:t>
        </m:r>
        <m:r>
          <m:rPr>
            <m:sty m:val="p"/>
          </m:rPr>
          <m:t>=</m:t>
        </m:r>
        <m:sSup>
          <m:sSupPr/>
          <m:e>
            <m:r>
              <m:rPr/>
              <m:t>15</m:t>
            </m:r>
          </m:e>
          <m:sup>
            <m:r>
              <m:rPr>
                <m:sty m:val="p"/>
              </m:rPr>
              <m:t>∘</m:t>
            </m:r>
          </m:sup>
        </m:sSup>
      </m:oMath>
      <w:r>
        <w:rPr>
          <w:rFonts w:hint="eastAsia" w:ascii="Times New Roman" w:hAnsi="Times New Roman" w:eastAsia="宋体" w:cs="Times New Roman"/>
          <w:b w:val="0"/>
          <w:i w:val="0"/>
          <w:sz w:val="21"/>
        </w:rPr>
        <w:t>、</w:t>
      </w:r>
      <m:oMath>
        <m:r>
          <m:rPr/>
          <m:t>d</m:t>
        </m:r>
        <m:r>
          <m:rPr>
            <m:sty m:val="p"/>
          </m:rPr>
          <m:t>/</m:t>
        </m:r>
        <m:r>
          <m:rPr/>
          <m:t>h</m:t>
        </m:r>
        <m:r>
          <m:rPr>
            <m:sty m:val="p"/>
          </m:rPr>
          <m:t>=</m:t>
        </m:r>
        <m:r>
          <m:rPr/>
          <m:t>0.20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0.45</m:t>
        </m:r>
      </m:oMath>
      <w:r>
        <w:rPr>
          <w:rFonts w:hint="eastAsia" w:ascii="Times New Roman" w:hAnsi="Times New Roman" w:eastAsia="宋体" w:cs="Times New Roman"/>
          <w:b w:val="0"/>
          <w:i w:val="0"/>
          <w:sz w:val="21"/>
        </w:rPr>
        <w:t>）的1.249，前者为后者的3.21倍。高响应集中在“厚层—低波速比”一角，但并非每一行、每一列都严格单调。</w:t>
      </w:r>
    </w:p>
    <w:p w14:paraId="320ACCBC">
      <w:pPr>
        <w:spacing w:before="0" w:after="0"/>
        <w:ind w:firstLine="420"/>
        <w:jc w:val="both"/>
      </w:pPr>
      <w:r>
        <w:rPr>
          <w:rFonts w:hint="eastAsia" w:ascii="Times New Roman" w:hAnsi="Times New Roman" w:eastAsia="宋体" w:cs="Times New Roman"/>
          <w:b w:val="0"/>
          <w:i w:val="0"/>
          <w:sz w:val="21"/>
        </w:rPr>
        <w:t xml:space="preserve">矩阵中的极端高响应具有比边际中位数更明确的参数指纹。64例中有19例峰值不低于2.0，但只有4例超过3.0；这4例恰好都是 </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 xml:space="preserve">，对应15°、30°、45°和60°坡的P013、P029、P045和P061。其峰值依次为3.539、3.714、3.904和4.012，峰频集中在4.0～4.1 Hz，峰位集中在下平台 </w:t>
      </w:r>
      <m:oMath>
        <m:r>
          <m:rPr/>
          <m:t>s</m:t>
        </m:r>
        <m:r>
          <m:rPr>
            <m:sty m:val="p"/>
          </m:rPr>
          <m:t>=</m:t>
        </m:r>
        <m:r>
          <m:rPr/>
          <m:t>3.15</m:t>
        </m:r>
      </m:oMath>
      <w:r>
        <w:rPr>
          <w:rFonts w:hint="eastAsia" w:ascii="Times New Roman" w:hAnsi="Times New Roman" w:eastAsia="宋体" w:cs="Times New Roman"/>
          <w:b w:val="0"/>
          <w:i w:val="0"/>
          <w:sz w:val="21"/>
        </w:rPr>
        <w:t xml:space="preserve">～3.25。换言之，软厚组合先把主控频带和位置锁定在约4 Hz的下平台区域，坡角再对该高响应状态作近似单调增幅。这个局部规律跨四个坡角重复出现，可以作为稳定的困难组合描述；它并不否定其他区域的非单调性，因为一旦离开 </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 xml:space="preserve"> 这个角点，控制峰就可能重新回到坡顶或高频带。</w:t>
      </w:r>
    </w:p>
    <w:p w14:paraId="0E983BA2">
      <w:pPr>
        <w:spacing w:before="80" w:after="40"/>
        <w:ind w:firstLine="0"/>
        <w:jc w:val="center"/>
      </w:pPr>
      <w:r>
        <w:drawing>
          <wp:inline distT="0" distB="0" distL="114300" distR="114300">
            <wp:extent cx="2880360" cy="1510030"/>
            <wp:effectExtent l="0" t="0" r="15240" b="139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880360" cy="1510519"/>
                    </a:xfrm>
                    <a:prstGeom prst="rect">
                      <a:avLst/>
                    </a:prstGeom>
                  </pic:spPr>
                </pic:pic>
              </a:graphicData>
            </a:graphic>
          </wp:inline>
        </w:drawing>
      </w:r>
    </w:p>
    <w:p w14:paraId="1825A8A6">
      <w:pPr>
        <w:spacing w:before="0" w:after="0"/>
        <w:ind w:firstLine="0"/>
        <w:jc w:val="center"/>
      </w:pPr>
      <w:r>
        <w:rPr>
          <w:rFonts w:hint="eastAsia" w:ascii="Times New Roman" w:hAnsi="Times New Roman" w:eastAsia="宋体" w:cs="Times New Roman"/>
          <w:b w:val="0"/>
          <w:i w:val="0"/>
          <w:sz w:val="18"/>
        </w:rPr>
        <w:t>图14 四种坡角下厚度比—波速比响应矩阵：（a）～（d）全场峰值幅值；（e）～（h）主峰频率；“</w:t>
      </w:r>
      <m:oMath>
        <m:r>
          <m:rPr>
            <m:sty m:val="p"/>
          </m:rPr>
          <m:t>≥</m:t>
        </m:r>
        <m:r>
          <m:rPr/>
          <m:t>10.0</m:t>
        </m:r>
      </m:oMath>
      <w:r>
        <w:rPr>
          <w:rFonts w:hint="eastAsia" w:ascii="Times New Roman" w:hAnsi="Times New Roman" w:eastAsia="宋体" w:cs="Times New Roman"/>
          <w:b w:val="0"/>
          <w:i w:val="0"/>
          <w:sz w:val="18"/>
        </w:rPr>
        <w:t>”表示分析频带上界峰</w:t>
      </w:r>
    </w:p>
    <w:p w14:paraId="3A23AB7D">
      <w:pPr>
        <w:spacing w:before="0" w:after="60"/>
        <w:ind w:firstLine="0"/>
        <w:jc w:val="center"/>
      </w:pPr>
      <w:r>
        <w:rPr>
          <w:rFonts w:hint="eastAsia" w:ascii="Times New Roman" w:hAnsi="Times New Roman" w:eastAsia="Times New Roman" w:cs="Times New Roman"/>
          <w:b w:val="0"/>
          <w:i w:val="0"/>
          <w:sz w:val="18"/>
        </w:rPr>
        <w:t>Fig. 14 Thickness-ratio–velocity-ratio response matrices at four slope angles</w:t>
      </w:r>
    </w:p>
    <w:p w14:paraId="1194359E">
      <w:pPr>
        <w:spacing w:before="0" w:after="0"/>
        <w:ind w:firstLine="420"/>
        <w:jc w:val="both"/>
      </w:pPr>
      <w:r>
        <w:rPr>
          <w:rFonts w:hint="eastAsia" w:ascii="Times New Roman" w:hAnsi="Times New Roman" w:eastAsia="宋体" w:cs="Times New Roman"/>
          <w:b w:val="0"/>
          <w:i w:val="0"/>
          <w:sz w:val="21"/>
        </w:rPr>
        <w:t>厚层条件下波速比的控制最清楚。</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 xml:space="preserve"> 时，</w:t>
      </w:r>
      <m:oMath>
        <m:sSub>
          <m:sSubPr/>
          <m:e>
            <m:r>
              <m:rPr/>
              <m:t>r</m:t>
            </m:r>
          </m:e>
          <m:sub>
            <m:r>
              <m:rPr/>
              <m:t>v</m:t>
            </m:r>
          </m:sub>
        </m:sSub>
      </m:oMath>
      <w:r>
        <w:rPr>
          <w:rFonts w:hint="eastAsia" w:ascii="Times New Roman" w:hAnsi="Times New Roman" w:eastAsia="宋体" w:cs="Times New Roman"/>
          <w:b w:val="0"/>
          <w:i w:val="0"/>
          <w:sz w:val="21"/>
        </w:rPr>
        <w:t xml:space="preserve"> 从0.30增至0.75使15°、30°、45°和60°坡的峰值分别降低55.6%、58.4%、60.1%和59.9%，四种坡角给出相近降幅。薄层 </w:t>
      </w:r>
      <m:oMath>
        <m:r>
          <m:rPr/>
          <m:t>d</m:t>
        </m:r>
        <m:r>
          <m:rPr>
            <m:sty m:val="p"/>
          </m:rPr>
          <m:t>/</m:t>
        </m:r>
        <m:r>
          <m:rPr/>
          <m:t>h</m:t>
        </m:r>
        <m:r>
          <m:rPr>
            <m:sty m:val="p"/>
          </m:rPr>
          <m:t>=</m:t>
        </m:r>
        <m:r>
          <m:rPr/>
          <m:t>0.20</m:t>
        </m:r>
      </m:oMath>
      <w:r>
        <w:rPr>
          <w:rFonts w:hint="eastAsia" w:ascii="Times New Roman" w:hAnsi="Times New Roman" w:eastAsia="宋体" w:cs="Times New Roman"/>
          <w:b w:val="0"/>
          <w:i w:val="0"/>
          <w:sz w:val="21"/>
        </w:rPr>
        <w:t xml:space="preserve"> 时，部分行在 </w:t>
      </w:r>
      <m:oMath>
        <m:sSub>
          <m:sSubPr/>
          <m:e>
            <m:r>
              <m:rPr/>
              <m:t>r</m:t>
            </m:r>
          </m:e>
          <m:sub>
            <m:r>
              <m:rPr/>
              <m:t>v</m:t>
            </m:r>
          </m:sub>
        </m:sSub>
        <m:r>
          <m:rPr>
            <m:sty m:val="p"/>
          </m:rPr>
          <m:t>=</m:t>
        </m:r>
        <m:r>
          <m:rPr/>
          <m:t>0.45</m:t>
        </m:r>
      </m:oMath>
      <w:r>
        <w:rPr>
          <w:rFonts w:hint="eastAsia" w:ascii="Times New Roman" w:hAnsi="Times New Roman" w:eastAsia="宋体" w:cs="Times New Roman"/>
          <w:b w:val="0"/>
          <w:i w:val="0"/>
          <w:sz w:val="21"/>
        </w:rPr>
        <w:t>～0.75间变化很小，说明覆盖层过薄或特征频率移出主要频带后，继续增大波速比的边际影响有限。主峰频率矩阵比幅值矩阵更零散：P001、P017、P018和P027的峰位落在10 Hz上界，图中以“</w:t>
      </w:r>
      <m:oMath>
        <m:r>
          <m:rPr>
            <m:sty m:val="p"/>
          </m:rPr>
          <m:t>≥</m:t>
        </m:r>
        <m:r>
          <m:rPr/>
          <m:t>10.0</m:t>
        </m:r>
      </m:oMath>
      <w:r>
        <w:rPr>
          <w:rFonts w:hint="eastAsia" w:ascii="Times New Roman" w:hAnsi="Times New Roman" w:eastAsia="宋体" w:cs="Times New Roman"/>
          <w:b w:val="0"/>
          <w:i w:val="0"/>
          <w:sz w:val="21"/>
        </w:rPr>
        <w:t>”和空心三角表示；这些工况的真实峰频可能更高，不能参与内部峰迁移的线性拟合。</w:t>
      </w:r>
    </w:p>
    <w:p w14:paraId="79C748C1">
      <w:pPr>
        <w:spacing w:before="0" w:after="0"/>
        <w:ind w:firstLine="420"/>
        <w:jc w:val="both"/>
      </w:pPr>
      <w:r>
        <w:rPr>
          <w:rFonts w:hint="eastAsia" w:ascii="Times New Roman" w:hAnsi="Times New Roman" w:eastAsia="宋体" w:cs="Times New Roman"/>
          <w:b w:val="0"/>
          <w:i w:val="0"/>
          <w:sz w:val="21"/>
        </w:rPr>
        <w:t xml:space="preserve">把每个厚度水平下 </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 xml:space="preserve"> 与0.75的首尾降幅在四个坡角间取中位数，可得到22.85%、29.86%、25.12%和59.11%。前三个厚度的波速比效应虽有差别，但均远小于 </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 xml:space="preserve"> 时约59%的降幅，这正是“厚度改变了波速比作用强度”的直接证据。反过来看，在最软的 </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 xml:space="preserve"> 列，厚度增加也不是平滑放大：不同坡角下 </w:t>
      </w:r>
      <m:oMath>
        <m:r>
          <m:rPr/>
          <m:t>d</m:t>
        </m:r>
        <m:r>
          <m:rPr>
            <m:sty m:val="p"/>
          </m:rPr>
          <m:t>/</m:t>
        </m:r>
        <m:r>
          <m:rPr/>
          <m:t>h</m:t>
        </m:r>
        <m:r>
          <m:rPr>
            <m:sty m:val="p"/>
          </m:rPr>
          <m:t>=</m:t>
        </m:r>
        <m:r>
          <m:rPr/>
          <m:t>0.60</m:t>
        </m:r>
      </m:oMath>
      <w:r>
        <w:rPr>
          <w:rFonts w:hint="eastAsia" w:ascii="Times New Roman" w:hAnsi="Times New Roman" w:eastAsia="宋体" w:cs="Times New Roman"/>
          <w:b w:val="0"/>
          <w:i w:val="0"/>
          <w:sz w:val="21"/>
        </w:rPr>
        <w:t xml:space="preserve"> 或1.00可能出现局部回落，直到1.40才共同跃入下平台4 Hz强响应。图14因而比三条边际曲线多回答了一层问题：厚度和波速比不仅各自改变峰值，它们还共同决定某个强响应分支是否进入当前0.5～10 Hz观察窗。</w:t>
      </w:r>
    </w:p>
    <w:p w14:paraId="24CD3909">
      <w:pPr>
        <w:spacing w:before="0" w:after="0"/>
        <w:ind w:firstLine="420"/>
        <w:jc w:val="both"/>
      </w:pPr>
      <w:r>
        <w:rPr>
          <w:rFonts w:hint="eastAsia" w:ascii="Times New Roman" w:hAnsi="Times New Roman" w:eastAsia="宋体" w:cs="Times New Roman"/>
          <w:b w:val="0"/>
          <w:i w:val="0"/>
          <w:sz w:val="21"/>
        </w:rPr>
        <w:t xml:space="preserve">矩阵的行列比较还能区分“强度交互”和“频率交互”。在 </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 xml:space="preserve"> 行，四个坡角的峰值随 </w:t>
      </w:r>
      <m:oMath>
        <m:sSub>
          <m:sSubPr/>
          <m:e>
            <m:r>
              <m:rPr/>
              <m:t>r</m:t>
            </m:r>
          </m:e>
          <m:sub>
            <m:r>
              <m:rPr/>
              <m:t>v</m:t>
            </m:r>
          </m:sub>
        </m:sSub>
      </m:oMath>
      <w:r>
        <w:rPr>
          <w:rFonts w:hint="eastAsia" w:ascii="Times New Roman" w:hAnsi="Times New Roman" w:eastAsia="宋体" w:cs="Times New Roman"/>
          <w:b w:val="0"/>
          <w:i w:val="0"/>
          <w:sz w:val="21"/>
        </w:rPr>
        <w:t xml:space="preserve"> 增大都大幅下降，方向高度一致，说明该角点的强度交互具有跨坡角可重复性；但对应峰频由约4 Hz逐步转向6～10 Hz后，60°、</w:t>
      </w:r>
      <m:oMath>
        <m:sSub>
          <m:sSubPr/>
          <m:e>
            <m:r>
              <m:rPr/>
              <m:t>r</m:t>
            </m:r>
          </m:e>
          <m:sub>
            <m:r>
              <m:rPr/>
              <m:t>v</m:t>
            </m:r>
          </m:sub>
        </m:sSub>
        <m:r>
          <m:rPr>
            <m:sty m:val="p"/>
          </m:rPr>
          <m:t>=</m:t>
        </m:r>
        <m:r>
          <m:rPr/>
          <m:t>0.75</m:t>
        </m:r>
      </m:oMath>
      <w:r>
        <w:rPr>
          <w:rFonts w:hint="eastAsia" w:ascii="Times New Roman" w:hAnsi="Times New Roman" w:eastAsia="宋体" w:cs="Times New Roman"/>
          <w:b w:val="0"/>
          <w:i w:val="0"/>
          <w:sz w:val="21"/>
        </w:rPr>
        <w:t xml:space="preserve"> 又回落到2.6 Hz，频率序列并不共享统一方向。在 </w:t>
      </w:r>
      <m:oMath>
        <m:r>
          <m:rPr/>
          <m:t>d</m:t>
        </m:r>
        <m:r>
          <m:rPr>
            <m:sty m:val="p"/>
          </m:rPr>
          <m:t>/</m:t>
        </m:r>
        <m:r>
          <m:rPr/>
          <m:t>h</m:t>
        </m:r>
        <m:r>
          <m:rPr>
            <m:sty m:val="p"/>
          </m:rPr>
          <m:t>=</m:t>
        </m:r>
        <m:r>
          <m:rPr/>
          <m:t>0.20</m:t>
        </m:r>
      </m:oMath>
      <w:r>
        <w:rPr>
          <w:rFonts w:hint="eastAsia" w:ascii="Times New Roman" w:hAnsi="Times New Roman" w:eastAsia="宋体" w:cs="Times New Roman"/>
          <w:b w:val="0"/>
          <w:i w:val="0"/>
          <w:sz w:val="21"/>
        </w:rPr>
        <w:t xml:space="preserve"> 行，15°坡从P001的1.911、10 Hz变为P002的1.249、2.1 Hz，波速比仅从0.30增至0.45便发生高、低频控制峰换位；随后P003和P004的幅值只由1.253增至1.257，峰频保持2.1 Hz附近。这里首个相邻步长包含“分支切换”，后两个步长则是在同一低频分支上的小幅变化。若把四点强行拟合成一条平滑响应曲线，既会把峰频突跳写成连续漂移，也会高估高波速比区间的幅值斜率。</w:t>
      </w:r>
    </w:p>
    <w:p w14:paraId="32EFFDE8">
      <w:pPr>
        <w:spacing w:before="0" w:after="0"/>
        <w:ind w:firstLine="420"/>
        <w:jc w:val="both"/>
      </w:pPr>
      <w:r>
        <w:rPr>
          <w:rFonts w:hint="eastAsia" w:ascii="Times New Roman" w:hAnsi="Times New Roman" w:eastAsia="宋体" w:cs="Times New Roman"/>
          <w:b w:val="0"/>
          <w:i w:val="0"/>
          <w:sz w:val="21"/>
        </w:rPr>
        <w:t>全场峰值仍可能被某一空间区段主导。图15将地表分为上平台、坡面和下平台，并将频率分为0.5～3、3～6和6～10 Hz。每个格先求单工况在该区段、该频带的对数幅值中位数，再用四个参数水平中最大与最小中位数之比表示效应跨度。上平台的三参数跨度仅为1.01～1.10倍，说明远离坡体突变后，各参数对区域中位响应的影响相对有限；显著差异主要出现在坡面和下平台。</w:t>
      </w:r>
    </w:p>
    <w:p w14:paraId="5A3D2C4E">
      <w:pPr>
        <w:spacing w:before="80" w:after="40"/>
        <w:ind w:firstLine="0"/>
        <w:jc w:val="center"/>
      </w:pPr>
      <w:r>
        <w:drawing>
          <wp:inline distT="0" distB="0" distL="114300" distR="114300">
            <wp:extent cx="2880360" cy="1016000"/>
            <wp:effectExtent l="0" t="0" r="1524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2880360" cy="1016161"/>
                    </a:xfrm>
                    <a:prstGeom prst="rect">
                      <a:avLst/>
                    </a:prstGeom>
                  </pic:spPr>
                </pic:pic>
              </a:graphicData>
            </a:graphic>
          </wp:inline>
        </w:drawing>
      </w:r>
    </w:p>
    <w:p w14:paraId="2BAE327B">
      <w:pPr>
        <w:spacing w:before="0" w:after="0"/>
        <w:ind w:firstLine="0"/>
        <w:jc w:val="center"/>
      </w:pPr>
      <w:r>
        <w:rPr>
          <w:rFonts w:hint="eastAsia" w:ascii="Times New Roman" w:hAnsi="Times New Roman" w:eastAsia="宋体" w:cs="Times New Roman"/>
          <w:b w:val="0"/>
          <w:i w:val="0"/>
          <w:sz w:val="18"/>
        </w:rPr>
        <w:t xml:space="preserve">图15 不同空间区段和频带内的参数效应跨度及方向：（a）坡角；（b）厚度比；（c）波速比。每格先求单工况区域 </w:t>
      </w:r>
      <m:oMath>
        <m:r>
          <m:rPr>
            <m:sty m:val="p"/>
          </m:rPr>
          <m:t>ln|</m:t>
        </m:r>
        <m:sSub>
          <m:sSubPr/>
          <m:e>
            <m:r>
              <m:rPr/>
              <m:t>G</m:t>
            </m:r>
          </m:e>
          <m:sub>
            <m:r>
              <m:rPr/>
              <m:t>h</m:t>
            </m:r>
          </m:sub>
        </m:sSub>
        <m:r>
          <m:rPr>
            <m:sty m:val="p"/>
          </m:rPr>
          <m:t>|</m:t>
        </m:r>
      </m:oMath>
      <w:r>
        <w:rPr>
          <w:rFonts w:hint="eastAsia" w:ascii="Times New Roman" w:hAnsi="Times New Roman" w:eastAsia="宋体" w:cs="Times New Roman"/>
          <w:b w:val="0"/>
          <w:i w:val="0"/>
          <w:sz w:val="18"/>
        </w:rPr>
        <w:t xml:space="preserve"> 中位数，再对其余两参数边际化；颜色为四参数水平中最大与最小中位幅值之比，文字给出最大响应所在水平。“总体升高/降低”表示四水平秩相关系数不小于0.8/不大于</w:t>
      </w:r>
      <m:oMath>
        <m:r>
          <m:rPr>
            <m:sty m:val="p"/>
          </m:rPr>
          <m:t>−</m:t>
        </m:r>
        <m:r>
          <m:rPr/>
          <m:t>0.8</m:t>
        </m:r>
      </m:oMath>
      <w:r>
        <w:rPr>
          <w:rFonts w:hint="eastAsia" w:ascii="Times New Roman" w:hAnsi="Times New Roman" w:eastAsia="宋体" w:cs="Times New Roman"/>
          <w:b w:val="0"/>
          <w:i w:val="0"/>
          <w:sz w:val="18"/>
        </w:rPr>
        <w:t>，其余标为非单调</w:t>
      </w:r>
    </w:p>
    <w:p w14:paraId="2406E149">
      <w:pPr>
        <w:spacing w:before="0" w:after="60"/>
        <w:ind w:firstLine="0"/>
        <w:jc w:val="center"/>
      </w:pPr>
      <w:r>
        <w:rPr>
          <w:rFonts w:hint="eastAsia" w:ascii="Times New Roman" w:hAnsi="Times New Roman" w:eastAsia="Times New Roman" w:cs="Times New Roman"/>
          <w:b w:val="0"/>
          <w:i w:val="0"/>
          <w:sz w:val="18"/>
        </w:rPr>
        <w:t>Fig. 15 Parameter-effect strength stratified by surface segment and frequency band</w:t>
      </w:r>
    </w:p>
    <w:p w14:paraId="7536831F">
      <w:pPr>
        <w:spacing w:before="0" w:after="0"/>
        <w:ind w:firstLine="420"/>
        <w:jc w:val="both"/>
      </w:pPr>
      <w:r>
        <w:rPr>
          <w:rFonts w:hint="eastAsia" w:ascii="Times New Roman" w:hAnsi="Times New Roman" w:eastAsia="宋体" w:cs="Times New Roman"/>
          <w:b w:val="0"/>
          <w:i w:val="0"/>
          <w:sz w:val="21"/>
        </w:rPr>
        <w:t xml:space="preserve">厚度比在下平台作用最强，低、中、高频的效应跨度分别为1.33、1.96和2.02倍，中高频最大响应均对应 </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 xml:space="preserve">；在坡面6～10 Hz，厚度效应仍达1.74倍。相比之下，坡角在坡面高频的最大跨度为1.34倍，且区域中位响应总体随坡角降低，最大值出现在15°，这与全场极值上尾随坡角升高并不冲突：缓坡可能在较长坡面上形成较高的区域平均值，陡坡则在更局部的位置形成更高尖峰。波速比在坡面低频的跨度为1.25倍，区域中位值随 </w:t>
      </w:r>
      <m:oMath>
        <m:sSub>
          <m:sSubPr/>
          <m:e>
            <m:r>
              <m:rPr/>
              <m:t>r</m:t>
            </m:r>
          </m:e>
          <m:sub>
            <m:r>
              <m:rPr/>
              <m:t>v</m:t>
            </m:r>
          </m:sub>
        </m:sSub>
      </m:oMath>
      <w:r>
        <w:rPr>
          <w:rFonts w:hint="eastAsia" w:ascii="Times New Roman" w:hAnsi="Times New Roman" w:eastAsia="宋体" w:cs="Times New Roman"/>
          <w:b w:val="0"/>
          <w:i w:val="0"/>
          <w:sz w:val="21"/>
        </w:rPr>
        <w:t xml:space="preserve"> 升高；这一方向也不同于全场峰值随 </w:t>
      </w:r>
      <m:oMath>
        <m:sSub>
          <m:sSubPr/>
          <m:e>
            <m:r>
              <m:rPr/>
              <m:t>r</m:t>
            </m:r>
          </m:e>
          <m:sub>
            <m:r>
              <m:rPr/>
              <m:t>v</m:t>
            </m:r>
          </m:sub>
        </m:sSub>
      </m:oMath>
      <w:r>
        <w:rPr>
          <w:rFonts w:hint="eastAsia" w:ascii="Times New Roman" w:hAnsi="Times New Roman" w:eastAsia="宋体" w:cs="Times New Roman"/>
          <w:b w:val="0"/>
          <w:i w:val="0"/>
          <w:sz w:val="21"/>
        </w:rPr>
        <w:t xml:space="preserve"> 升高而降低，表明“局部平均抬升”和“最大峰减弱”可以同时发生。</w:t>
      </w:r>
    </w:p>
    <w:p w14:paraId="6E3D858D">
      <w:pPr>
        <w:spacing w:before="0" w:after="0"/>
        <w:ind w:firstLine="420"/>
        <w:jc w:val="both"/>
      </w:pPr>
      <w:r>
        <w:rPr>
          <w:rFonts w:hint="eastAsia" w:ascii="Times New Roman" w:hAnsi="Times New Roman" w:eastAsia="宋体" w:cs="Times New Roman"/>
          <w:b w:val="0"/>
          <w:i w:val="0"/>
          <w:sz w:val="21"/>
        </w:rPr>
        <w:t>分区矩阵还揭示了效应随频带转移的过程。厚度比在坡面低、中、高频的跨度依次为1.14、1.30和1.74倍，在下平台则由1.33增至1.96和2.02倍，表现为越接近中高频、越靠近下平台，厚度差异越容易被放大。坡角在坡面低频仅相差1.07倍，到中频和高频扩大为1.18和1.34倍，而下平台三个频带均不超过1.10倍。波速比的最大分区效应出现在坡面低频，为1.25倍；坡面中、高频降至1.16和1.11倍，下平台三个频带为1.12～1.17倍。由这些完整格值可以看出，图13中波速比对全场峰值最强，并不意味着它对任意区域中位响应也最强；区域中高频差异反而更多由厚度控制。</w:t>
      </w:r>
    </w:p>
    <w:p w14:paraId="442E8413">
      <w:pPr>
        <w:spacing w:before="0" w:after="0"/>
        <w:ind w:firstLine="420"/>
        <w:jc w:val="both"/>
      </w:pPr>
      <w:r>
        <w:rPr>
          <w:rFonts w:hint="eastAsia" w:ascii="Times New Roman" w:hAnsi="Times New Roman" w:eastAsia="宋体" w:cs="Times New Roman"/>
          <w:b w:val="0"/>
          <w:i w:val="0"/>
          <w:sz w:val="21"/>
        </w:rPr>
        <w:t>每格对应的最大响应水平使方向差异更容易理解。坡面高频对坡角表现为总体降低，15°水平的区域中位值最高；对厚度则总体升高，</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 xml:space="preserve"> 最高；对波速比则总体降低，</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 xml:space="preserve"> 最高。坡面低频的波速比方向恰好相反，</w:t>
      </w:r>
      <m:oMath>
        <m:sSub>
          <m:sSubPr/>
          <m:e>
            <m:r>
              <m:rPr/>
              <m:t>r</m:t>
            </m:r>
          </m:e>
          <m:sub>
            <m:r>
              <m:rPr/>
              <m:t>v</m:t>
            </m:r>
          </m:sub>
        </m:sSub>
        <m:r>
          <m:rPr>
            <m:sty m:val="p"/>
          </m:rPr>
          <m:t>=</m:t>
        </m:r>
        <m:r>
          <m:rPr/>
          <m:t>0.75</m:t>
        </m:r>
      </m:oMath>
      <w:r>
        <w:rPr>
          <w:rFonts w:hint="eastAsia" w:ascii="Times New Roman" w:hAnsi="Times New Roman" w:eastAsia="宋体" w:cs="Times New Roman"/>
          <w:b w:val="0"/>
          <w:i w:val="0"/>
          <w:sz w:val="21"/>
        </w:rPr>
        <w:t xml:space="preserve"> 的区域中位值最高。下平台中频对厚度虽有1.96倍跨度，但四级序列为先降、再升并在1.40达到最大，仍属非单调。这样的符号变化不是统计口径冲突，而是频率—空间场被压缩成不同指标后的必然结果：全场峰值追踪随参数移动的最强点，分区中位数则固定观察区域和频带，能够显示原控制点之外的整体抬升或降低。</w:t>
      </w:r>
    </w:p>
    <w:p w14:paraId="509291D3">
      <w:pPr>
        <w:spacing w:before="0" w:after="0"/>
        <w:ind w:firstLine="420"/>
        <w:jc w:val="both"/>
      </w:pPr>
      <w:r>
        <w:rPr>
          <w:rFonts w:hint="eastAsia" w:ascii="Times New Roman" w:hAnsi="Times New Roman" w:eastAsia="宋体" w:cs="Times New Roman"/>
          <w:b w:val="0"/>
          <w:i w:val="0"/>
          <w:sz w:val="21"/>
        </w:rPr>
        <w:t>将图15中的对数中位数还原为幅值比，可以更直观地看到这种分层。上平台对三参数总体不敏感，但频带方向并不完全相同：厚度增加时，中频区域中位值由0.942升至1.034，跨度1.10倍，而低频由1.133降至1.095后在最厚层回到1.106；波速比提高时，上平台低频由1.096缓慢升至1.123，中频由1.025降至0.970，高频始终维持在1.030～1.037。这里所有变化都不超过10%，却已经包含升高、降低和非单调三种形态。因而，“上平台影响小”应理解为效应幅度小，而不能理解为三个参数在该区段没有频带选择性。</w:t>
      </w:r>
    </w:p>
    <w:p w14:paraId="6FE61666">
      <w:pPr>
        <w:spacing w:before="0" w:after="0"/>
        <w:ind w:firstLine="420"/>
        <w:jc w:val="both"/>
      </w:pPr>
      <w:r>
        <w:rPr>
          <w:rFonts w:hint="eastAsia" w:ascii="Times New Roman" w:hAnsi="Times New Roman" w:eastAsia="宋体" w:cs="Times New Roman"/>
          <w:b w:val="0"/>
          <w:i w:val="0"/>
          <w:sz w:val="21"/>
        </w:rPr>
        <w:t>坡面上的方向反转更强。厚度四水平的低频区域中位值为1.083、0.986、0.950和0.980，总体降低但末级略有回升；中频为0.940、0.723、0.810和0.871，先降后升；高频则由0.543、0.845、0.891增至0.942，最厚与最薄之比达到1.74。波速比四水平在坡面低频由0.847升至1.057，在高频却由0.871降至0.783；一个参数在同一空间区段内即可同时抬高低频背景、压低高频响应。坡角也呈相似分裂，低频随坡角由0.981升至1.047，中高频则持续下降。以上数值说明，频带合并后的单一“坡面放大系数”会把方向相反的变化互相抵消，难以反映参数改变后的谱形重排。</w:t>
      </w:r>
    </w:p>
    <w:p w14:paraId="36E90E58">
      <w:pPr>
        <w:spacing w:before="0" w:after="0"/>
        <w:ind w:firstLine="420"/>
        <w:jc w:val="both"/>
      </w:pPr>
      <w:r>
        <w:rPr>
          <w:rFonts w:hint="eastAsia" w:ascii="Times New Roman" w:hAnsi="Times New Roman" w:eastAsia="宋体" w:cs="Times New Roman"/>
          <w:b w:val="0"/>
          <w:i w:val="0"/>
          <w:sz w:val="21"/>
        </w:rPr>
        <w:t>下平台的突出特点是厚度效应集中在中高频。厚度四水平的高频区域中位值由0.683、0.746、0.873升至1.378，呈连续上升；中频则为0.787、0.649、0.720和1.270，先降低再显著上升。最厚层对中、高频的抬升不仅改变区段中位数，也为全场控制点转移到下平台创造条件。低频序列0.837、0.716、0.627和0.695反而总体下降，说明P013、P029、P045和P061约4 Hz的强峰不能概括为整个0.5～3 Hz低频区段同步增强。它们属于中频窄带内的局部强响应，而不是下平台全频背景的均匀抬升。这样的分带结果把“强峰出现”与“区域整体增强”区分开来，也为图14中软厚角点为何集中在约4 Hz提供了更具体的空间证据。</w:t>
      </w:r>
    </w:p>
    <w:p w14:paraId="6107EEE9">
      <w:pPr>
        <w:spacing w:before="0" w:after="0"/>
        <w:ind w:firstLine="420"/>
        <w:jc w:val="both"/>
      </w:pPr>
      <w:r>
        <w:rPr>
          <w:rFonts w:hint="eastAsia" w:ascii="Times New Roman" w:hAnsi="Times New Roman" w:eastAsia="宋体" w:cs="Times New Roman"/>
          <w:b w:val="0"/>
          <w:i w:val="0"/>
          <w:sz w:val="21"/>
        </w:rPr>
        <w:t>比较三个空间区段还可看出参数信息沿地表的传递方式。上平台保留较平缓的基线，三参数最大跨度均不超过1.10；坡面是方向变化最频繁的过渡区，坡角和波速比在低频与高频给出相反符号；下平台对坡角不敏感，却对最厚覆盖层的中高频响应最敏感。这不是从左到右逐级放大的简单传播图景，而是不同区段对频率和参数的选择性不同。对沿线工程，使用坡顶一个测点代表整条地表会同时漏掉坡面高频的参数效应和下平台软厚组合的控制峰；反过来，只用下平台最不利峰代表上平台，也会高估大多数薄层工况的典型响应。</w:t>
      </w:r>
    </w:p>
    <w:p w14:paraId="314916F1">
      <w:pPr>
        <w:spacing w:before="0" w:after="0"/>
        <w:ind w:firstLine="420"/>
        <w:jc w:val="both"/>
      </w:pPr>
      <w:r>
        <w:rPr>
          <w:rFonts w:hint="eastAsia" w:ascii="Times New Roman" w:hAnsi="Times New Roman" w:eastAsia="宋体" w:cs="Times New Roman"/>
          <w:b w:val="0"/>
          <w:i w:val="0"/>
          <w:sz w:val="21"/>
        </w:rPr>
        <w:t>表9把控制变量、边际分布和分区结果放在一起。可见，三个参数并不对应三条简单的一维规律。坡角主要抬高均质基线和极端响应上尾；厚度比最容易引起频带与位置跳转，非单调最明显；波速比对全场峰值的方向最稳定，但对不同区段的中位响应仍可能相反。后续的交互分解不再试图用一条经验曲线概括全部工况，而是判断哪些参数组合控制峰值强度，哪些组合控制主峰频率和峰位迁移。</w:t>
      </w:r>
    </w:p>
    <w:p w14:paraId="786BE099">
      <w:pPr>
        <w:spacing w:before="0" w:after="0"/>
        <w:ind w:firstLine="420"/>
        <w:jc w:val="both"/>
      </w:pPr>
      <w:r>
        <w:rPr>
          <w:rFonts w:hint="eastAsia" w:ascii="Times New Roman" w:hAnsi="Times New Roman" w:eastAsia="宋体" w:cs="Times New Roman"/>
          <w:b w:val="0"/>
          <w:i w:val="0"/>
          <w:sz w:val="21"/>
        </w:rPr>
        <w:t>三类证据相互对照后，可以把结论分成稳定规律与条件规律。稳定规律包括：均质峰值随坡角提高而增大；波速比提高时绝大多数成层组合的全场峰值降低；</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 xml:space="preserve"> 在四种坡角下都形成约4 Hz的下平台强响应；厚度增至1.40后全场控制位置几乎统一转到下平台。条件规律则包括：成层坡峰值随坡角变化的方向、厚度增加造成的峰频迁移方向、以及波速比对坡面低频区域中位值的影响符号。控制变量序列负责展示这些转折的具体过程，边际分布判断其在全域中是否占主导，分区分带统计解释全场峰值以外的空间差异。将三者合并，才不会把一个特定切片写成普遍规律，也不会因全域中位数接近而忽略工程上最不利的局部组合。</w:t>
      </w:r>
    </w:p>
    <w:p w14:paraId="640B1523">
      <w:pPr>
        <w:spacing w:before="0" w:after="0"/>
        <w:ind w:firstLine="420"/>
        <w:jc w:val="both"/>
      </w:pPr>
      <w:r>
        <w:rPr>
          <w:rFonts w:hint="eastAsia" w:ascii="Times New Roman" w:hAnsi="Times New Roman" w:eastAsia="宋体" w:cs="Times New Roman"/>
          <w:b w:val="0"/>
          <w:i w:val="0"/>
          <w:sz w:val="21"/>
        </w:rPr>
        <w:t>从响应强度看，三参数并非处在同一层级。坡角先决定均质地形的散射基线，对成层工况分布中部的改变量较小，却能继续抬高软厚角点的上尾；厚度决定控制响应是否有条件从上平台转到下平台；波速比决定这一潜在分支能否发展为显著强峰。因而，图10中的坡角基线、图11和图12中的两个材料切片以及图14中的二维矩阵并不是彼此独立的参数展示，而是从基线到分支出现、再到分支强弱的连续证据链。</w:t>
      </w:r>
    </w:p>
    <w:p w14:paraId="7C6AD789">
      <w:pPr>
        <w:spacing w:before="0" w:after="0"/>
        <w:ind w:firstLine="420"/>
        <w:jc w:val="both"/>
      </w:pPr>
      <w:r>
        <w:rPr>
          <w:rFonts w:hint="eastAsia" w:ascii="Times New Roman" w:hAnsi="Times New Roman" w:eastAsia="宋体" w:cs="Times New Roman"/>
          <w:b w:val="0"/>
          <w:i w:val="0"/>
          <w:sz w:val="21"/>
        </w:rPr>
        <w:t>从频率和空间看，参数作用又呈另一种层级。厚度最容易改变控制区段，波速比在部分固定切片内能使峰频顺序上移，但全域峰频主要由交互决定；坡角则通过改变坡面长度和地形折点附近的空间分布，使同一覆盖层组合在不同频带获得不同竞争优势。图15显示的频带符号反转表明，峰值换位并非只从图11～14的少数极值中推测出来，在固定区段的区域统计中也有对应变化。全场、分区和频带三个尺度给出的结论由此能够相互约束。</w:t>
      </w:r>
    </w:p>
    <w:p w14:paraId="7A485D15">
      <w:pPr>
        <w:spacing w:before="0" w:after="0"/>
        <w:ind w:firstLine="420"/>
        <w:jc w:val="both"/>
      </w:pPr>
      <w:r>
        <w:rPr>
          <w:rFonts w:hint="eastAsia" w:ascii="Times New Roman" w:hAnsi="Times New Roman" w:eastAsia="宋体" w:cs="Times New Roman"/>
          <w:b w:val="0"/>
          <w:i w:val="0"/>
          <w:sz w:val="21"/>
        </w:rPr>
        <w:t xml:space="preserve">这些结果也限定了参数排序的使用方式。进行绝对峰值初筛时，可优先关注低 </w:t>
      </w:r>
      <m:oMath>
        <m:sSub>
          <m:sSubPr/>
          <m:e>
            <m:r>
              <m:rPr/>
              <m:t>r</m:t>
            </m:r>
          </m:e>
          <m:sub>
            <m:r>
              <m:rPr/>
              <m:t>v</m:t>
            </m:r>
          </m:sub>
        </m:sSub>
      </m:oMath>
      <w:r>
        <w:rPr>
          <w:rFonts w:hint="eastAsia" w:ascii="Times New Roman" w:hAnsi="Times New Roman" w:eastAsia="宋体" w:cs="Times New Roman"/>
          <w:b w:val="0"/>
          <w:i w:val="0"/>
          <w:sz w:val="21"/>
        </w:rPr>
        <w:t xml:space="preserve"> 与大 </w:t>
      </w:r>
      <m:oMath>
        <m:r>
          <m:rPr/>
          <m:t>d</m:t>
        </m:r>
        <m:r>
          <m:rPr>
            <m:sty m:val="p"/>
          </m:rPr>
          <m:t>/</m:t>
        </m:r>
        <m:r>
          <m:rPr/>
          <m:t>h</m:t>
        </m:r>
      </m:oMath>
      <w:r>
        <w:rPr>
          <w:rFonts w:hint="eastAsia" w:ascii="Times New Roman" w:hAnsi="Times New Roman" w:eastAsia="宋体" w:cs="Times New Roman"/>
          <w:b w:val="0"/>
          <w:i w:val="0"/>
          <w:sz w:val="21"/>
        </w:rPr>
        <w:t xml:space="preserve"> 的组合，再用坡角区分上尾；需要确定设施所在区段的输入时，则必须回到对应的空间—频带场，因为上平台、坡面和下平台的参数方向可能不同。尤其在 </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 xml:space="preserve"> 条件下，把下平台控制峰写成全坡同步放大会高估上平台，而在薄层条件下沿用同一判断又会把实际由上平台控制的多数工况错分。参数效应只有附带空间位置和频带才具备明确工程含义。</w:t>
      </w:r>
    </w:p>
    <w:p w14:paraId="0B60425A">
      <w:pPr>
        <w:spacing w:before="156" w:after="0"/>
        <w:ind w:firstLine="0"/>
        <w:jc w:val="center"/>
      </w:pPr>
      <w:r>
        <w:rPr>
          <w:rFonts w:hint="eastAsia" w:ascii="Times New Roman" w:hAnsi="Times New Roman" w:eastAsia="宋体" w:cs="Times New Roman"/>
          <w:b w:val="0"/>
          <w:i w:val="0"/>
          <w:sz w:val="18"/>
        </w:rPr>
        <w:t>表9 代表性参数序列和分区效应的定量对比</w:t>
      </w:r>
    </w:p>
    <w:p w14:paraId="0FCA20B5">
      <w:pPr>
        <w:spacing w:before="0" w:after="40"/>
        <w:ind w:firstLine="0"/>
        <w:jc w:val="center"/>
      </w:pPr>
      <w:r>
        <w:rPr>
          <w:rFonts w:hint="eastAsia" w:ascii="Times New Roman" w:hAnsi="Times New Roman" w:eastAsia="Times New Roman" w:cs="Times New Roman"/>
          <w:b w:val="0"/>
          <w:i w:val="0"/>
          <w:sz w:val="18"/>
        </w:rPr>
        <w:t>Table 9 Quantitative comparison of representative parameter sequences and segment-wise effects</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2"/>
        <w:gridCol w:w="1511"/>
        <w:gridCol w:w="1507"/>
        <w:gridCol w:w="2376"/>
        <w:gridCol w:w="1656"/>
        <w:gridCol w:w="1442"/>
      </w:tblGrid>
      <w:tr w14:paraId="4E9ABF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606" w:type="dxa"/>
            <w:tcBorders>
              <w:bottom w:val="single" w:color="auto" w:sz="6" w:space="0"/>
            </w:tcBorders>
            <w:vAlign w:val="center"/>
          </w:tcPr>
          <w:p w14:paraId="2178BC64">
            <w:pPr>
              <w:spacing w:before="30" w:after="30"/>
              <w:ind w:firstLine="0"/>
              <w:jc w:val="center"/>
            </w:pPr>
            <w:r>
              <w:rPr>
                <w:rFonts w:hint="eastAsia" w:ascii="Times New Roman" w:hAnsi="Times New Roman" w:eastAsia="宋体" w:cs="Times New Roman"/>
                <w:b/>
                <w:i w:val="0"/>
                <w:sz w:val="18"/>
              </w:rPr>
              <w:t>比较对象</w:t>
            </w:r>
          </w:p>
        </w:tc>
        <w:tc>
          <w:tcPr>
            <w:tcW w:w="1606" w:type="dxa"/>
            <w:tcBorders>
              <w:bottom w:val="single" w:color="auto" w:sz="6" w:space="0"/>
            </w:tcBorders>
            <w:vAlign w:val="center"/>
          </w:tcPr>
          <w:p w14:paraId="501BBC2E">
            <w:pPr>
              <w:spacing w:before="30" w:after="30"/>
              <w:ind w:firstLine="0"/>
              <w:jc w:val="center"/>
            </w:pPr>
            <w:r>
              <w:rPr>
                <w:rFonts w:hint="eastAsia" w:ascii="Times New Roman" w:hAnsi="Times New Roman" w:eastAsia="宋体" w:cs="Times New Roman"/>
                <w:b/>
                <w:i w:val="0"/>
                <w:sz w:val="18"/>
              </w:rPr>
              <w:t>固定条件</w:t>
            </w:r>
          </w:p>
        </w:tc>
        <w:tc>
          <w:tcPr>
            <w:tcW w:w="1606" w:type="dxa"/>
            <w:tcBorders>
              <w:bottom w:val="single" w:color="auto" w:sz="6" w:space="0"/>
            </w:tcBorders>
            <w:vAlign w:val="center"/>
          </w:tcPr>
          <w:p w14:paraId="2079A343">
            <w:pPr>
              <w:spacing w:before="30" w:after="30"/>
              <w:ind w:firstLine="0"/>
              <w:jc w:val="center"/>
            </w:pPr>
            <w:r>
              <w:rPr>
                <w:rFonts w:hint="eastAsia" w:ascii="Times New Roman" w:hAnsi="Times New Roman" w:eastAsia="宋体" w:cs="Times New Roman"/>
                <w:b/>
                <w:i w:val="0"/>
                <w:sz w:val="18"/>
              </w:rPr>
              <w:t>参数变化</w:t>
            </w:r>
          </w:p>
        </w:tc>
        <w:tc>
          <w:tcPr>
            <w:tcW w:w="1606" w:type="dxa"/>
            <w:tcBorders>
              <w:bottom w:val="single" w:color="auto" w:sz="6" w:space="0"/>
            </w:tcBorders>
            <w:vAlign w:val="center"/>
          </w:tcPr>
          <w:p w14:paraId="0197C8EE">
            <w:pPr>
              <w:spacing w:before="30" w:after="30"/>
              <w:ind w:firstLine="0"/>
              <w:jc w:val="center"/>
            </w:pPr>
            <w:r>
              <w:rPr>
                <w:rFonts w:hint="eastAsia" w:ascii="Times New Roman" w:hAnsi="Times New Roman" w:eastAsia="宋体" w:cs="Times New Roman"/>
                <w:b/>
                <w:i w:val="0"/>
                <w:sz w:val="18"/>
              </w:rPr>
              <w:t>峰值幅值变化</w:t>
            </w:r>
          </w:p>
        </w:tc>
        <w:tc>
          <w:tcPr>
            <w:tcW w:w="1606" w:type="dxa"/>
            <w:tcBorders>
              <w:bottom w:val="single" w:color="auto" w:sz="6" w:space="0"/>
            </w:tcBorders>
            <w:vAlign w:val="center"/>
          </w:tcPr>
          <w:p w14:paraId="3D74F2D6">
            <w:pPr>
              <w:spacing w:before="30" w:after="30"/>
              <w:ind w:firstLine="0"/>
              <w:jc w:val="center"/>
            </w:pPr>
            <w:r>
              <w:rPr>
                <w:rFonts w:hint="eastAsia" w:ascii="Times New Roman" w:hAnsi="Times New Roman" w:eastAsia="宋体" w:cs="Times New Roman"/>
                <w:b/>
                <w:i w:val="0"/>
                <w:sz w:val="18"/>
              </w:rPr>
              <w:t>主峰频率变化</w:t>
            </w:r>
          </w:p>
        </w:tc>
        <w:tc>
          <w:tcPr>
            <w:tcW w:w="1606" w:type="dxa"/>
            <w:tcBorders>
              <w:bottom w:val="single" w:color="auto" w:sz="6" w:space="0"/>
            </w:tcBorders>
            <w:vAlign w:val="center"/>
          </w:tcPr>
          <w:p w14:paraId="15C7ADF6">
            <w:pPr>
              <w:spacing w:before="30" w:after="30"/>
              <w:ind w:firstLine="0"/>
              <w:jc w:val="center"/>
            </w:pPr>
            <w:r>
              <w:rPr>
                <w:rFonts w:hint="eastAsia" w:ascii="Times New Roman" w:hAnsi="Times New Roman" w:eastAsia="宋体" w:cs="Times New Roman"/>
                <w:b/>
                <w:i w:val="0"/>
                <w:sz w:val="18"/>
              </w:rPr>
              <w:t>主要空间特征</w:t>
            </w:r>
          </w:p>
        </w:tc>
      </w:tr>
      <w:tr w14:paraId="0FDFB0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vAlign w:val="center"/>
          </w:tcPr>
          <w:p w14:paraId="6E26370F">
            <w:pPr>
              <w:spacing w:before="30" w:after="30"/>
              <w:ind w:firstLine="0"/>
              <w:jc w:val="center"/>
            </w:pPr>
            <w:r>
              <w:rPr>
                <w:rFonts w:hint="eastAsia" w:ascii="Times New Roman" w:hAnsi="Times New Roman" w:eastAsia="宋体" w:cs="Times New Roman"/>
                <w:b w:val="0"/>
                <w:i w:val="0"/>
                <w:sz w:val="18"/>
              </w:rPr>
              <w:t>坡角—均质</w:t>
            </w:r>
          </w:p>
        </w:tc>
        <w:tc>
          <w:tcPr>
            <w:tcW w:w="1606" w:type="dxa"/>
            <w:vAlign w:val="center"/>
          </w:tcPr>
          <w:p w14:paraId="01726BFB">
            <w:pPr>
              <w:spacing w:before="30" w:after="30"/>
              <w:ind w:firstLine="0"/>
              <w:jc w:val="center"/>
            </w:pPr>
            <w:r>
              <w:rPr>
                <w:rFonts w:hint="eastAsia" w:ascii="Times New Roman" w:hAnsi="Times New Roman" w:eastAsia="宋体" w:cs="Times New Roman"/>
                <w:b w:val="0"/>
                <w:i w:val="0"/>
                <w:sz w:val="18"/>
              </w:rPr>
              <w:t>无覆盖层</w:t>
            </w:r>
          </w:p>
        </w:tc>
        <w:tc>
          <w:tcPr>
            <w:tcW w:w="1606" w:type="dxa"/>
            <w:vAlign w:val="center"/>
          </w:tcPr>
          <w:p w14:paraId="2BF26DF3">
            <w:pPr>
              <w:spacing w:before="30" w:after="30"/>
              <w:ind w:firstLine="0"/>
              <w:jc w:val="center"/>
            </w:pPr>
            <w:r>
              <w:rPr>
                <w:rFonts w:hint="eastAsia" w:ascii="Times New Roman" w:hAnsi="Times New Roman" w:eastAsia="宋体" w:cs="Times New Roman"/>
                <w:b w:val="0"/>
                <w:i w:val="0"/>
                <w:sz w:val="18"/>
              </w:rPr>
              <w:t>15°→60°</w:t>
            </w:r>
          </w:p>
        </w:tc>
        <w:tc>
          <w:tcPr>
            <w:tcW w:w="1606" w:type="dxa"/>
            <w:vAlign w:val="center"/>
          </w:tcPr>
          <w:p w14:paraId="179CCD67">
            <w:pPr>
              <w:spacing w:before="30" w:after="30"/>
              <w:ind w:firstLine="0"/>
              <w:jc w:val="center"/>
            </w:pPr>
            <w:r>
              <w:rPr>
                <w:rFonts w:hint="eastAsia" w:ascii="Times New Roman" w:hAnsi="Times New Roman" w:eastAsia="宋体" w:cs="Times New Roman"/>
                <w:b w:val="0"/>
                <w:i w:val="0"/>
                <w:sz w:val="18"/>
              </w:rPr>
              <w:t>1.269→1.638</w:t>
            </w:r>
          </w:p>
        </w:tc>
        <w:tc>
          <w:tcPr>
            <w:tcW w:w="1606" w:type="dxa"/>
            <w:vAlign w:val="center"/>
          </w:tcPr>
          <w:p w14:paraId="0F86845F">
            <w:pPr>
              <w:spacing w:before="30" w:after="30"/>
              <w:ind w:firstLine="0"/>
              <w:jc w:val="center"/>
            </w:pPr>
            <w:r>
              <w:rPr>
                <w:rFonts w:hint="eastAsia" w:ascii="Times New Roman" w:hAnsi="Times New Roman" w:eastAsia="宋体" w:cs="Times New Roman"/>
                <w:b w:val="0"/>
                <w:i w:val="0"/>
                <w:sz w:val="18"/>
              </w:rPr>
              <w:t>2.2→9.9→8.1→3.2 Hz</w:t>
            </w:r>
          </w:p>
        </w:tc>
        <w:tc>
          <w:tcPr>
            <w:tcW w:w="1606" w:type="dxa"/>
            <w:vAlign w:val="center"/>
          </w:tcPr>
          <w:p w14:paraId="1232E3B7">
            <w:pPr>
              <w:spacing w:before="30" w:after="30"/>
              <w:ind w:firstLine="0"/>
              <w:jc w:val="center"/>
            </w:pPr>
            <w:r>
              <w:rPr>
                <w:rFonts w:hint="eastAsia" w:ascii="Times New Roman" w:hAnsi="Times New Roman" w:eastAsia="宋体" w:cs="Times New Roman"/>
                <w:b w:val="0"/>
                <w:i w:val="0"/>
                <w:sz w:val="18"/>
              </w:rPr>
              <w:t xml:space="preserve">峰位发生换位，45°组位于下平台 </w:t>
            </w:r>
            <m:oMath>
              <m:r>
                <m:rPr/>
                <m:t>s</m:t>
              </m:r>
              <m:r>
                <m:rPr>
                  <m:sty m:val="p"/>
                </m:rPr>
                <m:t>=</m:t>
              </m:r>
              <m:r>
                <m:rPr/>
                <m:t>3.90</m:t>
              </m:r>
            </m:oMath>
          </w:p>
        </w:tc>
      </w:tr>
      <w:tr w14:paraId="71AF15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vAlign w:val="center"/>
          </w:tcPr>
          <w:p w14:paraId="5DED3D6E">
            <w:pPr>
              <w:spacing w:before="30" w:after="30"/>
              <w:ind w:firstLine="0"/>
              <w:jc w:val="center"/>
            </w:pPr>
            <w:r>
              <w:rPr>
                <w:rFonts w:hint="eastAsia" w:ascii="Times New Roman" w:hAnsi="Times New Roman" w:eastAsia="宋体" w:cs="Times New Roman"/>
                <w:b w:val="0"/>
                <w:i w:val="0"/>
                <w:sz w:val="18"/>
              </w:rPr>
              <w:t>坡角—成层</w:t>
            </w:r>
          </w:p>
        </w:tc>
        <w:tc>
          <w:tcPr>
            <w:tcW w:w="1606" w:type="dxa"/>
            <w:vAlign w:val="center"/>
          </w:tcPr>
          <w:p w14:paraId="221C04D1">
            <w:pPr>
              <w:spacing w:before="30" w:after="30"/>
              <w:ind w:firstLine="0"/>
              <w:jc w:val="center"/>
            </w:pPr>
            <m:oMathPara>
              <m:oMath>
                <m:r>
                  <m:rPr/>
                  <m:t>d</m:t>
                </m:r>
                <m:r>
                  <m:rPr>
                    <m:sty m:val="p"/>
                  </m:rPr>
                  <m:t>/</m:t>
                </m:r>
                <m:r>
                  <m:rPr/>
                  <m:t>h</m:t>
                </m:r>
                <m:r>
                  <m:rPr>
                    <m:sty m:val="p"/>
                  </m:rPr>
                  <m:t>=</m:t>
                </m:r>
                <m:r>
                  <m:rPr/>
                  <m:t>1.00</m:t>
                </m:r>
                <m:r>
                  <m:rPr>
                    <m:sty m:val="p"/>
                  </m:rPr>
                  <m:t>,</m:t>
                </m:r>
                <m:sSub>
                  <m:sSubPr/>
                  <m:e>
                    <m:r>
                      <m:rPr/>
                      <m:t>r</m:t>
                    </m:r>
                  </m:e>
                  <m:sub>
                    <m:r>
                      <m:rPr/>
                      <m:t>v</m:t>
                    </m:r>
                  </m:sub>
                </m:sSub>
                <m:r>
                  <m:rPr>
                    <m:sty m:val="p"/>
                  </m:rPr>
                  <m:t>=</m:t>
                </m:r>
                <m:r>
                  <m:rPr/>
                  <m:t>0.45</m:t>
                </m:r>
              </m:oMath>
            </m:oMathPara>
          </w:p>
        </w:tc>
        <w:tc>
          <w:tcPr>
            <w:tcW w:w="1606" w:type="dxa"/>
            <w:vAlign w:val="center"/>
          </w:tcPr>
          <w:p w14:paraId="601E3CE7">
            <w:pPr>
              <w:spacing w:before="30" w:after="30"/>
              <w:ind w:firstLine="0"/>
              <w:jc w:val="center"/>
            </w:pPr>
            <w:r>
              <w:rPr>
                <w:rFonts w:hint="eastAsia" w:ascii="Times New Roman" w:hAnsi="Times New Roman" w:eastAsia="宋体" w:cs="Times New Roman"/>
                <w:b w:val="0"/>
                <w:i w:val="0"/>
                <w:sz w:val="18"/>
              </w:rPr>
              <w:t>15°→60°</w:t>
            </w:r>
          </w:p>
        </w:tc>
        <w:tc>
          <w:tcPr>
            <w:tcW w:w="1606" w:type="dxa"/>
            <w:vAlign w:val="center"/>
          </w:tcPr>
          <w:p w14:paraId="43DB4158">
            <w:pPr>
              <w:spacing w:before="30" w:after="30"/>
              <w:ind w:firstLine="0"/>
              <w:jc w:val="center"/>
            </w:pPr>
            <w:r>
              <w:rPr>
                <w:rFonts w:hint="eastAsia" w:ascii="Times New Roman" w:hAnsi="Times New Roman" w:eastAsia="宋体" w:cs="Times New Roman"/>
                <w:b w:val="0"/>
                <w:i w:val="0"/>
                <w:sz w:val="18"/>
              </w:rPr>
              <w:t>1.734→1.898→1.669→1.651</w:t>
            </w:r>
          </w:p>
        </w:tc>
        <w:tc>
          <w:tcPr>
            <w:tcW w:w="1606" w:type="dxa"/>
            <w:vAlign w:val="center"/>
          </w:tcPr>
          <w:p w14:paraId="39A72B79">
            <w:pPr>
              <w:spacing w:before="30" w:after="30"/>
              <w:ind w:firstLine="0"/>
              <w:jc w:val="center"/>
            </w:pPr>
            <w:r>
              <w:rPr>
                <w:rFonts w:hint="eastAsia" w:ascii="Times New Roman" w:hAnsi="Times New Roman" w:eastAsia="宋体" w:cs="Times New Roman"/>
                <w:b w:val="0"/>
                <w:i w:val="0"/>
                <w:sz w:val="18"/>
              </w:rPr>
              <w:t>9.3→8.8→9.3→2.1 Hz</w:t>
            </w:r>
          </w:p>
        </w:tc>
        <w:tc>
          <w:tcPr>
            <w:tcW w:w="1606" w:type="dxa"/>
            <w:vAlign w:val="center"/>
          </w:tcPr>
          <w:p w14:paraId="1EC8FBBB">
            <w:pPr>
              <w:spacing w:before="30" w:after="30"/>
              <w:ind w:firstLine="0"/>
              <w:jc w:val="center"/>
            </w:pPr>
            <w:r>
              <w:rPr>
                <w:rFonts w:hint="eastAsia" w:ascii="Times New Roman" w:hAnsi="Times New Roman" w:eastAsia="宋体" w:cs="Times New Roman"/>
                <w:b w:val="0"/>
                <w:i w:val="0"/>
                <w:sz w:val="18"/>
              </w:rPr>
              <w:t>30°幅值最大，趋势非单调</w:t>
            </w:r>
          </w:p>
        </w:tc>
      </w:tr>
      <w:tr w14:paraId="585AAB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vAlign w:val="center"/>
          </w:tcPr>
          <w:p w14:paraId="6FF9F77E">
            <w:pPr>
              <w:spacing w:before="30" w:after="30"/>
              <w:ind w:firstLine="0"/>
              <w:jc w:val="center"/>
            </w:pPr>
            <w:r>
              <w:rPr>
                <w:rFonts w:hint="eastAsia" w:ascii="Times New Roman" w:hAnsi="Times New Roman" w:eastAsia="宋体" w:cs="Times New Roman"/>
                <w:b w:val="0"/>
                <w:i w:val="0"/>
                <w:sz w:val="18"/>
              </w:rPr>
              <w:t>厚度比</w:t>
            </w:r>
          </w:p>
        </w:tc>
        <w:tc>
          <w:tcPr>
            <w:tcW w:w="1606" w:type="dxa"/>
            <w:vAlign w:val="center"/>
          </w:tcPr>
          <w:p w14:paraId="3ACEEEF5">
            <w:pPr>
              <w:spacing w:before="30" w:after="30"/>
              <w:ind w:firstLine="0"/>
              <w:jc w:val="center"/>
            </w:pPr>
            <m:oMathPara>
              <m:oMath>
                <m:r>
                  <m:rPr/>
                  <m:t>i</m:t>
                </m:r>
                <m:r>
                  <m:rPr>
                    <m:sty m:val="p"/>
                  </m:rPr>
                  <m:t>=</m:t>
                </m:r>
                <m:sSup>
                  <m:sSupPr/>
                  <m:e>
                    <m:r>
                      <m:rPr/>
                      <m:t>45</m:t>
                    </m:r>
                  </m:e>
                  <m:sup>
                    <m:r>
                      <m:rPr>
                        <m:sty m:val="p"/>
                      </m:rPr>
                      <m:t>∘</m:t>
                    </m:r>
                  </m:sup>
                </m:sSup>
                <m:r>
                  <m:rPr>
                    <m:sty m:val="p"/>
                  </m:rPr>
                  <m:t>,</m:t>
                </m:r>
                <m:sSub>
                  <m:sSubPr/>
                  <m:e>
                    <m:r>
                      <m:rPr/>
                      <m:t>r</m:t>
                    </m:r>
                  </m:e>
                  <m:sub>
                    <m:r>
                      <m:rPr/>
                      <m:t>v</m:t>
                    </m:r>
                  </m:sub>
                </m:sSub>
                <m:r>
                  <m:rPr>
                    <m:sty m:val="p"/>
                  </m:rPr>
                  <m:t>=</m:t>
                </m:r>
                <m:r>
                  <m:rPr/>
                  <m:t>0.30</m:t>
                </m:r>
              </m:oMath>
            </m:oMathPara>
          </w:p>
        </w:tc>
        <w:tc>
          <w:tcPr>
            <w:tcW w:w="1606" w:type="dxa"/>
            <w:vAlign w:val="center"/>
          </w:tcPr>
          <w:p w14:paraId="381BD54C">
            <w:pPr>
              <w:spacing w:before="30" w:after="30"/>
              <w:ind w:firstLine="0"/>
              <w:jc w:val="center"/>
            </w:pPr>
            <w:r>
              <w:rPr>
                <w:rFonts w:hint="eastAsia" w:ascii="Times New Roman" w:hAnsi="Times New Roman" w:eastAsia="宋体" w:cs="Times New Roman"/>
                <w:b w:val="0"/>
                <w:i w:val="0"/>
                <w:sz w:val="18"/>
              </w:rPr>
              <w:t>0.20→1.40</w:t>
            </w:r>
          </w:p>
        </w:tc>
        <w:tc>
          <w:tcPr>
            <w:tcW w:w="1606" w:type="dxa"/>
            <w:vAlign w:val="center"/>
          </w:tcPr>
          <w:p w14:paraId="21936427">
            <w:pPr>
              <w:spacing w:before="30" w:after="30"/>
              <w:ind w:firstLine="0"/>
              <w:jc w:val="center"/>
            </w:pPr>
            <w:r>
              <w:rPr>
                <w:rFonts w:hint="eastAsia" w:ascii="Times New Roman" w:hAnsi="Times New Roman" w:eastAsia="宋体" w:cs="Times New Roman"/>
                <w:b w:val="0"/>
                <w:i w:val="0"/>
                <w:sz w:val="18"/>
              </w:rPr>
              <w:t>1.861→2.148→1.958→3.904</w:t>
            </w:r>
          </w:p>
        </w:tc>
        <w:tc>
          <w:tcPr>
            <w:tcW w:w="1606" w:type="dxa"/>
            <w:vAlign w:val="center"/>
          </w:tcPr>
          <w:p w14:paraId="2AD78D88">
            <w:pPr>
              <w:spacing w:before="30" w:after="30"/>
              <w:ind w:firstLine="0"/>
              <w:jc w:val="center"/>
            </w:pPr>
            <w:r>
              <w:rPr>
                <w:rFonts w:hint="eastAsia" w:ascii="Times New Roman" w:hAnsi="Times New Roman" w:eastAsia="宋体" w:cs="Times New Roman"/>
                <w:b w:val="0"/>
                <w:i w:val="0"/>
                <w:sz w:val="18"/>
              </w:rPr>
              <w:t>9.3→4.3→8.8→4.0 Hz</w:t>
            </w:r>
          </w:p>
        </w:tc>
        <w:tc>
          <w:tcPr>
            <w:tcW w:w="1606" w:type="dxa"/>
            <w:vAlign w:val="center"/>
          </w:tcPr>
          <w:p w14:paraId="24C2F182">
            <w:pPr>
              <w:spacing w:before="30" w:after="30"/>
              <w:ind w:firstLine="0"/>
              <w:jc w:val="center"/>
            </w:pPr>
            <w:r>
              <w:rPr>
                <w:rFonts w:hint="eastAsia" w:ascii="Times New Roman" w:hAnsi="Times New Roman" w:eastAsia="宋体" w:cs="Times New Roman"/>
                <w:b w:val="0"/>
                <w:i w:val="0"/>
                <w:sz w:val="18"/>
              </w:rPr>
              <w:t xml:space="preserve">最厚层峰位迁至下平台 </w:t>
            </w:r>
            <m:oMath>
              <m:r>
                <m:rPr/>
                <m:t>s</m:t>
              </m:r>
              <m:r>
                <m:rPr>
                  <m:sty m:val="p"/>
                </m:rPr>
                <m:t>=</m:t>
              </m:r>
              <m:r>
                <m:rPr/>
                <m:t>3.15</m:t>
              </m:r>
            </m:oMath>
          </w:p>
        </w:tc>
      </w:tr>
      <w:tr w14:paraId="2DC0A5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vAlign w:val="center"/>
          </w:tcPr>
          <w:p w14:paraId="5481D966">
            <w:pPr>
              <w:spacing w:before="30" w:after="30"/>
              <w:ind w:firstLine="0"/>
              <w:jc w:val="center"/>
            </w:pPr>
            <w:r>
              <w:rPr>
                <w:rFonts w:hint="eastAsia" w:ascii="Times New Roman" w:hAnsi="Times New Roman" w:eastAsia="宋体" w:cs="Times New Roman"/>
                <w:b w:val="0"/>
                <w:i w:val="0"/>
                <w:sz w:val="18"/>
              </w:rPr>
              <w:t>波速比</w:t>
            </w:r>
          </w:p>
        </w:tc>
        <w:tc>
          <w:tcPr>
            <w:tcW w:w="1606" w:type="dxa"/>
            <w:vAlign w:val="center"/>
          </w:tcPr>
          <w:p w14:paraId="283D54B2">
            <w:pPr>
              <w:spacing w:before="30" w:after="30"/>
              <w:ind w:firstLine="0"/>
              <w:jc w:val="center"/>
            </w:pPr>
            <m:oMathPara>
              <m:oMath>
                <m:r>
                  <m:rPr/>
                  <m:t>i</m:t>
                </m:r>
                <m:r>
                  <m:rPr>
                    <m:sty m:val="p"/>
                  </m:rPr>
                  <m:t>=</m:t>
                </m:r>
                <m:sSup>
                  <m:sSupPr/>
                  <m:e>
                    <m:r>
                      <m:rPr/>
                      <m:t>45</m:t>
                    </m:r>
                  </m:e>
                  <m:sup>
                    <m:r>
                      <m:rPr>
                        <m:sty m:val="p"/>
                      </m:rPr>
                      <m:t>∘</m:t>
                    </m:r>
                  </m:sup>
                </m:sSup>
                <m:r>
                  <m:rPr>
                    <m:sty m:val="p"/>
                  </m:rPr>
                  <m:t>,</m:t>
                </m:r>
                <m:r>
                  <m:rPr/>
                  <m:t>d</m:t>
                </m:r>
                <m:r>
                  <m:rPr>
                    <m:sty m:val="p"/>
                  </m:rPr>
                  <m:t>/</m:t>
                </m:r>
                <m:r>
                  <m:rPr/>
                  <m:t>h</m:t>
                </m:r>
                <m:r>
                  <m:rPr>
                    <m:sty m:val="p"/>
                  </m:rPr>
                  <m:t>=</m:t>
                </m:r>
                <m:r>
                  <m:rPr/>
                  <m:t>0.60</m:t>
                </m:r>
              </m:oMath>
            </m:oMathPara>
          </w:p>
        </w:tc>
        <w:tc>
          <w:tcPr>
            <w:tcW w:w="1606" w:type="dxa"/>
            <w:vAlign w:val="center"/>
          </w:tcPr>
          <w:p w14:paraId="0BDF754C">
            <w:pPr>
              <w:spacing w:before="30" w:after="30"/>
              <w:ind w:firstLine="0"/>
              <w:jc w:val="center"/>
            </w:pPr>
            <w:r>
              <w:rPr>
                <w:rFonts w:hint="eastAsia" w:ascii="Times New Roman" w:hAnsi="Times New Roman" w:eastAsia="宋体" w:cs="Times New Roman"/>
                <w:b w:val="0"/>
                <w:i w:val="0"/>
                <w:sz w:val="18"/>
              </w:rPr>
              <w:t>0.30→0.75</w:t>
            </w:r>
          </w:p>
        </w:tc>
        <w:tc>
          <w:tcPr>
            <w:tcW w:w="1606" w:type="dxa"/>
            <w:vAlign w:val="center"/>
          </w:tcPr>
          <w:p w14:paraId="66829467">
            <w:pPr>
              <w:spacing w:before="30" w:after="30"/>
              <w:ind w:firstLine="0"/>
              <w:jc w:val="center"/>
            </w:pPr>
            <w:r>
              <w:rPr>
                <w:rFonts w:hint="eastAsia" w:ascii="Times New Roman" w:hAnsi="Times New Roman" w:eastAsia="宋体" w:cs="Times New Roman"/>
                <w:b w:val="0"/>
                <w:i w:val="0"/>
                <w:sz w:val="18"/>
              </w:rPr>
              <w:t>2.148→1.572</w:t>
            </w:r>
          </w:p>
        </w:tc>
        <w:tc>
          <w:tcPr>
            <w:tcW w:w="1606" w:type="dxa"/>
            <w:vAlign w:val="center"/>
          </w:tcPr>
          <w:p w14:paraId="70D0F3F2">
            <w:pPr>
              <w:spacing w:before="30" w:after="30"/>
              <w:ind w:firstLine="0"/>
              <w:jc w:val="center"/>
            </w:pPr>
            <w:r>
              <w:rPr>
                <w:rFonts w:hint="eastAsia" w:ascii="Times New Roman" w:hAnsi="Times New Roman" w:eastAsia="宋体" w:cs="Times New Roman"/>
                <w:b w:val="0"/>
                <w:i w:val="0"/>
                <w:sz w:val="18"/>
              </w:rPr>
              <w:t>4.3→8.2 Hz</w:t>
            </w:r>
          </w:p>
        </w:tc>
        <w:tc>
          <w:tcPr>
            <w:tcW w:w="1606" w:type="dxa"/>
            <w:vAlign w:val="center"/>
          </w:tcPr>
          <w:p w14:paraId="289CDCEC">
            <w:pPr>
              <w:spacing w:before="30" w:after="30"/>
              <w:ind w:firstLine="0"/>
              <w:jc w:val="center"/>
            </w:pPr>
            <w:r>
              <w:rPr>
                <w:rFonts w:hint="eastAsia" w:ascii="Times New Roman" w:hAnsi="Times New Roman" w:eastAsia="宋体" w:cs="Times New Roman"/>
                <w:b w:val="0"/>
                <w:i w:val="0"/>
                <w:sz w:val="18"/>
              </w:rPr>
              <w:t xml:space="preserve">四例峰位均为坡顶 </w:t>
            </w:r>
            <m:oMath>
              <m:r>
                <m:rPr/>
                <m:t>s</m:t>
              </m:r>
              <m:r>
                <m:rPr>
                  <m:sty m:val="p"/>
                </m:rPr>
                <m:t>=</m:t>
              </m:r>
              <m:r>
                <m:rPr/>
                <m:t>0</m:t>
              </m:r>
            </m:oMath>
          </w:p>
        </w:tc>
      </w:tr>
      <w:tr w14:paraId="7D62D8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vAlign w:val="center"/>
          </w:tcPr>
          <w:p w14:paraId="77E46DBC">
            <w:pPr>
              <w:spacing w:before="30" w:after="30"/>
              <w:ind w:firstLine="0"/>
              <w:jc w:val="center"/>
            </w:pPr>
            <w:r>
              <w:rPr>
                <w:rFonts w:hint="eastAsia" w:ascii="Times New Roman" w:hAnsi="Times New Roman" w:eastAsia="宋体" w:cs="Times New Roman"/>
                <w:b w:val="0"/>
                <w:i w:val="0"/>
                <w:sz w:val="18"/>
              </w:rPr>
              <w:t>厚度比分区</w:t>
            </w:r>
          </w:p>
        </w:tc>
        <w:tc>
          <w:tcPr>
            <w:tcW w:w="1606" w:type="dxa"/>
            <w:vAlign w:val="center"/>
          </w:tcPr>
          <w:p w14:paraId="6ADF96AC">
            <w:pPr>
              <w:spacing w:before="30" w:after="30"/>
              <w:ind w:firstLine="0"/>
              <w:jc w:val="center"/>
            </w:pPr>
            <w:r>
              <w:rPr>
                <w:rFonts w:hint="eastAsia" w:ascii="Times New Roman" w:hAnsi="Times New Roman" w:eastAsia="宋体" w:cs="Times New Roman"/>
                <w:b w:val="0"/>
                <w:i w:val="0"/>
                <w:sz w:val="18"/>
              </w:rPr>
              <w:t>64例边际</w:t>
            </w:r>
          </w:p>
        </w:tc>
        <w:tc>
          <w:tcPr>
            <w:tcW w:w="1606" w:type="dxa"/>
            <w:vAlign w:val="center"/>
          </w:tcPr>
          <w:p w14:paraId="4FE9612A">
            <w:pPr>
              <w:spacing w:before="30" w:after="30"/>
              <w:ind w:firstLine="0"/>
              <w:jc w:val="center"/>
            </w:pPr>
            <w:r>
              <w:rPr>
                <w:rFonts w:hint="eastAsia" w:ascii="Times New Roman" w:hAnsi="Times New Roman" w:eastAsia="宋体" w:cs="Times New Roman"/>
                <w:b w:val="0"/>
                <w:i w:val="0"/>
                <w:sz w:val="18"/>
              </w:rPr>
              <w:t>四水平</w:t>
            </w:r>
          </w:p>
        </w:tc>
        <w:tc>
          <w:tcPr>
            <w:tcW w:w="1606" w:type="dxa"/>
            <w:vAlign w:val="center"/>
          </w:tcPr>
          <w:p w14:paraId="5BB9C918">
            <w:pPr>
              <w:spacing w:before="30" w:after="30"/>
              <w:ind w:firstLine="0"/>
              <w:jc w:val="center"/>
            </w:pPr>
            <w:r>
              <w:rPr>
                <w:rFonts w:hint="eastAsia" w:ascii="Times New Roman" w:hAnsi="Times New Roman" w:eastAsia="宋体" w:cs="Times New Roman"/>
                <w:b w:val="0"/>
                <w:i w:val="0"/>
                <w:sz w:val="18"/>
              </w:rPr>
              <w:t>下平台中高频跨度1.96～2.02倍</w:t>
            </w:r>
          </w:p>
        </w:tc>
        <w:tc>
          <w:tcPr>
            <w:tcW w:w="1606" w:type="dxa"/>
            <w:vAlign w:val="center"/>
          </w:tcPr>
          <w:p w14:paraId="27CC7368">
            <w:pPr>
              <w:spacing w:before="30" w:after="30"/>
              <w:ind w:firstLine="0"/>
              <w:jc w:val="center"/>
            </w:pPr>
            <w:r>
              <w:rPr>
                <w:rFonts w:hint="eastAsia" w:ascii="Times New Roman" w:hAnsi="Times New Roman" w:eastAsia="宋体" w:cs="Times New Roman"/>
                <w:b w:val="0"/>
                <w:i w:val="0"/>
                <w:sz w:val="18"/>
              </w:rPr>
              <w:t>—</w:t>
            </w:r>
          </w:p>
        </w:tc>
        <w:tc>
          <w:tcPr>
            <w:tcW w:w="1606" w:type="dxa"/>
            <w:vAlign w:val="center"/>
          </w:tcPr>
          <w:p w14:paraId="1D2A6999">
            <w:pPr>
              <w:spacing w:before="30" w:after="30"/>
              <w:ind w:firstLine="0"/>
              <w:jc w:val="center"/>
            </w:pPr>
            <w:r>
              <w:rPr>
                <w:rFonts w:hint="eastAsia" w:ascii="Times New Roman" w:hAnsi="Times New Roman" w:eastAsia="宋体" w:cs="Times New Roman"/>
                <w:b w:val="0"/>
                <w:i w:val="0"/>
                <w:sz w:val="18"/>
              </w:rPr>
              <w:t>影响集中于坡面高频和下平台</w:t>
            </w:r>
          </w:p>
        </w:tc>
      </w:tr>
    </w:tbl>
    <w:p w14:paraId="29940685">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pPr>
      <w:r>
        <w:rPr>
          <w:rFonts w:hint="eastAsia" w:ascii="Times New Roman" w:hAnsi="Times New Roman" w:eastAsia="宋体" w:cs="Times New Roman"/>
          <w:b/>
          <w:i w:val="0"/>
          <w:sz w:val="24"/>
        </w:rPr>
        <w:t>3.4 参数耦合与响应机制</w:t>
      </w:r>
    </w:p>
    <w:p w14:paraId="57F68D3B">
      <w:pPr>
        <w:keepNext w:val="0"/>
        <w:keepLines w:val="0"/>
        <w:pageBreakBefore w:val="0"/>
        <w:widowControl w:val="0"/>
        <w:kinsoku/>
        <w:wordWrap/>
        <w:overflowPunct/>
        <w:topLinePunct w:val="0"/>
        <w:autoSpaceDE/>
        <w:autoSpaceDN/>
        <w:bidi w:val="0"/>
        <w:adjustRightInd/>
        <w:snapToGrid/>
        <w:spacing w:before="80" w:after="20"/>
        <w:ind w:firstLine="0"/>
        <w:jc w:val="left"/>
        <w:textAlignment w:val="auto"/>
        <w:outlineLvl w:val="2"/>
      </w:pPr>
      <w:r>
        <w:rPr>
          <w:rFonts w:hint="eastAsia" w:ascii="Times New Roman" w:hAnsi="Times New Roman" w:eastAsia="宋体" w:cs="Times New Roman"/>
          <w:b/>
          <w:i w:val="0"/>
          <w:sz w:val="21"/>
        </w:rPr>
        <w:t>3.4.1 交互作用、非单调变化与主峰迁移</w:t>
      </w:r>
    </w:p>
    <w:p w14:paraId="081116CC">
      <w:pPr>
        <w:spacing w:before="0" w:after="0"/>
        <w:ind w:firstLine="420"/>
        <w:jc w:val="both"/>
      </w:pPr>
      <w:r>
        <w:rPr>
          <w:rFonts w:hint="eastAsia" w:ascii="Times New Roman" w:hAnsi="Times New Roman" w:eastAsia="宋体" w:cs="Times New Roman"/>
          <w:b w:val="0"/>
          <w:i w:val="0"/>
          <w:sz w:val="21"/>
        </w:rPr>
        <w:t xml:space="preserve">控制变量曲线能够说明一个参数变化时响应怎样演化，却不能量化三个参数对全域差异的相对贡献。本文利用4×4×4平衡全因子网格作确定性平方和分解。对峰值幅值和主峰频率分别计算总体均值、三个主效应、三个二阶交互和一个三阶交互；各项效应在64个组合上的平方和占总平方和的比例作为贡献率。该分解穷举了当前离散参数网格，不依赖随机误差项，因此只能描述本文数值结果中的确定性变异构成，不能套用随机试验的 </w:t>
      </w:r>
      <m:oMath>
        <m:r>
          <m:rPr/>
          <m:t>p</m:t>
        </m:r>
      </m:oMath>
      <w:r>
        <w:rPr>
          <w:rFonts w:hint="eastAsia" w:ascii="Times New Roman" w:hAnsi="Times New Roman" w:eastAsia="宋体" w:cs="Times New Roman"/>
          <w:b w:val="0"/>
          <w:i w:val="0"/>
          <w:sz w:val="21"/>
        </w:rPr>
        <w:t xml:space="preserve"> 值或“显著性”表述。</w:t>
      </w:r>
    </w:p>
    <w:p w14:paraId="513FEF53">
      <w:pPr>
        <w:spacing w:before="0" w:after="0"/>
        <w:ind w:firstLine="420"/>
        <w:jc w:val="both"/>
      </w:pPr>
      <w:r>
        <w:rPr>
          <w:rFonts w:hint="eastAsia" w:ascii="Times New Roman" w:hAnsi="Times New Roman" w:eastAsia="宋体" w:cs="Times New Roman"/>
          <w:b w:val="0"/>
          <w:i w:val="0"/>
          <w:sz w:val="21"/>
        </w:rPr>
        <w:t>平衡网格使各主效应和交互项在当前四水平设计上可以正交分开，但“正交”不等于物理过程彼此独立。这里被分解的响应量已经经过全频—全空间取最大值，峰值所在的频率和位置会随参数改变。某一参数水平上的效应均值，可能由多个不同控制分支共同构成；二阶交互既包含同一分支幅值对参数的非加性变化，也包含控制权从一个分支移到另一个分支造成的突变。平方和分解的价值在于比较这些变化在64例总变异中的相对份额，而不是把每一项直接对应为一种可单独观测的波动机制。</w:t>
      </w:r>
    </w:p>
    <w:p w14:paraId="78142A19">
      <w:pPr>
        <w:spacing w:before="0" w:after="0"/>
        <w:ind w:firstLine="420"/>
        <w:jc w:val="both"/>
      </w:pPr>
      <w:r>
        <w:rPr>
          <w:rFonts w:hint="eastAsia" w:ascii="Times New Roman" w:hAnsi="Times New Roman" w:eastAsia="宋体" w:cs="Times New Roman"/>
          <w:b w:val="0"/>
          <w:i w:val="0"/>
          <w:sz w:val="21"/>
        </w:rPr>
        <w:t>峰值幅值与主峰频率使用同一组工况，却是两种性质不同的统计量。峰值幅值在两个候选峰换位时通常仍连续：旧峰减弱、新峰增强，两者相等处的最大值不会出现很大跳跃；主峰频率返回的却是获胜峰所在横坐标，一旦强弱次序交换便可能跨越数赫兹。因而，幅值贡献率更接近各参数对响应强度的综合作用，峰频贡献率则同时记录谱峰竞争的分区结果。后者出现较高交互贡献，并不表示频率数值本身比幅值更“非线性”，而是取最大值后的峰标识对细小强弱变化更敏感。</w:t>
      </w:r>
    </w:p>
    <w:p w14:paraId="0054F267">
      <w:pPr>
        <w:spacing w:before="0" w:after="0"/>
        <w:ind w:firstLine="420"/>
        <w:jc w:val="both"/>
      </w:pPr>
      <w:r>
        <w:rPr>
          <w:rFonts w:hint="eastAsia" w:ascii="Times New Roman" w:hAnsi="Times New Roman" w:eastAsia="宋体" w:cs="Times New Roman"/>
          <w:b w:val="0"/>
          <w:i w:val="0"/>
          <w:sz w:val="21"/>
        </w:rPr>
        <w:t xml:space="preserve">图16(a)显示，峰值幅值的差异主要由波速比、厚度比及二者交互控制，贡献率分别为39.65%、34.21%和21.72%，三项合计95.58%。坡角主效应仅占0.88%，其余含坡角交互和三阶项也较小。这与图13并不冲突：坡角能改变均质坡放大并抬高成层结果上尾，但在覆盖层参数跨越较宽范围时，软硬程度、厚度及其组合产生的幅值差异更大。特别是图14中 </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 xml:space="preserve"> 行随 </w:t>
      </w:r>
      <m:oMath>
        <m:sSub>
          <m:sSubPr/>
          <m:e>
            <m:r>
              <m:rPr/>
              <m:t>r</m:t>
            </m:r>
          </m:e>
          <m:sub>
            <m:r>
              <m:rPr/>
              <m:t>v</m:t>
            </m:r>
          </m:sub>
        </m:sSub>
      </m:oMath>
      <w:r>
        <w:rPr>
          <w:rFonts w:hint="eastAsia" w:ascii="Times New Roman" w:hAnsi="Times New Roman" w:eastAsia="宋体" w:cs="Times New Roman"/>
          <w:b w:val="0"/>
          <w:i w:val="0"/>
          <w:sz w:val="21"/>
        </w:rPr>
        <w:t xml:space="preserve"> 的大幅下降，正是 </w:t>
      </w:r>
      <m:oMath>
        <m:r>
          <m:rPr/>
          <m:t>d</m:t>
        </m:r>
        <m:r>
          <m:rPr>
            <m:sty m:val="p"/>
          </m:rPr>
          <m:t>/</m:t>
        </m:r>
        <m:r>
          <m:rPr/>
          <m:t>h</m:t>
        </m:r>
        <m:r>
          <m:rPr>
            <m:sty m:val="p"/>
          </m:rPr>
          <m:t>×</m:t>
        </m:r>
        <m:sSub>
          <m:sSubPr/>
          <m:e>
            <m:r>
              <m:rPr/>
              <m:t>r</m:t>
            </m:r>
          </m:e>
          <m:sub>
            <m:r>
              <m:rPr/>
              <m:t>v</m:t>
            </m:r>
          </m:sub>
        </m:sSub>
      </m:oMath>
      <w:r>
        <w:rPr>
          <w:rFonts w:hint="eastAsia" w:ascii="Times New Roman" w:hAnsi="Times New Roman" w:eastAsia="宋体" w:cs="Times New Roman"/>
          <w:b w:val="0"/>
          <w:i w:val="0"/>
          <w:sz w:val="21"/>
        </w:rPr>
        <w:t xml:space="preserve"> 交互贡献达到21.72%的直接表现。</w:t>
      </w:r>
    </w:p>
    <w:p w14:paraId="3558B0A2">
      <w:pPr>
        <w:spacing w:before="0" w:after="0"/>
        <w:ind w:firstLine="420"/>
        <w:jc w:val="both"/>
      </w:pPr>
      <w:r>
        <w:rPr>
          <w:rFonts w:hint="eastAsia" w:ascii="Times New Roman" w:hAnsi="Times New Roman" w:eastAsia="宋体" w:cs="Times New Roman"/>
          <w:b w:val="0"/>
          <w:i w:val="0"/>
          <w:sz w:val="21"/>
        </w:rPr>
        <w:t xml:space="preserve">其余幅值贡献率分别为 </w:t>
      </w:r>
      <m:oMath>
        <m:r>
          <m:rPr/>
          <m:t>i</m:t>
        </m:r>
        <m:r>
          <m:rPr>
            <m:sty m:val="p"/>
          </m:rPr>
          <m:t>×</m:t>
        </m:r>
        <m:r>
          <m:rPr/>
          <m:t>d</m:t>
        </m:r>
        <m:r>
          <m:rPr>
            <m:sty m:val="p"/>
          </m:rPr>
          <m:t>/</m:t>
        </m:r>
        <m:r>
          <m:rPr/>
          <m:t>h</m:t>
        </m:r>
      </m:oMath>
      <w:r>
        <w:rPr>
          <w:rFonts w:hint="eastAsia" w:ascii="Times New Roman" w:hAnsi="Times New Roman" w:eastAsia="宋体" w:cs="Times New Roman"/>
          <w:b w:val="0"/>
          <w:i w:val="0"/>
          <w:sz w:val="21"/>
        </w:rPr>
        <w:t xml:space="preserve"> 的1.59%、</w:t>
      </w:r>
      <m:oMath>
        <m:r>
          <m:rPr/>
          <m:t>i</m:t>
        </m:r>
        <m:r>
          <m:rPr>
            <m:sty m:val="p"/>
          </m:rPr>
          <m:t>×</m:t>
        </m:r>
        <m:sSub>
          <m:sSubPr/>
          <m:e>
            <m:r>
              <m:rPr/>
              <m:t>r</m:t>
            </m:r>
          </m:e>
          <m:sub>
            <m:r>
              <m:rPr/>
              <m:t>v</m:t>
            </m:r>
          </m:sub>
        </m:sSub>
      </m:oMath>
      <w:r>
        <w:rPr>
          <w:rFonts w:hint="eastAsia" w:ascii="Times New Roman" w:hAnsi="Times New Roman" w:eastAsia="宋体" w:cs="Times New Roman"/>
          <w:b w:val="0"/>
          <w:i w:val="0"/>
          <w:sz w:val="21"/>
        </w:rPr>
        <w:t xml:space="preserve"> 的0.43%和三阶交互的1.51%，连同坡角主效应合计仅4.42%。因此，在当前网格内概括全场峰值大小时，优先保留厚度、波速比及二者交互已经能够解释绝大部分确定性差异；但这并不授权删除坡角。P013、P029、P045和P061在同一软厚角点仍随坡角由3.539升至4.012，说明坡角对最不利组合的工程排序有实际影响，只是相对于整个64例的巨大覆盖层差异，其平方和占比较小。贡献率回答的是“全参数域总变异由谁主导”，而不是“某参数在任意切片上能否改变结果”。</w:t>
      </w:r>
    </w:p>
    <w:p w14:paraId="4038D221">
      <w:pPr>
        <w:spacing w:before="0" w:after="0"/>
        <w:ind w:firstLine="420"/>
        <w:jc w:val="both"/>
      </w:pPr>
      <m:oMath>
        <m:r>
          <m:rPr/>
          <m:t>d</m:t>
        </m:r>
        <m:r>
          <m:rPr>
            <m:sty m:val="p"/>
          </m:rPr>
          <m:t>/</m:t>
        </m:r>
        <m:r>
          <m:rPr/>
          <m:t>h</m:t>
        </m:r>
        <m:r>
          <m:rPr>
            <m:sty m:val="p"/>
          </m:rPr>
          <m:t>×</m:t>
        </m:r>
        <m:sSub>
          <m:sSubPr/>
          <m:e>
            <m:r>
              <m:rPr/>
              <m:t>r</m:t>
            </m:r>
          </m:e>
          <m:sub>
            <m:r>
              <m:rPr/>
              <m:t>v</m:t>
            </m:r>
          </m:sub>
        </m:sSub>
      </m:oMath>
      <w:r>
        <w:rPr>
          <w:rFonts w:hint="eastAsia" w:ascii="Times New Roman" w:hAnsi="Times New Roman" w:eastAsia="宋体" w:cs="Times New Roman"/>
          <w:b w:val="0"/>
          <w:i w:val="0"/>
          <w:sz w:val="21"/>
        </w:rPr>
        <w:t xml:space="preserve"> 的幅值贡献可以由图14的首尾降幅直接验证。四个厚度水平下，波速比从0.30增至0.75造成的峰值降幅中位数分别为22.85%、29.86%、25.12%和59.11%，最厚层的敏感性约为前三组的两倍。若厚度和波速比只以相互独立的加性方式作用，这四个降幅应大致相近；实际结果却在 </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 xml:space="preserve"> 行突然扩大。相同的交互也可从厚度方向观察：在 </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 xml:space="preserve"> 列，最厚层四坡角均进入约4 Hz下平台强峰，而在 </w:t>
      </w:r>
      <m:oMath>
        <m:sSub>
          <m:sSubPr/>
          <m:e>
            <m:r>
              <m:rPr/>
              <m:t>r</m:t>
            </m:r>
          </m:e>
          <m:sub>
            <m:r>
              <m:rPr/>
              <m:t>v</m:t>
            </m:r>
          </m:sub>
        </m:sSub>
        <m:r>
          <m:rPr>
            <m:sty m:val="p"/>
          </m:rPr>
          <m:t>=</m:t>
        </m:r>
        <m:r>
          <m:rPr/>
          <m:t>0.75</m:t>
        </m:r>
      </m:oMath>
      <w:r>
        <w:rPr>
          <w:rFonts w:hint="eastAsia" w:ascii="Times New Roman" w:hAnsi="Times New Roman" w:eastAsia="宋体" w:cs="Times New Roman"/>
          <w:b w:val="0"/>
          <w:i w:val="0"/>
          <w:sz w:val="21"/>
        </w:rPr>
        <w:t xml:space="preserve"> 列，厚度变化只产生1.25～1.70量级的峰值。两种读法指向同一事实——软化程度决定厚层分支能否显著增强，厚度又决定软化作用能否在下平台积累为控制峰。</w:t>
      </w:r>
    </w:p>
    <w:p w14:paraId="4C02FF08">
      <w:pPr>
        <w:spacing w:before="0" w:after="0"/>
        <w:ind w:firstLine="420"/>
        <w:jc w:val="both"/>
      </w:pPr>
      <w:r>
        <w:rPr>
          <w:rFonts w:hint="eastAsia" w:ascii="Times New Roman" w:hAnsi="Times New Roman" w:eastAsia="宋体" w:cs="Times New Roman"/>
          <w:b w:val="0"/>
          <w:i w:val="0"/>
          <w:sz w:val="21"/>
        </w:rPr>
        <w:t>坡角相关项占比较小的原因也可以从分区结果理解。坡角对下平台三个频带的区域中位跨度均不超过1.10倍，对上平台也不超过1.08倍，主要变化集中在坡面中高频；而全场最大值在多数薄、中厚工况由上平台控制，在最厚工况又多由下平台控制。坡面虽对坡角较敏感，却只在3例中成为全场控制区，因此其区域变化对全场峰值总平方和的贡献有限。软厚角点中坡角仍能使下平台局部峰连续提高，表现为明确但覆盖范围较窄的条件效应。这样的空间分布说明，小贡献率并非数值上“没有坡角效应”，而是坡角的强作用没有像厚度和波速比那样覆盖多数控制区段。</w:t>
      </w:r>
    </w:p>
    <w:p w14:paraId="2B30B6C1">
      <w:pPr>
        <w:spacing w:before="80" w:after="40"/>
        <w:ind w:firstLine="0"/>
        <w:jc w:val="center"/>
      </w:pPr>
      <w:r>
        <w:drawing>
          <wp:inline distT="0" distB="0" distL="114300" distR="114300">
            <wp:extent cx="2880360" cy="1647190"/>
            <wp:effectExtent l="0" t="0" r="15240" b="101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2880360" cy="1647506"/>
                    </a:xfrm>
                    <a:prstGeom prst="rect">
                      <a:avLst/>
                    </a:prstGeom>
                  </pic:spPr>
                </pic:pic>
              </a:graphicData>
            </a:graphic>
          </wp:inline>
        </w:drawing>
      </w:r>
    </w:p>
    <w:p w14:paraId="2B32F730">
      <w:pPr>
        <w:spacing w:before="0" w:after="0"/>
        <w:ind w:firstLine="0"/>
        <w:jc w:val="center"/>
      </w:pPr>
      <w:r>
        <w:rPr>
          <w:rFonts w:hint="eastAsia" w:ascii="Times New Roman" w:hAnsi="Times New Roman" w:eastAsia="宋体" w:cs="Times New Roman"/>
          <w:b w:val="0"/>
          <w:i w:val="0"/>
          <w:sz w:val="18"/>
        </w:rPr>
        <w:t xml:space="preserve">图16 参数交互和分区主峰迁移：（a）峰值幅值与主峰频率的确定性平方和分解；（b）上平台、（c）坡面和（d）下平台的分区主峰位置—频率分布；黑线为固定 </w:t>
      </w:r>
      <m:oMath>
        <m:r>
          <m:rPr/>
          <m:t>i</m:t>
        </m:r>
        <m:r>
          <m:rPr>
            <m:sty m:val="p"/>
          </m:rPr>
          <m:t>=</m:t>
        </m:r>
        <m:sSup>
          <m:sSupPr/>
          <m:e>
            <m:r>
              <m:rPr/>
              <m:t>45</m:t>
            </m:r>
          </m:e>
          <m:sup>
            <m:r>
              <m:rPr>
                <m:sty m:val="p"/>
              </m:rPr>
              <m:t>∘</m:t>
            </m:r>
          </m:sup>
        </m:sSup>
      </m:oMath>
      <w:r>
        <w:rPr>
          <w:rFonts w:hint="eastAsia" w:ascii="Times New Roman" w:hAnsi="Times New Roman" w:eastAsia="宋体" w:cs="Times New Roman"/>
          <w:b w:val="0"/>
          <w:i w:val="0"/>
          <w:sz w:val="18"/>
        </w:rPr>
        <w:t>、</w:t>
      </w:r>
      <m:oMath>
        <m:sSub>
          <m:sSubPr/>
          <m:e>
            <m:r>
              <m:rPr/>
              <m:t>r</m:t>
            </m:r>
          </m:e>
          <m:sub>
            <m:r>
              <m:rPr/>
              <m:t>v</m:t>
            </m:r>
          </m:sub>
        </m:sSub>
        <m:r>
          <m:rPr>
            <m:sty m:val="p"/>
          </m:rPr>
          <m:t>=</m:t>
        </m:r>
        <m:r>
          <m:rPr/>
          <m:t>0.30</m:t>
        </m:r>
      </m:oMath>
      <w:r>
        <w:rPr>
          <w:rFonts w:hint="eastAsia" w:ascii="Times New Roman" w:hAnsi="Times New Roman" w:eastAsia="宋体" w:cs="Times New Roman"/>
          <w:b w:val="0"/>
          <w:i w:val="0"/>
          <w:sz w:val="18"/>
        </w:rPr>
        <w:t xml:space="preserve"> 的厚度序列</w:t>
      </w:r>
    </w:p>
    <w:p w14:paraId="28ED7573">
      <w:pPr>
        <w:spacing w:before="0" w:after="60"/>
        <w:ind w:firstLine="0"/>
        <w:jc w:val="center"/>
      </w:pPr>
      <w:r>
        <w:rPr>
          <w:rFonts w:hint="eastAsia" w:ascii="Times New Roman" w:hAnsi="Times New Roman" w:eastAsia="Times New Roman" w:cs="Times New Roman"/>
          <w:b w:val="0"/>
          <w:i w:val="0"/>
          <w:sz w:val="18"/>
        </w:rPr>
        <w:t>Fig. 16 Deterministic interaction decomposition and migration of segment-wise dominant peaks</w:t>
      </w:r>
    </w:p>
    <w:p w14:paraId="0DE9B79C">
      <w:pPr>
        <w:spacing w:before="0" w:after="0"/>
        <w:ind w:firstLine="420"/>
        <w:jc w:val="both"/>
      </w:pPr>
      <w:r>
        <w:rPr>
          <w:rFonts w:hint="eastAsia" w:ascii="Times New Roman" w:hAnsi="Times New Roman" w:eastAsia="宋体" w:cs="Times New Roman"/>
          <w:b w:val="0"/>
          <w:i w:val="0"/>
          <w:sz w:val="21"/>
        </w:rPr>
        <w:t>主峰频率的变异构成完全不同。</w:t>
      </w:r>
      <m:oMath>
        <m:r>
          <m:rPr/>
          <m:t>d</m:t>
        </m:r>
        <m:r>
          <m:rPr>
            <m:sty m:val="p"/>
          </m:rPr>
          <m:t>/</m:t>
        </m:r>
        <m:r>
          <m:rPr/>
          <m:t>h</m:t>
        </m:r>
        <m:r>
          <m:rPr>
            <m:sty m:val="p"/>
          </m:rPr>
          <m:t>×</m:t>
        </m:r>
        <m:sSub>
          <m:sSubPr/>
          <m:e>
            <m:r>
              <m:rPr/>
              <m:t>r</m:t>
            </m:r>
          </m:e>
          <m:sub>
            <m:r>
              <m:rPr/>
              <m:t>v</m:t>
            </m:r>
          </m:sub>
        </m:sSub>
      </m:oMath>
      <w:r>
        <w:rPr>
          <w:rFonts w:hint="eastAsia" w:ascii="Times New Roman" w:hAnsi="Times New Roman" w:eastAsia="宋体" w:cs="Times New Roman"/>
          <w:b w:val="0"/>
          <w:i w:val="0"/>
          <w:sz w:val="21"/>
        </w:rPr>
        <w:t>、</w:t>
      </w:r>
      <m:oMath>
        <m:r>
          <m:rPr/>
          <m:t>i</m:t>
        </m:r>
        <m:r>
          <m:rPr>
            <m:sty m:val="p"/>
          </m:rPr>
          <m:t>×</m:t>
        </m:r>
        <m:r>
          <m:rPr/>
          <m:t>d</m:t>
        </m:r>
        <m:r>
          <m:rPr>
            <m:sty m:val="p"/>
          </m:rPr>
          <m:t>/</m:t>
        </m:r>
        <m:r>
          <m:rPr/>
          <m:t>h</m:t>
        </m:r>
      </m:oMath>
      <w:r>
        <w:rPr>
          <w:rFonts w:hint="eastAsia" w:ascii="Times New Roman" w:hAnsi="Times New Roman" w:eastAsia="宋体" w:cs="Times New Roman"/>
          <w:b w:val="0"/>
          <w:i w:val="0"/>
          <w:sz w:val="21"/>
        </w:rPr>
        <w:t xml:space="preserve"> 和 </w:t>
      </w:r>
      <m:oMath>
        <m:r>
          <m:rPr/>
          <m:t>i</m:t>
        </m:r>
        <m:r>
          <m:rPr>
            <m:sty m:val="p"/>
          </m:rPr>
          <m:t>×</m:t>
        </m:r>
        <m:sSub>
          <m:sSubPr/>
          <m:e>
            <m:r>
              <m:rPr/>
              <m:t>r</m:t>
            </m:r>
          </m:e>
          <m:sub>
            <m:r>
              <m:rPr/>
              <m:t>v</m:t>
            </m:r>
          </m:sub>
        </m:sSub>
      </m:oMath>
      <w:r>
        <w:rPr>
          <w:rFonts w:hint="eastAsia" w:ascii="Times New Roman" w:hAnsi="Times New Roman" w:eastAsia="宋体" w:cs="Times New Roman"/>
          <w:b w:val="0"/>
          <w:i w:val="0"/>
          <w:sz w:val="21"/>
        </w:rPr>
        <w:t xml:space="preserve"> 三个二阶交互的贡献率分别为39.28%、20.00%和6.91%，合计66.19%；三阶交互占16.01%，坡角主效应占15.97%，厚度比和波速比单独主效应都很小。主峰频率不是任一参数的单值函数，而是多个候选峰竞争后的离散结果。当两个相近峰的幅值次序发生很小变化，最大值搜索就可能从一个频带跳到另一个频带，因此峰频对交互比峰值幅值更敏感。图11中9.3→4.3→8.8→4.0 Hz的往复迁移，以及图10中60°成层坡突然转到2.1 Hz，都是这种“控制峰换位”，不宜用连续单调回归线解释。</w:t>
      </w:r>
    </w:p>
    <w:p w14:paraId="13597242">
      <w:pPr>
        <w:spacing w:before="0" w:after="0"/>
        <w:ind w:firstLine="420"/>
        <w:jc w:val="both"/>
      </w:pPr>
      <w:r>
        <w:rPr>
          <w:rFonts w:hint="eastAsia" w:ascii="Times New Roman" w:hAnsi="Times New Roman" w:eastAsia="宋体" w:cs="Times New Roman"/>
          <w:b w:val="0"/>
          <w:i w:val="0"/>
          <w:sz w:val="21"/>
        </w:rPr>
        <w:t xml:space="preserve">这里所称峰频跨度，是固定坡角和波速比后，四个厚度水平主峰频率的最大值与最小值之差。16条厚度序列中，最大跨度出现在 </w:t>
      </w:r>
      <m:oMath>
        <m:r>
          <m:rPr/>
          <m:t>i</m:t>
        </m:r>
        <m:r>
          <m:rPr>
            <m:sty m:val="p"/>
          </m:rPr>
          <m:t>=</m:t>
        </m:r>
        <m:sSup>
          <m:sSupPr/>
          <m:e>
            <m:r>
              <m:rPr/>
              <m:t>15</m:t>
            </m:r>
          </m:e>
          <m:sup>
            <m:r>
              <m:rPr>
                <m:sty m:val="p"/>
              </m:rPr>
              <m:t>∘</m:t>
            </m:r>
          </m:sup>
        </m:sSup>
      </m:oMath>
      <w:r>
        <w:rPr>
          <w:rFonts w:hint="eastAsia" w:ascii="Times New Roman" w:hAnsi="Times New Roman" w:eastAsia="宋体" w:cs="Times New Roman"/>
          <w:b w:val="0"/>
          <w:i w:val="0"/>
          <w:sz w:val="21"/>
        </w:rPr>
        <w:t>、</w:t>
      </w:r>
      <m:oMath>
        <m:sSub>
          <m:sSubPr/>
          <m:e>
            <m:r>
              <m:rPr/>
              <m:t>r</m:t>
            </m:r>
          </m:e>
          <m:sub>
            <m:r>
              <m:rPr/>
              <m:t>v</m:t>
            </m:r>
          </m:sub>
        </m:sSub>
        <m:r>
          <m:rPr>
            <m:sty m:val="p"/>
          </m:rPr>
          <m:t>=</m:t>
        </m:r>
        <m:r>
          <m:rPr/>
          <m:t>0.75</m:t>
        </m:r>
      </m:oMath>
      <w:r>
        <w:rPr>
          <w:rFonts w:hint="eastAsia" w:ascii="Times New Roman" w:hAnsi="Times New Roman" w:eastAsia="宋体" w:cs="Times New Roman"/>
          <w:b w:val="0"/>
          <w:i w:val="0"/>
          <w:sz w:val="21"/>
        </w:rPr>
        <w:t>：</w:t>
      </w:r>
      <m:oMath>
        <m:r>
          <m:rPr/>
          <m:t>d</m:t>
        </m:r>
        <m:r>
          <m:rPr>
            <m:sty m:val="p"/>
          </m:rPr>
          <m:t>/</m:t>
        </m:r>
        <m:r>
          <m:rPr/>
          <m:t>h</m:t>
        </m:r>
        <m:r>
          <m:rPr>
            <m:sty m:val="p"/>
          </m:rPr>
          <m:t>=</m:t>
        </m:r>
        <m:r>
          <m:rPr/>
          <m:t>0.20</m:t>
        </m:r>
      </m:oMath>
      <w:r>
        <w:rPr>
          <w:rFonts w:hint="eastAsia" w:ascii="Times New Roman" w:hAnsi="Times New Roman" w:eastAsia="宋体" w:cs="Times New Roman"/>
          <w:b w:val="0"/>
          <w:i w:val="0"/>
          <w:sz w:val="21"/>
        </w:rPr>
        <w:t>、0.60、1.00和1.40时主峰依次为2.1、9.4、6.1和9.4 Hz，跨度为7.3 Hz。该序列既给出了摘要中最大迁移量的直接数据，也说明“迁移”并非一个峰连续平移7.3 Hz，而是低频与高频候选峰多次交换控制权。</w:t>
      </w:r>
    </w:p>
    <w:p w14:paraId="00FC8B31">
      <w:pPr>
        <w:spacing w:before="0" w:after="0"/>
        <w:ind w:firstLine="420"/>
        <w:jc w:val="both"/>
      </w:pPr>
      <w:r>
        <w:rPr>
          <w:rFonts w:hint="eastAsia" w:ascii="Times New Roman" w:hAnsi="Times New Roman" w:eastAsia="宋体" w:cs="Times New Roman"/>
          <w:b w:val="0"/>
          <w:i w:val="0"/>
          <w:sz w:val="21"/>
        </w:rPr>
        <w:t xml:space="preserve">厚度比和波速比的峰频主效应分别只有1.51%和0.32%，二者相加甚至低于任一主要二阶交互。这与图12代表序列中4.3→8.2 Hz的顺序上移并不矛盾：该序列只固定在 </w:t>
      </w:r>
      <m:oMath>
        <m:r>
          <m:rPr/>
          <m:t>i</m:t>
        </m:r>
        <m:r>
          <m:rPr>
            <m:sty m:val="p"/>
          </m:rPr>
          <m:t>=</m:t>
        </m:r>
        <m:sSup>
          <m:sSupPr/>
          <m:e>
            <m:r>
              <m:rPr/>
              <m:t>45</m:t>
            </m:r>
          </m:e>
          <m:sup>
            <m:r>
              <m:rPr>
                <m:sty m:val="p"/>
              </m:rPr>
              <m:t>∘</m:t>
            </m:r>
          </m:sup>
        </m:sSup>
      </m:oMath>
      <w:r>
        <w:rPr>
          <w:rFonts w:hint="eastAsia" w:ascii="Times New Roman" w:hAnsi="Times New Roman" w:eastAsia="宋体" w:cs="Times New Roman"/>
          <w:b w:val="0"/>
          <w:i w:val="0"/>
          <w:sz w:val="21"/>
        </w:rPr>
        <w:t>、</w:t>
      </w:r>
      <m:oMath>
        <m:r>
          <m:rPr/>
          <m:t>d</m:t>
        </m:r>
        <m:r>
          <m:rPr>
            <m:sty m:val="p"/>
          </m:rPr>
          <m:t>/</m:t>
        </m:r>
        <m:r>
          <m:rPr/>
          <m:t>h</m:t>
        </m:r>
        <m:r>
          <m:rPr>
            <m:sty m:val="p"/>
          </m:rPr>
          <m:t>=</m:t>
        </m:r>
        <m:r>
          <m:rPr/>
          <m:t>0.60</m:t>
        </m:r>
      </m:oMath>
      <w:r>
        <w:rPr>
          <w:rFonts w:hint="eastAsia" w:ascii="Times New Roman" w:hAnsi="Times New Roman" w:eastAsia="宋体" w:cs="Times New Roman"/>
          <w:b w:val="0"/>
          <w:i w:val="0"/>
          <w:sz w:val="21"/>
        </w:rPr>
        <w:t>，属于16条波速比切片中的一条；一旦把其他厚度和坡角合并，峰频上移会被高低频峰换位所打断。64个全场峰中，7例位于0.5～3 Hz，18例位于3～6 Hz，39例位于6～10 Hz，其中4例恰在10 Hz上界。高频控制的工况数量最多，但低、中、高三个频带均有峰值，进一步表明用全域统一的连续峰频公式会掩盖频带之间的离散迁移。</w:t>
      </w:r>
    </w:p>
    <w:p w14:paraId="7A3DE05E">
      <w:pPr>
        <w:spacing w:before="0" w:after="0"/>
        <w:ind w:firstLine="420"/>
        <w:jc w:val="both"/>
      </w:pPr>
      <w:r>
        <w:rPr>
          <w:rFonts w:hint="eastAsia" w:ascii="Times New Roman" w:hAnsi="Times New Roman" w:eastAsia="宋体" w:cs="Times New Roman"/>
          <w:b w:val="0"/>
          <w:i w:val="0"/>
          <w:sz w:val="21"/>
        </w:rPr>
        <w:t>薄层序列给出了峰频交互最直观的例子。15°、</w:t>
      </w:r>
      <m:oMath>
        <m:r>
          <m:rPr/>
          <m:t>d</m:t>
        </m:r>
        <m:r>
          <m:rPr>
            <m:sty m:val="p"/>
          </m:rPr>
          <m:t>/</m:t>
        </m:r>
        <m:r>
          <m:rPr/>
          <m:t>h</m:t>
        </m:r>
        <m:r>
          <m:rPr>
            <m:sty m:val="p"/>
          </m:rPr>
          <m:t>=</m:t>
        </m:r>
        <m:r>
          <m:rPr/>
          <m:t>0.20</m:t>
        </m:r>
      </m:oMath>
      <w:r>
        <w:rPr>
          <w:rFonts w:hint="eastAsia" w:ascii="Times New Roman" w:hAnsi="Times New Roman" w:eastAsia="宋体" w:cs="Times New Roman"/>
          <w:b w:val="0"/>
          <w:i w:val="0"/>
          <w:sz w:val="21"/>
        </w:rPr>
        <w:t xml:space="preserve"> 时，</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 xml:space="preserve"> 的P001在10 Hz上界、</w:t>
      </w:r>
      <m:oMath>
        <m:r>
          <m:rPr/>
          <m:t>s</m:t>
        </m:r>
        <m:r>
          <m:rPr>
            <m:sty m:val="p"/>
          </m:rPr>
          <m:t>=−</m:t>
        </m:r>
        <m:r>
          <m:rPr/>
          <m:t>1.30</m:t>
        </m:r>
      </m:oMath>
      <w:r>
        <w:rPr>
          <w:rFonts w:hint="eastAsia" w:ascii="Times New Roman" w:hAnsi="Times New Roman" w:eastAsia="宋体" w:cs="Times New Roman"/>
          <w:b w:val="0"/>
          <w:i w:val="0"/>
          <w:sz w:val="21"/>
        </w:rPr>
        <w:t>取得1.911；波速比增至0.45后，P002的控制峰改在2.1 Hz、</w:t>
      </w:r>
      <m:oMath>
        <m:r>
          <m:rPr/>
          <m:t>s</m:t>
        </m:r>
        <m:r>
          <m:rPr>
            <m:sty m:val="p"/>
          </m:rPr>
          <m:t>=−</m:t>
        </m:r>
        <m:r>
          <m:rPr/>
          <m:t>0.10</m:t>
        </m:r>
      </m:oMath>
      <w:r>
        <w:rPr>
          <w:rFonts w:hint="eastAsia" w:ascii="Times New Roman" w:hAnsi="Times New Roman" w:eastAsia="宋体" w:cs="Times New Roman"/>
          <w:b w:val="0"/>
          <w:i w:val="0"/>
          <w:sz w:val="21"/>
        </w:rPr>
        <w:t xml:space="preserve">，幅值降至1.249；继续增至0.60和0.75，P003、P004仍在约2.1 Hz控制，幅值仅变化到1.253和1.257。同一波速比步长在第一段触发近8 Hz的峰频换位，在后两段却几乎不改变峰频。换成30°坡，P017和P018在前两个波速比水平都落于10 Hz上界，P019、P020再回到7.4和9.7 Hz。坡角改变了分支切换发生在哪个波速比区间，正对应 </w:t>
      </w:r>
      <m:oMath>
        <m:r>
          <m:rPr/>
          <m:t>i</m:t>
        </m:r>
        <m:r>
          <m:rPr>
            <m:sty m:val="p"/>
          </m:rPr>
          <m:t>×</m:t>
        </m:r>
        <m:sSub>
          <m:sSubPr/>
          <m:e>
            <m:r>
              <m:rPr/>
              <m:t>r</m:t>
            </m:r>
          </m:e>
          <m:sub>
            <m:r>
              <m:rPr/>
              <m:t>v</m:t>
            </m:r>
          </m:sub>
        </m:sSub>
      </m:oMath>
      <w:r>
        <w:rPr>
          <w:rFonts w:hint="eastAsia" w:ascii="Times New Roman" w:hAnsi="Times New Roman" w:eastAsia="宋体" w:cs="Times New Roman"/>
          <w:b w:val="0"/>
          <w:i w:val="0"/>
          <w:sz w:val="21"/>
        </w:rPr>
        <w:t xml:space="preserve"> 和更高阶交互，而不是一个全域固定的波速比频移率。</w:t>
      </w:r>
    </w:p>
    <w:p w14:paraId="71BACB1F">
      <w:pPr>
        <w:spacing w:before="0" w:after="0"/>
        <w:ind w:firstLine="420"/>
        <w:jc w:val="both"/>
      </w:pPr>
      <w:r>
        <w:rPr>
          <w:rFonts w:hint="eastAsia" w:ascii="Times New Roman" w:hAnsi="Times New Roman" w:eastAsia="宋体" w:cs="Times New Roman"/>
          <w:b w:val="0"/>
          <w:i w:val="0"/>
          <w:sz w:val="21"/>
        </w:rPr>
        <w:t>中等厚度同样存在“幅值平缓、峰频跳变”的情况。60°、</w:t>
      </w:r>
      <m:oMath>
        <m:r>
          <m:rPr/>
          <m:t>d</m:t>
        </m:r>
        <m:r>
          <m:rPr>
            <m:sty m:val="p"/>
          </m:rPr>
          <m:t>/</m:t>
        </m:r>
        <m:r>
          <m:rPr/>
          <m:t>h</m:t>
        </m:r>
        <m:r>
          <m:rPr>
            <m:sty m:val="p"/>
          </m:rPr>
          <m:t>=</m:t>
        </m:r>
        <m:r>
          <m:rPr/>
          <m:t>1.00</m:t>
        </m:r>
      </m:oMath>
      <w:r>
        <w:rPr>
          <w:rFonts w:hint="eastAsia" w:ascii="Times New Roman" w:hAnsi="Times New Roman" w:eastAsia="宋体" w:cs="Times New Roman"/>
          <w:b w:val="0"/>
          <w:i w:val="0"/>
          <w:sz w:val="21"/>
        </w:rPr>
        <w:t xml:space="preserve"> 时，四个波速比水平的峰值仅由1.739依次降至1.651、1.626和1.590，首尾相差8.6%，控制位置均在坡顶；主峰频率却为2.7、2.1、5.4和2.9 Hz，先降、再升、再降。由于空间控制点未换区，这一序列说明频率突变不一定伴随峰位迁移，也不要求幅值发生同等级变化，而可由同一坡顶附近多个谱峰的强弱次序改变造成。相反，45°、</w:t>
      </w:r>
      <m:oMath>
        <m:r>
          <m:rPr/>
          <m:t>d</m:t>
        </m:r>
        <m:r>
          <m:rPr>
            <m:sty m:val="p"/>
          </m:rPr>
          <m:t>/</m:t>
        </m:r>
        <m:r>
          <m:rPr/>
          <m:t>h</m:t>
        </m:r>
        <m:r>
          <m:rPr>
            <m:sty m:val="p"/>
          </m:rPr>
          <m:t>=</m:t>
        </m:r>
        <m:r>
          <m:rPr/>
          <m:t>0.60</m:t>
        </m:r>
      </m:oMath>
      <w:r>
        <w:rPr>
          <w:rFonts w:hint="eastAsia" w:ascii="Times New Roman" w:hAnsi="Times New Roman" w:eastAsia="宋体" w:cs="Times New Roman"/>
          <w:b w:val="0"/>
          <w:i w:val="0"/>
          <w:sz w:val="21"/>
        </w:rPr>
        <w:t xml:space="preserve"> 序列的幅值和频率均平稳按相反方向变化，代表在该切片内控制分支连续。两种行为并存，解释了波速比幅值主效应很强而峰频主效应很弱的组合。</w:t>
      </w:r>
    </w:p>
    <w:p w14:paraId="2525CCCD">
      <w:pPr>
        <w:spacing w:before="0" w:after="0"/>
        <w:ind w:firstLine="420"/>
        <w:jc w:val="both"/>
      </w:pPr>
      <w:r>
        <w:rPr>
          <w:rFonts w:hint="eastAsia" w:ascii="Times New Roman" w:hAnsi="Times New Roman" w:eastAsia="宋体" w:cs="Times New Roman"/>
          <w:b w:val="0"/>
          <w:i w:val="0"/>
          <w:sz w:val="21"/>
        </w:rPr>
        <w:t>按厚度统计频带数量也能看到交互而非单参数平移。</w:t>
      </w:r>
      <m:oMath>
        <m:r>
          <m:rPr/>
          <m:t>d</m:t>
        </m:r>
        <m:r>
          <m:rPr>
            <m:sty m:val="p"/>
          </m:rPr>
          <m:t>/</m:t>
        </m:r>
        <m:r>
          <m:rPr/>
          <m:t>h</m:t>
        </m:r>
        <m:r>
          <m:rPr>
            <m:sty m:val="p"/>
          </m:rPr>
          <m:t>=</m:t>
        </m:r>
        <m:r>
          <m:rPr/>
          <m:t>0.60</m:t>
        </m:r>
      </m:oMath>
      <w:r>
        <w:rPr>
          <w:rFonts w:hint="eastAsia" w:ascii="Times New Roman" w:hAnsi="Times New Roman" w:eastAsia="宋体" w:cs="Times New Roman"/>
          <w:b w:val="0"/>
          <w:i w:val="0"/>
          <w:sz w:val="21"/>
        </w:rPr>
        <w:t xml:space="preserve"> 的16例没有低频控制峰，主要分布在中、高频；增加到1.00后重新出现3例低频峰；增至1.40后仍有11例位于高频，同时最软的4例在约4 Hz形成数据集中最强的中频峰。厚度并未把所有峰从高频整齐推向低频，而是改变不同分支的占比和幅值排序。峰频边际中位数5.30、7.30、7.45和6.70 Hz只是这种混合分布的排序中心，不能画成某个连续模态随厚度的运动轨迹。</w:t>
      </w:r>
    </w:p>
    <w:p w14:paraId="0730B550">
      <w:pPr>
        <w:spacing w:before="0" w:after="0"/>
        <w:ind w:firstLine="420"/>
        <w:jc w:val="both"/>
      </w:pPr>
      <w:r>
        <w:rPr>
          <w:rFonts w:hint="eastAsia" w:ascii="Times New Roman" w:hAnsi="Times New Roman" w:eastAsia="宋体" w:cs="Times New Roman"/>
          <w:b w:val="0"/>
          <w:i w:val="0"/>
          <w:sz w:val="21"/>
        </w:rPr>
        <w:t xml:space="preserve">全场峰值还混合了三个空间区段。图16(b)～(d)分别在上平台、坡面和下平台内搜索峰值，并显式标记频带上界与空间端点。64个工况中，上平台、坡面和下平台分别有5、4和3例峰频落在10 Hz上界；相应的空间端点峰为37、55和15例。坡面端点峰最多，是因为该区段只有 </w:t>
      </w:r>
      <m:oMath>
        <m:r>
          <m:rPr/>
          <m:t>s</m:t>
        </m:r>
        <m:r>
          <m:rPr>
            <m:sty m:val="p"/>
          </m:rPr>
          <m:t>=</m:t>
        </m:r>
        <m:r>
          <m:rPr/>
          <m:t>0.05</m:t>
        </m:r>
      </m:oMath>
      <w:r>
        <w:rPr>
          <w:rFonts w:hint="eastAsia" w:ascii="Times New Roman" w:hAnsi="Times New Roman" w:eastAsia="宋体" w:cs="Times New Roman"/>
          <w:b w:val="0"/>
          <w:i w:val="0"/>
          <w:sz w:val="21"/>
        </w:rPr>
        <w:t>～1.00，局部响应常在坡顶或坡脚邻近达到最大；此时端点并非计算错误，而是提示真正极值可能位于相邻区段或地形折点。本文不把区段端点峰当作区段内部已经解析的驻点，也不根据这些点外推峰位移动速度。</w:t>
      </w:r>
    </w:p>
    <w:p w14:paraId="06DA3F1A">
      <w:pPr>
        <w:spacing w:before="0" w:after="0"/>
        <w:ind w:firstLine="420"/>
        <w:jc w:val="both"/>
      </w:pPr>
      <w:r>
        <w:rPr>
          <w:rFonts w:hint="eastAsia" w:ascii="Times New Roman" w:hAnsi="Times New Roman" w:eastAsia="宋体" w:cs="Times New Roman"/>
          <w:b w:val="0"/>
          <w:i w:val="0"/>
          <w:sz w:val="21"/>
        </w:rPr>
        <w:t>若按全场控制点而非分区独立峰分类，64例中有46例由上平台控制、3例由坡面控制、15例由下平台控制。这个比例看似以上平台为主，实际上受厚度强烈分层：</w:t>
      </w:r>
      <m:oMath>
        <m:r>
          <m:rPr/>
          <m:t>d</m:t>
        </m:r>
        <m:r>
          <m:rPr>
            <m:sty m:val="p"/>
          </m:rPr>
          <m:t>/</m:t>
        </m:r>
        <m:r>
          <m:rPr/>
          <m:t>h</m:t>
        </m:r>
        <m:r>
          <m:rPr>
            <m:sty m:val="p"/>
          </m:rPr>
          <m:t>=</m:t>
        </m:r>
        <m:r>
          <m:rPr/>
          <m:t>0.20</m:t>
        </m:r>
      </m:oMath>
      <w:r>
        <w:rPr>
          <w:rFonts w:hint="eastAsia" w:ascii="Times New Roman" w:hAnsi="Times New Roman" w:eastAsia="宋体" w:cs="Times New Roman"/>
          <w:b w:val="0"/>
          <w:i w:val="0"/>
          <w:sz w:val="21"/>
        </w:rPr>
        <w:t xml:space="preserve"> 和0.60的32例全部由上平台控制，</w:t>
      </w:r>
      <m:oMath>
        <m:r>
          <m:rPr/>
          <m:t>d</m:t>
        </m:r>
        <m:r>
          <m:rPr>
            <m:sty m:val="p"/>
          </m:rPr>
          <m:t>/</m:t>
        </m:r>
        <m:r>
          <m:rPr/>
          <m:t>h</m:t>
        </m:r>
        <m:r>
          <m:rPr>
            <m:sty m:val="p"/>
          </m:rPr>
          <m:t>=</m:t>
        </m:r>
        <m:r>
          <m:rPr/>
          <m:t>1.00</m:t>
        </m:r>
      </m:oMath>
      <w:r>
        <w:rPr>
          <w:rFonts w:hint="eastAsia" w:ascii="Times New Roman" w:hAnsi="Times New Roman" w:eastAsia="宋体" w:cs="Times New Roman"/>
          <w:b w:val="0"/>
          <w:i w:val="0"/>
          <w:sz w:val="21"/>
        </w:rPr>
        <w:t xml:space="preserve"> 的16例中有3例转到坡面，而 </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 xml:space="preserve"> 的16例中有15例转到下平台。坡面只在少数过渡组合中成为全场控制区，更多时候充当上、下平台控制状态之间的连接带。这个统计与图11的单条轨迹、图14的厚度—波速比矩阵以及图15的下平台中高频厚度效应彼此吻合，使“厚层导致控制位置向下平台重组”的判断不再依赖某一个代表工况。</w:t>
      </w:r>
    </w:p>
    <w:p w14:paraId="7F57AA2A">
      <w:pPr>
        <w:spacing w:before="0" w:after="0"/>
        <w:ind w:firstLine="420"/>
        <w:jc w:val="both"/>
      </w:pPr>
      <w:r>
        <w:rPr>
          <w:rFonts w:hint="eastAsia" w:ascii="Times New Roman" w:hAnsi="Times New Roman" w:eastAsia="宋体" w:cs="Times New Roman"/>
          <w:b w:val="0"/>
          <w:i w:val="0"/>
          <w:sz w:val="21"/>
        </w:rPr>
        <w:t>这里的“迁移”是对离散控制状态变化的概括，不意味着峰值沿地表连续行走。</w:t>
      </w:r>
      <m:oMath>
        <m:r>
          <m:rPr/>
          <m:t>d</m:t>
        </m:r>
        <m:r>
          <m:rPr>
            <m:sty m:val="p"/>
          </m:rPr>
          <m:t>/</m:t>
        </m:r>
        <m:r>
          <m:rPr/>
          <m:t>h</m:t>
        </m:r>
        <m:r>
          <m:rPr>
            <m:sty m:val="p"/>
          </m:rPr>
          <m:t>=</m:t>
        </m:r>
        <m:r>
          <m:rPr/>
          <m:t>0.20</m:t>
        </m:r>
      </m:oMath>
      <w:r>
        <w:rPr>
          <w:rFonts w:hint="eastAsia" w:ascii="Times New Roman" w:hAnsi="Times New Roman" w:eastAsia="宋体" w:cs="Times New Roman"/>
          <w:b w:val="0"/>
          <w:i w:val="0"/>
          <w:sz w:val="21"/>
        </w:rPr>
        <w:t xml:space="preserve"> 和0.60时，全场峰虽都归入上平台，其坐标可以位于坡顶 </w:t>
      </w:r>
      <m:oMath>
        <m:r>
          <m:rPr/>
          <m:t>s</m:t>
        </m:r>
        <m:r>
          <m:rPr>
            <m:sty m:val="p"/>
          </m:rPr>
          <m:t>=</m:t>
        </m:r>
        <m:r>
          <m:rPr/>
          <m:t>0</m:t>
        </m:r>
      </m:oMath>
      <w:r>
        <w:rPr>
          <w:rFonts w:hint="eastAsia" w:ascii="Times New Roman" w:hAnsi="Times New Roman" w:eastAsia="宋体" w:cs="Times New Roman"/>
          <w:b w:val="0"/>
          <w:i w:val="0"/>
          <w:sz w:val="21"/>
        </w:rPr>
        <w:t>，也可以在上平台远处达到最大；</w:t>
      </w:r>
      <m:oMath>
        <m:r>
          <m:rPr/>
          <m:t>d</m:t>
        </m:r>
        <m:r>
          <m:rPr>
            <m:sty m:val="p"/>
          </m:rPr>
          <m:t>/</m:t>
        </m:r>
        <m:r>
          <m:rPr/>
          <m:t>h</m:t>
        </m:r>
        <m:r>
          <m:rPr>
            <m:sty m:val="p"/>
          </m:rPr>
          <m:t>=</m:t>
        </m:r>
        <m:r>
          <m:rPr/>
          <m:t>1.00</m:t>
        </m:r>
      </m:oMath>
      <w:r>
        <w:rPr>
          <w:rFonts w:hint="eastAsia" w:ascii="Times New Roman" w:hAnsi="Times New Roman" w:eastAsia="宋体" w:cs="Times New Roman"/>
          <w:b w:val="0"/>
          <w:i w:val="0"/>
          <w:sz w:val="21"/>
        </w:rPr>
        <w:t xml:space="preserve"> 出现的3个坡面控制峰标志着过渡状态，但并不是每条厚度序列都必须依次经历“上平台—坡面—下平台”。图11所示45°、</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 xml:space="preserve"> 序列从 </w:t>
      </w:r>
      <m:oMath>
        <m:r>
          <m:rPr/>
          <m:t>s</m:t>
        </m:r>
        <m:r>
          <m:rPr>
            <m:sty m:val="p"/>
          </m:rPr>
          <m:t>=</m:t>
        </m:r>
        <m:r>
          <m:rPr/>
          <m:t>0</m:t>
        </m:r>
      </m:oMath>
      <w:r>
        <w:rPr>
          <w:rFonts w:hint="eastAsia" w:ascii="Times New Roman" w:hAnsi="Times New Roman" w:eastAsia="宋体" w:cs="Times New Roman"/>
          <w:b w:val="0"/>
          <w:i w:val="0"/>
          <w:sz w:val="21"/>
        </w:rPr>
        <w:t>、</w:t>
      </w:r>
      <m:oMath>
        <m:r>
          <m:rPr/>
          <m:t>s</m:t>
        </m:r>
        <m:r>
          <m:rPr>
            <m:sty m:val="p"/>
          </m:rPr>
          <m:t>=</m:t>
        </m:r>
        <m:r>
          <m:rPr/>
          <m:t>0</m:t>
        </m:r>
      </m:oMath>
      <w:r>
        <w:rPr>
          <w:rFonts w:hint="eastAsia" w:ascii="Times New Roman" w:hAnsi="Times New Roman" w:eastAsia="宋体" w:cs="Times New Roman"/>
          <w:b w:val="0"/>
          <w:i w:val="0"/>
          <w:sz w:val="21"/>
        </w:rPr>
        <w:t>、</w:t>
      </w:r>
      <m:oMath>
        <m:r>
          <m:rPr/>
          <m:t>s</m:t>
        </m:r>
        <m:r>
          <m:rPr>
            <m:sty m:val="p"/>
          </m:rPr>
          <m:t>=−</m:t>
        </m:r>
        <m:r>
          <m:rPr/>
          <m:t>0.35</m:t>
        </m:r>
      </m:oMath>
      <w:r>
        <w:rPr>
          <w:rFonts w:hint="eastAsia" w:ascii="Times New Roman" w:hAnsi="Times New Roman" w:eastAsia="宋体" w:cs="Times New Roman"/>
          <w:b w:val="0"/>
          <w:i w:val="0"/>
          <w:sz w:val="21"/>
        </w:rPr>
        <w:t xml:space="preserve"> 直接跳到 </w:t>
      </w:r>
      <m:oMath>
        <m:r>
          <m:rPr/>
          <m:t>s</m:t>
        </m:r>
        <m:r>
          <m:rPr>
            <m:sty m:val="p"/>
          </m:rPr>
          <m:t>=</m:t>
        </m:r>
        <m:r>
          <m:rPr/>
          <m:t>3.15</m:t>
        </m:r>
      </m:oMath>
      <w:r>
        <w:rPr>
          <w:rFonts w:hint="eastAsia" w:ascii="Times New Roman" w:hAnsi="Times New Roman" w:eastAsia="宋体" w:cs="Times New Roman"/>
          <w:b w:val="0"/>
          <w:i w:val="0"/>
          <w:sz w:val="21"/>
        </w:rPr>
        <w:t>，就跨过了坡面控制状态。故峰位图应作为不同候选分支的分类结果阅读，不宜对四个离散点计算连续迁移速度。</w:t>
      </w:r>
    </w:p>
    <w:p w14:paraId="73EDF0C9">
      <w:pPr>
        <w:spacing w:before="0" w:after="0"/>
        <w:ind w:firstLine="420"/>
        <w:jc w:val="both"/>
      </w:pPr>
      <w:r>
        <w:rPr>
          <w:rFonts w:hint="eastAsia" w:ascii="Times New Roman" w:hAnsi="Times New Roman" w:eastAsia="宋体" w:cs="Times New Roman"/>
          <w:b w:val="0"/>
          <w:i w:val="0"/>
          <w:sz w:val="21"/>
        </w:rPr>
        <w:t xml:space="preserve">区段边界的定义也会影响“由谁控制”的标签，却不会改变原始场。坡顶和坡脚正是几何与材料传播条件发生变化的位置，分区搜索时大量峰落在空间端点并不意外。本文把坡顶归入上平台、坡面从 </w:t>
      </w:r>
      <m:oMath>
        <m:r>
          <m:rPr/>
          <m:t>s</m:t>
        </m:r>
        <m:r>
          <m:rPr>
            <m:sty m:val="p"/>
          </m:rPr>
          <m:t>=</m:t>
        </m:r>
        <m:r>
          <m:rPr/>
          <m:t>0.05</m:t>
        </m:r>
      </m:oMath>
      <w:r>
        <w:rPr>
          <w:rFonts w:hint="eastAsia" w:ascii="Times New Roman" w:hAnsi="Times New Roman" w:eastAsia="宋体" w:cs="Times New Roman"/>
          <w:b w:val="0"/>
          <w:i w:val="0"/>
          <w:sz w:val="21"/>
        </w:rPr>
        <w:t xml:space="preserve"> 开始、下平台从 </w:t>
      </w:r>
      <m:oMath>
        <m:r>
          <m:rPr/>
          <m:t>s</m:t>
        </m:r>
        <m:r>
          <m:rPr>
            <m:sty m:val="p"/>
          </m:rPr>
          <m:t>=</m:t>
        </m:r>
        <m:r>
          <m:rPr/>
          <m:t>1.05</m:t>
        </m:r>
      </m:oMath>
      <w:r>
        <w:rPr>
          <w:rFonts w:hint="eastAsia" w:ascii="Times New Roman" w:hAnsi="Times New Roman" w:eastAsia="宋体" w:cs="Times New Roman"/>
          <w:b w:val="0"/>
          <w:i w:val="0"/>
          <w:sz w:val="21"/>
        </w:rPr>
        <w:t xml:space="preserve"> 开始，使全场控制分类具有唯一口径；与此同时，图16用端点符号提示某一分区峰可能实质上由相邻折点控制。这样处理避免了同一节点在两个区段重复计数，也提醒读者不要把“坡面端点峰”误解为坡面内部新出现了一个已经充分解析的极值。</w:t>
      </w:r>
    </w:p>
    <w:p w14:paraId="116D5E58">
      <w:pPr>
        <w:spacing w:before="0" w:after="0"/>
        <w:ind w:firstLine="420"/>
        <w:jc w:val="both"/>
      </w:pPr>
      <w:r>
        <w:rPr>
          <w:rFonts w:hint="eastAsia" w:ascii="Times New Roman" w:hAnsi="Times New Roman" w:eastAsia="宋体" w:cs="Times New Roman"/>
          <w:b w:val="0"/>
          <w:i w:val="0"/>
          <w:sz w:val="21"/>
        </w:rPr>
        <w:t>三个区段自身的峰值分布又提醒我们，不应把“控制次数”理解为整个区段始终较强。上平台、坡面和下平台的分区峰值中位数分别为1.639、1.573和1.235，分区峰频中位数分别为5.40、5.35和8.00 Hz；上平台的典型峰幅最大，下平台的典型峰频更高。可是，下平台峰值范围为0.982～4.012，上限远高于上平台的2.315和坡面的2.334。也就是说，下平台在大多数薄层工况中响应并不突出，一旦软厚组合形成相干增强，却会产生全数据集最高峰。这种“多数温和、少数极强”的分布特征正是只看平均值或控制次数容易漏掉的风险信息。</w:t>
      </w:r>
    </w:p>
    <w:p w14:paraId="57904910">
      <w:pPr>
        <w:spacing w:before="0" w:after="0"/>
        <w:ind w:firstLine="420"/>
        <w:jc w:val="both"/>
      </w:pPr>
      <w:r>
        <w:rPr>
          <w:rFonts w:hint="eastAsia" w:ascii="Times New Roman" w:hAnsi="Times New Roman" w:eastAsia="宋体" w:cs="Times New Roman"/>
          <w:b w:val="0"/>
          <w:i w:val="0"/>
          <w:sz w:val="21"/>
        </w:rPr>
        <w:t xml:space="preserve">固定 </w:t>
      </w:r>
      <m:oMath>
        <m:r>
          <m:rPr/>
          <m:t>i</m:t>
        </m:r>
        <m:r>
          <m:rPr>
            <m:sty m:val="p"/>
          </m:rPr>
          <m:t>=</m:t>
        </m:r>
        <m:sSup>
          <m:sSupPr/>
          <m:e>
            <m:r>
              <m:rPr/>
              <m:t>45</m:t>
            </m:r>
          </m:e>
          <m:sup>
            <m:r>
              <m:rPr>
                <m:sty m:val="p"/>
              </m:rPr>
              <m:t>∘</m:t>
            </m:r>
          </m:sup>
        </m:sSup>
      </m:oMath>
      <w:r>
        <w:rPr>
          <w:rFonts w:hint="eastAsia" w:ascii="Times New Roman" w:hAnsi="Times New Roman" w:eastAsia="宋体" w:cs="Times New Roman"/>
          <w:b w:val="0"/>
          <w:i w:val="0"/>
          <w:sz w:val="21"/>
        </w:rPr>
        <w:t>、</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 xml:space="preserve"> 的厚度轨迹进一步展示空间峰和频率峰可不同步。上平台主峰频率随 </w:t>
      </w:r>
      <m:oMath>
        <m:r>
          <m:rPr/>
          <m:t>d</m:t>
        </m:r>
        <m:r>
          <m:rPr>
            <m:sty m:val="p"/>
          </m:rPr>
          <m:t>/</m:t>
        </m:r>
        <m:r>
          <m:rPr/>
          <m:t>h</m:t>
        </m:r>
        <m:r>
          <m:rPr>
            <m:sty m:val="p"/>
          </m:rPr>
          <m:t>=</m:t>
        </m:r>
        <m:r>
          <m:rPr/>
          <m:t>0.20</m:t>
        </m:r>
      </m:oMath>
      <w:r>
        <w:rPr>
          <w:rFonts w:hint="eastAsia" w:ascii="Times New Roman" w:hAnsi="Times New Roman" w:eastAsia="宋体" w:cs="Times New Roman"/>
          <w:b w:val="0"/>
          <w:i w:val="0"/>
          <w:sz w:val="21"/>
        </w:rPr>
        <w:t xml:space="preserve">、0.60、1.00和1.40依次为9.3、4.3、8.8和1.8 Hz，峰位大多靠近坡顶端；坡面主峰在相同序列中也发生高低频切换。下平台则从最薄层的 </w:t>
      </w:r>
      <m:oMath>
        <m:r>
          <m:rPr>
            <m:sty m:val="p"/>
          </m:rPr>
          <m:t>(</m:t>
        </m:r>
        <m:sSub>
          <m:sSubPr/>
          <m:e>
            <m:r>
              <m:rPr/>
              <m:t>s</m:t>
            </m:r>
          </m:e>
          <m:sub>
            <m:r>
              <m:rPr/>
              <m:t>p</m:t>
            </m:r>
          </m:sub>
        </m:sSub>
        <m:r>
          <m:rPr>
            <m:sty m:val="p"/>
          </m:rPr>
          <m:t>,</m:t>
        </m:r>
        <m:sSub>
          <m:sSubPr/>
          <m:e>
            <m:r>
              <m:rPr/>
              <m:t>f</m:t>
            </m:r>
          </m:e>
          <m:sub>
            <m:r>
              <m:rPr/>
              <m:t>p</m:t>
            </m:r>
          </m:sub>
        </m:sSub>
        <m:r>
          <m:rPr>
            <m:sty m:val="p"/>
          </m:rPr>
          <m:t>)=(</m:t>
        </m:r>
        <m:r>
          <m:rPr/>
          <m:t>1.05</m:t>
        </m:r>
        <m:r>
          <m:rPr>
            <m:sty m:val="p"/>
          </m:rPr>
          <m:t>,</m:t>
        </m:r>
        <m:r>
          <m:rPr/>
          <m:t>0.5 </m:t>
        </m:r>
        <m:r>
          <m:rPr>
            <m:sty m:val="p"/>
          </m:rPr>
          <m:t>Hz)</m:t>
        </m:r>
      </m:oMath>
      <w:r>
        <w:rPr>
          <w:rFonts w:hint="eastAsia" w:ascii="Times New Roman" w:hAnsi="Times New Roman" w:eastAsia="宋体" w:cs="Times New Roman"/>
          <w:b w:val="0"/>
          <w:i w:val="0"/>
          <w:sz w:val="21"/>
        </w:rPr>
        <w:t xml:space="preserve">，迁至 </w:t>
      </w:r>
      <m:oMath>
        <m:r>
          <m:rPr>
            <m:sty m:val="p"/>
          </m:rPr>
          <m:t>(</m:t>
        </m:r>
        <m:r>
          <m:rPr/>
          <m:t>3.80</m:t>
        </m:r>
        <m:r>
          <m:rPr>
            <m:sty m:val="p"/>
          </m:rPr>
          <m:t>,</m:t>
        </m:r>
        <m:r>
          <m:rPr/>
          <m:t>9.9 </m:t>
        </m:r>
        <m:r>
          <m:rPr>
            <m:sty m:val="p"/>
          </m:rPr>
          <m:t>Hz)</m:t>
        </m:r>
      </m:oMath>
      <w:r>
        <w:rPr>
          <w:rFonts w:hint="eastAsia" w:ascii="Times New Roman" w:hAnsi="Times New Roman" w:eastAsia="宋体" w:cs="Times New Roman"/>
          <w:b w:val="0"/>
          <w:i w:val="0"/>
          <w:sz w:val="21"/>
        </w:rPr>
        <w:t>、</w:t>
      </w:r>
      <m:oMath>
        <m:r>
          <m:rPr>
            <m:sty m:val="p"/>
          </m:rPr>
          <m:t>(</m:t>
        </m:r>
        <m:r>
          <m:rPr/>
          <m:t>3.80</m:t>
        </m:r>
        <m:r>
          <m:rPr>
            <m:sty m:val="p"/>
          </m:rPr>
          <m:t>,</m:t>
        </m:r>
        <m:r>
          <m:rPr/>
          <m:t>9.2 </m:t>
        </m:r>
        <m:r>
          <m:rPr>
            <m:sty m:val="p"/>
          </m:rPr>
          <m:t>Hz)</m:t>
        </m:r>
      </m:oMath>
      <w:r>
        <w:rPr>
          <w:rFonts w:hint="eastAsia" w:ascii="Times New Roman" w:hAnsi="Times New Roman" w:eastAsia="宋体" w:cs="Times New Roman"/>
          <w:b w:val="0"/>
          <w:i w:val="0"/>
          <w:sz w:val="21"/>
        </w:rPr>
        <w:t xml:space="preserve">，最终到最厚层的 </w:t>
      </w:r>
      <m:oMath>
        <m:r>
          <m:rPr>
            <m:sty m:val="p"/>
          </m:rPr>
          <m:t>(</m:t>
        </m:r>
        <m:r>
          <m:rPr/>
          <m:t>3.15</m:t>
        </m:r>
        <m:r>
          <m:rPr>
            <m:sty m:val="p"/>
          </m:rPr>
          <m:t>,</m:t>
        </m:r>
        <m:r>
          <m:rPr/>
          <m:t>4.0 </m:t>
        </m:r>
        <m:r>
          <m:rPr>
            <m:sty m:val="p"/>
          </m:rPr>
          <m:t>Hz)</m:t>
        </m:r>
      </m:oMath>
      <w:r>
        <w:rPr>
          <w:rFonts w:hint="eastAsia" w:ascii="Times New Roman" w:hAnsi="Times New Roman" w:eastAsia="宋体" w:cs="Times New Roman"/>
          <w:b w:val="0"/>
          <w:i w:val="0"/>
          <w:sz w:val="21"/>
        </w:rPr>
        <w:t>。这条路径说明，厚度增加会同时改变覆盖层相位积累和平台间干涉条件，峰位不是沿坡面连续向下移动，而可能在不同平台模态之间跃迁。</w:t>
      </w:r>
    </w:p>
    <w:p w14:paraId="6F6F8F56">
      <w:pPr>
        <w:spacing w:before="0" w:after="0"/>
        <w:ind w:firstLine="420"/>
        <w:jc w:val="both"/>
      </w:pPr>
      <w:r>
        <w:rPr>
          <w:rFonts w:hint="eastAsia" w:ascii="Times New Roman" w:hAnsi="Times New Roman" w:eastAsia="宋体" w:cs="Times New Roman"/>
          <w:b w:val="0"/>
          <w:i w:val="0"/>
          <w:sz w:val="21"/>
        </w:rPr>
        <w:t>把幅值同时放回这条轨迹，换位过程更为清楚。四个厚度下，上平台分区峰值为1.861、2.148、1.958和1.846，最厚层并未继续增大；坡面分区峰值为1.419、1.996、1.768和1.823，同样没有形成单调上升；下平台则由1.000、1.555、1.378跃升至3.904。</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 xml:space="preserve"> 的全场增量几乎全部来自下平台新峰取得控制权，而不是原坡顶峰持续长大。由此也能解释为什么图13的厚度中位数在1.00处回落、到1.40又显著升高：不同厚度水平汇总的不是同一个响应分支，最后一级的统计量已经由另一空间区段主导。</w:t>
      </w:r>
    </w:p>
    <w:p w14:paraId="5A0ED93A">
      <w:pPr>
        <w:spacing w:before="0" w:after="0"/>
        <w:ind w:firstLine="420"/>
        <w:jc w:val="both"/>
      </w:pPr>
      <w:r>
        <w:rPr>
          <w:rFonts w:hint="eastAsia" w:ascii="Times New Roman" w:hAnsi="Times New Roman" w:eastAsia="宋体" w:cs="Times New Roman"/>
          <w:b w:val="0"/>
          <w:i w:val="0"/>
          <w:sz w:val="21"/>
        </w:rPr>
        <w:t xml:space="preserve">三个区段在最厚层并非同步增强，构成判断分支换位的关键证据。相对于 </w:t>
      </w:r>
      <m:oMath>
        <m:r>
          <m:rPr/>
          <m:t>d</m:t>
        </m:r>
        <m:r>
          <m:rPr>
            <m:sty m:val="p"/>
          </m:rPr>
          <m:t>/</m:t>
        </m:r>
        <m:r>
          <m:rPr/>
          <m:t>h</m:t>
        </m:r>
        <m:r>
          <m:rPr>
            <m:sty m:val="p"/>
          </m:rPr>
          <m:t>=</m:t>
        </m:r>
        <m:r>
          <m:rPr/>
          <m:t>0.60</m:t>
        </m:r>
      </m:oMath>
      <w:r>
        <w:rPr>
          <w:rFonts w:hint="eastAsia" w:ascii="Times New Roman" w:hAnsi="Times New Roman" w:eastAsia="宋体" w:cs="Times New Roman"/>
          <w:b w:val="0"/>
          <w:i w:val="0"/>
          <w:sz w:val="21"/>
        </w:rPr>
        <w:t>，</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 xml:space="preserve"> 时上平台峰由2.148降至1.846，坡面峰由1.996降至1.823，只有下平台由1.555增至3.904。如果全场峰值增加只是统一归一化偏差或整个地表等比例放大，三个区段应给出同方向、近比例变化；实际结果恰好相反。新控制峰的出现伴随旧控制区段减弱，说明非单调主要来自能量在频率和空间上的重新分配，而不是单一峰无界增长。这也是统一左侧一维自由场参考后仍保留强分界和局部变化的物理部分：参考口径已统一，剩余换位来自二维坡地响应本身。</w:t>
      </w:r>
    </w:p>
    <w:p w14:paraId="296DA3AB">
      <w:pPr>
        <w:spacing w:before="0" w:after="0"/>
        <w:ind w:firstLine="420"/>
        <w:jc w:val="both"/>
      </w:pPr>
      <w:r>
        <w:rPr>
          <w:rFonts w:hint="eastAsia" w:ascii="Times New Roman" w:hAnsi="Times New Roman" w:eastAsia="宋体" w:cs="Times New Roman"/>
          <w:b w:val="0"/>
          <w:i w:val="0"/>
          <w:sz w:val="21"/>
        </w:rPr>
        <w:t>从应用角度看，控制峰换位意味着参数敏感性必须依附于观测对象。对坡顶设施，45°、</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 xml:space="preserve"> 序列的上平台峰在 </w:t>
      </w:r>
      <m:oMath>
        <m:r>
          <m:rPr/>
          <m:t>d</m:t>
        </m:r>
        <m:r>
          <m:rPr>
            <m:sty m:val="p"/>
          </m:rPr>
          <m:t>/</m:t>
        </m:r>
        <m:r>
          <m:rPr/>
          <m:t>h</m:t>
        </m:r>
        <m:r>
          <m:rPr>
            <m:sty m:val="p"/>
          </m:rPr>
          <m:t>=</m:t>
        </m:r>
        <m:r>
          <m:rPr/>
          <m:t>0.60</m:t>
        </m:r>
      </m:oMath>
      <w:r>
        <w:rPr>
          <w:rFonts w:hint="eastAsia" w:ascii="Times New Roman" w:hAnsi="Times New Roman" w:eastAsia="宋体" w:cs="Times New Roman"/>
          <w:b w:val="0"/>
          <w:i w:val="0"/>
          <w:sz w:val="21"/>
        </w:rPr>
        <w:t xml:space="preserve"> 最大，继续增厚反而降低；对下平台设施，同一序列在 </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 xml:space="preserve"> 才出现决定性增加；对全场最不利指标，最终由下平台分支接管而呈现最厚层最大。三种结论都来自同一组复频响场，区别只在空间功能区。若将全场结论直接用于坡顶，会把下平台强峰误当作坡顶输入；若只分析坡顶，又会漏掉整条地表真正的最不利位置。</w:t>
      </w:r>
    </w:p>
    <w:p w14:paraId="1D53F2A3">
      <w:pPr>
        <w:spacing w:before="0" w:after="0"/>
        <w:ind w:firstLine="420"/>
        <w:jc w:val="both"/>
      </w:pPr>
      <w:r>
        <w:rPr>
          <w:rFonts w:hint="eastAsia" w:ascii="Times New Roman" w:hAnsi="Times New Roman" w:eastAsia="宋体" w:cs="Times New Roman"/>
          <w:b w:val="0"/>
          <w:i w:val="0"/>
          <w:sz w:val="21"/>
        </w:rPr>
        <w:t>从波动角度看，非单调性至少涉及三类频率尺度：覆盖层厚度控制的竖向往返尺度、坡高和坡面长度控制的地形散射尺度，以及斜入射造成的水平传播相位尺度。当这些尺度接近时，某一位置可能由相长干涉转为相消干涉，局部峰值减弱而另一位置的新峰增强；当尺度错开时，响应又可能接近均质坡的宽缓模式。现有全因子结果支持“频带交叠与控制峰换位”这一解释，但没有独立的模态分解或能流计算来唯一证明每条亮带的波型来源。因此，本文把它作为与数值现象一致的物理解释，而不把每个峰都命名为某一确定阶次的共振模态。</w:t>
      </w:r>
    </w:p>
    <w:p w14:paraId="72C76493">
      <w:pPr>
        <w:spacing w:before="0" w:after="0"/>
        <w:ind w:firstLine="420"/>
        <w:jc w:val="both"/>
      </w:pPr>
      <w:r>
        <w:rPr>
          <w:rFonts w:hint="eastAsia" w:ascii="Times New Roman" w:hAnsi="Times New Roman" w:eastAsia="宋体" w:cs="Times New Roman"/>
          <w:b w:val="0"/>
          <w:i w:val="0"/>
          <w:sz w:val="21"/>
        </w:rPr>
        <w:t>这种交互结构也解释了为何参数边际规律有时方向相反。波速比提高使全场峰值中位数下降，但坡面低频区域中位响应可能升高；坡角提高使均质峰值和成层上尾增大，但坡面高频区域中位响应反而降低。全场最大值关注一个最不利网格点，区域中位数关注一片地表的典型水平，两者本来就回答不同问题。工程使用中，若关心局部设施或坡顶建筑，应查看相应位置的频谱；若关心沿线设施或大范围地表输入，应使用分区包络或区域统计，不能用一个全场峰值替代所有空间位置。</w:t>
      </w:r>
    </w:p>
    <w:p w14:paraId="0E34A52A">
      <w:pPr>
        <w:spacing w:before="0" w:after="0"/>
        <w:ind w:firstLine="420"/>
        <w:jc w:val="both"/>
      </w:pPr>
      <w:r>
        <w:rPr>
          <w:rFonts w:hint="eastAsia" w:ascii="Times New Roman" w:hAnsi="Times New Roman" w:eastAsia="宋体" w:cs="Times New Roman"/>
          <w:b w:val="0"/>
          <w:i w:val="0"/>
          <w:sz w:val="21"/>
        </w:rPr>
        <w:t>从数据形态看，这些转折也不能简单归为数值离散造成的随机波动。每条控制序列采用相同频率网格、空间网格和归一化参考，非单调峰频往往伴随热图中一条亮带减弱、另一条亮带取得控制，而不是单个孤立网格点无规律跳动；软厚角点的约4 Hz下平台强响应又在四种坡角下重复出现。需要保持谨慎的是，0.1 Hz频率间隔只能把峰频定位到当前采样精度，4个全场上界峰也尚未闭合到频带外。因而，本文将“存在频带换位”和“软厚组合形成下平台强响应”视为已有数据支持的稳定现象，却不对相邻频点间的精确共振频率或10 Hz以外的峰形作推断。</w:t>
      </w:r>
    </w:p>
    <w:p w14:paraId="6672D4C3">
      <w:pPr>
        <w:spacing w:before="0" w:after="0"/>
        <w:ind w:firstLine="420"/>
        <w:jc w:val="both"/>
      </w:pPr>
      <w:r>
        <w:rPr>
          <w:rFonts w:hint="eastAsia" w:ascii="Times New Roman" w:hAnsi="Times New Roman" w:eastAsia="宋体" w:cs="Times New Roman"/>
          <w:b w:val="0"/>
          <w:i w:val="0"/>
          <w:sz w:val="21"/>
        </w:rPr>
        <w:t>4个10 Hz上界峰的处理体现了这种证据边界。P001、P017、P018和P027在当前频带内只能判定为“峰频不低于10 Hz附近的搜索上界”，不能与内部峰一样用于讨论导数、插值或连续迁移。它们仍可参与峰值幅值比较，因为0.5～10 Hz内的最大幅值是已观测量；但其峰频数值10 Hz是截断标记，不是已闭合的真实局部最大。图13和图14用空心符号单独标出，图16的贡献分解保留原搜索结果并在解释中剔除频带外推，避免把数据边界误写成参数规律。</w:t>
      </w:r>
    </w:p>
    <w:p w14:paraId="29F5D1A3">
      <w:pPr>
        <w:keepNext w:val="0"/>
        <w:keepLines w:val="0"/>
        <w:pageBreakBefore w:val="0"/>
        <w:widowControl w:val="0"/>
        <w:kinsoku/>
        <w:wordWrap/>
        <w:overflowPunct/>
        <w:topLinePunct w:val="0"/>
        <w:autoSpaceDE/>
        <w:autoSpaceDN/>
        <w:bidi w:val="0"/>
        <w:adjustRightInd/>
        <w:snapToGrid/>
        <w:spacing w:before="80" w:after="20"/>
        <w:ind w:firstLine="0"/>
        <w:jc w:val="left"/>
        <w:textAlignment w:val="auto"/>
        <w:outlineLvl w:val="2"/>
      </w:pPr>
      <w:r>
        <w:rPr>
          <w:rFonts w:hint="eastAsia" w:ascii="Times New Roman" w:hAnsi="Times New Roman" w:eastAsia="宋体" w:cs="Times New Roman"/>
          <w:b/>
          <w:i w:val="0"/>
          <w:sz w:val="21"/>
        </w:rPr>
        <w:t>3.4.2 覆盖层特征频率与相位—时延修正</w:t>
      </w:r>
    </w:p>
    <w:p w14:paraId="584D958C">
      <w:pPr>
        <w:spacing w:before="0" w:after="0"/>
        <w:ind w:firstLine="420"/>
        <w:jc w:val="both"/>
      </w:pPr>
      <w:r>
        <w:rPr>
          <w:rFonts w:hint="eastAsia" w:ascii="Times New Roman" w:hAnsi="Times New Roman" w:eastAsia="宋体" w:cs="Times New Roman"/>
          <w:b w:val="0"/>
          <w:i w:val="0"/>
          <w:sz w:val="21"/>
        </w:rPr>
        <w:t>图17以 P039（</w:t>
      </w:r>
      <m:oMath>
        <m:r>
          <m:rPr/>
          <m:t>i</m:t>
        </m:r>
        <m:r>
          <m:rPr>
            <m:sty m:val="p"/>
          </m:rPr>
          <m:t>=</m:t>
        </m:r>
        <m:sSup>
          <m:sSupPr/>
          <m:e>
            <m:r>
              <m:rPr/>
              <m:t>45</m:t>
            </m:r>
          </m:e>
          <m:sup>
            <m:r>
              <m:rPr>
                <m:sty m:val="p"/>
              </m:rPr>
              <m:t>∘</m:t>
            </m:r>
          </m:sup>
        </m:sSup>
      </m:oMath>
      <w:r>
        <w:rPr>
          <w:rFonts w:hint="eastAsia" w:ascii="Times New Roman" w:hAnsi="Times New Roman" w:eastAsia="宋体" w:cs="Times New Roman"/>
          <w:b w:val="0"/>
          <w:i w:val="0"/>
          <w:sz w:val="21"/>
        </w:rPr>
        <w:t>、</w:t>
      </w:r>
      <m:oMath>
        <m:r>
          <m:rPr/>
          <m:t>d</m:t>
        </m:r>
        <m:r>
          <m:rPr>
            <m:sty m:val="p"/>
          </m:rPr>
          <m:t>/</m:t>
        </m:r>
        <m:r>
          <m:rPr/>
          <m:t>h</m:t>
        </m:r>
        <m:r>
          <m:rPr>
            <m:sty m:val="p"/>
          </m:rPr>
          <m:t>=</m:t>
        </m:r>
        <m:r>
          <m:rPr/>
          <m:t>0.60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0.60</m:t>
        </m:r>
      </m:oMath>
      <w:r>
        <w:rPr>
          <w:rFonts w:hint="eastAsia" w:ascii="Times New Roman" w:hAnsi="Times New Roman" w:eastAsia="宋体" w:cs="Times New Roman"/>
          <w:b w:val="0"/>
          <w:i w:val="0"/>
          <w:sz w:val="21"/>
        </w:rPr>
        <w:t xml:space="preserve">）展示覆盖层相对同坡角均质坡 H003 的复数修正。幅值修正场 </w:t>
      </w:r>
      <m:oMath>
        <m:r>
          <m:rPr>
            <m:sty m:val="p"/>
          </m:rPr>
          <m:t>ln|</m:t>
        </m:r>
        <m:sSub>
          <m:sSubPr/>
          <m:e>
            <m:r>
              <m:rPr/>
              <m:t>C</m:t>
            </m:r>
          </m:e>
          <m:sub>
            <m:r>
              <m:rPr/>
              <m:t>G</m:t>
            </m:r>
          </m:sub>
        </m:sSub>
        <m:r>
          <m:rPr>
            <m:sty m:val="p"/>
          </m:rPr>
          <m:t>|</m:t>
        </m:r>
      </m:oMath>
      <w:r>
        <w:rPr>
          <w:rFonts w:hint="eastAsia" w:ascii="Times New Roman" w:hAnsi="Times New Roman" w:eastAsia="宋体" w:cs="Times New Roman"/>
          <w:b w:val="0"/>
          <w:i w:val="0"/>
          <w:sz w:val="21"/>
        </w:rPr>
        <w:t xml:space="preserve"> 同时存在红、蓝区域，说明覆盖层在不同频率和位置上既可增强也可削弱。最大绝对对数幅值修正位于5.1 Hz、</w:t>
      </w:r>
      <m:oMath>
        <m:r>
          <m:rPr/>
          <m:t>s</m:t>
        </m:r>
        <m:r>
          <m:rPr>
            <m:sty m:val="p"/>
          </m:rPr>
          <m:t>=</m:t>
        </m:r>
        <m:r>
          <m:rPr/>
          <m:t>0.60</m:t>
        </m:r>
      </m:oMath>
      <w:r>
        <w:rPr>
          <w:rFonts w:hint="eastAsia" w:ascii="Times New Roman" w:hAnsi="Times New Roman" w:eastAsia="宋体" w:cs="Times New Roman"/>
          <w:b w:val="0"/>
          <w:i w:val="0"/>
          <w:sz w:val="21"/>
        </w:rPr>
        <w:t xml:space="preserve">，其值为 </w:t>
      </w:r>
      <m:oMath>
        <m:r>
          <m:rPr>
            <m:sty m:val="p"/>
          </m:rPr>
          <m:t>−</m:t>
        </m:r>
        <m:r>
          <m:rPr/>
          <m:t>1.627</m:t>
        </m:r>
      </m:oMath>
      <w:r>
        <w:rPr>
          <w:rFonts w:hint="eastAsia" w:ascii="Times New Roman" w:hAnsi="Times New Roman" w:eastAsia="宋体" w:cs="Times New Roman"/>
          <w:b w:val="0"/>
          <w:i w:val="0"/>
          <w:sz w:val="21"/>
        </w:rPr>
        <w:t>，对应局部幅值比约0.197，即该位置该频率被显著削弱。相位修正在相近的坡面频带形成强梯度，并向下平台扩展；这说明局部幅值谷与相位快速变化共同出现，而不是两个互不相关的后处理量。</w:t>
      </w:r>
    </w:p>
    <w:p w14:paraId="57C54622">
      <w:pPr>
        <w:spacing w:before="80" w:after="40"/>
        <w:ind w:firstLine="0"/>
        <w:jc w:val="center"/>
      </w:pPr>
      <w:r>
        <w:drawing>
          <wp:inline distT="0" distB="0" distL="114300" distR="114300">
            <wp:extent cx="2880360" cy="1637665"/>
            <wp:effectExtent l="0" t="0" r="1524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2880360" cy="1638286"/>
                    </a:xfrm>
                    <a:prstGeom prst="rect">
                      <a:avLst/>
                    </a:prstGeom>
                  </pic:spPr>
                </pic:pic>
              </a:graphicData>
            </a:graphic>
          </wp:inline>
        </w:drawing>
      </w:r>
    </w:p>
    <w:p w14:paraId="6A2E439F">
      <w:pPr>
        <w:spacing w:before="0" w:after="0"/>
        <w:ind w:firstLine="0"/>
        <w:jc w:val="center"/>
      </w:pPr>
      <w:r>
        <w:rPr>
          <w:rFonts w:hint="eastAsia" w:ascii="Times New Roman" w:hAnsi="Times New Roman" w:eastAsia="宋体" w:cs="Times New Roman"/>
          <w:b w:val="0"/>
          <w:i w:val="0"/>
          <w:sz w:val="18"/>
        </w:rPr>
        <w:t xml:space="preserve">图17 覆盖层复数修正及其与无量纲特征频率的关系：（a）、（b）P039 的对数幅值和相位修正场；（c）64例净幅值修正幅度 </w:t>
      </w:r>
      <m:oMath>
        <m:r>
          <m:rPr>
            <m:sty m:val="p"/>
          </m:rPr>
          <m:t>|median(</m:t>
        </m:r>
        <m:sSub>
          <m:sSubPr/>
          <m:e>
            <m:r>
              <m:rPr>
                <m:sty m:val="p"/>
              </m:rPr>
              <m:t>Δ</m:t>
            </m:r>
          </m:e>
          <m:sub>
            <m:r>
              <m:rPr/>
              <m:t>A</m:t>
            </m:r>
          </m:sub>
        </m:sSub>
        <m:r>
          <m:rPr>
            <m:sty m:val="p"/>
          </m:rPr>
          <m:t>)|</m:t>
        </m:r>
      </m:oMath>
      <w:r>
        <w:rPr>
          <w:rFonts w:hint="eastAsia" w:ascii="Times New Roman" w:hAnsi="Times New Roman" w:eastAsia="宋体" w:cs="Times New Roman"/>
          <w:b w:val="0"/>
          <w:i w:val="0"/>
          <w:sz w:val="18"/>
        </w:rPr>
        <w:t xml:space="preserve">；（d）中位绝对相位修正；（e）中位绝对群时延修正。彩色散点为64个P工况，颜色区分坡角，黑线连接相同 </w:t>
      </w:r>
      <m:oMath>
        <m:r>
          <m:rPr/>
          <m:t>χ</m:t>
        </m:r>
      </m:oMath>
      <w:r>
        <w:rPr>
          <w:rFonts w:hint="eastAsia" w:ascii="Times New Roman" w:hAnsi="Times New Roman" w:eastAsia="宋体" w:cs="Times New Roman"/>
          <w:b w:val="0"/>
          <w:i w:val="0"/>
          <w:sz w:val="18"/>
        </w:rPr>
        <w:t xml:space="preserve"> 组的中位数；多数 </w:t>
      </w:r>
      <m:oMath>
        <m:r>
          <m:rPr/>
          <m:t>χ</m:t>
        </m:r>
      </m:oMath>
      <w:r>
        <w:rPr>
          <w:rFonts w:hint="eastAsia" w:ascii="Times New Roman" w:hAnsi="Times New Roman" w:eastAsia="宋体" w:cs="Times New Roman"/>
          <w:b w:val="0"/>
          <w:i w:val="0"/>
          <w:sz w:val="18"/>
        </w:rPr>
        <w:t xml:space="preserve"> 组含4个坡角工况，</w:t>
      </w:r>
      <m:oMath>
        <m:r>
          <m:rPr/>
          <m:t>χ</m:t>
        </m:r>
        <m:r>
          <m:rPr>
            <m:sty m:val="p"/>
          </m:rPr>
          <m:t>=</m:t>
        </m:r>
        <m:r>
          <m:rPr/>
          <m:t>0.1875</m:t>
        </m:r>
      </m:oMath>
      <w:r>
        <w:rPr>
          <w:rFonts w:hint="eastAsia" w:ascii="Times New Roman" w:hAnsi="Times New Roman" w:eastAsia="宋体" w:cs="Times New Roman"/>
          <w:b w:val="0"/>
          <w:i w:val="0"/>
          <w:sz w:val="18"/>
        </w:rPr>
        <w:t xml:space="preserve"> 组含两套厚度—波速比组合共8例</w:t>
      </w:r>
    </w:p>
    <w:p w14:paraId="521EEE79">
      <w:pPr>
        <w:spacing w:before="0" w:after="60"/>
        <w:ind w:firstLine="0"/>
        <w:jc w:val="center"/>
      </w:pPr>
      <w:r>
        <w:rPr>
          <w:rFonts w:hint="eastAsia" w:ascii="Times New Roman" w:hAnsi="Times New Roman" w:eastAsia="Times New Roman" w:cs="Times New Roman"/>
          <w:b w:val="0"/>
          <w:i w:val="0"/>
          <w:sz w:val="18"/>
        </w:rPr>
        <w:t>Fig. 17 Cover-layer complex correction and its relation to the dimensionless characteristic frequency</w:t>
      </w:r>
    </w:p>
    <w:p w14:paraId="701193FD">
      <w:pPr>
        <w:spacing w:before="0" w:after="0"/>
        <w:ind w:firstLine="420"/>
        <w:jc w:val="both"/>
      </w:pPr>
      <w:r>
        <w:rPr>
          <w:rFonts w:hint="eastAsia" w:ascii="Times New Roman" w:hAnsi="Times New Roman" w:eastAsia="宋体" w:cs="Times New Roman"/>
          <w:b w:val="0"/>
          <w:i w:val="0"/>
          <w:sz w:val="21"/>
        </w:rPr>
        <w:t xml:space="preserve">P039 全场的 </w:t>
      </w:r>
      <m:oMath>
        <m:sSub>
          <m:sSubPr/>
          <m:e>
            <m:r>
              <m:rPr>
                <m:sty m:val="p"/>
              </m:rPr>
              <m:t>Δ</m:t>
            </m:r>
          </m:e>
          <m:sub>
            <m:r>
              <m:rPr/>
              <m:t>A</m:t>
            </m:r>
          </m:sub>
        </m:sSub>
      </m:oMath>
      <w:r>
        <w:rPr>
          <w:rFonts w:hint="eastAsia" w:ascii="Times New Roman" w:hAnsi="Times New Roman" w:eastAsia="宋体" w:cs="Times New Roman"/>
          <w:b w:val="0"/>
          <w:i w:val="0"/>
          <w:sz w:val="21"/>
        </w:rPr>
        <w:t xml:space="preserve"> 中位数为 </w:t>
      </w:r>
      <m:oMath>
        <m:r>
          <m:rPr>
            <m:sty m:val="p"/>
          </m:rPr>
          <m:t>−</m:t>
        </m:r>
        <m:r>
          <m:rPr/>
          <m:t>0.0783</m:t>
        </m:r>
      </m:oMath>
      <w:r>
        <w:rPr>
          <w:rFonts w:hint="eastAsia" w:ascii="Times New Roman" w:hAnsi="Times New Roman" w:eastAsia="宋体" w:cs="Times New Roman"/>
          <w:b w:val="0"/>
          <w:i w:val="0"/>
          <w:sz w:val="21"/>
        </w:rPr>
        <w:t xml:space="preserve">，对应净幅值比0.925；中位绝对相位修正为7.43°，中位绝对群时延修正为18.69 ms。净幅值只有约7.5%的下降，并不意味着场内幅值修正处处很小，因为正负局部修正会在中位统计中部分抵消。为回答“覆盖层是否使全场典型幅值产生一致的净偏移”，图17(c)采用逐工况 </w:t>
      </w:r>
      <m:oMath>
        <m:r>
          <m:rPr>
            <m:sty m:val="p"/>
          </m:rPr>
          <m:t>|median(</m:t>
        </m:r>
        <m:sSub>
          <m:sSubPr/>
          <m:e>
            <m:r>
              <m:rPr>
                <m:sty m:val="p"/>
              </m:rPr>
              <m:t>Δ</m:t>
            </m:r>
          </m:e>
          <m:sub>
            <m:r>
              <m:rPr/>
              <m:t>A</m:t>
            </m:r>
          </m:sub>
        </m:sSub>
        <m:r>
          <m:rPr>
            <m:sty m:val="p"/>
          </m:rPr>
          <m:t>)|</m:t>
        </m:r>
      </m:oMath>
      <w:r>
        <w:rPr>
          <w:rFonts w:hint="eastAsia" w:ascii="Times New Roman" w:hAnsi="Times New Roman" w:eastAsia="宋体" w:cs="Times New Roman"/>
          <w:b w:val="0"/>
          <w:i w:val="0"/>
          <w:sz w:val="21"/>
        </w:rPr>
        <w:t xml:space="preserve">；它与逐像素修正强度的 </w:t>
      </w:r>
      <m:oMath>
        <m:r>
          <m:rPr>
            <m:sty m:val="p"/>
          </m:rPr>
          <m:t>median(|</m:t>
        </m:r>
        <m:sSub>
          <m:sSubPr/>
          <m:e>
            <m:r>
              <m:rPr>
                <m:sty m:val="p"/>
              </m:rPr>
              <m:t>Δ</m:t>
            </m:r>
          </m:e>
          <m:sub>
            <m:r>
              <m:rPr/>
              <m:t>A</m:t>
            </m:r>
          </m:sub>
        </m:sSub>
        <m:r>
          <m:rPr>
            <m:sty m:val="p"/>
          </m:rPr>
          <m:t>|)</m:t>
        </m:r>
      </m:oMath>
      <w:r>
        <w:rPr>
          <w:rFonts w:hint="eastAsia" w:ascii="Times New Roman" w:hAnsi="Times New Roman" w:eastAsia="宋体" w:cs="Times New Roman"/>
          <w:b w:val="0"/>
          <w:i w:val="0"/>
          <w:sz w:val="21"/>
        </w:rPr>
        <w:t xml:space="preserve"> 不是同一个量。前者关注净增强或净削弱，后者会把空间重分配中的正负变化都计为强修正。本文沿用预定的净修正口径，避免在看到结果后改变研究问题。</w:t>
      </w:r>
    </w:p>
    <w:p w14:paraId="023B8640">
      <w:pPr>
        <w:spacing w:before="0" w:after="0"/>
        <w:ind w:firstLine="420"/>
        <w:jc w:val="both"/>
      </w:pPr>
      <w:r>
        <w:rPr>
          <w:rFonts w:hint="eastAsia" w:ascii="Times New Roman" w:hAnsi="Times New Roman" w:eastAsia="宋体" w:cs="Times New Roman"/>
          <w:b w:val="0"/>
          <w:i w:val="0"/>
          <w:sz w:val="21"/>
        </w:rPr>
        <w:t xml:space="preserve">对数幅值使局部增强和削弱具有对称解释。P039最强局部修正 </w:t>
      </w:r>
      <m:oMath>
        <m:r>
          <m:rPr>
            <m:sty m:val="p"/>
          </m:rPr>
          <m:t>−</m:t>
        </m:r>
        <m:r>
          <m:rPr/>
          <m:t>1.627</m:t>
        </m:r>
      </m:oMath>
      <w:r>
        <w:rPr>
          <w:rFonts w:hint="eastAsia" w:ascii="Times New Roman" w:hAnsi="Times New Roman" w:eastAsia="宋体" w:cs="Times New Roman"/>
          <w:b w:val="0"/>
          <w:i w:val="0"/>
          <w:sz w:val="21"/>
        </w:rPr>
        <w:t xml:space="preserve"> 对应幅值比约0.197；若另一位置出现 </w:t>
      </w:r>
      <m:oMath>
        <m:r>
          <m:rPr>
            <m:sty m:val="p"/>
          </m:rPr>
          <m:t>+</m:t>
        </m:r>
        <m:r>
          <m:rPr/>
          <m:t>1.627</m:t>
        </m:r>
      </m:oMath>
      <w:r>
        <w:rPr>
          <w:rFonts w:hint="eastAsia" w:ascii="Times New Roman" w:hAnsi="Times New Roman" w:eastAsia="宋体" w:cs="Times New Roman"/>
          <w:b w:val="0"/>
          <w:i w:val="0"/>
          <w:sz w:val="21"/>
        </w:rPr>
        <w:t xml:space="preserve">，则对应约5.09倍增强，两者在对数尺度上的绝对强度相同。中位数 </w:t>
      </w:r>
      <m:oMath>
        <m:r>
          <m:rPr>
            <m:sty m:val="p"/>
          </m:rPr>
          <m:t>−</m:t>
        </m:r>
        <m:r>
          <m:rPr/>
          <m:t>0.0783</m:t>
        </m:r>
      </m:oMath>
      <w:r>
        <w:rPr>
          <w:rFonts w:hint="eastAsia" w:ascii="Times New Roman" w:hAnsi="Times New Roman" w:eastAsia="宋体" w:cs="Times New Roman"/>
          <w:b w:val="0"/>
          <w:i w:val="0"/>
          <w:sz w:val="21"/>
        </w:rPr>
        <w:t xml:space="preserve"> 位于这类局部极值之间，描述的是有效频率—空间网格中一半以上位置所处的整体偏移，而不是全场能量守恒量或峰值变化率。因此，局部幅值比0.197和净幅值比0.925并不矛盾：前者说明某个坡面频点发生强相消，后者说明这种强削弱没有覆盖大部分地表与频带。</w:t>
      </w:r>
    </w:p>
    <w:p w14:paraId="2A1B922C">
      <w:pPr>
        <w:spacing w:before="0" w:after="0"/>
        <w:ind w:firstLine="420"/>
        <w:jc w:val="both"/>
      </w:pPr>
      <w:r>
        <w:rPr>
          <w:rFonts w:hint="eastAsia" w:ascii="Times New Roman" w:hAnsi="Times New Roman" w:eastAsia="宋体" w:cs="Times New Roman"/>
          <w:b w:val="0"/>
          <w:i w:val="0"/>
          <w:sz w:val="21"/>
        </w:rPr>
        <w:t xml:space="preserve">P039被选作修正场示例，也正因为它不是全域极端角点。其参数 </w:t>
      </w:r>
      <m:oMath>
        <m:r>
          <m:rPr/>
          <m:t>d</m:t>
        </m:r>
        <m:r>
          <m:rPr>
            <m:sty m:val="p"/>
          </m:rPr>
          <m:t>/</m:t>
        </m:r>
        <m:r>
          <m:rPr/>
          <m:t>h</m:t>
        </m:r>
        <m:r>
          <m:rPr>
            <m:sty m:val="p"/>
          </m:rPr>
          <m:t>=</m:t>
        </m:r>
        <m:r>
          <m:rPr/>
          <m:t>0.60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0.60</m:t>
        </m:r>
      </m:oMath>
      <w:r>
        <w:rPr>
          <w:rFonts w:hint="eastAsia" w:ascii="Times New Roman" w:hAnsi="Times New Roman" w:eastAsia="宋体" w:cs="Times New Roman"/>
          <w:b w:val="0"/>
          <w:i w:val="0"/>
          <w:sz w:val="21"/>
        </w:rPr>
        <w:t xml:space="preserve"> 位于设计域中部，主峰为1.707、7.7 Hz且位于坡顶；即便在这样一个全场峰值并不突出的工况中，坡面5.1 Hz仍出现强局部削弱和相位梯度。由此可知，是否存在明显局部复数修正不能只由全场峰值大小判断。图14负责识别最不利幅值组合，图17的代表场则说明中等峰值工况也可能包含对时程重构重要的局部幅相变化。</w:t>
      </w:r>
    </w:p>
    <w:p w14:paraId="4F123B88">
      <w:pPr>
        <w:spacing w:before="0" w:after="0"/>
        <w:ind w:firstLine="420"/>
        <w:jc w:val="both"/>
      </w:pPr>
      <w:r>
        <w:rPr>
          <w:rFonts w:hint="eastAsia" w:ascii="Times New Roman" w:hAnsi="Times New Roman" w:eastAsia="宋体" w:cs="Times New Roman"/>
          <w:b w:val="0"/>
          <w:i w:val="0"/>
          <w:sz w:val="21"/>
        </w:rPr>
        <w:t xml:space="preserve">64例的有符号统计为这一口径提供了直观参照：53例的 </w:t>
      </w:r>
      <m:oMath>
        <m:r>
          <m:rPr>
            <m:sty m:val="p"/>
          </m:rPr>
          <m:t>median(</m:t>
        </m:r>
        <m:sSub>
          <m:sSubPr/>
          <m:e>
            <m:r>
              <m:rPr>
                <m:sty m:val="p"/>
              </m:rPr>
              <m:t>Δ</m:t>
            </m:r>
          </m:e>
          <m:sub>
            <m:r>
              <m:rPr/>
              <m:t>A</m:t>
            </m:r>
          </m:sub>
        </m:sSub>
        <m:r>
          <m:rPr>
            <m:sty m:val="p"/>
          </m:rPr>
          <m:t>)</m:t>
        </m:r>
      </m:oMath>
      <w:r>
        <w:rPr>
          <w:rFonts w:hint="eastAsia" w:ascii="Times New Roman" w:hAnsi="Times New Roman" w:eastAsia="宋体" w:cs="Times New Roman"/>
          <w:b w:val="0"/>
          <w:i w:val="0"/>
          <w:sz w:val="21"/>
        </w:rPr>
        <w:t xml:space="preserve"> 为负，11例为正，说明在“全场典型位置”的意义下，覆盖层净削弱比净增强更常见；但其绝对值中位数仅0.0549，四分位区间为0.0380～0.0841。相位修正的中位数为10.16°、四分位区间3.75°～19.95°，群时延修正的中位数为25.14 ms、四分位区间11.03～43.50 ms。幅值净偏移较小而相位、时延仍有可观变化，再次说明“复频响接近”不能只凭幅值中位数判断。P013在三项统计中均达到全域最大，净幅值修正幅度为0.1260，相位和群时延修正分别为127.55°和105.10 ms；它也正是图14中软厚组合的一员，极端幅值与强相位重组在该工况中同时出现。</w:t>
      </w:r>
    </w:p>
    <w:p w14:paraId="45560A3B">
      <w:pPr>
        <w:spacing w:before="0" w:after="0"/>
        <w:ind w:firstLine="420"/>
        <w:jc w:val="both"/>
      </w:pPr>
      <w:r>
        <w:rPr>
          <w:rFonts w:hint="eastAsia" w:ascii="Times New Roman" w:hAnsi="Times New Roman" w:eastAsia="宋体" w:cs="Times New Roman"/>
          <w:b w:val="0"/>
          <w:i w:val="0"/>
          <w:sz w:val="21"/>
        </w:rPr>
        <w:t xml:space="preserve">按坡角汇总时，有符号净幅值中位数从15°组的 </w:t>
      </w:r>
      <m:oMath>
        <m:r>
          <m:rPr>
            <m:sty m:val="p"/>
          </m:rPr>
          <m:t>−</m:t>
        </m:r>
        <m:r>
          <m:rPr/>
          <m:t>0.0396</m:t>
        </m:r>
      </m:oMath>
      <w:r>
        <w:rPr>
          <w:rFonts w:hint="eastAsia" w:ascii="Times New Roman" w:hAnsi="Times New Roman" w:eastAsia="宋体" w:cs="Times New Roman"/>
          <w:b w:val="0"/>
          <w:i w:val="0"/>
          <w:sz w:val="21"/>
        </w:rPr>
        <w:t xml:space="preserve"> 依次变为30°组的 </w:t>
      </w:r>
      <m:oMath>
        <m:r>
          <m:rPr>
            <m:sty m:val="p"/>
          </m:rPr>
          <m:t>−</m:t>
        </m:r>
        <m:r>
          <m:rPr/>
          <m:t>0.0440</m:t>
        </m:r>
      </m:oMath>
      <w:r>
        <w:rPr>
          <w:rFonts w:hint="eastAsia" w:ascii="Times New Roman" w:hAnsi="Times New Roman" w:eastAsia="宋体" w:cs="Times New Roman"/>
          <w:b w:val="0"/>
          <w:i w:val="0"/>
          <w:sz w:val="21"/>
        </w:rPr>
        <w:t xml:space="preserve">、45°组的 </w:t>
      </w:r>
      <m:oMath>
        <m:r>
          <m:rPr>
            <m:sty m:val="p"/>
          </m:rPr>
          <m:t>−</m:t>
        </m:r>
        <m:r>
          <m:rPr/>
          <m:t>0.0473</m:t>
        </m:r>
      </m:oMath>
      <w:r>
        <w:rPr>
          <w:rFonts w:hint="eastAsia" w:ascii="Times New Roman" w:hAnsi="Times New Roman" w:eastAsia="宋体" w:cs="Times New Roman"/>
          <w:b w:val="0"/>
          <w:i w:val="0"/>
          <w:sz w:val="21"/>
        </w:rPr>
        <w:t xml:space="preserve"> 和60°组的 </w:t>
      </w:r>
      <m:oMath>
        <m:r>
          <m:rPr>
            <m:sty m:val="p"/>
          </m:rPr>
          <m:t>−</m:t>
        </m:r>
        <m:r>
          <m:rPr/>
          <m:t>0.0557</m:t>
        </m:r>
      </m:oMath>
      <w:r>
        <w:rPr>
          <w:rFonts w:hint="eastAsia" w:ascii="Times New Roman" w:hAnsi="Times New Roman" w:eastAsia="宋体" w:cs="Times New Roman"/>
          <w:b w:val="0"/>
          <w:i w:val="0"/>
          <w:sz w:val="21"/>
        </w:rPr>
        <w:t xml:space="preserve">，只呈温和增加；相位修正组中位数为11.14°、11.62°、9.31°和10.85°，群时延为28.66、22.74、22.96和26.03 ms，均未随坡角单调变化。坡角对绝对全场峰值上尾的作用清晰，却不是复数修正典型强度的首要排序变量。原因在于 </w:t>
      </w:r>
      <m:oMath>
        <m:sSub>
          <m:sSubPr/>
          <m:e>
            <m:r>
              <m:rPr/>
              <m:t>C</m:t>
            </m:r>
          </m:e>
          <m:sub>
            <m:r>
              <m:rPr/>
              <m:t>G</m:t>
            </m:r>
          </m:sub>
        </m:sSub>
      </m:oMath>
      <w:r>
        <w:rPr>
          <w:rFonts w:hint="eastAsia" w:ascii="Times New Roman" w:hAnsi="Times New Roman" w:eastAsia="宋体" w:cs="Times New Roman"/>
          <w:b w:val="0"/>
          <w:i w:val="0"/>
          <w:sz w:val="21"/>
        </w:rPr>
        <w:t xml:space="preserve"> 已用同坡角均质坡作配对基线，纯几何差异在相除时被部分消去，留下的主要是覆盖层相对该几何基线引入的变化及其耦合。</w:t>
      </w:r>
    </w:p>
    <w:p w14:paraId="79EA6C6E">
      <w:pPr>
        <w:spacing w:before="0" w:after="0"/>
        <w:ind w:firstLine="420"/>
        <w:jc w:val="both"/>
      </w:pPr>
      <w:r>
        <w:rPr>
          <w:rFonts w:hint="eastAsia" w:ascii="Times New Roman" w:hAnsi="Times New Roman" w:eastAsia="宋体" w:cs="Times New Roman"/>
          <w:b w:val="0"/>
          <w:i w:val="0"/>
          <w:sz w:val="21"/>
        </w:rPr>
        <w:t>P013与P061的差别也说明“绝对响应最大”和“相对修正最大”不是同一问题。P061在64例中取得最高全场峰值4.012，而P013的峰值为3.539；P013却在净幅值、相位和群时延三项修正统计中达到最大。前者含有60°坡本身较高的几何基线，后者比较成层坡与同角度均质坡之间的复数差异。工程上若关心最终地表输入，应读取绝对复频响；若关心覆盖层相对于裸岩坡改变了多少，则应读取复数修正。不能用P061的绝对峰值排序替代修正强度排序，也不能把P013的最大修正直接写成最大绝对放大。</w:t>
      </w:r>
    </w:p>
    <w:p w14:paraId="144A2CCA">
      <w:pPr>
        <w:spacing w:before="0" w:after="0"/>
        <w:ind w:firstLine="420"/>
        <w:jc w:val="both"/>
      </w:pPr>
      <w:r>
        <w:rPr>
          <w:rFonts w:hint="eastAsia" w:ascii="Times New Roman" w:hAnsi="Times New Roman" w:eastAsia="宋体" w:cs="Times New Roman"/>
          <w:b w:val="0"/>
          <w:i w:val="0"/>
          <w:sz w:val="21"/>
        </w:rPr>
        <w:t xml:space="preserve">有符号幅值的两个端点也表明取绝对值的必要性。P013的净修正为 </w:t>
      </w:r>
      <m:oMath>
        <m:r>
          <m:rPr>
            <m:sty m:val="p"/>
          </m:rPr>
          <m:t>+</m:t>
        </m:r>
        <m:r>
          <m:rPr/>
          <m:t>0.1260</m:t>
        </m:r>
      </m:oMath>
      <w:r>
        <w:rPr>
          <w:rFonts w:hint="eastAsia" w:ascii="Times New Roman" w:hAnsi="Times New Roman" w:eastAsia="宋体" w:cs="Times New Roman"/>
          <w:b w:val="0"/>
          <w:i w:val="0"/>
          <w:sz w:val="21"/>
        </w:rPr>
        <w:t xml:space="preserve">，而P037为 </w:t>
      </w:r>
      <m:oMath>
        <m:r>
          <m:rPr>
            <m:sty m:val="p"/>
          </m:rPr>
          <m:t>−</m:t>
        </m:r>
        <m:r>
          <m:rPr/>
          <m:t>0.1199</m:t>
        </m:r>
      </m:oMath>
      <w:r>
        <w:rPr>
          <w:rFonts w:hint="eastAsia" w:ascii="Times New Roman" w:hAnsi="Times New Roman" w:eastAsia="宋体" w:cs="Times New Roman"/>
          <w:b w:val="0"/>
          <w:i w:val="0"/>
          <w:sz w:val="21"/>
        </w:rPr>
        <w:t xml:space="preserve">，二者方向相反、绝对强度却接近；若直接对有符号中位数与 </w:t>
      </w:r>
      <m:oMath>
        <m:r>
          <m:rPr/>
          <m:t>χ</m:t>
        </m:r>
      </m:oMath>
      <w:r>
        <w:rPr>
          <w:rFonts w:hint="eastAsia" w:ascii="Times New Roman" w:hAnsi="Times New Roman" w:eastAsia="宋体" w:cs="Times New Roman"/>
          <w:b w:val="0"/>
          <w:i w:val="0"/>
          <w:sz w:val="21"/>
        </w:rPr>
        <w:t xml:space="preserve"> 求相关，增强和削弱会相互抵消，若只报告绝对值又会丢失方向。本文因此在代表场中保留 </w:t>
      </w:r>
      <m:oMath>
        <m:sSub>
          <m:sSubPr/>
          <m:e>
            <m:r>
              <m:rPr>
                <m:sty m:val="p"/>
              </m:rPr>
              <m:t>Δ</m:t>
            </m:r>
          </m:e>
          <m:sub>
            <m:r>
              <m:rPr/>
              <m:t>A</m:t>
            </m:r>
          </m:sub>
        </m:sSub>
      </m:oMath>
      <w:r>
        <w:rPr>
          <w:rFonts w:hint="eastAsia" w:ascii="Times New Roman" w:hAnsi="Times New Roman" w:eastAsia="宋体" w:cs="Times New Roman"/>
          <w:b w:val="0"/>
          <w:i w:val="0"/>
          <w:sz w:val="21"/>
        </w:rPr>
        <w:t xml:space="preserve"> 的正负颜色，在跨工况统计中使用净修正幅度，并在文字中另行说明53例净削弱、11例净增强。三种信息分别回答修正发生在哪里、整体偏移有多强、偏移方向是否一致，不能由其中任一项完全替代。</w:t>
      </w:r>
    </w:p>
    <w:p w14:paraId="51C7B1C6">
      <w:pPr>
        <w:spacing w:before="0" w:after="0"/>
        <w:ind w:firstLine="420"/>
        <w:jc w:val="both"/>
      </w:pPr>
      <w:r>
        <w:rPr>
          <w:rFonts w:hint="eastAsia" w:ascii="Times New Roman" w:hAnsi="Times New Roman" w:eastAsia="宋体" w:cs="Times New Roman"/>
          <w:b w:val="0"/>
          <w:i w:val="0"/>
          <w:sz w:val="21"/>
        </w:rPr>
        <w:t>两个端点还处在不同的控制状态。P013属于15°、最厚、最软组合，其约4 Hz下平台峰相对于H001表现为净增强；P037属于45°、</w:t>
      </w:r>
      <m:oMath>
        <m:r>
          <m:rPr/>
          <m:t>d</m:t>
        </m:r>
        <m:r>
          <m:rPr>
            <m:sty m:val="p"/>
          </m:rPr>
          <m:t>/</m:t>
        </m:r>
        <m:r>
          <m:rPr/>
          <m:t>h</m:t>
        </m:r>
        <m:r>
          <m:rPr>
            <m:sty m:val="p"/>
          </m:rPr>
          <m:t>=</m:t>
        </m:r>
        <m:r>
          <m:rPr/>
          <m:t>0.60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虽然全场峰值达到2.148，其全场典型网格相对于H003却以净削弱为主。全场峰值关注少数最强点，有符号中位修正关注多数网格的方向，所以“峰值增大”可以与“典型位置净削弱”同时发生。正是这种局部增强和广域削弱并存，使幅值净修正与特征频率的排序比相位、时延更离散。</w:t>
      </w:r>
    </w:p>
    <w:p w14:paraId="287D3020">
      <w:pPr>
        <w:spacing w:before="0" w:after="0"/>
        <w:ind w:firstLine="420"/>
        <w:jc w:val="both"/>
      </w:pPr>
      <w:r>
        <w:rPr>
          <w:rFonts w:hint="eastAsia" w:ascii="Times New Roman" w:hAnsi="Times New Roman" w:eastAsia="宋体" w:cs="Times New Roman"/>
          <w:b w:val="0"/>
          <w:i w:val="0"/>
          <w:sz w:val="21"/>
        </w:rPr>
        <w:t xml:space="preserve">64个成层工况中，净幅值修正幅度与 </w:t>
      </w:r>
      <m:oMath>
        <m:r>
          <m:rPr/>
          <m:t>χ</m:t>
        </m:r>
      </m:oMath>
      <w:r>
        <w:rPr>
          <w:rFonts w:hint="eastAsia" w:ascii="Times New Roman" w:hAnsi="Times New Roman" w:eastAsia="宋体" w:cs="Times New Roman"/>
          <w:b w:val="0"/>
          <w:i w:val="0"/>
          <w:sz w:val="21"/>
        </w:rPr>
        <w:t xml:space="preserve"> 的 Spearman 相关系数为 </w:t>
      </w:r>
      <m:oMath>
        <m:r>
          <m:rPr>
            <m:sty m:val="p"/>
          </m:rPr>
          <m:t>−</m:t>
        </m:r>
        <m:r>
          <m:rPr/>
          <m:t>0.3005</m:t>
        </m:r>
      </m:oMath>
      <w:r>
        <w:rPr>
          <w:rFonts w:hint="eastAsia" w:ascii="Times New Roman" w:hAnsi="Times New Roman" w:eastAsia="宋体" w:cs="Times New Roman"/>
          <w:b w:val="0"/>
          <w:i w:val="0"/>
          <w:sz w:val="21"/>
        </w:rPr>
        <w:t xml:space="preserve">，只表现为弱负相关；中位绝对相位和群时延修正与 </w:t>
      </w:r>
      <m:oMath>
        <m:r>
          <m:rPr/>
          <m:t>χ</m:t>
        </m:r>
      </m:oMath>
      <w:r>
        <w:rPr>
          <w:rFonts w:hint="eastAsia" w:ascii="Times New Roman" w:hAnsi="Times New Roman" w:eastAsia="宋体" w:cs="Times New Roman"/>
          <w:b w:val="0"/>
          <w:i w:val="0"/>
          <w:sz w:val="21"/>
        </w:rPr>
        <w:t xml:space="preserve"> 的相关系数分别为 </w:t>
      </w:r>
      <m:oMath>
        <m:r>
          <m:rPr>
            <m:sty m:val="p"/>
          </m:rPr>
          <m:t>−</m:t>
        </m:r>
        <m:r>
          <m:rPr/>
          <m:t>0.9403</m:t>
        </m:r>
      </m:oMath>
      <w:r>
        <w:rPr>
          <w:rFonts w:hint="eastAsia" w:ascii="Times New Roman" w:hAnsi="Times New Roman" w:eastAsia="宋体" w:cs="Times New Roman"/>
          <w:b w:val="0"/>
          <w:i w:val="0"/>
          <w:sz w:val="21"/>
        </w:rPr>
        <w:t xml:space="preserve"> 和 </w:t>
      </w:r>
      <m:oMath>
        <m:r>
          <m:rPr>
            <m:sty m:val="p"/>
          </m:rPr>
          <m:t>−</m:t>
        </m:r>
        <m:r>
          <m:rPr/>
          <m:t>0.9223</m:t>
        </m:r>
      </m:oMath>
      <w:r>
        <w:rPr>
          <w:rFonts w:hint="eastAsia" w:ascii="Times New Roman" w:hAnsi="Times New Roman" w:eastAsia="宋体" w:cs="Times New Roman"/>
          <w:b w:val="0"/>
          <w:i w:val="0"/>
          <w:sz w:val="21"/>
        </w:rPr>
        <w:t xml:space="preserve">，呈稳定强负相关。按相同 </w:t>
      </w:r>
      <m:oMath>
        <m:r>
          <m:rPr/>
          <m:t>χ</m:t>
        </m:r>
      </m:oMath>
      <w:r>
        <w:rPr>
          <w:rFonts w:hint="eastAsia" w:ascii="Times New Roman" w:hAnsi="Times New Roman" w:eastAsia="宋体" w:cs="Times New Roman"/>
          <w:b w:val="0"/>
          <w:i w:val="0"/>
          <w:sz w:val="21"/>
        </w:rPr>
        <w:t xml:space="preserve"> 分组，</w:t>
      </w:r>
      <m:oMath>
        <m:r>
          <m:rPr/>
          <m:t>χ</m:t>
        </m:r>
      </m:oMath>
      <w:r>
        <w:rPr>
          <w:rFonts w:hint="eastAsia" w:ascii="Times New Roman" w:hAnsi="Times New Roman" w:eastAsia="宋体" w:cs="Times New Roman"/>
          <w:b w:val="0"/>
          <w:i w:val="0"/>
          <w:sz w:val="21"/>
        </w:rPr>
        <w:t xml:space="preserve"> 从0.0536增至0.9375时，净幅值修正幅度的组中位数由0.0993降至0.0160，相位修正由33.97°降至0.60°，群时延修正由91.62 ms降至1.76 ms。三个通道都随覆盖层特征频率升高而减弱，但幅值点云离散大、局部反转多，</w:t>
      </w:r>
      <m:oMath>
        <m:r>
          <m:rPr/>
          <m:t>χ</m:t>
        </m:r>
      </m:oMath>
      <w:r>
        <w:rPr>
          <w:rFonts w:hint="eastAsia" w:ascii="Times New Roman" w:hAnsi="Times New Roman" w:eastAsia="宋体" w:cs="Times New Roman"/>
          <w:b w:val="0"/>
          <w:i w:val="0"/>
          <w:sz w:val="21"/>
        </w:rPr>
        <w:t xml:space="preserve"> 对其净效应的排序能力明显弱于相位和时延。</w:t>
      </w:r>
    </w:p>
    <w:p w14:paraId="48B6D200">
      <w:pPr>
        <w:spacing w:before="0" w:after="0"/>
        <w:ind w:firstLine="420"/>
        <w:jc w:val="both"/>
      </w:pPr>
      <w:r>
        <w:rPr>
          <w:rFonts w:hint="eastAsia" w:ascii="Times New Roman" w:hAnsi="Times New Roman" w:eastAsia="宋体" w:cs="Times New Roman"/>
          <w:b w:val="0"/>
          <w:i w:val="0"/>
          <w:sz w:val="21"/>
        </w:rPr>
        <w:t>相位与群时延之间也存在很强的一致排序，两项跨64例的Spearman相关系数为0.9834。相位修正衡量给定频点上的相位偏离，群时延修正反映展开相位随频率变化的局部斜率，二者并非重复指标；但当覆盖层使相位随频率积累得更快时，绝对相位偏离和时延偏离通常会同时增大。其Pearson相关系数为0.7935，低于秩相关，说明总体大小次序稳定而数值比例并不恒定。因而，图17(d)、(e)共同支持的是相位积累与特征频率尺度显著关联，而不是相位角与群时延之间存在固定线性换算。</w:t>
      </w:r>
    </w:p>
    <w:p w14:paraId="4EE9438B">
      <w:pPr>
        <w:spacing w:before="0" w:after="0"/>
        <w:ind w:firstLine="420"/>
        <w:jc w:val="both"/>
      </w:pPr>
      <w:r>
        <w:rPr>
          <w:rFonts w:hint="eastAsia" w:ascii="Times New Roman" w:hAnsi="Times New Roman" w:eastAsia="宋体" w:cs="Times New Roman"/>
          <w:b w:val="0"/>
          <w:i w:val="0"/>
          <w:sz w:val="21"/>
        </w:rPr>
        <w:t xml:space="preserve">有符号净幅值与相位、群时延的Spearman相关系数分别仅为 </w:t>
      </w:r>
      <m:oMath>
        <m:r>
          <m:rPr>
            <m:sty m:val="p"/>
          </m:rPr>
          <m:t>−</m:t>
        </m:r>
        <m:r>
          <m:rPr/>
          <m:t>0.0433</m:t>
        </m:r>
      </m:oMath>
      <w:r>
        <w:rPr>
          <w:rFonts w:hint="eastAsia" w:ascii="Times New Roman" w:hAnsi="Times New Roman" w:eastAsia="宋体" w:cs="Times New Roman"/>
          <w:b w:val="0"/>
          <w:i w:val="0"/>
          <w:sz w:val="21"/>
        </w:rPr>
        <w:t xml:space="preserve"> 和 </w:t>
      </w:r>
      <m:oMath>
        <m:r>
          <m:rPr>
            <m:sty m:val="p"/>
          </m:rPr>
          <m:t>−</m:t>
        </m:r>
        <m:r>
          <m:rPr/>
          <m:t>0.0625</m:t>
        </m:r>
      </m:oMath>
      <w:r>
        <w:rPr>
          <w:rFonts w:hint="eastAsia" w:ascii="Times New Roman" w:hAnsi="Times New Roman" w:eastAsia="宋体" w:cs="Times New Roman"/>
          <w:b w:val="0"/>
          <w:i w:val="0"/>
          <w:sz w:val="21"/>
        </w:rPr>
        <w:t xml:space="preserve">，接近无秩相关。这个结果补充了幅值与 </w:t>
      </w:r>
      <m:oMath>
        <m:r>
          <m:rPr/>
          <m:t>χ</m:t>
        </m:r>
      </m:oMath>
      <w:r>
        <w:rPr>
          <w:rFonts w:hint="eastAsia" w:ascii="Times New Roman" w:hAnsi="Times New Roman" w:eastAsia="宋体" w:cs="Times New Roman"/>
          <w:b w:val="0"/>
          <w:i w:val="0"/>
          <w:sz w:val="21"/>
        </w:rPr>
        <w:t xml:space="preserve"> 的弱相关：相位扰动很强的工况，净幅值可能增强也可能削弱，方向取决于各位置的相长和相消分布；相位扰动较弱的工况，也不保证每个局部幅值都接近均质基线。因此，三个复数通道不应被压缩成一个共同修正系数。幅值用于描述响应强弱，相位和时延用于描述传播与波形时序，它们共享同一复数频响来源，却保留不同的参数信息。</w:t>
      </w:r>
    </w:p>
    <w:p w14:paraId="6C455A42">
      <w:pPr>
        <w:spacing w:before="0" w:after="0"/>
        <w:ind w:firstLine="420"/>
        <w:jc w:val="both"/>
      </w:pPr>
      <w:r>
        <w:rPr>
          <w:rFonts w:hint="eastAsia" w:ascii="Times New Roman" w:hAnsi="Times New Roman" w:eastAsia="宋体" w:cs="Times New Roman"/>
          <w:b w:val="0"/>
          <w:i w:val="0"/>
          <w:sz w:val="21"/>
        </w:rPr>
        <w:t xml:space="preserve">按坡角分别计算后，这种差别仍然存在。15°、30°、45°和60°组内，净幅值修正幅度与 </w:t>
      </w:r>
      <m:oMath>
        <m:r>
          <m:rPr/>
          <m:t>χ</m:t>
        </m:r>
      </m:oMath>
      <w:r>
        <w:rPr>
          <w:rFonts w:hint="eastAsia" w:ascii="Times New Roman" w:hAnsi="Times New Roman" w:eastAsia="宋体" w:cs="Times New Roman"/>
          <w:b w:val="0"/>
          <w:i w:val="0"/>
          <w:sz w:val="21"/>
        </w:rPr>
        <w:t xml:space="preserve"> 的相关系数依次为 </w:t>
      </w:r>
      <m:oMath>
        <m:r>
          <m:rPr>
            <m:sty m:val="p"/>
          </m:rPr>
          <m:t>−</m:t>
        </m:r>
        <m:r>
          <m:rPr/>
          <m:t>0.424</m:t>
        </m:r>
      </m:oMath>
      <w:r>
        <w:rPr>
          <w:rFonts w:hint="eastAsia" w:ascii="Times New Roman" w:hAnsi="Times New Roman" w:eastAsia="宋体" w:cs="Times New Roman"/>
          <w:b w:val="0"/>
          <w:i w:val="0"/>
          <w:sz w:val="21"/>
        </w:rPr>
        <w:t>、</w:t>
      </w:r>
      <m:oMath>
        <m:r>
          <m:rPr>
            <m:sty m:val="p"/>
          </m:rPr>
          <m:t>−</m:t>
        </m:r>
        <m:r>
          <m:rPr/>
          <m:t>0.313</m:t>
        </m:r>
      </m:oMath>
      <w:r>
        <w:rPr>
          <w:rFonts w:hint="eastAsia" w:ascii="Times New Roman" w:hAnsi="Times New Roman" w:eastAsia="宋体" w:cs="Times New Roman"/>
          <w:b w:val="0"/>
          <w:i w:val="0"/>
          <w:sz w:val="21"/>
        </w:rPr>
        <w:t>、</w:t>
      </w:r>
      <m:oMath>
        <m:r>
          <m:rPr>
            <m:sty m:val="p"/>
          </m:rPr>
          <m:t>−</m:t>
        </m:r>
        <m:r>
          <m:rPr/>
          <m:t>0.196</m:t>
        </m:r>
      </m:oMath>
      <w:r>
        <w:rPr>
          <w:rFonts w:hint="eastAsia" w:ascii="Times New Roman" w:hAnsi="Times New Roman" w:eastAsia="宋体" w:cs="Times New Roman"/>
          <w:b w:val="0"/>
          <w:i w:val="0"/>
          <w:sz w:val="21"/>
        </w:rPr>
        <w:t xml:space="preserve"> 和 </w:t>
      </w:r>
      <m:oMath>
        <m:r>
          <m:rPr>
            <m:sty m:val="p"/>
          </m:rPr>
          <m:t>−</m:t>
        </m:r>
        <m:r>
          <m:rPr/>
          <m:t>0.187</m:t>
        </m:r>
      </m:oMath>
      <w:r>
        <w:rPr>
          <w:rFonts w:hint="eastAsia" w:ascii="Times New Roman" w:hAnsi="Times New Roman" w:eastAsia="宋体" w:cs="Times New Roman"/>
          <w:b w:val="0"/>
          <w:i w:val="0"/>
          <w:sz w:val="21"/>
        </w:rPr>
        <w:t xml:space="preserve">，且随坡角增大总体变弱；相位修正的组内相关系数位于 </w:t>
      </w:r>
      <m:oMath>
        <m:r>
          <m:rPr>
            <m:sty m:val="p"/>
          </m:rPr>
          <m:t>−</m:t>
        </m:r>
        <m:r>
          <m:rPr/>
          <m:t>0.929</m:t>
        </m:r>
      </m:oMath>
      <w:r>
        <w:rPr>
          <w:rFonts w:hint="eastAsia" w:ascii="Times New Roman" w:hAnsi="Times New Roman" w:eastAsia="宋体" w:cs="Times New Roman"/>
          <w:b w:val="0"/>
          <w:i w:val="0"/>
          <w:sz w:val="21"/>
        </w:rPr>
        <w:t>～</w:t>
      </w:r>
      <m:oMath>
        <m:r>
          <m:rPr>
            <m:sty m:val="p"/>
          </m:rPr>
          <m:t>−</m:t>
        </m:r>
        <m:r>
          <m:rPr/>
          <m:t>0.970</m:t>
        </m:r>
      </m:oMath>
      <w:r>
        <w:rPr>
          <w:rFonts w:hint="eastAsia" w:ascii="Times New Roman" w:hAnsi="Times New Roman" w:eastAsia="宋体" w:cs="Times New Roman"/>
          <w:b w:val="0"/>
          <w:i w:val="0"/>
          <w:sz w:val="21"/>
        </w:rPr>
        <w:t xml:space="preserve">，群时延位于 </w:t>
      </w:r>
      <m:oMath>
        <m:r>
          <m:rPr>
            <m:sty m:val="p"/>
          </m:rPr>
          <m:t>−</m:t>
        </m:r>
        <m:r>
          <m:rPr/>
          <m:t>0.904</m:t>
        </m:r>
      </m:oMath>
      <w:r>
        <w:rPr>
          <w:rFonts w:hint="eastAsia" w:ascii="Times New Roman" w:hAnsi="Times New Roman" w:eastAsia="宋体" w:cs="Times New Roman"/>
          <w:b w:val="0"/>
          <w:i w:val="0"/>
          <w:sz w:val="21"/>
        </w:rPr>
        <w:t>～</w:t>
      </w:r>
      <m:oMath>
        <m:r>
          <m:rPr>
            <m:sty m:val="p"/>
          </m:rPr>
          <m:t>−</m:t>
        </m:r>
        <m:r>
          <m:rPr/>
          <m:t>0.965</m:t>
        </m:r>
      </m:oMath>
      <w:r>
        <w:rPr>
          <w:rFonts w:hint="eastAsia" w:ascii="Times New Roman" w:hAnsi="Times New Roman" w:eastAsia="宋体" w:cs="Times New Roman"/>
          <w:b w:val="0"/>
          <w:i w:val="0"/>
          <w:sz w:val="21"/>
        </w:rPr>
        <w:t xml:space="preserve">，四个坡角下均保持强负相关。因此，相位—时延关系不是由某一个坡角组偶然拉出来的总体趋势。与此同时，相同 </w:t>
      </w:r>
      <m:oMath>
        <m:r>
          <m:rPr/>
          <m:t>χ</m:t>
        </m:r>
      </m:oMath>
      <w:r>
        <w:rPr>
          <w:rFonts w:hint="eastAsia" w:ascii="Times New Roman" w:hAnsi="Times New Roman" w:eastAsia="宋体" w:cs="Times New Roman"/>
          <w:b w:val="0"/>
          <w:i w:val="0"/>
          <w:sz w:val="21"/>
        </w:rPr>
        <w:t xml:space="preserve"> 的组中位数并非逐级严格下降，例如 </w:t>
      </w:r>
      <m:oMath>
        <m:r>
          <m:rPr/>
          <m:t>χ</m:t>
        </m:r>
        <m:r>
          <m:rPr>
            <m:sty m:val="p"/>
          </m:rPr>
          <m:t>=</m:t>
        </m:r>
        <m:r>
          <m:rPr/>
          <m:t>0.1071</m:t>
        </m:r>
      </m:oMath>
      <w:r>
        <w:rPr>
          <w:rFonts w:hint="eastAsia" w:ascii="Times New Roman" w:hAnsi="Times New Roman" w:eastAsia="宋体" w:cs="Times New Roman"/>
          <w:b w:val="0"/>
          <w:i w:val="0"/>
          <w:sz w:val="21"/>
        </w:rPr>
        <w:t>、0.1125和0.1250时相位修正中位数依次为15.71°、19.64°和28.55°。Spearman系数描述的是跨64例的总体排序，不应被误读为一条没有反转、没有坡角离散的确定曲线。</w:t>
      </w:r>
    </w:p>
    <w:p w14:paraId="270F2BFD">
      <w:pPr>
        <w:spacing w:before="0" w:after="0"/>
        <w:ind w:firstLine="420"/>
        <w:jc w:val="both"/>
      </w:pPr>
      <w:r>
        <w:rPr>
          <w:rFonts w:hint="eastAsia" w:ascii="Times New Roman" w:hAnsi="Times New Roman" w:eastAsia="宋体" w:cs="Times New Roman"/>
          <w:b w:val="0"/>
          <w:i w:val="0"/>
          <w:sz w:val="21"/>
        </w:rPr>
        <w:t xml:space="preserve">同一 </w:t>
      </w:r>
      <m:oMath>
        <m:r>
          <m:rPr/>
          <m:t>χ</m:t>
        </m:r>
      </m:oMath>
      <w:r>
        <w:rPr>
          <w:rFonts w:hint="eastAsia" w:ascii="Times New Roman" w:hAnsi="Times New Roman" w:eastAsia="宋体" w:cs="Times New Roman"/>
          <w:b w:val="0"/>
          <w:i w:val="0"/>
          <w:sz w:val="21"/>
        </w:rPr>
        <w:t xml:space="preserve"> 内的全距显示了坡角与具体参数组合留下的差异。在最低的 </w:t>
      </w:r>
      <m:oMath>
        <m:r>
          <m:rPr/>
          <m:t>χ</m:t>
        </m:r>
        <m:r>
          <m:rPr>
            <m:sty m:val="p"/>
          </m:rPr>
          <m:t>=</m:t>
        </m:r>
        <m:r>
          <m:rPr/>
          <m:t>0.0536</m:t>
        </m:r>
      </m:oMath>
      <w:r>
        <w:rPr>
          <w:rFonts w:hint="eastAsia" w:ascii="Times New Roman" w:hAnsi="Times New Roman" w:eastAsia="宋体" w:cs="Times New Roman"/>
          <w:b w:val="0"/>
          <w:i w:val="0"/>
          <w:sz w:val="21"/>
        </w:rPr>
        <w:t xml:space="preserve"> 组，相位修正为27.71°～127.55°，群时延为84.44～105.10 ms；到最高的 </w:t>
      </w:r>
      <m:oMath>
        <m:r>
          <m:rPr/>
          <m:t>χ</m:t>
        </m:r>
        <m:r>
          <m:rPr>
            <m:sty m:val="p"/>
          </m:rPr>
          <m:t>=</m:t>
        </m:r>
        <m:r>
          <m:rPr/>
          <m:t>0.9375</m:t>
        </m:r>
      </m:oMath>
      <w:r>
        <w:rPr>
          <w:rFonts w:hint="eastAsia" w:ascii="Times New Roman" w:hAnsi="Times New Roman" w:eastAsia="宋体" w:cs="Times New Roman"/>
          <w:b w:val="0"/>
          <w:i w:val="0"/>
          <w:sz w:val="21"/>
        </w:rPr>
        <w:t xml:space="preserve"> 组，相应范围收缩为0.54°～0.69°和1.39～2.46 ms。低 </w:t>
      </w:r>
      <m:oMath>
        <m:r>
          <m:rPr/>
          <m:t>χ</m:t>
        </m:r>
      </m:oMath>
      <w:r>
        <w:rPr>
          <w:rFonts w:hint="eastAsia" w:ascii="Times New Roman" w:hAnsi="Times New Roman" w:eastAsia="宋体" w:cs="Times New Roman"/>
          <w:b w:val="0"/>
          <w:i w:val="0"/>
          <w:sz w:val="21"/>
        </w:rPr>
        <w:t xml:space="preserve"> 端不仅修正中位数更大，坡角间离散也更明显；高 </w:t>
      </w:r>
      <m:oMath>
        <m:r>
          <m:rPr/>
          <m:t>χ</m:t>
        </m:r>
      </m:oMath>
      <w:r>
        <w:rPr>
          <w:rFonts w:hint="eastAsia" w:ascii="Times New Roman" w:hAnsi="Times New Roman" w:eastAsia="宋体" w:cs="Times New Roman"/>
          <w:b w:val="0"/>
          <w:i w:val="0"/>
          <w:sz w:val="21"/>
        </w:rPr>
        <w:t xml:space="preserve"> 端则四种坡角都接近均质基线。这个现象支持把 </w:t>
      </w:r>
      <m:oMath>
        <m:r>
          <m:rPr/>
          <m:t>χ</m:t>
        </m:r>
      </m:oMath>
      <w:r>
        <w:rPr>
          <w:rFonts w:hint="eastAsia" w:ascii="Times New Roman" w:hAnsi="Times New Roman" w:eastAsia="宋体" w:cs="Times New Roman"/>
          <w:b w:val="0"/>
          <w:i w:val="0"/>
          <w:sz w:val="21"/>
        </w:rPr>
        <w:t xml:space="preserve"> 用作“修正强弱尺度”，同时也指出软厚覆盖层下坡角耦合更不能忽略。图17的黑色中位线表达总体尺度，彩色散点和同组全距保留了不能被一维尺度解释的剩余结构。</w:t>
      </w:r>
    </w:p>
    <w:p w14:paraId="79D07E30">
      <w:pPr>
        <w:spacing w:before="0" w:after="0"/>
        <w:ind w:firstLine="420"/>
        <w:jc w:val="both"/>
      </w:pPr>
      <w:r>
        <w:rPr>
          <w:rFonts w:hint="eastAsia" w:ascii="Times New Roman" w:hAnsi="Times New Roman" w:eastAsia="宋体" w:cs="Times New Roman"/>
          <w:b w:val="0"/>
          <w:i w:val="0"/>
          <w:sz w:val="21"/>
        </w:rPr>
        <w:t xml:space="preserve">图中的15个不同 </w:t>
      </w:r>
      <m:oMath>
        <m:r>
          <m:rPr/>
          <m:t>χ</m:t>
        </m:r>
      </m:oMath>
      <w:r>
        <w:rPr>
          <w:rFonts w:hint="eastAsia" w:ascii="Times New Roman" w:hAnsi="Times New Roman" w:eastAsia="宋体" w:cs="Times New Roman"/>
          <w:b w:val="0"/>
          <w:i w:val="0"/>
          <w:sz w:val="21"/>
        </w:rPr>
        <w:t xml:space="preserve"> 水平通常各含4个坡角工况，只有 </w:t>
      </w:r>
      <m:oMath>
        <m:r>
          <m:rPr/>
          <m:t>χ</m:t>
        </m:r>
        <m:r>
          <m:rPr>
            <m:sty m:val="p"/>
          </m:rPr>
          <m:t>=</m:t>
        </m:r>
        <m:r>
          <m:rPr/>
          <m:t>0.1875</m:t>
        </m:r>
      </m:oMath>
      <w:r>
        <w:rPr>
          <w:rFonts w:hint="eastAsia" w:ascii="Times New Roman" w:hAnsi="Times New Roman" w:eastAsia="宋体" w:cs="Times New Roman"/>
          <w:b w:val="0"/>
          <w:i w:val="0"/>
          <w:sz w:val="21"/>
        </w:rPr>
        <w:t xml:space="preserve"> 同时由两组厚度—波速比组合构成，共含8例。因此，黑色组中位线不是等间距参数扫描的连续响应曲线，各横坐标的物理组成也不完全相同。最低和最高 </w:t>
      </w:r>
      <m:oMath>
        <m:r>
          <m:rPr/>
          <m:t>χ</m:t>
        </m:r>
      </m:oMath>
      <w:r>
        <w:rPr>
          <w:rFonts w:hint="eastAsia" w:ascii="Times New Roman" w:hAnsi="Times New Roman" w:eastAsia="宋体" w:cs="Times New Roman"/>
          <w:b w:val="0"/>
          <w:i w:val="0"/>
          <w:sz w:val="21"/>
        </w:rPr>
        <w:t xml:space="preserve"> 组的全距主要反映坡角差异，而0.1875组还同时包含不同阻抗反差与厚度组合的差异。读取黑线时应看整体数量级和排序，不宜把相邻组中位数差直接解释为对 </w:t>
      </w:r>
      <m:oMath>
        <m:r>
          <m:rPr/>
          <m:t>χ</m:t>
        </m:r>
      </m:oMath>
      <w:r>
        <w:rPr>
          <w:rFonts w:hint="eastAsia" w:ascii="Times New Roman" w:hAnsi="Times New Roman" w:eastAsia="宋体" w:cs="Times New Roman"/>
          <w:b w:val="0"/>
          <w:i w:val="0"/>
          <w:sz w:val="21"/>
        </w:rPr>
        <w:t xml:space="preserve"> 的局部导数。</w:t>
      </w:r>
    </w:p>
    <w:p w14:paraId="106B83E5">
      <w:pPr>
        <w:spacing w:before="0" w:after="0"/>
        <w:ind w:firstLine="420"/>
        <w:jc w:val="both"/>
      </w:pPr>
      <m:oMath>
        <m:r>
          <m:rPr/>
          <m:t>χ</m:t>
        </m:r>
        <m:r>
          <m:rPr>
            <m:sty m:val="p"/>
          </m:rPr>
          <m:t>=</m:t>
        </m:r>
        <m:sSub>
          <m:sSubPr/>
          <m:e>
            <m:r>
              <m:rPr/>
              <m:t>r</m:t>
            </m:r>
          </m:e>
          <m:sub>
            <m:r>
              <m:rPr/>
              <m:t>v</m:t>
            </m:r>
          </m:sub>
        </m:sSub>
        <m:r>
          <m:rPr>
            <m:sty m:val="p"/>
          </m:rPr>
          <m:t>/[</m:t>
        </m:r>
        <m:r>
          <m:rPr/>
          <m:t>4</m:t>
        </m:r>
        <m:r>
          <m:rPr>
            <m:sty m:val="p"/>
          </m:rPr>
          <m:t>(</m:t>
        </m:r>
        <m:r>
          <m:rPr/>
          <m:t>d</m:t>
        </m:r>
        <m:r>
          <m:rPr>
            <m:sty m:val="p"/>
          </m:rPr>
          <m:t>/</m:t>
        </m:r>
        <m:r>
          <m:rPr/>
          <m:t>h</m:t>
        </m:r>
        <m:r>
          <m:rPr>
            <m:sty m:val="p"/>
          </m:rPr>
          <m:t>)]</m:t>
        </m:r>
      </m:oMath>
      <w:r>
        <w:rPr>
          <w:rFonts w:hint="eastAsia" w:ascii="Times New Roman" w:hAnsi="Times New Roman" w:eastAsia="宋体" w:cs="Times New Roman"/>
          <w:b w:val="0"/>
          <w:i w:val="0"/>
          <w:sz w:val="21"/>
        </w:rPr>
        <w:t xml:space="preserve"> 把厚度与波速比压缩为无量纲频率比：在其他量不变时，增厚覆盖层使 </w:t>
      </w:r>
      <m:oMath>
        <m:r>
          <m:rPr/>
          <m:t>χ</m:t>
        </m:r>
      </m:oMath>
      <w:r>
        <w:rPr>
          <w:rFonts w:hint="eastAsia" w:ascii="Times New Roman" w:hAnsi="Times New Roman" w:eastAsia="宋体" w:cs="Times New Roman"/>
          <w:b w:val="0"/>
          <w:i w:val="0"/>
          <w:sz w:val="21"/>
        </w:rPr>
        <w:t xml:space="preserve"> 反比降低，提高波速比则使其正比升高。对相位和群时延，两个参数沿等 </w:t>
      </w:r>
      <m:oMath>
        <m:r>
          <m:rPr/>
          <m:t>χ</m:t>
        </m:r>
      </m:oMath>
      <w:r>
        <w:rPr>
          <w:rFonts w:hint="eastAsia" w:ascii="Times New Roman" w:hAnsi="Times New Roman" w:eastAsia="宋体" w:cs="Times New Roman"/>
          <w:b w:val="0"/>
          <w:i w:val="0"/>
          <w:sz w:val="21"/>
        </w:rPr>
        <w:t xml:space="preserve"> 方向的组合能够较好归并总体修正强度；对幅值，等 </w:t>
      </w:r>
      <m:oMath>
        <m:r>
          <m:rPr/>
          <m:t>χ</m:t>
        </m:r>
      </m:oMath>
      <w:r>
        <w:rPr>
          <w:rFonts w:hint="eastAsia" w:ascii="Times New Roman" w:hAnsi="Times New Roman" w:eastAsia="宋体" w:cs="Times New Roman"/>
          <w:b w:val="0"/>
          <w:i w:val="0"/>
          <w:sz w:val="21"/>
        </w:rPr>
        <w:t xml:space="preserve"> 组合仍可能因波阻抗反差、坡角和峰位不同而给出相反净符号。这种差异说明特征频率尺度抓住了相位积累的主要次序，却没有消除材料界面反射和二维散射造成的幅值重分配。</w:t>
      </w:r>
    </w:p>
    <w:p w14:paraId="4C9FD2E4">
      <w:pPr>
        <w:spacing w:before="0" w:after="0"/>
        <w:ind w:firstLine="420"/>
        <w:jc w:val="both"/>
      </w:pPr>
      <w:r>
        <w:rPr>
          <w:rFonts w:hint="eastAsia" w:ascii="Times New Roman" w:hAnsi="Times New Roman" w:eastAsia="宋体" w:cs="Times New Roman"/>
          <w:b w:val="0"/>
          <w:i w:val="0"/>
          <w:sz w:val="21"/>
        </w:rPr>
        <w:t>这里的“相位—时延通道更稳定”不能简化为“覆盖层不影响幅值”。图11和图14已显示软厚覆盖层能使峰值超过4，图17(a)也存在幅值比降至约0.197的局部区域。更准确的表述是：</w:t>
      </w:r>
      <m:oMath>
        <m:r>
          <m:rPr/>
          <m:t>χ</m:t>
        </m:r>
      </m:oMath>
      <w:r>
        <w:rPr>
          <w:rFonts w:hint="eastAsia" w:ascii="Times New Roman" w:hAnsi="Times New Roman" w:eastAsia="宋体" w:cs="Times New Roman"/>
          <w:b w:val="0"/>
          <w:i w:val="0"/>
          <w:sz w:val="21"/>
        </w:rPr>
        <w:t xml:space="preserve"> 对覆盖层引入的典型相位和时延扰动强弱具有较好的排序能力，却不能单独决定幅值修正在全地表上是净增强还是净削弱。幅值受局部相长、相消干涉和峰位迁移影响，正负效应容易抵消；相位积累与传播尺度的关系更具一致性。只报告幅值峰值会漏掉这一稳定关系，也无法为后续同一线性条件和适用频带内的不同输入提供完整复数乘子。</w:t>
      </w:r>
    </w:p>
    <w:p w14:paraId="5BFE6BEC">
      <w:pPr>
        <w:spacing w:before="0" w:after="0"/>
        <w:ind w:firstLine="420"/>
        <w:jc w:val="both"/>
      </w:pPr>
      <w:r>
        <w:rPr>
          <w:rFonts w:hint="eastAsia" w:ascii="Times New Roman" w:hAnsi="Times New Roman" w:eastAsia="宋体" w:cs="Times New Roman"/>
          <w:b w:val="0"/>
          <w:i w:val="0"/>
          <w:sz w:val="21"/>
        </w:rPr>
        <w:t>相位修正采用圆周相位差，群时延则由连续相位随频率的变化获得，两者的统计都依赖有效频点和相位连续性。本文在相同有效掩码内比较成层与对应均质场，并以中位绝对值降低局部相位突变对全场概括的支配；即便如此，低幅值附近的相位仍可能比幅值更敏感。因此，相关系数用于说明64例总体排序，不用于认定每个频率—空间网格的相位均可同等精度解释。图17(a)、(b)把幅值谷和相位梯度并列展示，正是为了让统计关系始终与原始场的有效区域相互核对。</w:t>
      </w:r>
    </w:p>
    <w:p w14:paraId="315744AF">
      <w:pPr>
        <w:spacing w:before="0" w:after="0"/>
        <w:ind w:firstLine="420"/>
        <w:jc w:val="both"/>
      </w:pPr>
      <w:r>
        <w:rPr>
          <w:rFonts w:hint="eastAsia" w:ascii="Times New Roman" w:hAnsi="Times New Roman" w:eastAsia="宋体" w:cs="Times New Roman"/>
          <w:b w:val="0"/>
          <w:i w:val="0"/>
          <w:sz w:val="21"/>
        </w:rPr>
        <w:t xml:space="preserve">将图17与主峰迁移结果对照，可以形成更完整的因果边界。低 </w:t>
      </w:r>
      <m:oMath>
        <m:r>
          <m:rPr/>
          <m:t>χ</m:t>
        </m:r>
      </m:oMath>
      <w:r>
        <w:rPr>
          <w:rFonts w:hint="eastAsia" w:ascii="Times New Roman" w:hAnsi="Times New Roman" w:eastAsia="宋体" w:cs="Times New Roman"/>
          <w:b w:val="0"/>
          <w:i w:val="0"/>
          <w:sz w:val="21"/>
        </w:rPr>
        <w:t xml:space="preserve"> 工况通常具有较大的相位和时延修正，也更容易在软厚角点出现下平台强峰，但相关并不证明相位修正单独“造成”了峰值换位。峰值竞争还取决于均质坡基线、局部幅值反射和不同空间路径的叠加。现有数据能够支持“低特征频率比伴随更强相位积累，并与部分强峰组合共同出现”，却不能把相关关系反演为唯一传播路径或能量转移机制。保持这一层限制，有助于避免把图17的统计尺度写成超出数值证据的机理定律。</w:t>
      </w:r>
    </w:p>
    <w:p w14:paraId="479B58A9">
      <w:pPr>
        <w:spacing w:before="0" w:after="0"/>
        <w:ind w:firstLine="420"/>
        <w:jc w:val="both"/>
      </w:pPr>
      <m:oMath>
        <m:r>
          <m:rPr/>
          <m:t>χ</m:t>
        </m:r>
      </m:oMath>
      <w:r>
        <w:rPr>
          <w:rFonts w:hint="eastAsia" w:ascii="Times New Roman" w:hAnsi="Times New Roman" w:eastAsia="宋体" w:cs="Times New Roman"/>
          <w:b w:val="0"/>
          <w:i w:val="0"/>
          <w:sz w:val="21"/>
        </w:rPr>
        <w:t xml:space="preserve"> 将厚度比和波速比压缩为一个频率尺度，有助于解释图11、图12的共同趋势。增大 </w:t>
      </w:r>
      <m:oMath>
        <m:r>
          <m:rPr/>
          <m:t>d</m:t>
        </m:r>
        <m:r>
          <m:rPr>
            <m:sty m:val="p"/>
          </m:rPr>
          <m:t>/</m:t>
        </m:r>
        <m:r>
          <m:rPr/>
          <m:t>h</m:t>
        </m:r>
      </m:oMath>
      <w:r>
        <w:rPr>
          <w:rFonts w:hint="eastAsia" w:ascii="Times New Roman" w:hAnsi="Times New Roman" w:eastAsia="宋体" w:cs="Times New Roman"/>
          <w:b w:val="0"/>
          <w:i w:val="0"/>
          <w:sz w:val="21"/>
        </w:rPr>
        <w:t xml:space="preserve"> 或减小 </w:t>
      </w:r>
      <m:oMath>
        <m:sSub>
          <m:sSubPr/>
          <m:e>
            <m:r>
              <m:rPr/>
              <m:t>r</m:t>
            </m:r>
          </m:e>
          <m:sub>
            <m:r>
              <m:rPr/>
              <m:t>v</m:t>
            </m:r>
          </m:sub>
        </m:sSub>
      </m:oMath>
      <w:r>
        <w:rPr>
          <w:rFonts w:hint="eastAsia" w:ascii="Times New Roman" w:hAnsi="Times New Roman" w:eastAsia="宋体" w:cs="Times New Roman"/>
          <w:b w:val="0"/>
          <w:i w:val="0"/>
          <w:sz w:val="21"/>
        </w:rPr>
        <w:t xml:space="preserve"> 都会降低 </w:t>
      </w:r>
      <m:oMath>
        <m:r>
          <m:rPr/>
          <m:t>χ</m:t>
        </m:r>
      </m:oMath>
      <w:r>
        <w:rPr>
          <w:rFonts w:hint="eastAsia" w:ascii="Times New Roman" w:hAnsi="Times New Roman" w:eastAsia="宋体" w:cs="Times New Roman"/>
          <w:b w:val="0"/>
          <w:i w:val="0"/>
          <w:sz w:val="21"/>
        </w:rPr>
        <w:t xml:space="preserve">，使覆盖层特征频率进入较低频段，相位和时延修正随之增大；但相同 </w:t>
      </w:r>
      <m:oMath>
        <m:r>
          <m:rPr/>
          <m:t>χ</m:t>
        </m:r>
      </m:oMath>
      <w:r>
        <w:rPr>
          <w:rFonts w:hint="eastAsia" w:ascii="Times New Roman" w:hAnsi="Times New Roman" w:eastAsia="宋体" w:cs="Times New Roman"/>
          <w:b w:val="0"/>
          <w:i w:val="0"/>
          <w:sz w:val="21"/>
        </w:rPr>
        <w:t xml:space="preserve"> 可来自不同的厚度—波速比组合，坡角和阻抗差也未包含在式（17）中。例如，</w:t>
      </w:r>
      <m:oMath>
        <m:r>
          <m:rPr/>
          <m:t>d</m:t>
        </m:r>
        <m:r>
          <m:rPr>
            <m:sty m:val="p"/>
          </m:rPr>
          <m:t>/</m:t>
        </m:r>
        <m:r>
          <m:rPr/>
          <m:t>h</m:t>
        </m:r>
        <m:r>
          <m:rPr>
            <m:sty m:val="p"/>
          </m:rPr>
          <m:t>=</m:t>
        </m:r>
        <m:r>
          <m:rPr/>
          <m:t>0.60</m:t>
        </m:r>
        <m:r>
          <m:rPr>
            <m:sty m:val="p"/>
          </m:rPr>
          <m:t>,</m:t>
        </m:r>
        <m:sSub>
          <m:sSubPr/>
          <m:e>
            <m:r>
              <m:rPr/>
              <m:t>r</m:t>
            </m:r>
          </m:e>
          <m:sub>
            <m:r>
              <m:rPr/>
              <m:t>v</m:t>
            </m:r>
          </m:sub>
        </m:sSub>
        <m:r>
          <m:rPr>
            <m:sty m:val="p"/>
          </m:rPr>
          <m:t>=</m:t>
        </m:r>
        <m:r>
          <m:rPr/>
          <m:t>0.45</m:t>
        </m:r>
      </m:oMath>
      <w:r>
        <w:rPr>
          <w:rFonts w:hint="eastAsia" w:ascii="Times New Roman" w:hAnsi="Times New Roman" w:eastAsia="宋体" w:cs="Times New Roman"/>
          <w:b w:val="0"/>
          <w:i w:val="0"/>
          <w:sz w:val="21"/>
        </w:rPr>
        <w:t xml:space="preserve"> 与 </w:t>
      </w:r>
      <m:oMath>
        <m:r>
          <m:rPr/>
          <m:t>d</m:t>
        </m:r>
        <m:r>
          <m:rPr>
            <m:sty m:val="p"/>
          </m:rPr>
          <m:t>/</m:t>
        </m:r>
        <m:r>
          <m:rPr/>
          <m:t>h</m:t>
        </m:r>
        <m:r>
          <m:rPr>
            <m:sty m:val="p"/>
          </m:rPr>
          <m:t>=</m:t>
        </m:r>
        <m:r>
          <m:rPr/>
          <m:t>1.00</m:t>
        </m:r>
        <m:r>
          <m:rPr>
            <m:sty m:val="p"/>
          </m:rPr>
          <m:t>,</m:t>
        </m:r>
        <m:sSub>
          <m:sSubPr/>
          <m:e>
            <m:r>
              <m:rPr/>
              <m:t>r</m:t>
            </m:r>
          </m:e>
          <m:sub>
            <m:r>
              <m:rPr/>
              <m:t>v</m:t>
            </m:r>
          </m:sub>
        </m:sSub>
        <m:r>
          <m:rPr>
            <m:sty m:val="p"/>
          </m:rPr>
          <m:t>=</m:t>
        </m:r>
        <m:r>
          <m:rPr/>
          <m:t>0.75</m:t>
        </m:r>
      </m:oMath>
      <w:r>
        <w:rPr>
          <w:rFonts w:hint="eastAsia" w:ascii="Times New Roman" w:hAnsi="Times New Roman" w:eastAsia="宋体" w:cs="Times New Roman"/>
          <w:b w:val="0"/>
          <w:i w:val="0"/>
          <w:sz w:val="21"/>
        </w:rPr>
        <w:t xml:space="preserve"> 均给出 </w:t>
      </w:r>
      <m:oMath>
        <m:r>
          <m:rPr/>
          <m:t>χ</m:t>
        </m:r>
        <m:r>
          <m:rPr>
            <m:sty m:val="p"/>
          </m:rPr>
          <m:t>=</m:t>
        </m:r>
        <m:r>
          <m:rPr/>
          <m:t>0.1875</m:t>
        </m:r>
      </m:oMath>
      <w:r>
        <w:rPr>
          <w:rFonts w:hint="eastAsia" w:ascii="Times New Roman" w:hAnsi="Times New Roman" w:eastAsia="宋体" w:cs="Times New Roman"/>
          <w:b w:val="0"/>
          <w:i w:val="0"/>
          <w:sz w:val="21"/>
        </w:rPr>
        <w:t xml:space="preserve">，加上四个坡角后同一横坐标包含8个物理工况，而它们的相位和群时延修正仍有可见全距。因此，图17同一 </w:t>
      </w:r>
      <m:oMath>
        <m:r>
          <m:rPr/>
          <m:t>χ</m:t>
        </m:r>
      </m:oMath>
      <w:r>
        <w:rPr>
          <w:rFonts w:hint="eastAsia" w:ascii="Times New Roman" w:hAnsi="Times New Roman" w:eastAsia="宋体" w:cs="Times New Roman"/>
          <w:b w:val="0"/>
          <w:i w:val="0"/>
          <w:sz w:val="21"/>
        </w:rPr>
        <w:t xml:space="preserve"> 的竖向离散不能被当作噪声删去，也不能把相关曲线当作三参数响应的替代模型。它是一条机制尺度，用于归纳相位修正强弱，不是预测完整场的单参数经验公式。</w:t>
      </w:r>
    </w:p>
    <w:p w14:paraId="7DF6AD90">
      <w:pPr>
        <w:spacing w:before="0" w:after="0"/>
        <w:ind w:firstLine="420"/>
        <w:jc w:val="both"/>
      </w:pPr>
      <w:r>
        <w:rPr>
          <w:rFonts w:hint="eastAsia" w:ascii="Times New Roman" w:hAnsi="Times New Roman" w:eastAsia="宋体" w:cs="Times New Roman"/>
          <w:b w:val="0"/>
          <w:i w:val="0"/>
          <w:sz w:val="21"/>
        </w:rPr>
        <w:t xml:space="preserve">综合图10～17，坡角、厚度比和波速比对复频响的作用可按“基线—频带—耦合”理解。坡角改变纯地形散射基线并影响极端响应上尾；厚度和波速比确定覆盖层频率尺度及阻抗反差；三者的交互决定哪个空间—频率峰取得控制权。峰值幅值主要受厚度、波速比及其交互控制，主峰频率和峰位则更依赖多参数交互。覆盖层对幅值的局部重分配很强，但其全场净幅值修正不随 </w:t>
      </w:r>
      <m:oMath>
        <m:r>
          <m:rPr/>
          <m:t>χ</m:t>
        </m:r>
      </m:oMath>
      <w:r>
        <w:rPr>
          <w:rFonts w:hint="eastAsia" w:ascii="Times New Roman" w:hAnsi="Times New Roman" w:eastAsia="宋体" w:cs="Times New Roman"/>
          <w:b w:val="0"/>
          <w:i w:val="0"/>
          <w:sz w:val="21"/>
        </w:rPr>
        <w:t xml:space="preserve"> 稳定排序；相位和群时延修正随 </w:t>
      </w:r>
      <m:oMath>
        <m:r>
          <m:rPr/>
          <m:t>χ</m:t>
        </m:r>
      </m:oMath>
      <w:r>
        <w:rPr>
          <w:rFonts w:hint="eastAsia" w:ascii="Times New Roman" w:hAnsi="Times New Roman" w:eastAsia="宋体" w:cs="Times New Roman"/>
          <w:b w:val="0"/>
          <w:i w:val="0"/>
          <w:sz w:val="21"/>
        </w:rPr>
        <w:t xml:space="preserve"> 的变化更一致。由此，对成层坡响应的概括不能停留在单一峰值，还应同时保留控制峰换位和连续相位场。</w:t>
      </w:r>
    </w:p>
    <w:p w14:paraId="0D7B2764">
      <w:pPr>
        <w:spacing w:before="0" w:after="0"/>
        <w:ind w:firstLine="420"/>
        <w:jc w:val="both"/>
      </w:pPr>
      <w:r>
        <w:rPr>
          <w:rFonts w:hint="eastAsia" w:ascii="Times New Roman" w:hAnsi="Times New Roman" w:eastAsia="宋体" w:cs="Times New Roman"/>
          <w:b w:val="0"/>
          <w:i w:val="0"/>
          <w:sz w:val="21"/>
        </w:rPr>
        <w:t>这一归纳同时保留了“典型响应”和“最不利响应”的差别。边际中位数描述参数跨域后的常见水平，软厚角点及全场峰值描述局部最不利状态，复数修正则描述相对于同坡角均质基线的改变。三类指标数值排序不同并非相互冲突，而是观测对象不同；只有把幅值、频率、位置和相位放回同一频率—空间场，才能说明参数究竟改变了响应大小，还是改变了控制峰的身份。</w:t>
      </w:r>
    </w:p>
    <w:p w14:paraId="130E81F0">
      <w:pPr>
        <w:spacing w:before="0" w:after="0"/>
        <w:ind w:firstLine="420"/>
        <w:jc w:val="both"/>
      </w:pPr>
      <w:r>
        <w:rPr>
          <w:rFonts w:hint="eastAsia" w:ascii="Times New Roman" w:hAnsi="Times New Roman" w:eastAsia="宋体" w:cs="Times New Roman"/>
          <w:b w:val="0"/>
          <w:i w:val="0"/>
          <w:sz w:val="21"/>
        </w:rPr>
        <w:t>上述规律的证据边界与数值模型的设计范围一致。它们适用于二维平面应变、线性两层坡、坡高100 m、15° SV斜入射、固定密度比0.85以及本文给定阻尼与0.5～10 Hz频带。4个频带上界峰、较多分区空间端点峰已经明确标记，不能用于频带外或空间域外的峰值外推。本文没有改变入射角、密度比、地层数、材料非线性或三维地形，因而图中的交互贡献率也不应被当作天然坡地的一般常数。它们给出的是当前参数域内可复核的相对排序，以及完整复数场相较单一放大系数所揭示的额外信息。</w:t>
      </w:r>
    </w:p>
    <w:p w14:paraId="3ECA2804">
      <w:pPr>
        <w:keepNext w:val="0"/>
        <w:keepLines w:val="0"/>
        <w:pageBreakBefore w:val="0"/>
        <w:widowControl w:val="0"/>
        <w:kinsoku/>
        <w:wordWrap/>
        <w:overflowPunct/>
        <w:topLinePunct w:val="0"/>
        <w:autoSpaceDE/>
        <w:autoSpaceDN/>
        <w:bidi w:val="0"/>
        <w:adjustRightInd/>
        <w:snapToGrid/>
        <w:spacing w:before="312" w:after="60"/>
        <w:ind w:firstLine="0"/>
        <w:jc w:val="left"/>
        <w:textAlignment w:val="auto"/>
        <w:outlineLvl w:val="0"/>
      </w:pPr>
      <w:r>
        <w:rPr>
          <w:rFonts w:hint="eastAsia" w:ascii="Times New Roman" w:hAnsi="Times New Roman" w:eastAsia="宋体" w:cs="Times New Roman"/>
          <w:b/>
          <w:i w:val="0"/>
          <w:sz w:val="28"/>
        </w:rPr>
        <w:t>4 机器学习代理模型的构建与验证</w:t>
      </w:r>
    </w:p>
    <w:p w14:paraId="02D396EE">
      <w:pPr>
        <w:spacing w:before="0" w:after="0"/>
        <w:ind w:firstLine="420"/>
        <w:jc w:val="both"/>
      </w:pPr>
      <w:r>
        <w:rPr>
          <w:rFonts w:hint="eastAsia" w:ascii="Times New Roman" w:hAnsi="Times New Roman" w:eastAsia="宋体" w:cs="Times New Roman"/>
          <w:b w:val="0"/>
          <w:i w:val="0"/>
          <w:sz w:val="21"/>
        </w:rPr>
        <w:t>前述参数分析表明，成层坡地的水平复频响随坡角、覆盖层厚度和波速比变化时，会在频率—空间平面上同时出现幅值峰谷迁移、相位条带转折和坡脚附近的局部陡梯度，单一标量难以概括这些变化。若每改变一次参数均重新进行有限元计算，既难以支撑密集参数搜索，也不利于后续真实地震波的批量重构。因此，本章以统一左侧上平台一维自由场为分母，将完整复频响场作为机器学习目标，建立由坡角、厚度比和波速比到复数场的代理映射。代理模型用于在现有参数域内压缩并恢复主要幅相结构，其误差和适用范围依次通过交叉验证、训练外组合和后续时域闭环检验，不作为数值模型的无条件精确替代。本节先说明样本组织、输出表示和代理方法，再比较候选模型并分析训练网格之间参数组合的预测表现。</w:t>
      </w:r>
    </w:p>
    <w:p w14:paraId="794AA70B">
      <w:pPr>
        <w:spacing w:before="0" w:after="0"/>
        <w:ind w:firstLine="420"/>
        <w:jc w:val="both"/>
      </w:pPr>
      <w:r>
        <w:rPr>
          <w:rFonts w:hint="eastAsia" w:ascii="Times New Roman" w:hAnsi="Times New Roman" w:eastAsia="宋体" w:cs="Times New Roman"/>
          <w:b w:val="0"/>
          <w:i w:val="0"/>
          <w:sz w:val="21"/>
        </w:rPr>
        <w:t>这里选择预测完整场，而不是只预测全局峰值、坡顶放大系数或若干固定频点，直接服务于本文的研究目标。第3章已经表明，同一参数变化可能使峰值在频率轴和空间轴上同时迁移；如果只把“最大值”作为标签，两个形态差异很大的复频响场可能得到相近的标量标签，而峰值发生位置之外的相位和次峰信息将全部丢失。完整场目标虽然显著增加了输出维数，却保留了从宽频系统识别到输入时程重构所需的信息。代理模型在本章中的作用因此不是给有限元结果附加一条经验拟合曲线，而是在统一物理定义下建立一个可重复调用的降阶输入—输出关系。其是否可用，既取决于整体场误差，也取决于误差是否集中在工程关注的频带、坡面区段和极值附近。</w:t>
      </w:r>
    </w:p>
    <w:p w14:paraId="32C4E5DD">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pPr>
      <w:r>
        <w:rPr>
          <w:rFonts w:hint="eastAsia" w:ascii="Times New Roman" w:hAnsi="Times New Roman" w:eastAsia="宋体" w:cs="Times New Roman"/>
          <w:b/>
          <w:i w:val="0"/>
          <w:sz w:val="24"/>
        </w:rPr>
        <w:t>4.1 样本构建与代理方法</w:t>
      </w:r>
    </w:p>
    <w:p w14:paraId="6E430954">
      <w:pPr>
        <w:spacing w:before="0" w:after="0"/>
        <w:ind w:firstLine="420"/>
        <w:jc w:val="both"/>
      </w:pPr>
      <w:r>
        <w:rPr>
          <w:rFonts w:hint="eastAsia" w:ascii="Times New Roman" w:hAnsi="Times New Roman" w:eastAsia="宋体" w:cs="Times New Roman"/>
          <w:b w:val="0"/>
          <w:i w:val="0"/>
          <w:sz w:val="21"/>
        </w:rPr>
        <w:t xml:space="preserve">代理输入写为 </w:t>
      </w:r>
      <m:oMath>
        <m:r>
          <m:rPr>
            <m:sty m:val="bi"/>
          </m:rPr>
          <m:t>x</m:t>
        </m:r>
        <m:r>
          <m:rPr>
            <m:sty m:val="p"/>
          </m:rPr>
          <m:t>=[</m:t>
        </m:r>
        <m:r>
          <m:rPr/>
          <m:t>i</m:t>
        </m:r>
        <m:r>
          <m:rPr>
            <m:sty m:val="p"/>
          </m:rPr>
          <m:t>,</m:t>
        </m:r>
        <m:r>
          <m:rPr/>
          <m:t>d</m:t>
        </m:r>
        <m:r>
          <m:rPr>
            <m:sty m:val="p"/>
          </m:rPr>
          <m:t>/</m:t>
        </m:r>
        <m:r>
          <m:rPr/>
          <m:t>h</m:t>
        </m:r>
        <m:r>
          <m:rPr>
            <m:sty m:val="p"/>
          </m:rPr>
          <m:t>,</m:t>
        </m:r>
        <m:sSub>
          <m:sSubPr/>
          <m:e>
            <m:r>
              <m:rPr/>
              <m:t>r</m:t>
            </m:r>
          </m:e>
          <m:sub>
            <m:r>
              <m:rPr/>
              <m:t>v</m:t>
            </m:r>
          </m:sub>
        </m:sSub>
        <m:sSup>
          <m:sSupPr/>
          <m:e>
            <m:r>
              <m:rPr>
                <m:sty m:val="p"/>
              </m:rPr>
              <m:t>]</m:t>
            </m:r>
          </m:e>
          <m:sup>
            <m:r>
              <m:rPr>
                <m:sty m:val="p"/>
              </m:rPr>
              <m:t>T</m:t>
            </m:r>
          </m:sup>
        </m:sSup>
      </m:oMath>
      <w:r>
        <w:rPr>
          <w:rFonts w:hint="eastAsia" w:ascii="Times New Roman" w:hAnsi="Times New Roman" w:eastAsia="宋体" w:cs="Times New Roman"/>
          <w:b w:val="0"/>
          <w:i w:val="0"/>
          <w:sz w:val="21"/>
        </w:rPr>
        <w:t>。其中，</w:t>
      </w:r>
      <m:oMath>
        <m:r>
          <m:rPr/>
          <m:t>i</m:t>
        </m:r>
      </m:oMath>
      <w:r>
        <w:rPr>
          <w:rFonts w:hint="eastAsia" w:ascii="Times New Roman" w:hAnsi="Times New Roman" w:eastAsia="宋体" w:cs="Times New Roman"/>
          <w:b w:val="0"/>
          <w:i w:val="0"/>
          <w:sz w:val="21"/>
        </w:rPr>
        <w:t xml:space="preserve"> 为坡角，</w:t>
      </w:r>
      <m:oMath>
        <m:r>
          <m:rPr/>
          <m:t>d</m:t>
        </m:r>
        <m:r>
          <m:rPr>
            <m:sty m:val="p"/>
          </m:rPr>
          <m:t>/</m:t>
        </m:r>
        <m:r>
          <m:rPr/>
          <m:t>h</m:t>
        </m:r>
      </m:oMath>
      <w:r>
        <w:rPr>
          <w:rFonts w:hint="eastAsia" w:ascii="Times New Roman" w:hAnsi="Times New Roman" w:eastAsia="宋体" w:cs="Times New Roman"/>
          <w:b w:val="0"/>
          <w:i w:val="0"/>
          <w:sz w:val="21"/>
        </w:rPr>
        <w:t xml:space="preserve"> 为覆盖层厚度与坡高之比，</w:t>
      </w:r>
      <m:oMath>
        <m:sSub>
          <m:sSubPr/>
          <m:e>
            <m:r>
              <m:rPr/>
              <m:t>r</m:t>
            </m:r>
          </m:e>
          <m:sub>
            <m:r>
              <m:rPr/>
              <m:t>v</m:t>
            </m:r>
          </m:sub>
        </m:sSub>
        <m:r>
          <m:rPr>
            <m:sty m:val="p"/>
          </m:rPr>
          <m:t>=</m:t>
        </m:r>
        <m:sSub>
          <m:sSubPr/>
          <m:e>
            <m:r>
              <m:rPr/>
              <m:t>V</m:t>
            </m:r>
          </m:e>
          <m:sub>
            <m:r>
              <m:rPr>
                <m:sty m:val="p"/>
              </m:rPr>
              <m:t>s,c</m:t>
            </m:r>
          </m:sub>
        </m:sSub>
        <m:r>
          <m:rPr>
            <m:sty m:val="p"/>
          </m:rPr>
          <m:t>/</m:t>
        </m:r>
        <m:sSub>
          <m:sSubPr/>
          <m:e>
            <m:r>
              <m:rPr/>
              <m:t>V</m:t>
            </m:r>
          </m:e>
          <m:sub>
            <m:r>
              <m:rPr>
                <m:sty m:val="p"/>
              </m:rPr>
              <m:t>s,b</m:t>
            </m:r>
          </m:sub>
        </m:sSub>
      </m:oMath>
      <w:r>
        <w:rPr>
          <w:rFonts w:hint="eastAsia" w:ascii="Times New Roman" w:hAnsi="Times New Roman" w:eastAsia="宋体" w:cs="Times New Roman"/>
          <w:b w:val="0"/>
          <w:i w:val="0"/>
          <w:sz w:val="21"/>
        </w:rPr>
        <w:t xml:space="preserve"> 为覆盖层与基岩剪切波速之比。样本按研究问题预先分为不同功能池。P组由 </w:t>
      </w:r>
      <m:oMath>
        <m:r>
          <m:rPr/>
          <m:t>i</m:t>
        </m:r>
        <m:r>
          <m:rPr>
            <m:sty m:val="p"/>
          </m:rPr>
          <m:t>=</m:t>
        </m:r>
        <m:sSup>
          <m:sSupPr/>
          <m:e>
            <m:r>
              <m:rPr/>
              <m:t>15</m:t>
            </m:r>
          </m:e>
          <m:sup>
            <m:r>
              <m:rPr>
                <m:sty m:val="p"/>
              </m:rPr>
              <m:t>∘</m:t>
            </m:r>
          </m:sup>
        </m:sSup>
      </m:oMath>
      <w:r>
        <w:rPr>
          <w:rFonts w:hint="eastAsia" w:ascii="Times New Roman" w:hAnsi="Times New Roman" w:eastAsia="宋体" w:cs="Times New Roman"/>
          <w:b w:val="0"/>
          <w:i w:val="0"/>
          <w:sz w:val="21"/>
        </w:rPr>
        <w:t>、</w:t>
      </w:r>
      <m:oMath>
        <m:sSup>
          <m:sSupPr/>
          <m:e>
            <m:r>
              <m:rPr/>
              <m:t>30</m:t>
            </m:r>
          </m:e>
          <m:sup>
            <m:r>
              <m:rPr>
                <m:sty m:val="p"/>
              </m:rPr>
              <m:t>∘</m:t>
            </m:r>
          </m:sup>
        </m:sSup>
      </m:oMath>
      <w:r>
        <w:rPr>
          <w:rFonts w:hint="eastAsia" w:ascii="Times New Roman" w:hAnsi="Times New Roman" w:eastAsia="宋体" w:cs="Times New Roman"/>
          <w:b w:val="0"/>
          <w:i w:val="0"/>
          <w:sz w:val="21"/>
        </w:rPr>
        <w:t>、</w:t>
      </w:r>
      <m:oMath>
        <m:sSup>
          <m:sSupPr/>
          <m:e>
            <m:r>
              <m:rPr/>
              <m:t>45</m:t>
            </m:r>
          </m:e>
          <m:sup>
            <m:r>
              <m:rPr>
                <m:sty m:val="p"/>
              </m:rPr>
              <m:t>∘</m:t>
            </m:r>
          </m:sup>
        </m:sSup>
      </m:oMath>
      <w:r>
        <w:rPr>
          <w:rFonts w:hint="eastAsia" w:ascii="Times New Roman" w:hAnsi="Times New Roman" w:eastAsia="宋体" w:cs="Times New Roman"/>
          <w:b w:val="0"/>
          <w:i w:val="0"/>
          <w:sz w:val="21"/>
        </w:rPr>
        <w:t>、</w:t>
      </w:r>
      <m:oMath>
        <m:sSup>
          <m:sSupPr/>
          <m:e>
            <m:r>
              <m:rPr/>
              <m:t>60</m:t>
            </m:r>
          </m:e>
          <m:sup>
            <m:r>
              <m:rPr>
                <m:sty m:val="p"/>
              </m:rPr>
              <m:t>∘</m:t>
            </m:r>
          </m:sup>
        </m:sSup>
      </m:oMath>
      <w:r>
        <w:rPr>
          <w:rFonts w:hint="eastAsia" w:ascii="Times New Roman" w:hAnsi="Times New Roman" w:eastAsia="宋体" w:cs="Times New Roman"/>
          <w:b w:val="0"/>
          <w:i w:val="0"/>
          <w:sz w:val="21"/>
        </w:rPr>
        <w:t>，</w:t>
      </w:r>
      <m:oMath>
        <m:r>
          <m:rPr/>
          <m:t>d</m:t>
        </m:r>
        <m:r>
          <m:rPr>
            <m:sty m:val="p"/>
          </m:rPr>
          <m:t>/</m:t>
        </m:r>
        <m:r>
          <m:rPr/>
          <m:t>h</m:t>
        </m:r>
        <m:r>
          <m:rPr>
            <m:sty m:val="p"/>
          </m:rPr>
          <m:t>=</m:t>
        </m:r>
        <m:r>
          <m:rPr/>
          <m:t>0.20</m:t>
        </m:r>
      </m:oMath>
      <w:r>
        <w:rPr>
          <w:rFonts w:hint="eastAsia" w:ascii="Times New Roman" w:hAnsi="Times New Roman" w:eastAsia="宋体" w:cs="Times New Roman"/>
          <w:b w:val="0"/>
          <w:i w:val="0"/>
          <w:sz w:val="21"/>
        </w:rPr>
        <w:t xml:space="preserve">、0.60、1.00、1.40，以及 </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、0.45、0.60、0.75 的全因子组合构成，共64例，用于候选模型训练和整工况五折交叉验证。B组包含12个训练网格之间的中间水平组合，坡角取22.5°、37.5°和52.5°，厚度比取0.40、0.80和1.20，波速比取0.375、0.525和0.675；这些工况不参与标准化、POD、回归器拟合或模型选择，仅用于检查模型在参数范围内部但离开训练节点后的泛化。B组位于P组参数包络内部，检验的是“网格间预测”，不属于超出取值范围的外推。H组4个均质坡用于第3章的地形基准与覆盖层复数修正，不进入代理训练；C组10个体系—地震记录组合则用于第4.3节由频域预测到时域响应的闭环检验。各样本池的功能见表10。</w:t>
      </w:r>
    </w:p>
    <w:p w14:paraId="164E330B">
      <w:pPr>
        <w:spacing w:before="156" w:after="0"/>
        <w:ind w:firstLine="0"/>
        <w:jc w:val="center"/>
      </w:pPr>
      <w:r>
        <w:rPr>
          <w:rFonts w:hint="eastAsia" w:ascii="Times New Roman" w:hAnsi="Times New Roman" w:eastAsia="宋体" w:cs="Times New Roman"/>
          <w:b w:val="0"/>
          <w:i w:val="0"/>
          <w:sz w:val="18"/>
        </w:rPr>
        <w:t>表10 代理研究中各样本池的组成与用途</w:t>
      </w:r>
    </w:p>
    <w:p w14:paraId="141C9F6D">
      <w:pPr>
        <w:spacing w:before="0" w:after="40"/>
        <w:ind w:firstLine="0"/>
        <w:jc w:val="center"/>
      </w:pPr>
      <w:r>
        <w:rPr>
          <w:rFonts w:hint="eastAsia" w:ascii="Times New Roman" w:hAnsi="Times New Roman" w:eastAsia="Times New Roman" w:cs="Times New Roman"/>
          <w:b w:val="0"/>
          <w:i w:val="0"/>
          <w:sz w:val="18"/>
        </w:rPr>
        <w:t>Table 10 Composition and purpose of each sample pool in the surrogate study</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28"/>
        <w:gridCol w:w="1928"/>
        <w:gridCol w:w="1928"/>
        <w:gridCol w:w="1928"/>
        <w:gridCol w:w="1928"/>
      </w:tblGrid>
      <w:tr w14:paraId="08C5CC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bottom w:val="single" w:color="auto" w:sz="6" w:space="0"/>
            </w:tcBorders>
            <w:vAlign w:val="center"/>
          </w:tcPr>
          <w:p w14:paraId="0815DE7A">
            <w:pPr>
              <w:spacing w:before="30" w:after="30"/>
              <w:ind w:firstLine="0"/>
              <w:jc w:val="center"/>
            </w:pPr>
            <w:r>
              <w:rPr>
                <w:rFonts w:hint="eastAsia" w:ascii="Times New Roman" w:hAnsi="Times New Roman" w:eastAsia="宋体" w:cs="Times New Roman"/>
                <w:b/>
                <w:i w:val="0"/>
                <w:sz w:val="18"/>
              </w:rPr>
              <w:t>样本池</w:t>
            </w:r>
          </w:p>
        </w:tc>
        <w:tc>
          <w:tcPr>
            <w:tcW w:w="1928" w:type="dxa"/>
            <w:tcBorders>
              <w:bottom w:val="single" w:color="auto" w:sz="6" w:space="0"/>
            </w:tcBorders>
            <w:vAlign w:val="center"/>
          </w:tcPr>
          <w:p w14:paraId="7D1606BA">
            <w:pPr>
              <w:spacing w:before="30" w:after="30"/>
              <w:ind w:firstLine="0"/>
              <w:jc w:val="center"/>
            </w:pPr>
            <w:r>
              <w:rPr>
                <w:rFonts w:hint="eastAsia" w:ascii="Times New Roman" w:hAnsi="Times New Roman" w:eastAsia="宋体" w:cs="Times New Roman"/>
                <w:b/>
                <w:i w:val="0"/>
                <w:sz w:val="18"/>
              </w:rPr>
              <w:t>工况数</w:t>
            </w:r>
          </w:p>
        </w:tc>
        <w:tc>
          <w:tcPr>
            <w:tcW w:w="1928" w:type="dxa"/>
            <w:tcBorders>
              <w:bottom w:val="single" w:color="auto" w:sz="6" w:space="0"/>
            </w:tcBorders>
            <w:vAlign w:val="center"/>
          </w:tcPr>
          <w:p w14:paraId="1269BF22">
            <w:pPr>
              <w:spacing w:before="30" w:after="30"/>
              <w:ind w:firstLine="0"/>
              <w:jc w:val="center"/>
            </w:pPr>
            <w:r>
              <w:rPr>
                <w:rFonts w:hint="eastAsia" w:ascii="Times New Roman" w:hAnsi="Times New Roman" w:eastAsia="宋体" w:cs="Times New Roman"/>
                <w:b/>
                <w:i w:val="0"/>
                <w:sz w:val="18"/>
              </w:rPr>
              <w:t>参数或记录组成</w:t>
            </w:r>
          </w:p>
        </w:tc>
        <w:tc>
          <w:tcPr>
            <w:tcW w:w="1928" w:type="dxa"/>
            <w:tcBorders>
              <w:bottom w:val="single" w:color="auto" w:sz="6" w:space="0"/>
            </w:tcBorders>
            <w:vAlign w:val="center"/>
          </w:tcPr>
          <w:p w14:paraId="64496F29">
            <w:pPr>
              <w:spacing w:before="30" w:after="30"/>
              <w:ind w:firstLine="0"/>
              <w:jc w:val="center"/>
            </w:pPr>
            <w:r>
              <w:rPr>
                <w:rFonts w:hint="eastAsia" w:ascii="Times New Roman" w:hAnsi="Times New Roman" w:eastAsia="宋体" w:cs="Times New Roman"/>
                <w:b/>
                <w:i w:val="0"/>
                <w:sz w:val="18"/>
              </w:rPr>
              <w:t>在本章中的用途</w:t>
            </w:r>
          </w:p>
        </w:tc>
        <w:tc>
          <w:tcPr>
            <w:tcW w:w="1928" w:type="dxa"/>
            <w:tcBorders>
              <w:bottom w:val="single" w:color="auto" w:sz="6" w:space="0"/>
            </w:tcBorders>
            <w:vAlign w:val="center"/>
          </w:tcPr>
          <w:p w14:paraId="6B3F112C">
            <w:pPr>
              <w:spacing w:before="30" w:after="30"/>
              <w:ind w:firstLine="0"/>
              <w:jc w:val="center"/>
            </w:pPr>
            <w:r>
              <w:rPr>
                <w:rFonts w:hint="eastAsia" w:ascii="Times New Roman" w:hAnsi="Times New Roman" w:eastAsia="宋体" w:cs="Times New Roman"/>
                <w:b/>
                <w:i w:val="0"/>
                <w:sz w:val="18"/>
              </w:rPr>
              <w:t>是否参与选模</w:t>
            </w:r>
          </w:p>
        </w:tc>
      </w:tr>
      <w:tr w14:paraId="1E4559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vAlign w:val="center"/>
          </w:tcPr>
          <w:p w14:paraId="57A1C617">
            <w:pPr>
              <w:spacing w:before="30" w:after="30"/>
              <w:ind w:firstLine="0"/>
              <w:jc w:val="center"/>
            </w:pPr>
            <w:r>
              <w:rPr>
                <w:rFonts w:hint="eastAsia" w:ascii="Times New Roman" w:hAnsi="Times New Roman" w:eastAsia="宋体" w:cs="Times New Roman"/>
                <w:b w:val="0"/>
                <w:i w:val="0"/>
                <w:sz w:val="18"/>
              </w:rPr>
              <w:t>H组</w:t>
            </w:r>
          </w:p>
        </w:tc>
        <w:tc>
          <w:tcPr>
            <w:tcW w:w="1928" w:type="dxa"/>
            <w:vAlign w:val="center"/>
          </w:tcPr>
          <w:p w14:paraId="0BDF415D">
            <w:pPr>
              <w:spacing w:before="30" w:after="30"/>
              <w:ind w:firstLine="0"/>
              <w:jc w:val="center"/>
            </w:pPr>
            <w:r>
              <w:rPr>
                <w:rFonts w:hint="eastAsia" w:ascii="Times New Roman" w:hAnsi="Times New Roman" w:eastAsia="宋体" w:cs="Times New Roman"/>
                <w:b w:val="0"/>
                <w:i w:val="0"/>
                <w:sz w:val="18"/>
              </w:rPr>
              <w:t>4</w:t>
            </w:r>
          </w:p>
        </w:tc>
        <w:tc>
          <w:tcPr>
            <w:tcW w:w="1928" w:type="dxa"/>
            <w:vAlign w:val="center"/>
          </w:tcPr>
          <w:p w14:paraId="272D7DDF">
            <w:pPr>
              <w:spacing w:before="30" w:after="30"/>
              <w:ind w:firstLine="0"/>
              <w:jc w:val="center"/>
            </w:pPr>
            <m:oMath>
              <m:r>
                <m:rPr/>
                <m:t>i</m:t>
              </m:r>
              <m:r>
                <m:rPr>
                  <m:sty m:val="p"/>
                </m:rPr>
                <m:t>=</m:t>
              </m:r>
              <m:sSup>
                <m:sSupPr/>
                <m:e>
                  <m:r>
                    <m:rPr/>
                    <m:t>15</m:t>
                  </m:r>
                </m:e>
                <m:sup>
                  <m:r>
                    <m:rPr>
                      <m:sty m:val="p"/>
                    </m:rPr>
                    <m:t>∘</m:t>
                  </m:r>
                </m:sup>
              </m:sSup>
            </m:oMath>
            <w:r>
              <w:rPr>
                <w:rFonts w:hint="eastAsia" w:ascii="Times New Roman" w:hAnsi="Times New Roman" w:eastAsia="宋体" w:cs="Times New Roman"/>
                <w:b w:val="0"/>
                <w:i w:val="0"/>
                <w:sz w:val="18"/>
              </w:rPr>
              <w:t>、30°、45°、60°的均质坡</w:t>
            </w:r>
          </w:p>
        </w:tc>
        <w:tc>
          <w:tcPr>
            <w:tcW w:w="1928" w:type="dxa"/>
            <w:vAlign w:val="center"/>
          </w:tcPr>
          <w:p w14:paraId="02A6EA59">
            <w:pPr>
              <w:spacing w:before="30" w:after="30"/>
              <w:ind w:firstLine="0"/>
              <w:jc w:val="center"/>
            </w:pPr>
            <w:r>
              <w:rPr>
                <w:rFonts w:hint="eastAsia" w:ascii="Times New Roman" w:hAnsi="Times New Roman" w:eastAsia="宋体" w:cs="Times New Roman"/>
                <w:b w:val="0"/>
                <w:i w:val="0"/>
                <w:sz w:val="18"/>
              </w:rPr>
              <w:t>提供地形基准和覆盖层修正参照</w:t>
            </w:r>
          </w:p>
        </w:tc>
        <w:tc>
          <w:tcPr>
            <w:tcW w:w="1928" w:type="dxa"/>
            <w:vAlign w:val="center"/>
          </w:tcPr>
          <w:p w14:paraId="1D7105D0">
            <w:pPr>
              <w:spacing w:before="30" w:after="30"/>
              <w:ind w:firstLine="0"/>
              <w:jc w:val="center"/>
            </w:pPr>
            <w:r>
              <w:rPr>
                <w:rFonts w:hint="eastAsia" w:ascii="Times New Roman" w:hAnsi="Times New Roman" w:eastAsia="宋体" w:cs="Times New Roman"/>
                <w:b w:val="0"/>
                <w:i w:val="0"/>
                <w:sz w:val="18"/>
              </w:rPr>
              <w:t>否</w:t>
            </w:r>
          </w:p>
        </w:tc>
      </w:tr>
      <w:tr w14:paraId="2D433B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vAlign w:val="center"/>
          </w:tcPr>
          <w:p w14:paraId="023E847A">
            <w:pPr>
              <w:spacing w:before="30" w:after="30"/>
              <w:ind w:firstLine="0"/>
              <w:jc w:val="center"/>
            </w:pPr>
            <w:r>
              <w:rPr>
                <w:rFonts w:hint="eastAsia" w:ascii="Times New Roman" w:hAnsi="Times New Roman" w:eastAsia="宋体" w:cs="Times New Roman"/>
                <w:b w:val="0"/>
                <w:i w:val="0"/>
                <w:sz w:val="18"/>
              </w:rPr>
              <w:t>P组</w:t>
            </w:r>
          </w:p>
        </w:tc>
        <w:tc>
          <w:tcPr>
            <w:tcW w:w="1928" w:type="dxa"/>
            <w:vAlign w:val="center"/>
          </w:tcPr>
          <w:p w14:paraId="480765B7">
            <w:pPr>
              <w:spacing w:before="30" w:after="30"/>
              <w:ind w:firstLine="0"/>
              <w:jc w:val="center"/>
            </w:pPr>
            <w:r>
              <w:rPr>
                <w:rFonts w:hint="eastAsia" w:ascii="Times New Roman" w:hAnsi="Times New Roman" w:eastAsia="宋体" w:cs="Times New Roman"/>
                <w:b w:val="0"/>
                <w:i w:val="0"/>
                <w:sz w:val="18"/>
              </w:rPr>
              <w:t>64</w:t>
            </w:r>
          </w:p>
        </w:tc>
        <w:tc>
          <w:tcPr>
            <w:tcW w:w="1928" w:type="dxa"/>
            <w:vAlign w:val="center"/>
          </w:tcPr>
          <w:p w14:paraId="3C66FD5C">
            <w:pPr>
              <w:spacing w:before="30" w:after="30"/>
              <w:ind w:firstLine="0"/>
              <w:jc w:val="center"/>
            </w:pPr>
            <m:oMath>
              <m:r>
                <m:rPr/>
                <m:t>4</m:t>
              </m:r>
              <m:r>
                <m:rPr>
                  <m:sty m:val="p"/>
                </m:rPr>
                <m:t>×</m:t>
              </m:r>
              <m:r>
                <m:rPr/>
                <m:t>4</m:t>
              </m:r>
              <m:r>
                <m:rPr>
                  <m:sty m:val="p"/>
                </m:rPr>
                <m:t>×</m:t>
              </m:r>
              <m:r>
                <m:rPr/>
                <m:t>4</m:t>
              </m:r>
            </m:oMath>
            <w:r>
              <w:rPr>
                <w:rFonts w:hint="eastAsia" w:ascii="Times New Roman" w:hAnsi="Times New Roman" w:eastAsia="宋体" w:cs="Times New Roman"/>
                <w:b w:val="0"/>
                <w:i w:val="0"/>
                <w:sz w:val="18"/>
              </w:rPr>
              <w:t>全因子成层坡</w:t>
            </w:r>
          </w:p>
        </w:tc>
        <w:tc>
          <w:tcPr>
            <w:tcW w:w="1928" w:type="dxa"/>
            <w:vAlign w:val="center"/>
          </w:tcPr>
          <w:p w14:paraId="3EC86A37">
            <w:pPr>
              <w:spacing w:before="30" w:after="30"/>
              <w:ind w:firstLine="0"/>
              <w:jc w:val="center"/>
            </w:pPr>
            <w:r>
              <w:rPr>
                <w:rFonts w:hint="eastAsia" w:ascii="Times New Roman" w:hAnsi="Times New Roman" w:eastAsia="宋体" w:cs="Times New Roman"/>
                <w:b w:val="0"/>
                <w:i w:val="0"/>
                <w:sz w:val="18"/>
              </w:rPr>
              <w:t>训练、整工况五折交叉验证及最终重拟合</w:t>
            </w:r>
          </w:p>
        </w:tc>
        <w:tc>
          <w:tcPr>
            <w:tcW w:w="1928" w:type="dxa"/>
            <w:vAlign w:val="center"/>
          </w:tcPr>
          <w:p w14:paraId="7127172E">
            <w:pPr>
              <w:spacing w:before="30" w:after="30"/>
              <w:ind w:firstLine="0"/>
              <w:jc w:val="center"/>
            </w:pPr>
            <w:r>
              <w:rPr>
                <w:rFonts w:hint="eastAsia" w:ascii="Times New Roman" w:hAnsi="Times New Roman" w:eastAsia="宋体" w:cs="Times New Roman"/>
                <w:b w:val="0"/>
                <w:i w:val="0"/>
                <w:sz w:val="18"/>
              </w:rPr>
              <w:t>是</w:t>
            </w:r>
          </w:p>
        </w:tc>
      </w:tr>
      <w:tr w14:paraId="673BB0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vAlign w:val="center"/>
          </w:tcPr>
          <w:p w14:paraId="495E45E5">
            <w:pPr>
              <w:spacing w:before="30" w:after="30"/>
              <w:ind w:firstLine="0"/>
              <w:jc w:val="center"/>
            </w:pPr>
            <w:r>
              <w:rPr>
                <w:rFonts w:hint="eastAsia" w:ascii="Times New Roman" w:hAnsi="Times New Roman" w:eastAsia="宋体" w:cs="Times New Roman"/>
                <w:b w:val="0"/>
                <w:i w:val="0"/>
                <w:sz w:val="18"/>
              </w:rPr>
              <w:t>B组</w:t>
            </w:r>
          </w:p>
        </w:tc>
        <w:tc>
          <w:tcPr>
            <w:tcW w:w="1928" w:type="dxa"/>
            <w:vAlign w:val="center"/>
          </w:tcPr>
          <w:p w14:paraId="5E975FB4">
            <w:pPr>
              <w:spacing w:before="30" w:after="30"/>
              <w:ind w:firstLine="0"/>
              <w:jc w:val="center"/>
            </w:pPr>
            <w:r>
              <w:rPr>
                <w:rFonts w:hint="eastAsia" w:ascii="Times New Roman" w:hAnsi="Times New Roman" w:eastAsia="宋体" w:cs="Times New Roman"/>
                <w:b w:val="0"/>
                <w:i w:val="0"/>
                <w:sz w:val="18"/>
              </w:rPr>
              <w:t>12</w:t>
            </w:r>
          </w:p>
        </w:tc>
        <w:tc>
          <w:tcPr>
            <w:tcW w:w="1928" w:type="dxa"/>
            <w:vAlign w:val="center"/>
          </w:tcPr>
          <w:p w14:paraId="123081D1">
            <w:pPr>
              <w:spacing w:before="30" w:after="30"/>
              <w:ind w:firstLine="0"/>
              <w:jc w:val="center"/>
            </w:pPr>
            <w:r>
              <w:rPr>
                <w:rFonts w:hint="eastAsia" w:ascii="Times New Roman" w:hAnsi="Times New Roman" w:eastAsia="宋体" w:cs="Times New Roman"/>
                <w:b w:val="0"/>
                <w:i w:val="0"/>
                <w:sz w:val="18"/>
              </w:rPr>
              <w:t>参数域内部的中间水平组合</w:t>
            </w:r>
          </w:p>
        </w:tc>
        <w:tc>
          <w:tcPr>
            <w:tcW w:w="1928" w:type="dxa"/>
            <w:vAlign w:val="center"/>
          </w:tcPr>
          <w:p w14:paraId="6AEA9B45">
            <w:pPr>
              <w:spacing w:before="30" w:after="30"/>
              <w:ind w:firstLine="0"/>
              <w:jc w:val="center"/>
            </w:pPr>
            <w:r>
              <w:rPr>
                <w:rFonts w:hint="eastAsia" w:ascii="Times New Roman" w:hAnsi="Times New Roman" w:eastAsia="宋体" w:cs="Times New Roman"/>
                <w:b w:val="0"/>
                <w:i w:val="0"/>
                <w:sz w:val="18"/>
              </w:rPr>
              <w:t>检查训练网格之间的组合泛化</w:t>
            </w:r>
          </w:p>
        </w:tc>
        <w:tc>
          <w:tcPr>
            <w:tcW w:w="1928" w:type="dxa"/>
            <w:vAlign w:val="center"/>
          </w:tcPr>
          <w:p w14:paraId="4901DB5D">
            <w:pPr>
              <w:spacing w:before="30" w:after="30"/>
              <w:ind w:firstLine="0"/>
              <w:jc w:val="center"/>
            </w:pPr>
            <w:r>
              <w:rPr>
                <w:rFonts w:hint="eastAsia" w:ascii="Times New Roman" w:hAnsi="Times New Roman" w:eastAsia="宋体" w:cs="Times New Roman"/>
                <w:b w:val="0"/>
                <w:i w:val="0"/>
                <w:sz w:val="18"/>
              </w:rPr>
              <w:t>否</w:t>
            </w:r>
          </w:p>
        </w:tc>
      </w:tr>
      <w:tr w14:paraId="65E849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vAlign w:val="center"/>
          </w:tcPr>
          <w:p w14:paraId="750AE5BD">
            <w:pPr>
              <w:spacing w:before="30" w:after="30"/>
              <w:ind w:firstLine="0"/>
              <w:jc w:val="center"/>
            </w:pPr>
            <w:r>
              <w:rPr>
                <w:rFonts w:hint="eastAsia" w:ascii="Times New Roman" w:hAnsi="Times New Roman" w:eastAsia="宋体" w:cs="Times New Roman"/>
                <w:b w:val="0"/>
                <w:i w:val="0"/>
                <w:sz w:val="18"/>
              </w:rPr>
              <w:t>C组</w:t>
            </w:r>
          </w:p>
        </w:tc>
        <w:tc>
          <w:tcPr>
            <w:tcW w:w="1928" w:type="dxa"/>
            <w:vAlign w:val="center"/>
          </w:tcPr>
          <w:p w14:paraId="023A245A">
            <w:pPr>
              <w:spacing w:before="30" w:after="30"/>
              <w:ind w:firstLine="0"/>
              <w:jc w:val="center"/>
            </w:pPr>
            <w:r>
              <w:rPr>
                <w:rFonts w:hint="eastAsia" w:ascii="Times New Roman" w:hAnsi="Times New Roman" w:eastAsia="宋体" w:cs="Times New Roman"/>
                <w:b w:val="0"/>
                <w:i w:val="0"/>
                <w:sz w:val="18"/>
              </w:rPr>
              <w:t>10</w:t>
            </w:r>
          </w:p>
        </w:tc>
        <w:tc>
          <w:tcPr>
            <w:tcW w:w="1928" w:type="dxa"/>
            <w:vAlign w:val="center"/>
          </w:tcPr>
          <w:p w14:paraId="6983B92A">
            <w:pPr>
              <w:spacing w:before="30" w:after="30"/>
              <w:ind w:firstLine="0"/>
              <w:jc w:val="center"/>
            </w:pPr>
            <w:r>
              <w:rPr>
                <w:rFonts w:hint="eastAsia" w:ascii="Times New Roman" w:hAnsi="Times New Roman" w:eastAsia="宋体" w:cs="Times New Roman"/>
                <w:b w:val="0"/>
                <w:i w:val="0"/>
                <w:sz w:val="18"/>
              </w:rPr>
              <w:t>4个体系与3条真实记录的不平衡组合</w:t>
            </w:r>
          </w:p>
        </w:tc>
        <w:tc>
          <w:tcPr>
            <w:tcW w:w="1928" w:type="dxa"/>
            <w:vAlign w:val="center"/>
          </w:tcPr>
          <w:p w14:paraId="1510653D">
            <w:pPr>
              <w:spacing w:before="30" w:after="30"/>
              <w:ind w:firstLine="0"/>
              <w:jc w:val="center"/>
            </w:pPr>
            <w:r>
              <w:rPr>
                <w:rFonts w:hint="eastAsia" w:ascii="Times New Roman" w:hAnsi="Times New Roman" w:eastAsia="宋体" w:cs="Times New Roman"/>
                <w:b w:val="0"/>
                <w:i w:val="0"/>
                <w:sz w:val="18"/>
              </w:rPr>
              <w:t>频域预测—时域重构—直接有限元闭环</w:t>
            </w:r>
          </w:p>
        </w:tc>
        <w:tc>
          <w:tcPr>
            <w:tcW w:w="1928" w:type="dxa"/>
            <w:vAlign w:val="center"/>
          </w:tcPr>
          <w:p w14:paraId="11CA60F0">
            <w:pPr>
              <w:spacing w:before="30" w:after="30"/>
              <w:ind w:firstLine="0"/>
              <w:jc w:val="center"/>
            </w:pPr>
            <w:r>
              <w:rPr>
                <w:rFonts w:hint="eastAsia" w:ascii="Times New Roman" w:hAnsi="Times New Roman" w:eastAsia="宋体" w:cs="Times New Roman"/>
                <w:b w:val="0"/>
                <w:i w:val="0"/>
                <w:sz w:val="18"/>
              </w:rPr>
              <w:t>否</w:t>
            </w:r>
          </w:p>
        </w:tc>
      </w:tr>
    </w:tbl>
    <w:p w14:paraId="7F9C05F8">
      <w:pPr>
        <w:spacing w:before="0" w:after="0"/>
        <w:ind w:firstLine="420"/>
        <w:jc w:val="both"/>
      </w:pPr>
      <w:r>
        <w:rPr>
          <w:rFonts w:hint="eastAsia" w:ascii="Times New Roman" w:hAnsi="Times New Roman" w:eastAsia="宋体" w:cs="Times New Roman"/>
          <w:b w:val="0"/>
          <w:i w:val="0"/>
          <w:sz w:val="21"/>
        </w:rPr>
        <w:t>这种分池方式把“参数域覆盖”“模型选择”和“最终用途检验”分开处理。P组的规则全因子设计保证每个单因素水平都与另外两项参数完整组合，便于模型同时学习主效应和交互变化；B组则故意落在相邻训练水平之间，使评价对象从已见节点的复现变为三维参数空间内的插值。B组不是从P组随机抽出的12例，因此它比普通随机留出更能暴露规则网格中间的弯曲响应，但仍不能代表参数包络之外的外推能力。C组进一步更换输入地震记录并比较时域量，回答的是代理误差经过特定输入频谱加权以后会产生多大响应偏差。三个层次不能互相替代：交叉验证适合选模型，B组适合检查网格间组合，C组只检验已选模型的端到端重构表现。</w:t>
      </w:r>
    </w:p>
    <w:p w14:paraId="2E65F16A">
      <w:pPr>
        <w:spacing w:before="0" w:after="0"/>
        <w:ind w:firstLine="420"/>
        <w:jc w:val="both"/>
      </w:pPr>
      <w:r>
        <w:rPr>
          <w:rFonts w:hint="eastAsia" w:ascii="Times New Roman" w:hAnsi="Times New Roman" w:eastAsia="宋体" w:cs="Times New Roman"/>
          <w:b w:val="0"/>
          <w:i w:val="0"/>
          <w:sz w:val="21"/>
        </w:rPr>
        <w:t>数据隔离的边界以“物理工况”为单位，而不是以频率点或空间点为单位。一个工况中的30 912个实数输出来自同一次数值计算，频率相邻点共享同一条时程，空间相邻点也受同一波场控制；若把这些点随机分到训练集和验证集，模型实际上可以从同一工况的其余网格点间接识别待验证点，所得误差会严重偏低。更隐蔽的泄漏还可能来自全样本标准化和全样本POD：即使回归器没有读取验证标签，只要验证工况参与了输出均值、方差或模态基底的计算，其场形态就已经进入训练流程。本文因此把有效掩码、缺失值填补量、输入输出尺度和POD基底都限定在各折训练工况内计算，验证折只执行既定变换。最终重拟合可以使用全部P组，是因为模型选择已经结束；B组和C组仍保持在这一过程之外。</w:t>
      </w:r>
    </w:p>
    <w:p w14:paraId="07DC4A2E">
      <w:pPr>
        <w:spacing w:before="0" w:after="0"/>
        <w:ind w:firstLine="420"/>
        <w:jc w:val="both"/>
      </w:pPr>
      <w:r>
        <w:rPr>
          <w:rFonts w:hint="eastAsia" w:ascii="Times New Roman" w:hAnsi="Times New Roman" w:eastAsia="宋体" w:cs="Times New Roman"/>
          <w:b w:val="0"/>
          <w:i w:val="0"/>
          <w:sz w:val="21"/>
        </w:rPr>
        <w:t>每个工况的目标为公共网格上的水平复频响</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5BF01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7F5DA975">
            <w:pPr>
              <w:spacing w:before="60" w:after="60"/>
              <w:jc w:val="center"/>
            </w:pPr>
            <m:oMathPara>
              <m:oMath>
                <m:sSub>
                  <m:sSubPr/>
                  <m:e>
                    <m:r>
                      <m:rPr/>
                      <m:t>G</m:t>
                    </m:r>
                  </m:e>
                  <m:sub>
                    <m:r>
                      <m:rPr/>
                      <m:t>h</m:t>
                    </m:r>
                  </m:sub>
                </m:sSub>
                <m:r>
                  <m:rPr>
                    <m:sty m:val="p"/>
                  </m:rPr>
                  <m:t>(</m:t>
                </m:r>
                <m:r>
                  <m:rPr/>
                  <m:t>f</m:t>
                </m:r>
                <m:r>
                  <m:rPr>
                    <m:sty m:val="p"/>
                  </m:rPr>
                  <m:t>,</m:t>
                </m:r>
                <m:r>
                  <m:rPr/>
                  <m:t>s</m:t>
                </m:r>
                <m:r>
                  <m:rPr>
                    <m:sty m:val="p"/>
                  </m:rPr>
                  <m:t>;</m:t>
                </m:r>
                <m:r>
                  <m:rPr>
                    <m:sty m:val="bi"/>
                  </m:rPr>
                  <m:t>x</m:t>
                </m:r>
                <m:r>
                  <m:rPr>
                    <m:sty m:val="p"/>
                  </m:rPr>
                  <m:t>)=</m:t>
                </m:r>
                <m:f>
                  <m:fPr/>
                  <m:num>
                    <m:sSubSup>
                      <m:sSubSupPr/>
                      <m:e>
                        <m:acc>
                          <m:accPr/>
                          <m:e>
                            <m:r>
                              <m:rPr/>
                              <m:t>a</m:t>
                            </m:r>
                          </m:e>
                        </m:acc>
                      </m:e>
                      <m:sub>
                        <m:r>
                          <m:rPr/>
                          <m:t>h</m:t>
                        </m:r>
                      </m:sub>
                      <m:sup>
                        <m:r>
                          <m:rPr>
                            <m:sty m:val="p"/>
                          </m:rPr>
                          <m:t>2D</m:t>
                        </m:r>
                      </m:sup>
                    </m:sSubSup>
                    <m:r>
                      <m:rPr>
                        <m:sty m:val="p"/>
                      </m:rPr>
                      <m:t>(</m:t>
                    </m:r>
                    <m:r>
                      <m:rPr/>
                      <m:t>f</m:t>
                    </m:r>
                    <m:r>
                      <m:rPr>
                        <m:sty m:val="p"/>
                      </m:rPr>
                      <m:t>,</m:t>
                    </m:r>
                    <m:r>
                      <m:rPr/>
                      <m:t>s</m:t>
                    </m:r>
                    <m:r>
                      <m:rPr>
                        <m:sty m:val="p"/>
                      </m:rPr>
                      <m:t>;</m:t>
                    </m:r>
                    <m:r>
                      <m:rPr>
                        <m:sty m:val="bi"/>
                      </m:rPr>
                      <m:t>x</m:t>
                    </m:r>
                    <m:r>
                      <m:rPr>
                        <m:sty m:val="p"/>
                      </m:rPr>
                      <m:t>)</m:t>
                    </m:r>
                  </m:num>
                  <m:den>
                    <m:sSubSup>
                      <m:sSubSupPr/>
                      <m:e>
                        <m:acc>
                          <m:accPr/>
                          <m:e>
                            <m:r>
                              <m:rPr/>
                              <m:t>a</m:t>
                            </m:r>
                          </m:e>
                        </m:acc>
                      </m:e>
                      <m:sub>
                        <m:r>
                          <m:rPr/>
                          <m:t>h</m:t>
                        </m:r>
                        <m:r>
                          <m:rPr>
                            <m:sty m:val="p"/>
                          </m:rPr>
                          <m:t>,left</m:t>
                        </m:r>
                      </m:sub>
                      <m:sup>
                        <m:r>
                          <m:rPr>
                            <m:sty m:val="p"/>
                          </m:rPr>
                          <m:t>1D</m:t>
                        </m:r>
                      </m:sup>
                    </m:sSubSup>
                    <m:r>
                      <m:rPr>
                        <m:sty m:val="p"/>
                      </m:rPr>
                      <m:t>(</m:t>
                    </m:r>
                    <m:r>
                      <m:rPr/>
                      <m:t>f</m:t>
                    </m:r>
                    <m:r>
                      <m:rPr>
                        <m:sty m:val="p"/>
                      </m:rPr>
                      <m:t>;</m:t>
                    </m:r>
                    <m:r>
                      <m:rPr>
                        <m:sty m:val="bi"/>
                      </m:rPr>
                      <m:t>x</m:t>
                    </m:r>
                    <m:r>
                      <m:rPr>
                        <m:sty m:val="p"/>
                      </m:rPr>
                      <m:t>)</m:t>
                    </m:r>
                  </m:den>
                </m:f>
                <m:r>
                  <m:rPr>
                    <m:sty m:val="p"/>
                  </m:rPr>
                  <m:t>.</m:t>
                </m:r>
              </m:oMath>
            </m:oMathPara>
          </w:p>
        </w:tc>
        <w:tc>
          <w:tcPr>
            <w:tcW w:w="4819" w:type="dxa"/>
          </w:tcPr>
          <w:p w14:paraId="201EAB31">
            <w:pPr>
              <w:spacing w:before="60" w:after="60"/>
              <w:jc w:val="right"/>
            </w:pPr>
            <w:r>
              <w:rPr>
                <w:rFonts w:hint="eastAsia" w:ascii="Times New Roman" w:hAnsi="Times New Roman" w:eastAsia="Times New Roman" w:cs="Times New Roman"/>
                <w:b w:val="0"/>
                <w:i w:val="0"/>
                <w:sz w:val="21"/>
              </w:rPr>
              <w:t>(18)</w:t>
            </w:r>
          </w:p>
        </w:tc>
      </w:tr>
    </w:tbl>
    <w:p w14:paraId="6425770B">
      <w:pPr>
        <w:spacing w:before="0" w:after="0"/>
        <w:ind w:firstLine="420"/>
        <w:jc w:val="both"/>
      </w:pPr>
      <w:r>
        <w:rPr>
          <w:rFonts w:hint="eastAsia" w:ascii="Times New Roman" w:hAnsi="Times New Roman" w:eastAsia="宋体" w:cs="Times New Roman"/>
          <w:b w:val="0"/>
          <w:i w:val="0"/>
          <w:sz w:val="21"/>
        </w:rPr>
        <w:t xml:space="preserve">其中，全地表均使用同一工况左侧上平台一维自由场作为分母，不在 </w:t>
      </w:r>
      <m:oMath>
        <m:r>
          <m:rPr/>
          <m:t>s</m:t>
        </m:r>
        <m:r>
          <m:rPr>
            <m:sty m:val="p"/>
          </m:rPr>
          <m:t>=</m:t>
        </m:r>
        <m:r>
          <m:rPr/>
          <m:t>1</m:t>
        </m:r>
      </m:oMath>
      <w:r>
        <w:rPr>
          <w:rFonts w:hint="eastAsia" w:ascii="Times New Roman" w:hAnsi="Times New Roman" w:eastAsia="宋体" w:cs="Times New Roman"/>
          <w:b w:val="0"/>
          <w:i w:val="0"/>
          <w:sz w:val="21"/>
        </w:rPr>
        <w:t xml:space="preserve"> 处切换参考列。频率范围为0.5～10.0 Hz，间隔0.1 Hz，共96个频点；归一化地表坐标范围为 </w:t>
      </w:r>
      <m:oMath>
        <m:r>
          <m:rPr>
            <m:sty m:val="p"/>
          </m:rPr>
          <m:t>−</m:t>
        </m:r>
        <m:r>
          <m:rPr/>
          <m:t>4</m:t>
        </m:r>
        <m:r>
          <m:rPr>
            <m:sty m:val="p"/>
          </m:rPr>
          <m:t>≤</m:t>
        </m:r>
        <m:r>
          <m:rPr/>
          <m:t>s</m:t>
        </m:r>
        <m:r>
          <m:rPr>
            <m:sty m:val="p"/>
          </m:rPr>
          <m:t>≤</m:t>
        </m:r>
        <m:r>
          <m:rPr/>
          <m:t>4</m:t>
        </m:r>
      </m:oMath>
      <w:r>
        <w:rPr>
          <w:rFonts w:hint="eastAsia" w:ascii="Times New Roman" w:hAnsi="Times New Roman" w:eastAsia="宋体" w:cs="Times New Roman"/>
          <w:b w:val="0"/>
          <w:i w:val="0"/>
          <w:sz w:val="21"/>
        </w:rPr>
        <w:t xml:space="preserve">，间隔0.05，共161个空间点。因此，一个工况包含 </w:t>
      </w:r>
      <m:oMath>
        <m:r>
          <m:rPr/>
          <m:t>96</m:t>
        </m:r>
        <m:r>
          <m:rPr>
            <m:sty m:val="p"/>
          </m:rPr>
          <m:t>×</m:t>
        </m:r>
        <m:r>
          <m:rPr/>
          <m:t>161</m:t>
        </m:r>
        <m:r>
          <m:rPr>
            <m:sty m:val="p"/>
          </m:rPr>
          <m:t>=</m:t>
        </m:r>
        <m:r>
          <m:rPr/>
          <m:t>15 456</m:t>
        </m:r>
      </m:oMath>
      <w:r>
        <w:rPr>
          <w:rFonts w:hint="eastAsia" w:ascii="Times New Roman" w:hAnsi="Times New Roman" w:eastAsia="宋体" w:cs="Times New Roman"/>
          <w:b w:val="0"/>
          <w:i w:val="0"/>
          <w:sz w:val="21"/>
        </w:rPr>
        <w:t xml:space="preserve"> 个复数输出，若直接拆分为实部和虚部，则对应30 912个实数自由度。该目标保留了幅值、相位及二者随频率和空间共同变化的信息，也使代理预测可直接与同一左侧自由场频谱相乘，用于第4.3节的真实波重构。全部P、B工况均使用相同频率网格、空间网格和A/B/C区段定义，其中A段为 </w:t>
      </w:r>
      <m:oMath>
        <m:r>
          <m:rPr>
            <m:sty m:val="p"/>
          </m:rPr>
          <m:t>−</m:t>
        </m:r>
        <m:r>
          <m:rPr/>
          <m:t>4</m:t>
        </m:r>
        <m:r>
          <m:rPr>
            <m:sty m:val="p"/>
          </m:rPr>
          <m:t>≤</m:t>
        </m:r>
        <m:r>
          <m:rPr/>
          <m:t>s</m:t>
        </m:r>
        <m:r>
          <m:rPr>
            <m:sty m:val="p"/>
          </m:rPr>
          <m:t>≤</m:t>
        </m:r>
        <m:r>
          <m:rPr/>
          <m:t>0</m:t>
        </m:r>
      </m:oMath>
      <w:r>
        <w:rPr>
          <w:rFonts w:hint="eastAsia" w:ascii="Times New Roman" w:hAnsi="Times New Roman" w:eastAsia="宋体" w:cs="Times New Roman"/>
          <w:b w:val="0"/>
          <w:i w:val="0"/>
          <w:sz w:val="21"/>
        </w:rPr>
        <w:t xml:space="preserve"> 的上平台，B段为 </w:t>
      </w:r>
      <m:oMath>
        <m:r>
          <m:rPr/>
          <m:t>0</m:t>
        </m:r>
        <m:r>
          <m:rPr>
            <m:sty m:val="p"/>
          </m:rPr>
          <m:t>&lt;</m:t>
        </m:r>
        <m:r>
          <m:rPr/>
          <m:t>s</m:t>
        </m:r>
        <m:r>
          <m:rPr>
            <m:sty m:val="p"/>
          </m:rPr>
          <m:t>≤</m:t>
        </m:r>
        <m:r>
          <m:rPr/>
          <m:t>1</m:t>
        </m:r>
      </m:oMath>
      <w:r>
        <w:rPr>
          <w:rFonts w:hint="eastAsia" w:ascii="Times New Roman" w:hAnsi="Times New Roman" w:eastAsia="宋体" w:cs="Times New Roman"/>
          <w:b w:val="0"/>
          <w:i w:val="0"/>
          <w:sz w:val="21"/>
        </w:rPr>
        <w:t xml:space="preserve"> 的坡面，C段为 </w:t>
      </w:r>
      <m:oMath>
        <m:r>
          <m:rPr/>
          <m:t>1</m:t>
        </m:r>
        <m:r>
          <m:rPr>
            <m:sty m:val="p"/>
          </m:rPr>
          <m:t>&lt;</m:t>
        </m:r>
        <m:r>
          <m:rPr/>
          <m:t>s</m:t>
        </m:r>
        <m:r>
          <m:rPr>
            <m:sty m:val="p"/>
          </m:rPr>
          <m:t>≤</m:t>
        </m:r>
        <m:r>
          <m:rPr/>
          <m:t>4</m:t>
        </m:r>
      </m:oMath>
      <w:r>
        <w:rPr>
          <w:rFonts w:hint="eastAsia" w:ascii="Times New Roman" w:hAnsi="Times New Roman" w:eastAsia="宋体" w:cs="Times New Roman"/>
          <w:b w:val="0"/>
          <w:i w:val="0"/>
          <w:sz w:val="21"/>
        </w:rPr>
        <w:t xml:space="preserve"> 的下平台。</w:t>
      </w:r>
    </w:p>
    <w:p w14:paraId="2A7F1A02">
      <w:pPr>
        <w:spacing w:before="0" w:after="0"/>
        <w:ind w:firstLine="420"/>
        <w:jc w:val="both"/>
      </w:pPr>
      <w:r>
        <w:rPr>
          <w:rFonts w:hint="eastAsia" w:ascii="Times New Roman" w:hAnsi="Times New Roman" w:eastAsia="宋体" w:cs="Times New Roman"/>
          <w:b w:val="0"/>
          <w:i w:val="0"/>
          <w:sz w:val="21"/>
        </w:rPr>
        <w:t>公共网格不仅便于组成矩阵，也保证每一输出维度在不同工况间具有相同的物理含义。例如，固定列对应同一归一化位置和同一频率，而不是某个工况的“第若干个表面节点”。所有区段共用左侧自由场后，</w:t>
      </w:r>
      <m:oMath>
        <m:r>
          <m:rPr/>
          <m:t>s</m:t>
        </m:r>
        <m:r>
          <m:rPr>
            <m:sty m:val="p"/>
          </m:rPr>
          <m:t>=</m:t>
        </m:r>
        <m:r>
          <m:rPr/>
          <m:t>1</m:t>
        </m:r>
      </m:oMath>
      <w:r>
        <w:rPr>
          <w:rFonts w:hint="eastAsia" w:ascii="Times New Roman" w:hAnsi="Times New Roman" w:eastAsia="宋体" w:cs="Times New Roman"/>
          <w:b w:val="0"/>
          <w:i w:val="0"/>
          <w:sz w:val="21"/>
        </w:rPr>
        <w:t xml:space="preserve"> 两侧的输出差别只来自二维坡地波场，不再混入分母高度切换。这样得到的场仍可能在坡脚附近快速变化，但该变化是模型需要学习的物理结构，而不是后处理定义造成的不连续。另一方面，统一分母也意味着下平台响应不再被解释为相对于当地一维场的局部放大；本章所预测的是相对于同一全局参考的完整空间传递关系，使用和比较时必须保持这一口径。</w:t>
      </w:r>
    </w:p>
    <w:p w14:paraId="1099B7C7">
      <w:pPr>
        <w:spacing w:before="0" w:after="0"/>
        <w:ind w:firstLine="420"/>
        <w:jc w:val="both"/>
      </w:pPr>
      <w:r>
        <w:rPr>
          <w:rFonts w:hint="eastAsia" w:ascii="Times New Roman" w:hAnsi="Times New Roman" w:eastAsia="宋体" w:cs="Times New Roman"/>
          <w:b w:val="0"/>
          <w:i w:val="0"/>
          <w:sz w:val="21"/>
        </w:rPr>
        <w:t xml:space="preserve">为避免复数相位在 </w:t>
      </w:r>
      <m:oMath>
        <m:r>
          <m:rPr>
            <m:sty m:val="p"/>
          </m:rPr>
          <m:t>−</m:t>
        </m:r>
        <m:r>
          <m:rPr/>
          <m:t>π</m:t>
        </m:r>
      </m:oMath>
      <w:r>
        <w:rPr>
          <w:rFonts w:hint="eastAsia" w:ascii="Times New Roman" w:hAnsi="Times New Roman" w:eastAsia="宋体" w:cs="Times New Roman"/>
          <w:b w:val="0"/>
          <w:i w:val="0"/>
          <w:sz w:val="21"/>
        </w:rPr>
        <w:t xml:space="preserve"> 与 </w:t>
      </w:r>
      <m:oMath>
        <m:r>
          <m:rPr/>
          <m:t>π</m:t>
        </m:r>
      </m:oMath>
      <w:r>
        <w:rPr>
          <w:rFonts w:hint="eastAsia" w:ascii="Times New Roman" w:hAnsi="Times New Roman" w:eastAsia="宋体" w:cs="Times New Roman"/>
          <w:b w:val="0"/>
          <w:i w:val="0"/>
          <w:sz w:val="21"/>
        </w:rPr>
        <w:t xml:space="preserve"> 处跳变，模型不直接回归幅值和相位，而是将有效网格点的实部、虚部依次拼接为输出向量</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583E9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73A086D7">
            <w:pPr>
              <w:spacing w:before="60" w:after="60"/>
              <w:jc w:val="center"/>
            </w:pPr>
            <m:oMathPara>
              <m:oMath>
                <m:sSub>
                  <m:sSubPr/>
                  <m:e>
                    <m:r>
                      <m:rPr>
                        <m:sty m:val="bi"/>
                      </m:rPr>
                      <m:t>y</m:t>
                    </m:r>
                  </m:e>
                  <m:sub>
                    <m:r>
                      <m:rPr/>
                      <m:t>n</m:t>
                    </m:r>
                  </m:sub>
                </m:sSub>
                <m:r>
                  <m:rPr>
                    <m:sty m:val="p"/>
                  </m:rPr>
                  <m:t>=[Re(</m:t>
                </m:r>
                <m:sSub>
                  <m:sSubPr/>
                  <m:e>
                    <m:r>
                      <m:rPr/>
                      <m:t>G</m:t>
                    </m:r>
                  </m:e>
                  <m:sub>
                    <m:r>
                      <m:rPr/>
                      <m:t>h</m:t>
                    </m:r>
                    <m:r>
                      <m:rPr>
                        <m:sty m:val="p"/>
                      </m:rPr>
                      <m:t>,</m:t>
                    </m:r>
                    <m:r>
                      <m:rPr/>
                      <m:t>n</m:t>
                    </m:r>
                    <m:r>
                      <m:rPr>
                        <m:sty m:val="p"/>
                      </m:rPr>
                      <m:t>,</m:t>
                    </m:r>
                    <m:r>
                      <m:rPr/>
                      <m:t>1</m:t>
                    </m:r>
                  </m:sub>
                </m:sSub>
                <m:r>
                  <m:rPr>
                    <m:sty m:val="p"/>
                  </m:rPr>
                  <m:t>),…,Re(</m:t>
                </m:r>
                <m:sSub>
                  <m:sSubPr/>
                  <m:e>
                    <m:r>
                      <m:rPr/>
                      <m:t>G</m:t>
                    </m:r>
                  </m:e>
                  <m:sub>
                    <m:r>
                      <m:rPr/>
                      <m:t>h</m:t>
                    </m:r>
                    <m:r>
                      <m:rPr>
                        <m:sty m:val="p"/>
                      </m:rPr>
                      <m:t>,</m:t>
                    </m:r>
                    <m:r>
                      <m:rPr/>
                      <m:t>n</m:t>
                    </m:r>
                    <m:r>
                      <m:rPr>
                        <m:sty m:val="p"/>
                      </m:rPr>
                      <m:t>,</m:t>
                    </m:r>
                    <m:r>
                      <m:rPr/>
                      <m:t>m</m:t>
                    </m:r>
                  </m:sub>
                </m:sSub>
                <m:r>
                  <m:rPr>
                    <m:sty m:val="p"/>
                  </m:rPr>
                  <m:t>),Im(</m:t>
                </m:r>
                <m:sSub>
                  <m:sSubPr/>
                  <m:e>
                    <m:r>
                      <m:rPr/>
                      <m:t>G</m:t>
                    </m:r>
                  </m:e>
                  <m:sub>
                    <m:r>
                      <m:rPr/>
                      <m:t>h</m:t>
                    </m:r>
                    <m:r>
                      <m:rPr>
                        <m:sty m:val="p"/>
                      </m:rPr>
                      <m:t>,</m:t>
                    </m:r>
                    <m:r>
                      <m:rPr/>
                      <m:t>n</m:t>
                    </m:r>
                    <m:r>
                      <m:rPr>
                        <m:sty m:val="p"/>
                      </m:rPr>
                      <m:t>,</m:t>
                    </m:r>
                    <m:r>
                      <m:rPr/>
                      <m:t>1</m:t>
                    </m:r>
                  </m:sub>
                </m:sSub>
                <m:r>
                  <m:rPr>
                    <m:sty m:val="p"/>
                  </m:rPr>
                  <m:t>),…,Im(</m:t>
                </m:r>
                <m:sSub>
                  <m:sSubPr/>
                  <m:e>
                    <m:r>
                      <m:rPr/>
                      <m:t>G</m:t>
                    </m:r>
                  </m:e>
                  <m:sub>
                    <m:r>
                      <m:rPr/>
                      <m:t>h</m:t>
                    </m:r>
                    <m:r>
                      <m:rPr>
                        <m:sty m:val="p"/>
                      </m:rPr>
                      <m:t>,</m:t>
                    </m:r>
                    <m:r>
                      <m:rPr/>
                      <m:t>n</m:t>
                    </m:r>
                    <m:r>
                      <m:rPr>
                        <m:sty m:val="p"/>
                      </m:rPr>
                      <m:t>,</m:t>
                    </m:r>
                    <m:r>
                      <m:rPr/>
                      <m:t>m</m:t>
                    </m:r>
                  </m:sub>
                </m:sSub>
                <m:r>
                  <m:rPr>
                    <m:sty m:val="p"/>
                  </m:rPr>
                  <m:t>)],</m:t>
                </m:r>
              </m:oMath>
            </m:oMathPara>
          </w:p>
        </w:tc>
        <w:tc>
          <w:tcPr>
            <w:tcW w:w="4819" w:type="dxa"/>
          </w:tcPr>
          <w:p w14:paraId="3A0B3B93">
            <w:pPr>
              <w:spacing w:before="60" w:after="60"/>
              <w:jc w:val="right"/>
            </w:pPr>
          </w:p>
        </w:tc>
      </w:tr>
    </w:tbl>
    <w:p w14:paraId="3207C7BD">
      <w:pPr>
        <w:spacing w:before="0" w:after="0"/>
        <w:ind w:firstLine="420"/>
        <w:jc w:val="both"/>
      </w:pPr>
      <w:r>
        <w:rPr>
          <w:rFonts w:hint="eastAsia" w:ascii="Times New Roman" w:hAnsi="Times New Roman" w:eastAsia="宋体" w:cs="Times New Roman"/>
          <w:b w:val="0"/>
          <w:i w:val="0"/>
          <w:sz w:val="21"/>
        </w:rPr>
        <w:t xml:space="preserve">式中 </w:t>
      </w:r>
      <m:oMath>
        <m:r>
          <m:rPr/>
          <m:t>m</m:t>
        </m:r>
        <m:r>
          <m:rPr>
            <m:sty m:val="p"/>
          </m:rPr>
          <m:t>=</m:t>
        </m:r>
        <m:r>
          <m:rPr/>
          <m:t>15 456</m:t>
        </m:r>
      </m:oMath>
      <w:r>
        <w:rPr>
          <w:rFonts w:hint="eastAsia" w:ascii="Times New Roman" w:hAnsi="Times New Roman" w:eastAsia="宋体" w:cs="Times New Roman"/>
          <w:b w:val="0"/>
          <w:i w:val="0"/>
          <w:sz w:val="21"/>
        </w:rPr>
        <w:t>。在每个外层训练折内部，先根据训练样本计算共同有效像素；某像素在不少于95%的训练工况中有效时才进入模型，偶发非有限值仅用该训练折相应输出维度的均值填补。随后分别以训练折均值和标准差对每个实、虚输出维度进行中心化和尺度化，输入的三个参数同样只用该训练折的均值和标准差标准化。最终64个P工况重拟合时，15 456个复数网格点全部满足有效率要求。上述处理均在折内重新计算，没有使用验证折或B组的信息，因而避免了将待评价工况的均值、尺度或空间基底泄漏给模型。</w:t>
      </w:r>
    </w:p>
    <w:p w14:paraId="723AE3F9">
      <w:pPr>
        <w:spacing w:before="0" w:after="0"/>
        <w:ind w:firstLine="420"/>
        <w:jc w:val="both"/>
      </w:pPr>
      <w:r>
        <w:rPr>
          <w:rFonts w:hint="eastAsia" w:ascii="Times New Roman" w:hAnsi="Times New Roman" w:eastAsia="宋体" w:cs="Times New Roman"/>
          <w:b w:val="0"/>
          <w:i w:val="0"/>
          <w:sz w:val="21"/>
        </w:rPr>
        <w:t xml:space="preserve">实部—虚部表示的主要好处是消除相位主值的人为断点。若直接回归相位，真实相位从 </w:t>
      </w:r>
      <m:oMath>
        <m:sSup>
          <m:sSupPr/>
          <m:e>
            <m:r>
              <m:rPr/>
              <m:t>179</m:t>
            </m:r>
          </m:e>
          <m:sup>
            <m:r>
              <m:rPr>
                <m:sty m:val="p"/>
              </m:rPr>
              <m:t>∘</m:t>
            </m:r>
          </m:sup>
        </m:sSup>
      </m:oMath>
      <w:r>
        <w:rPr>
          <w:rFonts w:hint="eastAsia" w:ascii="Times New Roman" w:hAnsi="Times New Roman" w:eastAsia="宋体" w:cs="Times New Roman"/>
          <w:b w:val="0"/>
          <w:i w:val="0"/>
          <w:sz w:val="21"/>
        </w:rPr>
        <w:t xml:space="preserve"> 连续变化到 </w:t>
      </w:r>
      <m:oMath>
        <m:sSup>
          <m:sSupPr/>
          <m:e>
            <m:r>
              <m:rPr/>
              <m:t>181</m:t>
            </m:r>
          </m:e>
          <m:sup>
            <m:r>
              <m:rPr>
                <m:sty m:val="p"/>
              </m:rPr>
              <m:t>∘</m:t>
            </m:r>
          </m:sup>
        </m:sSup>
      </m:oMath>
      <w:r>
        <w:rPr>
          <w:rFonts w:hint="eastAsia" w:ascii="Times New Roman" w:hAnsi="Times New Roman" w:eastAsia="宋体" w:cs="Times New Roman"/>
          <w:b w:val="0"/>
          <w:i w:val="0"/>
          <w:sz w:val="21"/>
        </w:rPr>
        <w:t xml:space="preserve"> 时，保存为主值后会从 </w:t>
      </w:r>
      <m:oMath>
        <m:sSup>
          <m:sSupPr/>
          <m:e>
            <m:r>
              <m:rPr/>
              <m:t>179</m:t>
            </m:r>
          </m:e>
          <m:sup>
            <m:r>
              <m:rPr>
                <m:sty m:val="p"/>
              </m:rPr>
              <m:t>∘</m:t>
            </m:r>
          </m:sup>
        </m:sSup>
      </m:oMath>
      <w:r>
        <w:rPr>
          <w:rFonts w:hint="eastAsia" w:ascii="Times New Roman" w:hAnsi="Times New Roman" w:eastAsia="宋体" w:cs="Times New Roman"/>
          <w:b w:val="0"/>
          <w:i w:val="0"/>
          <w:sz w:val="21"/>
        </w:rPr>
        <w:t xml:space="preserve"> 跳到 </w:t>
      </w:r>
      <m:oMath>
        <m:r>
          <m:rPr>
            <m:sty m:val="p"/>
          </m:rPr>
          <m:t>−</m:t>
        </m:r>
        <m:sSup>
          <m:sSupPr/>
          <m:e>
            <m:r>
              <m:rPr/>
              <m:t>179</m:t>
            </m:r>
          </m:e>
          <m:sup>
            <m:r>
              <m:rPr>
                <m:sty m:val="p"/>
              </m:rPr>
              <m:t>∘</m:t>
            </m:r>
          </m:sup>
        </m:sSup>
      </m:oMath>
      <w:r>
        <w:rPr>
          <w:rFonts w:hint="eastAsia" w:ascii="Times New Roman" w:hAnsi="Times New Roman" w:eastAsia="宋体" w:cs="Times New Roman"/>
          <w:b w:val="0"/>
          <w:i w:val="0"/>
          <w:sz w:val="21"/>
        </w:rPr>
        <w:t>，普通回归损失会把本来只有2°的差别看成358°。把复数写成直角坐标后，这一变化在输出空间仍然连续，幅值与相位也通过同一对分量共同决定。直接回归对数幅值和解缠相位虽然也可避免部分问题，但二维频率—空间场的相位解缠路径并不唯一，低幅值区的相位还会对微小数值扰动异常敏感。实虚表示不要求先人为指定解缠方向，更适合在所有工况上执行一致的机械处理。</w:t>
      </w:r>
    </w:p>
    <w:p w14:paraId="1B1FFD29">
      <w:pPr>
        <w:spacing w:before="0" w:after="0"/>
        <w:ind w:firstLine="420"/>
        <w:jc w:val="both"/>
      </w:pPr>
      <w:r>
        <w:rPr>
          <w:rFonts w:hint="eastAsia" w:ascii="Times New Roman" w:hAnsi="Times New Roman" w:eastAsia="宋体" w:cs="Times New Roman"/>
          <w:b w:val="0"/>
          <w:i w:val="0"/>
          <w:sz w:val="21"/>
        </w:rPr>
        <w:t>按输出维度标准化同样是必要的。未经标准化时，少数高幅值频率—空间点会主导平方损失，POD首先追踪的是绝对幅值最大的区域，小幅但稳定的相位结构容易被忽略；标准化后，各网格维度先按P组内部变异尺度进入分解，使模态反映“随参数改变的相对变化”。这种处理并不意味着每个物理区域在最终评价中权重相同，因为预测还要逆变换回原始复数场，并按输入频率能量计算式（21）。因此，POD累计能量描述的是标准化训练输出的方差压缩程度，而不是地震输入能量或工程误差的直接占比。区分这三种“能量”是解释后续12、24和36阶结果的前提。</w:t>
      </w:r>
    </w:p>
    <w:p w14:paraId="7F627610">
      <w:pPr>
        <w:spacing w:before="0" w:after="0"/>
        <w:ind w:firstLine="420"/>
        <w:jc w:val="both"/>
      </w:pPr>
      <w:r>
        <w:rPr>
          <w:rFonts w:hint="eastAsia" w:ascii="Times New Roman" w:hAnsi="Times New Roman" w:eastAsia="宋体" w:cs="Times New Roman"/>
          <w:b w:val="0"/>
          <w:i w:val="0"/>
          <w:sz w:val="21"/>
        </w:rPr>
        <w:t xml:space="preserve">标准化后的输出矩阵记为 </w:t>
      </w:r>
      <m:oMath>
        <m:r>
          <m:rPr>
            <m:sty m:val="bi"/>
          </m:rPr>
          <m:t>Y</m:t>
        </m:r>
      </m:oMath>
      <w:r>
        <w:rPr>
          <w:rFonts w:hint="eastAsia" w:ascii="Times New Roman" w:hAnsi="Times New Roman" w:eastAsia="宋体" w:cs="Times New Roman"/>
          <w:b w:val="0"/>
          <w:i w:val="0"/>
          <w:sz w:val="21"/>
        </w:rPr>
        <w:t>，采用奇异值分解</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03EF9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1BD52AFF">
            <w:pPr>
              <w:spacing w:before="60" w:after="60"/>
              <w:jc w:val="center"/>
            </w:pPr>
            <m:oMathPara>
              <m:oMath>
                <m:r>
                  <m:rPr>
                    <m:sty m:val="bi"/>
                  </m:rPr>
                  <m:t>Y</m:t>
                </m:r>
                <m:r>
                  <m:rPr>
                    <m:sty m:val="p"/>
                  </m:rPr>
                  <m:t>=</m:t>
                </m:r>
                <m:r>
                  <m:rPr>
                    <m:sty m:val="bi"/>
                  </m:rPr>
                  <m:t>U</m:t>
                </m:r>
                <m:r>
                  <m:rPr>
                    <m:sty m:val="b"/>
                  </m:rPr>
                  <m:t>Σ</m:t>
                </m:r>
                <m:sSup>
                  <m:sSupPr/>
                  <m:e>
                    <m:r>
                      <m:rPr>
                        <m:sty m:val="bi"/>
                      </m:rPr>
                      <m:t>V</m:t>
                    </m:r>
                  </m:e>
                  <m:sup>
                    <m:r>
                      <m:rPr>
                        <m:sty m:val="p"/>
                      </m:rPr>
                      <m:t>T</m:t>
                    </m:r>
                  </m:sup>
                </m:sSup>
                <m:r>
                  <m:rPr>
                    <m:sty m:val="p"/>
                  </m:rPr>
                  <m:t>,</m:t>
                </m:r>
                <m:r>
                  <m:rPr/>
                  <m:t>  </m:t>
                </m:r>
                <m:sSub>
                  <m:sSubPr/>
                  <m:e>
                    <m:r>
                      <m:rPr/>
                      <m:t>η</m:t>
                    </m:r>
                  </m:e>
                  <m:sub>
                    <m:r>
                      <m:rPr/>
                      <m:t>K</m:t>
                    </m:r>
                  </m:sub>
                </m:sSub>
                <m:r>
                  <m:rPr>
                    <m:sty m:val="p"/>
                  </m:rPr>
                  <m:t>=</m:t>
                </m:r>
                <m:f>
                  <m:fPr/>
                  <m:num>
                    <m:nary>
                      <m:naryPr>
                        <m:chr m:val="∑"/>
                        <m:limLoc m:val="undOvr"/>
                      </m:naryPr>
                      <m:sub>
                        <m:r>
                          <m:rPr/>
                          <m:t>k</m:t>
                        </m:r>
                        <m:r>
                          <m:rPr>
                            <m:sty m:val="p"/>
                          </m:rPr>
                          <m:t>=</m:t>
                        </m:r>
                        <m:r>
                          <m:rPr/>
                          <m:t>1</m:t>
                        </m:r>
                      </m:sub>
                      <m:sup>
                        <m:r>
                          <m:rPr/>
                          <m:t>K</m:t>
                        </m:r>
                      </m:sup>
                      <m:e>
                        <m:sSubSup>
                          <m:sSubSupPr/>
                          <m:e>
                            <m:r>
                              <m:rPr/>
                              <m:t>σ</m:t>
                            </m:r>
                          </m:e>
                          <m:sub>
                            <m:r>
                              <m:rPr/>
                              <m:t>k</m:t>
                            </m:r>
                          </m:sub>
                          <m:sup>
                            <m:r>
                              <m:rPr/>
                              <m:t>2</m:t>
                            </m:r>
                          </m:sup>
                        </m:sSubSup>
                      </m:e>
                    </m:nary>
                  </m:num>
                  <m:den>
                    <m:nary>
                      <m:naryPr>
                        <m:chr m:val="∑"/>
                        <m:limLoc m:val="undOvr"/>
                      </m:naryPr>
                      <m:sub>
                        <m:r>
                          <m:rPr/>
                          <m:t>k</m:t>
                        </m:r>
                        <m:r>
                          <m:rPr>
                            <m:sty m:val="p"/>
                          </m:rPr>
                          <m:t>=</m:t>
                        </m:r>
                        <m:r>
                          <m:rPr/>
                          <m:t>1</m:t>
                        </m:r>
                      </m:sub>
                      <m:sup>
                        <m:r>
                          <m:rPr/>
                          <m:t>r</m:t>
                        </m:r>
                      </m:sup>
                      <m:e>
                        <m:sSubSup>
                          <m:sSubSupPr/>
                          <m:e>
                            <m:r>
                              <m:rPr/>
                              <m:t>σ</m:t>
                            </m:r>
                          </m:e>
                          <m:sub>
                            <m:r>
                              <m:rPr/>
                              <m:t>k</m:t>
                            </m:r>
                          </m:sub>
                          <m:sup>
                            <m:r>
                              <m:rPr/>
                              <m:t>2</m:t>
                            </m:r>
                          </m:sup>
                        </m:sSubSup>
                      </m:e>
                    </m:nary>
                  </m:den>
                </m:f>
                <m:r>
                  <m:rPr>
                    <m:sty m:val="p"/>
                  </m:rPr>
                  <m:t>.</m:t>
                </m:r>
              </m:oMath>
            </m:oMathPara>
          </w:p>
        </w:tc>
        <w:tc>
          <w:tcPr>
            <w:tcW w:w="4819" w:type="dxa"/>
          </w:tcPr>
          <w:p w14:paraId="2A021863">
            <w:pPr>
              <w:spacing w:before="60" w:after="60"/>
              <w:jc w:val="right"/>
            </w:pPr>
            <w:r>
              <w:rPr>
                <w:rFonts w:hint="eastAsia" w:ascii="Times New Roman" w:hAnsi="Times New Roman" w:eastAsia="Times New Roman" w:cs="Times New Roman"/>
                <w:b w:val="0"/>
                <w:i w:val="0"/>
                <w:sz w:val="21"/>
              </w:rPr>
              <w:t>(19)</w:t>
            </w:r>
          </w:p>
        </w:tc>
      </w:tr>
    </w:tbl>
    <w:p w14:paraId="7D3AA0E7">
      <w:pPr>
        <w:spacing w:before="0" w:after="0"/>
        <w:ind w:firstLine="420"/>
        <w:jc w:val="both"/>
      </w:pPr>
      <w:r>
        <w:rPr>
          <w:rFonts w:hint="eastAsia" w:ascii="Times New Roman" w:hAnsi="Times New Roman" w:eastAsia="宋体" w:cs="Times New Roman"/>
          <w:b w:val="0"/>
          <w:i w:val="0"/>
          <w:sz w:val="21"/>
        </w:rPr>
        <w:t>式（19）中，</w:t>
      </w:r>
      <m:oMath>
        <m:sSub>
          <m:sSubPr/>
          <m:e>
            <m:r>
              <m:rPr/>
              <m:t>σ</m:t>
            </m:r>
          </m:e>
          <m:sub>
            <m:r>
              <m:rPr/>
              <m:t>k</m:t>
            </m:r>
          </m:sub>
        </m:sSub>
      </m:oMath>
      <w:r>
        <w:rPr>
          <w:rFonts w:hint="eastAsia" w:ascii="Times New Roman" w:hAnsi="Times New Roman" w:eastAsia="宋体" w:cs="Times New Roman"/>
          <w:b w:val="0"/>
          <w:i w:val="0"/>
          <w:sz w:val="21"/>
        </w:rPr>
        <w:t xml:space="preserve"> 为第 </w:t>
      </w:r>
      <m:oMath>
        <m:r>
          <m:rPr/>
          <m:t>k</m:t>
        </m:r>
      </m:oMath>
      <w:r>
        <w:rPr>
          <w:rFonts w:hint="eastAsia" w:ascii="Times New Roman" w:hAnsi="Times New Roman" w:eastAsia="宋体" w:cs="Times New Roman"/>
          <w:b w:val="0"/>
          <w:i w:val="0"/>
          <w:sz w:val="21"/>
        </w:rPr>
        <w:t xml:space="preserve"> 个奇异值，</w:t>
      </w:r>
      <m:oMath>
        <m:r>
          <m:rPr/>
          <m:t>r</m:t>
        </m:r>
        <m:r>
          <m:rPr>
            <m:sty m:val="p"/>
          </m:rPr>
          <m:t>=rank(</m:t>
        </m:r>
        <m:r>
          <m:rPr>
            <m:sty m:val="bi"/>
          </m:rPr>
          <m:t>Y</m:t>
        </m:r>
        <m:r>
          <m:rPr>
            <m:sty m:val="p"/>
          </m:rPr>
          <m:t>)</m:t>
        </m:r>
      </m:oMath>
      <w:r>
        <w:rPr>
          <w:rFonts w:hint="eastAsia" w:ascii="Times New Roman" w:hAnsi="Times New Roman" w:eastAsia="宋体" w:cs="Times New Roman"/>
          <w:b w:val="0"/>
          <w:i w:val="0"/>
          <w:sz w:val="21"/>
        </w:rPr>
        <w:t xml:space="preserve">。将完整场投影到前 </w:t>
      </w:r>
      <m:oMath>
        <m:r>
          <m:rPr/>
          <m:t>K</m:t>
        </m:r>
      </m:oMath>
      <w:r>
        <w:rPr>
          <w:rFonts w:hint="eastAsia" w:ascii="Times New Roman" w:hAnsi="Times New Roman" w:eastAsia="宋体" w:cs="Times New Roman"/>
          <w:b w:val="0"/>
          <w:i w:val="0"/>
          <w:sz w:val="21"/>
        </w:rPr>
        <w:t xml:space="preserve"> 个POD模态，得到每个工况的低维系数 </w:t>
      </w:r>
      <m:oMath>
        <m:r>
          <m:rPr>
            <m:sty m:val="bi"/>
          </m:rPr>
          <m:t>z</m:t>
        </m:r>
        <m:r>
          <m:rPr>
            <m:sty m:val="p"/>
          </m:rPr>
          <m:t>=</m:t>
        </m:r>
        <m:r>
          <m:rPr>
            <m:sty m:val="bi"/>
          </m:rPr>
          <m:t>Y</m:t>
        </m:r>
        <m:sSub>
          <m:sSubPr/>
          <m:e>
            <m:r>
              <m:rPr>
                <m:sty m:val="bi"/>
              </m:rPr>
              <m:t>V</m:t>
            </m:r>
          </m:e>
          <m:sub>
            <m:r>
              <m:rPr/>
              <m:t>K</m:t>
            </m:r>
          </m:sub>
        </m:sSub>
      </m:oMath>
      <w:r>
        <w:rPr>
          <w:rFonts w:hint="eastAsia" w:ascii="Times New Roman" w:hAnsi="Times New Roman" w:eastAsia="宋体" w:cs="Times New Roman"/>
          <w:b w:val="0"/>
          <w:i w:val="0"/>
          <w:sz w:val="21"/>
        </w:rPr>
        <w:t>。图18(a)表明，B组参数点分布在P组规则网格之间，能够检验模型是否只会复现最近训练节点；图18(c)～(e)给出的前三阶复数模态同时编码了坡面邻域的窄带结构、下平台的中高频响应及跨区段连续条带，而非某一位置的单个峰值。前三阶累计能量为49.96%，说明场变化不由一两个模态支配。</w:t>
      </w:r>
    </w:p>
    <w:p w14:paraId="56F89A0F">
      <w:pPr>
        <w:spacing w:before="0" w:after="0"/>
        <w:ind w:firstLine="420"/>
        <w:jc w:val="both"/>
      </w:pPr>
      <w:r>
        <w:rPr>
          <w:rFonts w:hint="eastAsia" w:ascii="Times New Roman" w:hAnsi="Times New Roman" w:eastAsia="宋体" w:cs="Times New Roman"/>
          <w:b w:val="0"/>
          <w:i w:val="0"/>
          <w:sz w:val="21"/>
        </w:rPr>
        <w:t>POD适用于这里的根本原因，是64个工况虽然各有30 912维输出，但这些输出并非彼此独立。相邻频点和相邻地表位置由同一传播、反射和干涉过程联系起来，参数改变时常表现为整条峰谷带的平移、增强或减弱，因此高维场可以由较少的协同变化方向近似表示。经过中心化后，64个样本构成的矩阵秩至多为63，POD先把可学习对象从数万个网格量降到至多63个样本方向，再由回归器预测其中前若干个系数。这种降维并没有预设某一频率或位置最重要，模态也不对应单独的物理振型；它只是从P组观测到的参数变化中提取正交统计基底。图18的前三阶模态跨越多个空间段，正说明“一个模态等于一个峰”并不成立。</w:t>
      </w:r>
    </w:p>
    <w:p w14:paraId="08D5DE2E">
      <w:pPr>
        <w:spacing w:before="80" w:after="40"/>
        <w:ind w:firstLine="0"/>
        <w:jc w:val="center"/>
      </w:pPr>
      <w:r>
        <w:drawing>
          <wp:inline distT="0" distB="0" distL="114300" distR="114300">
            <wp:extent cx="2880360" cy="1822450"/>
            <wp:effectExtent l="0" t="0" r="1524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2880360" cy="1822579"/>
                    </a:xfrm>
                    <a:prstGeom prst="rect">
                      <a:avLst/>
                    </a:prstGeom>
                  </pic:spPr>
                </pic:pic>
              </a:graphicData>
            </a:graphic>
          </wp:inline>
        </w:drawing>
      </w:r>
    </w:p>
    <w:p w14:paraId="68A4D548">
      <w:pPr>
        <w:spacing w:before="0" w:after="0"/>
        <w:ind w:firstLine="0"/>
        <w:jc w:val="center"/>
      </w:pPr>
      <w:r>
        <w:rPr>
          <w:rFonts w:hint="eastAsia" w:ascii="Times New Roman" w:hAnsi="Times New Roman" w:eastAsia="宋体" w:cs="Times New Roman"/>
          <w:b w:val="0"/>
          <w:i w:val="0"/>
          <w:sz w:val="18"/>
        </w:rPr>
        <w:t>图18 训练与训练外参数样本、POD累计能量及前三阶复数模态：（a）64个P组训练参数点与12个B组训练外参数点；（b）64个P工况标准化输出矩阵的累计能量，12、24和36阶分别为86.139%、97.087%和99.5066%；（c）～（e）按输出标准差还原后的前三阶复数模态幅值</w:t>
      </w:r>
    </w:p>
    <w:p w14:paraId="743A53B5">
      <w:pPr>
        <w:spacing w:before="0" w:after="60"/>
        <w:ind w:firstLine="0"/>
        <w:jc w:val="center"/>
      </w:pPr>
      <w:r>
        <w:rPr>
          <w:rFonts w:hint="eastAsia" w:ascii="Times New Roman" w:hAnsi="Times New Roman" w:eastAsia="Times New Roman" w:cs="Times New Roman"/>
          <w:b w:val="0"/>
          <w:i w:val="0"/>
          <w:sz w:val="18"/>
        </w:rPr>
        <w:t>Fig. 18 Training and training-excluded parameter samples, cumulative POD energy, and the first three complex modes</w:t>
      </w:r>
    </w:p>
    <w:p w14:paraId="78B2A91C">
      <w:pPr>
        <w:spacing w:before="0" w:after="0"/>
        <w:ind w:firstLine="420"/>
        <w:jc w:val="both"/>
      </w:pPr>
      <w:r>
        <w:rPr>
          <w:rFonts w:hint="eastAsia" w:ascii="Times New Roman" w:hAnsi="Times New Roman" w:eastAsia="宋体" w:cs="Times New Roman"/>
          <w:b w:val="0"/>
          <w:i w:val="0"/>
          <w:sz w:val="21"/>
        </w:rPr>
        <w:t>训练配置把累计能量目标设为0.995，同时把最多保留阶数限制为12。按完整P组重新分解后，12阶仅保留86.139%的标准化输出能量；若不受阶数上限约束，达到99.5%需要36阶，此时实际累计能量为99.5066%。因此，主模型不能写成“12阶保留99.5%能量”。在标准化实—虚空间中，12阶之后仍有13.861%的平方能量被截去。该比例虽不能与输入能量加权复数误差一一对应，却明确表明POD截断是当前误差的一项实际来源，不能作为可忽略的数值细节处理。</w:t>
      </w:r>
    </w:p>
    <w:p w14:paraId="43708331">
      <w:pPr>
        <w:spacing w:before="0" w:after="0"/>
        <w:ind w:firstLine="420"/>
        <w:jc w:val="both"/>
      </w:pPr>
      <w:r>
        <w:rPr>
          <w:rFonts w:hint="eastAsia" w:ascii="Times New Roman" w:hAnsi="Times New Roman" w:eastAsia="宋体" w:cs="Times New Roman"/>
          <w:b w:val="0"/>
          <w:i w:val="0"/>
          <w:sz w:val="21"/>
        </w:rPr>
        <w:t>能量目标与阶数上限共同决定模型容量。实际分解表明，12阶模型在回归之前就舍弃了13.861%的标准化方差；24阶把未保留比例降至2.913%，36阶进一步降至0.4934%，三种设置构成了区分“基底表达不足”和“系数预测不足”的受控比较。需要注意，累计能量是训练矩阵上的重构量，而式（21）是在验证工况、原始复数尺度和输入谱权重下计算，两者的损失空间不同，不能把13.861%直接解释为13.861%的预测误差，也不能用能量接近100%推出训练外预测必然准确。POD只回答给定真值场能否由该基底表示，代理还必须回答未知参数下每个模态系数能否被正确估计。</w:t>
      </w:r>
    </w:p>
    <w:p w14:paraId="2E4025C3">
      <w:pPr>
        <w:spacing w:before="0" w:after="0"/>
        <w:ind w:firstLine="420"/>
        <w:jc w:val="both"/>
      </w:pPr>
      <w:r>
        <w:rPr>
          <w:rFonts w:hint="eastAsia" w:ascii="Times New Roman" w:hAnsi="Times New Roman" w:eastAsia="宋体" w:cs="Times New Roman"/>
          <w:b w:val="0"/>
          <w:i w:val="0"/>
          <w:sz w:val="21"/>
        </w:rPr>
        <w:t xml:space="preserve">POD系数分别交由三种候选方法预测。最近邻方法在标准化参数空间中寻找欧氏距离最近的P组样本，并直接复制其完整复频响场，用于衡量稀疏规则网格下最简单的局部基线。POD-Ridge以岭回归建立三个输入与POD系数之间的线性映射，正则化系数从 </w:t>
      </w:r>
      <m:oMath>
        <m:sSup>
          <m:sSupPr/>
          <m:e>
            <m:r>
              <m:rPr/>
              <m:t>10</m:t>
            </m:r>
          </m:e>
          <m:sup>
            <m:r>
              <m:rPr>
                <m:sty m:val="p"/>
              </m:rPr>
              <m:t>−</m:t>
            </m:r>
            <m:r>
              <m:rPr/>
              <m:t>5</m:t>
            </m:r>
          </m:sup>
        </m:sSup>
      </m:oMath>
      <w:r>
        <w:rPr>
          <w:rFonts w:hint="eastAsia" w:ascii="Times New Roman" w:hAnsi="Times New Roman" w:eastAsia="宋体" w:cs="Times New Roman"/>
          <w:b w:val="0"/>
          <w:i w:val="0"/>
          <w:sz w:val="21"/>
        </w:rPr>
        <w:t>～</w:t>
      </w:r>
      <m:oMath>
        <m:sSup>
          <m:sSupPr/>
          <m:e>
            <m:r>
              <m:rPr/>
              <m:t>10</m:t>
            </m:r>
          </m:e>
          <m:sup>
            <m:r>
              <m:rPr/>
              <m:t>5</m:t>
            </m:r>
          </m:sup>
        </m:sSup>
      </m:oMath>
      <w:r>
        <w:rPr>
          <w:rFonts w:hint="eastAsia" w:ascii="Times New Roman" w:hAnsi="Times New Roman" w:eastAsia="宋体" w:cs="Times New Roman"/>
          <w:b w:val="0"/>
          <w:i w:val="0"/>
          <w:sz w:val="21"/>
        </w:rPr>
        <w:t xml:space="preserve"> 的21个对数等距候选值中经训练折内部交叉验证确定。POD-GPR则对每一个POD系数独立建立高斯过程，核函数采用各向异性的Matérn-5/2核与白噪声核之和：</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039C3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79BD7AD1">
            <w:pPr>
              <w:spacing w:before="60" w:after="60"/>
              <w:jc w:val="center"/>
            </w:pPr>
            <m:oMathPara>
              <m:oMath>
                <m:r>
                  <m:rPr/>
                  <m:t>k</m:t>
                </m:r>
                <m:r>
                  <m:rPr>
                    <m:sty m:val="p"/>
                  </m:rPr>
                  <m:t>(</m:t>
                </m:r>
                <m:r>
                  <m:rPr>
                    <m:sty m:val="bi"/>
                  </m:rPr>
                  <m:t>x</m:t>
                </m:r>
                <m:r>
                  <m:rPr>
                    <m:sty m:val="p"/>
                  </m:rPr>
                  <m:t>,</m:t>
                </m:r>
                <m:sSup>
                  <m:sSupPr/>
                  <m:e>
                    <m:r>
                      <m:rPr>
                        <m:sty m:val="bi"/>
                      </m:rPr>
                      <m:t>x</m:t>
                    </m:r>
                  </m:e>
                  <m:sup>
                    <m:r>
                      <m:rPr>
                        <m:sty m:val="p"/>
                      </m:rPr>
                      <m:t>′</m:t>
                    </m:r>
                  </m:sup>
                </m:sSup>
                <m:r>
                  <m:rPr>
                    <m:sty m:val="p"/>
                  </m:rPr>
                  <m:t>)=</m:t>
                </m:r>
                <m:sSubSup>
                  <m:sSubSupPr/>
                  <m:e>
                    <m:r>
                      <m:rPr/>
                      <m:t>σ</m:t>
                    </m:r>
                  </m:e>
                  <m:sub>
                    <m:r>
                      <m:rPr/>
                      <m:t>f</m:t>
                    </m:r>
                  </m:sub>
                  <m:sup>
                    <m:r>
                      <m:rPr/>
                      <m:t>2</m:t>
                    </m:r>
                  </m:sup>
                </m:sSubSup>
                <m:sSub>
                  <m:sSubPr/>
                  <m:e>
                    <m:r>
                      <m:rPr/>
                      <m:t>k</m:t>
                    </m:r>
                  </m:e>
                  <m:sub>
                    <m:r>
                      <m:rPr>
                        <m:sty m:val="p"/>
                      </m:rPr>
                      <m:t>Mat</m:t>
                    </m:r>
                    <m:acc>
                      <m:accPr>
                        <m:chr m:val="́"/>
                      </m:accPr>
                      <m:e>
                        <m:r>
                          <m:rPr>
                            <m:sty m:val="p"/>
                          </m:rPr>
                          <m:t>e</m:t>
                        </m:r>
                      </m:e>
                    </m:acc>
                    <m:r>
                      <m:rPr>
                        <m:sty m:val="p"/>
                      </m:rPr>
                      <m:t>rn,</m:t>
                    </m:r>
                    <m:r>
                      <m:rPr/>
                      <m:t>ν</m:t>
                    </m:r>
                    <m:r>
                      <m:rPr>
                        <m:sty m:val="p"/>
                      </m:rPr>
                      <m:t>=</m:t>
                    </m:r>
                    <m:r>
                      <m:rPr/>
                      <m:t>5</m:t>
                    </m:r>
                    <m:r>
                      <m:rPr>
                        <m:sty m:val="p"/>
                      </m:rPr>
                      <m:t>/</m:t>
                    </m:r>
                    <m:r>
                      <m:rPr/>
                      <m:t>2</m:t>
                    </m:r>
                  </m:sub>
                </m:sSub>
                <m:r>
                  <m:rPr>
                    <m:sty m:val="p"/>
                  </m:rPr>
                  <m:t>(</m:t>
                </m:r>
                <m:r>
                  <m:rPr>
                    <m:sty m:val="bi"/>
                  </m:rPr>
                  <m:t>x</m:t>
                </m:r>
                <m:r>
                  <m:rPr>
                    <m:sty m:val="p"/>
                  </m:rPr>
                  <m:t>,</m:t>
                </m:r>
                <m:sSup>
                  <m:sSupPr/>
                  <m:e>
                    <m:r>
                      <m:rPr>
                        <m:sty m:val="bi"/>
                      </m:rPr>
                      <m:t>x</m:t>
                    </m:r>
                  </m:e>
                  <m:sup>
                    <m:r>
                      <m:rPr>
                        <m:sty m:val="p"/>
                      </m:rPr>
                      <m:t>′</m:t>
                    </m:r>
                  </m:sup>
                </m:sSup>
                <m:r>
                  <m:rPr>
                    <m:sty m:val="p"/>
                  </m:rPr>
                  <m:t>;</m:t>
                </m:r>
                <m:sSub>
                  <m:sSubPr/>
                  <m:e>
                    <m:r>
                      <m:rPr/>
                      <m:t>ℓ</m:t>
                    </m:r>
                  </m:e>
                  <m:sub>
                    <m:r>
                      <m:rPr/>
                      <m:t>i</m:t>
                    </m:r>
                  </m:sub>
                </m:sSub>
                <m:r>
                  <m:rPr>
                    <m:sty m:val="p"/>
                  </m:rPr>
                  <m:t>,</m:t>
                </m:r>
                <m:sSub>
                  <m:sSubPr/>
                  <m:e>
                    <m:r>
                      <m:rPr/>
                      <m:t>ℓ</m:t>
                    </m:r>
                  </m:e>
                  <m:sub>
                    <m:r>
                      <m:rPr/>
                      <m:t>d</m:t>
                    </m:r>
                    <m:r>
                      <m:rPr>
                        <m:sty m:val="p"/>
                      </m:rPr>
                      <m:t>/</m:t>
                    </m:r>
                    <m:r>
                      <m:rPr/>
                      <m:t>h</m:t>
                    </m:r>
                  </m:sub>
                </m:sSub>
                <m:r>
                  <m:rPr>
                    <m:sty m:val="p"/>
                  </m:rPr>
                  <m:t>,</m:t>
                </m:r>
                <m:sSub>
                  <m:sSubPr/>
                  <m:e>
                    <m:r>
                      <m:rPr/>
                      <m:t>ℓ</m:t>
                    </m:r>
                  </m:e>
                  <m:sub>
                    <m:sSub>
                      <m:sSubPr/>
                      <m:e>
                        <m:r>
                          <m:rPr/>
                          <m:t>r</m:t>
                        </m:r>
                      </m:e>
                      <m:sub>
                        <m:r>
                          <m:rPr/>
                          <m:t>v</m:t>
                        </m:r>
                      </m:sub>
                    </m:sSub>
                  </m:sub>
                </m:sSub>
                <m:r>
                  <m:rPr>
                    <m:sty m:val="p"/>
                  </m:rPr>
                  <m:t>)+</m:t>
                </m:r>
                <m:sSubSup>
                  <m:sSubSupPr/>
                  <m:e>
                    <m:r>
                      <m:rPr/>
                      <m:t>σ</m:t>
                    </m:r>
                  </m:e>
                  <m:sub>
                    <m:r>
                      <m:rPr/>
                      <m:t>n</m:t>
                    </m:r>
                  </m:sub>
                  <m:sup>
                    <m:r>
                      <m:rPr/>
                      <m:t>2</m:t>
                    </m:r>
                  </m:sup>
                </m:sSubSup>
                <m:sSub>
                  <m:sSubPr/>
                  <m:e>
                    <m:r>
                      <m:rPr/>
                      <m:t>δ</m:t>
                    </m:r>
                  </m:e>
                  <m:sub>
                    <m:r>
                      <m:rPr>
                        <m:sty m:val="bi"/>
                      </m:rPr>
                      <m:t>x</m:t>
                    </m:r>
                    <m:r>
                      <m:rPr>
                        <m:sty m:val="p"/>
                      </m:rPr>
                      <m:t>,</m:t>
                    </m:r>
                    <m:sSup>
                      <m:sSupPr/>
                      <m:e>
                        <m:r>
                          <m:rPr>
                            <m:sty m:val="bi"/>
                          </m:rPr>
                          <m:t>x</m:t>
                        </m:r>
                      </m:e>
                      <m:sup>
                        <m:r>
                          <m:rPr>
                            <m:sty m:val="p"/>
                          </m:rPr>
                          <m:t>′</m:t>
                        </m:r>
                      </m:sup>
                    </m:sSup>
                  </m:sub>
                </m:sSub>
                <m:r>
                  <m:rPr>
                    <m:sty m:val="p"/>
                  </m:rPr>
                  <m:t>.</m:t>
                </m:r>
              </m:oMath>
            </m:oMathPara>
          </w:p>
        </w:tc>
        <w:tc>
          <w:tcPr>
            <w:tcW w:w="4819" w:type="dxa"/>
          </w:tcPr>
          <w:p w14:paraId="10DD67A9">
            <w:pPr>
              <w:spacing w:before="60" w:after="60"/>
              <w:jc w:val="right"/>
            </w:pPr>
            <w:r>
              <w:rPr>
                <w:rFonts w:hint="eastAsia" w:ascii="Times New Roman" w:hAnsi="Times New Roman" w:eastAsia="Times New Roman" w:cs="Times New Roman"/>
                <w:b w:val="0"/>
                <w:i w:val="0"/>
                <w:sz w:val="21"/>
              </w:rPr>
              <w:t>(20)</w:t>
            </w:r>
          </w:p>
        </w:tc>
      </w:tr>
    </w:tbl>
    <w:p w14:paraId="021C7CA6">
      <w:pPr>
        <w:spacing w:before="0" w:after="0"/>
        <w:ind w:firstLine="420"/>
        <w:jc w:val="both"/>
      </w:pPr>
      <w:r>
        <w:rPr>
          <w:rFonts w:hint="eastAsia" w:ascii="Times New Roman" w:hAnsi="Times New Roman" w:eastAsia="宋体" w:cs="Times New Roman"/>
          <w:b w:val="0"/>
          <w:i w:val="0"/>
          <w:sz w:val="21"/>
        </w:rPr>
        <w:t>式（20）中，</w:t>
      </w:r>
      <m:oMath>
        <m:sSubSup>
          <m:sSubSupPr/>
          <m:e>
            <m:r>
              <m:rPr/>
              <m:t>σ</m:t>
            </m:r>
          </m:e>
          <m:sub>
            <m:r>
              <m:rPr/>
              <m:t>f</m:t>
            </m:r>
          </m:sub>
          <m:sup>
            <m:r>
              <m:rPr/>
              <m:t>2</m:t>
            </m:r>
          </m:sup>
        </m:sSubSup>
      </m:oMath>
      <w:r>
        <w:rPr>
          <w:rFonts w:hint="eastAsia" w:ascii="Times New Roman" w:hAnsi="Times New Roman" w:eastAsia="宋体" w:cs="Times New Roman"/>
          <w:b w:val="0"/>
          <w:i w:val="0"/>
          <w:sz w:val="21"/>
        </w:rPr>
        <w:t xml:space="preserve"> 和 </w:t>
      </w:r>
      <m:oMath>
        <m:sSubSup>
          <m:sSubSupPr/>
          <m:e>
            <m:r>
              <m:rPr/>
              <m:t>σ</m:t>
            </m:r>
          </m:e>
          <m:sub>
            <m:r>
              <m:rPr/>
              <m:t>n</m:t>
            </m:r>
          </m:sub>
          <m:sup>
            <m:r>
              <m:rPr/>
              <m:t>2</m:t>
            </m:r>
          </m:sup>
        </m:sSubSup>
      </m:oMath>
      <w:r>
        <w:rPr>
          <w:rFonts w:hint="eastAsia" w:ascii="Times New Roman" w:hAnsi="Times New Roman" w:eastAsia="宋体" w:cs="Times New Roman"/>
          <w:b w:val="0"/>
          <w:i w:val="0"/>
          <w:sz w:val="21"/>
        </w:rPr>
        <w:t xml:space="preserve"> 分别为信号方差和噪声方差，</w:t>
      </w:r>
      <m:oMath>
        <m:sSub>
          <m:sSubPr/>
          <m:e>
            <m:r>
              <m:rPr/>
              <m:t>δ</m:t>
            </m:r>
          </m:e>
          <m:sub>
            <m:r>
              <m:rPr>
                <m:sty m:val="bi"/>
              </m:rPr>
              <m:t>x</m:t>
            </m:r>
            <m:r>
              <m:rPr>
                <m:sty m:val="p"/>
              </m:rPr>
              <m:t>,</m:t>
            </m:r>
            <m:sSup>
              <m:sSupPr/>
              <m:e>
                <m:r>
                  <m:rPr>
                    <m:sty m:val="bi"/>
                  </m:rPr>
                  <m:t>x</m:t>
                </m:r>
              </m:e>
              <m:sup>
                <m:r>
                  <m:rPr>
                    <m:sty m:val="p"/>
                  </m:rPr>
                  <m:t>′</m:t>
                </m:r>
              </m:sup>
            </m:sSup>
          </m:sub>
        </m:sSub>
      </m:oMath>
      <w:r>
        <w:rPr>
          <w:rFonts w:hint="eastAsia" w:ascii="Times New Roman" w:hAnsi="Times New Roman" w:eastAsia="宋体" w:cs="Times New Roman"/>
          <w:b w:val="0"/>
          <w:i w:val="0"/>
          <w:sz w:val="21"/>
        </w:rPr>
        <w:t xml:space="preserve"> 为Kronecker符号。三个方向的长度尺度分别优化，初值均为1，搜索范围为0.01～100；信号常数范围为 </w:t>
      </w:r>
      <m:oMath>
        <m:sSup>
          <m:sSupPr/>
          <m:e>
            <m:r>
              <m:rPr/>
              <m:t>10</m:t>
            </m:r>
          </m:e>
          <m:sup>
            <m:r>
              <m:rPr>
                <m:sty m:val="p"/>
              </m:rPr>
              <m:t>−</m:t>
            </m:r>
            <m:r>
              <m:rPr/>
              <m:t>3</m:t>
            </m:r>
          </m:sup>
        </m:sSup>
      </m:oMath>
      <w:r>
        <w:rPr>
          <w:rFonts w:hint="eastAsia" w:ascii="Times New Roman" w:hAnsi="Times New Roman" w:eastAsia="宋体" w:cs="Times New Roman"/>
          <w:b w:val="0"/>
          <w:i w:val="0"/>
          <w:sz w:val="21"/>
        </w:rPr>
        <w:t>～</w:t>
      </w:r>
      <m:oMath>
        <m:sSup>
          <m:sSupPr/>
          <m:e>
            <m:r>
              <m:rPr/>
              <m:t>10</m:t>
            </m:r>
          </m:e>
          <m:sup>
            <m:r>
              <m:rPr/>
              <m:t>3</m:t>
            </m:r>
          </m:sup>
        </m:sSup>
      </m:oMath>
      <w:r>
        <w:rPr>
          <w:rFonts w:hint="eastAsia" w:ascii="Times New Roman" w:hAnsi="Times New Roman" w:eastAsia="宋体" w:cs="Times New Roman"/>
          <w:b w:val="0"/>
          <w:i w:val="0"/>
          <w:sz w:val="21"/>
        </w:rPr>
        <w:t xml:space="preserve">，白噪声范围为 </w:t>
      </w:r>
      <m:oMath>
        <m:sSup>
          <m:sSupPr/>
          <m:e>
            <m:r>
              <m:rPr/>
              <m:t>10</m:t>
            </m:r>
          </m:e>
          <m:sup>
            <m:r>
              <m:rPr>
                <m:sty m:val="p"/>
              </m:rPr>
              <m:t>−</m:t>
            </m:r>
            <m:r>
              <m:rPr/>
              <m:t>10</m:t>
            </m:r>
          </m:sup>
        </m:sSup>
      </m:oMath>
      <w:r>
        <w:rPr>
          <w:rFonts w:hint="eastAsia" w:ascii="Times New Roman" w:hAnsi="Times New Roman" w:eastAsia="宋体" w:cs="Times New Roman"/>
          <w:b w:val="0"/>
          <w:i w:val="0"/>
          <w:sz w:val="21"/>
        </w:rPr>
        <w:t>～</w:t>
      </w:r>
      <m:oMath>
        <m:sSup>
          <m:sSupPr/>
          <m:e>
            <m:r>
              <m:rPr/>
              <m:t>10</m:t>
            </m:r>
          </m:e>
          <m:sup>
            <m:r>
              <m:rPr>
                <m:sty m:val="p"/>
              </m:rPr>
              <m:t>−</m:t>
            </m:r>
            <m:r>
              <m:rPr/>
              <m:t>1</m:t>
            </m:r>
          </m:sup>
        </m:sSup>
      </m:oMath>
      <w:r>
        <w:rPr>
          <w:rFonts w:hint="eastAsia" w:ascii="Times New Roman" w:hAnsi="Times New Roman" w:eastAsia="宋体" w:cs="Times New Roman"/>
          <w:b w:val="0"/>
          <w:i w:val="0"/>
          <w:sz w:val="21"/>
        </w:rPr>
        <w:t>。系数回归采用标准化目标，优化器不作额外随机重启，以固定随机种子20260801保证重复性。现阶段只保存和评价高斯过程的预测均值，没有对后验方差进行校准，因而本文不把GPR输出解释为可信区间。候选方法与主要超参数汇总于表11。</w:t>
      </w:r>
    </w:p>
    <w:p w14:paraId="0DFB4A89">
      <w:pPr>
        <w:spacing w:before="0" w:after="0"/>
        <w:ind w:firstLine="420"/>
        <w:jc w:val="both"/>
      </w:pPr>
      <w:r>
        <w:rPr>
          <w:rFonts w:hint="eastAsia" w:ascii="Times New Roman" w:hAnsi="Times New Roman" w:eastAsia="宋体" w:cs="Times New Roman"/>
          <w:b w:val="0"/>
          <w:i w:val="0"/>
          <w:sz w:val="21"/>
        </w:rPr>
        <w:t>三种候选方法分别对应不同的结构假设。最近邻完全不估计参数间的连续变化，因此不会产生新的峰谷形态，但预测随参数跨过最近节点分界而跳变；它适合作为“只利用已有数值库、不学习插值规律”的下限基线。Ridge假定每个POD系数对三个标准化参数近似线性，能够检验低维压缩后是否只需简单趋势即可恢复场。第3章已观察到厚度—波速比交互和主峰迁移，单一线性映射很可能不足，但保留Ridge有助于判断GPR的改善是否确由非线性映射带来。POD-GPR面向的则是样本数仅64、输入维数只有3的情形；Matérn-5/2核允许系数随参数平滑变化，又不强制其无限光滑，各向异性长度尺度可分别适应坡角、厚度比和波速比方向的变化速度。</w:t>
      </w:r>
    </w:p>
    <w:p w14:paraId="771850E0">
      <w:pPr>
        <w:spacing w:before="0" w:after="0"/>
        <w:ind w:firstLine="420"/>
        <w:jc w:val="both"/>
      </w:pPr>
      <w:r>
        <w:rPr>
          <w:rFonts w:hint="eastAsia" w:ascii="Times New Roman" w:hAnsi="Times New Roman" w:eastAsia="宋体" w:cs="Times New Roman"/>
          <w:b w:val="0"/>
          <w:i w:val="0"/>
          <w:sz w:val="21"/>
        </w:rPr>
        <w:t>独立预测各POD系数是一项有意的简化。POD使训练样本上的系数在二阶统计意义下正交，但未知参数处的系数并不必然相互独立；当峰值迁移需要多个模态按特定比例共同叠加时，逐系数GPR可能给出各自合理、组合后却偏平滑的场。当前方法仍选用这一形式，是因为它在64例小样本下参数较少、训练过程可复现，并便于逐模态查看长度尺度。其代价是没有显式学习模态间联合分布，也没有校准预测方差。故本章把GPR视为候选均值预测器，而不借助“高斯过程自带不确定性”的一般印象扩大结论。</w:t>
      </w:r>
    </w:p>
    <w:p w14:paraId="73759D11">
      <w:pPr>
        <w:spacing w:before="156" w:after="0"/>
        <w:ind w:firstLine="0"/>
        <w:jc w:val="center"/>
      </w:pPr>
      <w:r>
        <w:rPr>
          <w:rFonts w:hint="eastAsia" w:ascii="Times New Roman" w:hAnsi="Times New Roman" w:eastAsia="宋体" w:cs="Times New Roman"/>
          <w:b w:val="0"/>
          <w:i w:val="0"/>
          <w:sz w:val="18"/>
        </w:rPr>
        <w:t>表11 候选代理模型与训练配置</w:t>
      </w:r>
    </w:p>
    <w:p w14:paraId="7EE5CE6F">
      <w:pPr>
        <w:spacing w:before="0" w:after="40"/>
        <w:ind w:firstLine="0"/>
        <w:jc w:val="center"/>
      </w:pPr>
      <w:r>
        <w:rPr>
          <w:rFonts w:hint="eastAsia" w:ascii="Times New Roman" w:hAnsi="Times New Roman" w:eastAsia="Times New Roman" w:cs="Times New Roman"/>
          <w:b w:val="0"/>
          <w:i w:val="0"/>
          <w:sz w:val="18"/>
        </w:rPr>
        <w:t>Table 11 Candidate surrogate models and training configurations</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19"/>
        <w:gridCol w:w="4819"/>
      </w:tblGrid>
      <w:tr w14:paraId="19EDC7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Borders>
              <w:bottom w:val="single" w:color="auto" w:sz="6" w:space="0"/>
            </w:tcBorders>
            <w:vAlign w:val="center"/>
          </w:tcPr>
          <w:p w14:paraId="6A4E7DAC">
            <w:pPr>
              <w:spacing w:before="30" w:after="30"/>
              <w:ind w:firstLine="0"/>
              <w:jc w:val="center"/>
            </w:pPr>
            <w:r>
              <w:rPr>
                <w:rFonts w:hint="eastAsia" w:ascii="Times New Roman" w:hAnsi="Times New Roman" w:eastAsia="宋体" w:cs="Times New Roman"/>
                <w:b/>
                <w:i w:val="0"/>
                <w:sz w:val="18"/>
              </w:rPr>
              <w:t>项目</w:t>
            </w:r>
          </w:p>
        </w:tc>
        <w:tc>
          <w:tcPr>
            <w:tcW w:w="4819" w:type="dxa"/>
            <w:tcBorders>
              <w:bottom w:val="single" w:color="auto" w:sz="6" w:space="0"/>
            </w:tcBorders>
            <w:vAlign w:val="center"/>
          </w:tcPr>
          <w:p w14:paraId="50550125">
            <w:pPr>
              <w:spacing w:before="30" w:after="30"/>
              <w:ind w:firstLine="0"/>
              <w:jc w:val="center"/>
            </w:pPr>
            <w:r>
              <w:rPr>
                <w:rFonts w:hint="eastAsia" w:ascii="Times New Roman" w:hAnsi="Times New Roman" w:eastAsia="宋体" w:cs="Times New Roman"/>
                <w:b/>
                <w:i w:val="0"/>
                <w:sz w:val="18"/>
              </w:rPr>
              <w:t>配置</w:t>
            </w:r>
          </w:p>
        </w:tc>
      </w:tr>
      <w:tr w14:paraId="1C082C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vAlign w:val="center"/>
          </w:tcPr>
          <w:p w14:paraId="400338AE">
            <w:pPr>
              <w:spacing w:before="30" w:after="30"/>
              <w:ind w:firstLine="0"/>
              <w:jc w:val="center"/>
            </w:pPr>
            <w:r>
              <w:rPr>
                <w:rFonts w:hint="eastAsia" w:ascii="Times New Roman" w:hAnsi="Times New Roman" w:eastAsia="宋体" w:cs="Times New Roman"/>
                <w:b w:val="0"/>
                <w:i w:val="0"/>
                <w:sz w:val="18"/>
              </w:rPr>
              <w:t>输入</w:t>
            </w:r>
          </w:p>
        </w:tc>
        <w:tc>
          <w:tcPr>
            <w:tcW w:w="4819" w:type="dxa"/>
            <w:vAlign w:val="center"/>
          </w:tcPr>
          <w:p w14:paraId="0F2224FC">
            <w:pPr>
              <w:spacing w:before="30" w:after="30"/>
              <w:ind w:firstLine="0"/>
              <w:jc w:val="center"/>
            </w:pPr>
            <m:oMath>
              <m:r>
                <m:rPr>
                  <m:sty m:val="p"/>
                </m:rPr>
                <m:t>[</m:t>
              </m:r>
              <m:r>
                <m:rPr/>
                <m:t>i</m:t>
              </m:r>
              <m:r>
                <m:rPr>
                  <m:sty m:val="p"/>
                </m:rPr>
                <m:t>,</m:t>
              </m:r>
              <m:r>
                <m:rPr/>
                <m:t>d</m:t>
              </m:r>
              <m:r>
                <m:rPr>
                  <m:sty m:val="p"/>
                </m:rPr>
                <m:t>/</m:t>
              </m:r>
              <m:r>
                <m:rPr/>
                <m:t>h</m:t>
              </m:r>
              <m:r>
                <m:rPr>
                  <m:sty m:val="p"/>
                </m:rPr>
                <m:t>,</m:t>
              </m:r>
              <m:sSub>
                <m:sSubPr/>
                <m:e>
                  <m:r>
                    <m:rPr/>
                    <m:t>r</m:t>
                  </m:r>
                </m:e>
                <m:sub>
                  <m:r>
                    <m:rPr/>
                    <m:t>v</m:t>
                  </m:r>
                </m:sub>
              </m:sSub>
              <m:r>
                <m:rPr>
                  <m:sty m:val="p"/>
                </m:rPr>
                <m:t>]</m:t>
              </m:r>
            </m:oMath>
            <w:r>
              <w:rPr>
                <w:rFonts w:hint="eastAsia" w:ascii="Times New Roman" w:hAnsi="Times New Roman" w:eastAsia="宋体" w:cs="Times New Roman"/>
                <w:b w:val="0"/>
                <w:i w:val="0"/>
                <w:sz w:val="18"/>
              </w:rPr>
              <w:t>，在每个外层训练折内标准化</w:t>
            </w:r>
          </w:p>
        </w:tc>
      </w:tr>
      <w:tr w14:paraId="60BA14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vAlign w:val="center"/>
          </w:tcPr>
          <w:p w14:paraId="2CD77918">
            <w:pPr>
              <w:spacing w:before="30" w:after="30"/>
              <w:ind w:firstLine="0"/>
              <w:jc w:val="center"/>
            </w:pPr>
            <w:r>
              <w:rPr>
                <w:rFonts w:hint="eastAsia" w:ascii="Times New Roman" w:hAnsi="Times New Roman" w:eastAsia="宋体" w:cs="Times New Roman"/>
                <w:b w:val="0"/>
                <w:i w:val="0"/>
                <w:sz w:val="18"/>
              </w:rPr>
              <w:t>输出</w:t>
            </w:r>
          </w:p>
        </w:tc>
        <w:tc>
          <w:tcPr>
            <w:tcW w:w="4819" w:type="dxa"/>
            <w:vAlign w:val="center"/>
          </w:tcPr>
          <w:p w14:paraId="66EE9631">
            <w:pPr>
              <w:spacing w:before="30" w:after="30"/>
              <w:ind w:firstLine="0"/>
              <w:jc w:val="center"/>
            </w:pPr>
            <w:r>
              <w:rPr>
                <w:rFonts w:hint="eastAsia" w:ascii="Times New Roman" w:hAnsi="Times New Roman" w:eastAsia="宋体" w:cs="Times New Roman"/>
                <w:b w:val="0"/>
                <w:i w:val="0"/>
                <w:sz w:val="18"/>
              </w:rPr>
              <w:t>96×161完整复数场，实部—虚部拼接为30 912维实向量</w:t>
            </w:r>
          </w:p>
        </w:tc>
      </w:tr>
      <w:tr w14:paraId="3716BF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vAlign w:val="center"/>
          </w:tcPr>
          <w:p w14:paraId="43728414">
            <w:pPr>
              <w:spacing w:before="30" w:after="30"/>
              <w:ind w:firstLine="0"/>
              <w:jc w:val="center"/>
            </w:pPr>
            <w:r>
              <w:rPr>
                <w:rFonts w:hint="eastAsia" w:ascii="Times New Roman" w:hAnsi="Times New Roman" w:eastAsia="宋体" w:cs="Times New Roman"/>
                <w:b w:val="0"/>
                <w:i w:val="0"/>
                <w:sz w:val="18"/>
              </w:rPr>
              <w:t>有效像素</w:t>
            </w:r>
          </w:p>
        </w:tc>
        <w:tc>
          <w:tcPr>
            <w:tcW w:w="4819" w:type="dxa"/>
            <w:vAlign w:val="center"/>
          </w:tcPr>
          <w:p w14:paraId="61CCC012">
            <w:pPr>
              <w:spacing w:before="30" w:after="30"/>
              <w:ind w:firstLine="0"/>
              <w:jc w:val="center"/>
            </w:pPr>
            <w:r>
              <w:rPr>
                <w:rFonts w:hint="eastAsia" w:ascii="Times New Roman" w:hAnsi="Times New Roman" w:eastAsia="宋体" w:cs="Times New Roman"/>
                <w:b w:val="0"/>
                <w:i w:val="0"/>
                <w:sz w:val="18"/>
              </w:rPr>
              <w:t>训练折内有效率不低于95%；最终P组拟合保留15 456个复数像素</w:t>
            </w:r>
          </w:p>
        </w:tc>
      </w:tr>
      <w:tr w14:paraId="73F9A2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vAlign w:val="center"/>
          </w:tcPr>
          <w:p w14:paraId="0B6D8927">
            <w:pPr>
              <w:spacing w:before="30" w:after="30"/>
              <w:ind w:firstLine="0"/>
              <w:jc w:val="center"/>
            </w:pPr>
            <w:r>
              <w:rPr>
                <w:rFonts w:hint="eastAsia" w:ascii="Times New Roman" w:hAnsi="Times New Roman" w:eastAsia="宋体" w:cs="Times New Roman"/>
                <w:b w:val="0"/>
                <w:i w:val="0"/>
                <w:sz w:val="18"/>
              </w:rPr>
              <w:t>POD主配置</w:t>
            </w:r>
          </w:p>
        </w:tc>
        <w:tc>
          <w:tcPr>
            <w:tcW w:w="4819" w:type="dxa"/>
            <w:vAlign w:val="center"/>
          </w:tcPr>
          <w:p w14:paraId="7201F1F2">
            <w:pPr>
              <w:spacing w:before="30" w:after="30"/>
              <w:ind w:firstLine="0"/>
              <w:jc w:val="center"/>
            </w:pPr>
            <w:r>
              <w:rPr>
                <w:rFonts w:hint="eastAsia" w:ascii="Times New Roman" w:hAnsi="Times New Roman" w:eastAsia="宋体" w:cs="Times New Roman"/>
                <w:b w:val="0"/>
                <w:i w:val="0"/>
                <w:sz w:val="18"/>
              </w:rPr>
              <w:t>能量目标0.995；硬上限12阶；实际累计能量86.139%</w:t>
            </w:r>
          </w:p>
        </w:tc>
      </w:tr>
      <w:tr w14:paraId="047CD7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vAlign w:val="center"/>
          </w:tcPr>
          <w:p w14:paraId="31ACD23E">
            <w:pPr>
              <w:spacing w:before="30" w:after="30"/>
              <w:ind w:firstLine="0"/>
              <w:jc w:val="center"/>
            </w:pPr>
            <w:r>
              <w:rPr>
                <w:rFonts w:hint="eastAsia" w:ascii="Times New Roman" w:hAnsi="Times New Roman" w:eastAsia="宋体" w:cs="Times New Roman"/>
                <w:b w:val="0"/>
                <w:i w:val="0"/>
                <w:sz w:val="18"/>
              </w:rPr>
              <w:t>POD有界敏感性</w:t>
            </w:r>
          </w:p>
        </w:tc>
        <w:tc>
          <w:tcPr>
            <w:tcW w:w="4819" w:type="dxa"/>
            <w:vAlign w:val="center"/>
          </w:tcPr>
          <w:p w14:paraId="3AE94E32">
            <w:pPr>
              <w:spacing w:before="30" w:after="30"/>
              <w:ind w:firstLine="0"/>
              <w:jc w:val="center"/>
            </w:pPr>
            <w:r>
              <w:rPr>
                <w:rFonts w:hint="eastAsia" w:ascii="Times New Roman" w:hAnsi="Times New Roman" w:eastAsia="宋体" w:cs="Times New Roman"/>
                <w:b w:val="0"/>
                <w:i w:val="0"/>
                <w:sz w:val="18"/>
              </w:rPr>
              <w:t>24阶：能量97.087%，</w:t>
            </w:r>
            <m:oMath>
              <m:sSub>
                <m:sSubPr/>
                <m:e>
                  <m:r>
                    <m:rPr/>
                    <m:t>E</m:t>
                  </m:r>
                </m:e>
                <m:sub>
                  <m:r>
                    <m:rPr>
                      <m:sty m:val="p"/>
                    </m:rPr>
                    <m:t>complex,</m:t>
                  </m:r>
                  <m:r>
                    <m:rPr/>
                    <m:t>w</m:t>
                  </m:r>
                </m:sub>
              </m:sSub>
            </m:oMath>
            <w:r>
              <w:rPr>
                <w:rFonts w:hint="eastAsia" w:ascii="Times New Roman" w:hAnsi="Times New Roman" w:eastAsia="宋体" w:cs="Times New Roman"/>
                <w:b w:val="0"/>
                <w:i w:val="0"/>
                <w:sz w:val="18"/>
              </w:rPr>
              <w:t xml:space="preserve"> 中位/90%分位数（P90）为0.246997/0.488806；36阶：能量99.5066%，中位/P90为0.246995/0.489928</w:t>
            </w:r>
          </w:p>
        </w:tc>
      </w:tr>
      <w:tr w14:paraId="17AC53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vAlign w:val="center"/>
          </w:tcPr>
          <w:p w14:paraId="388F2376">
            <w:pPr>
              <w:spacing w:before="30" w:after="30"/>
              <w:ind w:firstLine="0"/>
              <w:jc w:val="center"/>
            </w:pPr>
            <w:r>
              <w:rPr>
                <w:rFonts w:hint="eastAsia" w:ascii="Times New Roman" w:hAnsi="Times New Roman" w:eastAsia="宋体" w:cs="Times New Roman"/>
                <w:b w:val="0"/>
                <w:i w:val="0"/>
                <w:sz w:val="18"/>
              </w:rPr>
              <w:t>最近邻</w:t>
            </w:r>
          </w:p>
        </w:tc>
        <w:tc>
          <w:tcPr>
            <w:tcW w:w="4819" w:type="dxa"/>
            <w:vAlign w:val="center"/>
          </w:tcPr>
          <w:p w14:paraId="4E81E34E">
            <w:pPr>
              <w:spacing w:before="30" w:after="30"/>
              <w:ind w:firstLine="0"/>
              <w:jc w:val="center"/>
            </w:pPr>
            <w:r>
              <w:rPr>
                <w:rFonts w:hint="eastAsia" w:ascii="Times New Roman" w:hAnsi="Times New Roman" w:eastAsia="宋体" w:cs="Times New Roman"/>
                <w:b w:val="0"/>
                <w:i w:val="0"/>
                <w:sz w:val="18"/>
              </w:rPr>
              <w:t>标准化输入空间欧氏距离；复制最近完整场</w:t>
            </w:r>
          </w:p>
        </w:tc>
      </w:tr>
      <w:tr w14:paraId="7D14E2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vAlign w:val="center"/>
          </w:tcPr>
          <w:p w14:paraId="04467753">
            <w:pPr>
              <w:spacing w:before="30" w:after="30"/>
              <w:ind w:firstLine="0"/>
              <w:jc w:val="center"/>
            </w:pPr>
            <w:r>
              <w:rPr>
                <w:rFonts w:hint="eastAsia" w:ascii="Times New Roman" w:hAnsi="Times New Roman" w:eastAsia="宋体" w:cs="Times New Roman"/>
                <w:b w:val="0"/>
                <w:i w:val="0"/>
                <w:sz w:val="18"/>
              </w:rPr>
              <w:t>POD-Ridge</w:t>
            </w:r>
          </w:p>
        </w:tc>
        <w:tc>
          <w:tcPr>
            <w:tcW w:w="4819" w:type="dxa"/>
            <w:vAlign w:val="center"/>
          </w:tcPr>
          <w:p w14:paraId="5933E72B">
            <w:pPr>
              <w:spacing w:before="30" w:after="30"/>
              <w:ind w:firstLine="0"/>
              <w:jc w:val="center"/>
            </w:pPr>
            <m:oMath>
              <m:r>
                <m:rPr/>
                <m:t>α</m:t>
              </m:r>
              <m:r>
                <m:rPr>
                  <m:sty m:val="p"/>
                </m:rPr>
                <m:t>=</m:t>
              </m:r>
              <m:sSup>
                <m:sSupPr/>
                <m:e>
                  <m:r>
                    <m:rPr/>
                    <m:t>10</m:t>
                  </m:r>
                </m:e>
                <m:sup>
                  <m:r>
                    <m:rPr>
                      <m:sty m:val="p"/>
                    </m:rPr>
                    <m:t>−</m:t>
                  </m:r>
                  <m:r>
                    <m:rPr/>
                    <m:t>5</m:t>
                  </m:r>
                </m:sup>
              </m:sSup>
            </m:oMath>
            <w:r>
              <w:rPr>
                <w:rFonts w:hint="eastAsia" w:ascii="Times New Roman" w:hAnsi="Times New Roman" w:eastAsia="宋体" w:cs="Times New Roman"/>
                <w:b w:val="0"/>
                <w:i w:val="0"/>
                <w:sz w:val="18"/>
              </w:rPr>
              <w:t>～</w:t>
            </w:r>
            <m:oMath>
              <m:sSup>
                <m:sSupPr/>
                <m:e>
                  <m:r>
                    <m:rPr/>
                    <m:t>10</m:t>
                  </m:r>
                </m:e>
                <m:sup>
                  <m:r>
                    <m:rPr/>
                    <m:t>5</m:t>
                  </m:r>
                </m:sup>
              </m:sSup>
            </m:oMath>
            <w:r>
              <w:rPr>
                <w:rFonts w:hint="eastAsia" w:ascii="Times New Roman" w:hAnsi="Times New Roman" w:eastAsia="宋体" w:cs="Times New Roman"/>
                <w:b w:val="0"/>
                <w:i w:val="0"/>
                <w:sz w:val="18"/>
              </w:rPr>
              <w:t>，21个候选；由训练折内交叉验证选择</w:t>
            </w:r>
          </w:p>
        </w:tc>
      </w:tr>
      <w:tr w14:paraId="7FF768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vAlign w:val="center"/>
          </w:tcPr>
          <w:p w14:paraId="279634FB">
            <w:pPr>
              <w:spacing w:before="30" w:after="30"/>
              <w:ind w:firstLine="0"/>
              <w:jc w:val="center"/>
            </w:pPr>
            <w:r>
              <w:rPr>
                <w:rFonts w:hint="eastAsia" w:ascii="Times New Roman" w:hAnsi="Times New Roman" w:eastAsia="宋体" w:cs="Times New Roman"/>
                <w:b w:val="0"/>
                <w:i w:val="0"/>
                <w:sz w:val="18"/>
              </w:rPr>
              <w:t>POD-GPR</w:t>
            </w:r>
          </w:p>
        </w:tc>
        <w:tc>
          <w:tcPr>
            <w:tcW w:w="4819" w:type="dxa"/>
            <w:vAlign w:val="center"/>
          </w:tcPr>
          <w:p w14:paraId="1345F1EB">
            <w:pPr>
              <w:spacing w:before="30" w:after="30"/>
              <w:ind w:firstLine="0"/>
              <w:jc w:val="center"/>
            </w:pPr>
            <w:r>
              <w:rPr>
                <w:rFonts w:hint="eastAsia" w:ascii="Times New Roman" w:hAnsi="Times New Roman" w:eastAsia="宋体" w:cs="Times New Roman"/>
                <w:b w:val="0"/>
                <w:i w:val="0"/>
                <w:sz w:val="18"/>
              </w:rPr>
              <w:t>独立系数回归；各向异性Matérn-5/2核与白噪声核；模态系数目标标准化</w:t>
            </w:r>
          </w:p>
        </w:tc>
      </w:tr>
      <w:tr w14:paraId="18D625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vAlign w:val="center"/>
          </w:tcPr>
          <w:p w14:paraId="58F4A3FE">
            <w:pPr>
              <w:spacing w:before="30" w:after="30"/>
              <w:ind w:firstLine="0"/>
              <w:jc w:val="center"/>
            </w:pPr>
            <w:r>
              <w:rPr>
                <w:rFonts w:hint="eastAsia" w:ascii="Times New Roman" w:hAnsi="Times New Roman" w:eastAsia="宋体" w:cs="Times New Roman"/>
                <w:b w:val="0"/>
                <w:i w:val="0"/>
                <w:sz w:val="18"/>
              </w:rPr>
              <w:t>GPR边界</w:t>
            </w:r>
          </w:p>
        </w:tc>
        <w:tc>
          <w:tcPr>
            <w:tcW w:w="4819" w:type="dxa"/>
            <w:vAlign w:val="center"/>
          </w:tcPr>
          <w:p w14:paraId="3093CEA4">
            <w:pPr>
              <w:spacing w:before="30" w:after="30"/>
              <w:ind w:firstLine="0"/>
              <w:jc w:val="center"/>
            </w:pPr>
            <m:oMath>
              <m:r>
                <m:rPr/>
                <m:t>ℓ</m:t>
              </m:r>
              <m:r>
                <m:rPr>
                  <m:sty m:val="p"/>
                </m:rPr>
                <m:t>∈[</m:t>
              </m:r>
              <m:sSup>
                <m:sSupPr/>
                <m:e>
                  <m:r>
                    <m:rPr/>
                    <m:t>10</m:t>
                  </m:r>
                </m:e>
                <m:sup>
                  <m:r>
                    <m:rPr>
                      <m:sty m:val="p"/>
                    </m:rPr>
                    <m:t>−</m:t>
                  </m:r>
                  <m:r>
                    <m:rPr/>
                    <m:t>2</m:t>
                  </m:r>
                </m:sup>
              </m:sSup>
              <m:r>
                <m:rPr>
                  <m:sty m:val="p"/>
                </m:rPr>
                <m:t>,</m:t>
              </m:r>
              <m:sSup>
                <m:sSupPr/>
                <m:e>
                  <m:r>
                    <m:rPr/>
                    <m:t>10</m:t>
                  </m:r>
                </m:e>
                <m:sup>
                  <m:r>
                    <m:rPr/>
                    <m:t>2</m:t>
                  </m:r>
                </m:sup>
              </m:sSup>
              <m:r>
                <m:rPr>
                  <m:sty m:val="p"/>
                </m:rPr>
                <m:t>]</m:t>
              </m:r>
            </m:oMath>
            <w:r>
              <w:rPr>
                <w:rFonts w:hint="eastAsia" w:ascii="Times New Roman" w:hAnsi="Times New Roman" w:eastAsia="宋体" w:cs="Times New Roman"/>
                <w:b w:val="0"/>
                <w:i w:val="0"/>
                <w:sz w:val="18"/>
              </w:rPr>
              <w:t xml:space="preserve">，信号常数 </w:t>
            </w:r>
            <m:oMath>
              <m:r>
                <m:rPr>
                  <m:sty m:val="p"/>
                </m:rPr>
                <m:t>[</m:t>
              </m:r>
              <m:sSup>
                <m:sSupPr/>
                <m:e>
                  <m:r>
                    <m:rPr/>
                    <m:t>10</m:t>
                  </m:r>
                </m:e>
                <m:sup>
                  <m:r>
                    <m:rPr>
                      <m:sty m:val="p"/>
                    </m:rPr>
                    <m:t>−</m:t>
                  </m:r>
                  <m:r>
                    <m:rPr/>
                    <m:t>3</m:t>
                  </m:r>
                </m:sup>
              </m:sSup>
              <m:r>
                <m:rPr>
                  <m:sty m:val="p"/>
                </m:rPr>
                <m:t>,</m:t>
              </m:r>
              <m:sSup>
                <m:sSupPr/>
                <m:e>
                  <m:r>
                    <m:rPr/>
                    <m:t>10</m:t>
                  </m:r>
                </m:e>
                <m:sup>
                  <m:r>
                    <m:rPr/>
                    <m:t>3</m:t>
                  </m:r>
                </m:sup>
              </m:sSup>
              <m:r>
                <m:rPr>
                  <m:sty m:val="p"/>
                </m:rPr>
                <m:t>]</m:t>
              </m:r>
            </m:oMath>
            <w:r>
              <w:rPr>
                <w:rFonts w:hint="eastAsia" w:ascii="Times New Roman" w:hAnsi="Times New Roman" w:eastAsia="宋体" w:cs="Times New Roman"/>
                <w:b w:val="0"/>
                <w:i w:val="0"/>
                <w:sz w:val="18"/>
              </w:rPr>
              <w:t xml:space="preserve">，噪声 </w:t>
            </w:r>
            <m:oMath>
              <m:r>
                <m:rPr>
                  <m:sty m:val="p"/>
                </m:rPr>
                <m:t>[</m:t>
              </m:r>
              <m:sSup>
                <m:sSupPr/>
                <m:e>
                  <m:r>
                    <m:rPr/>
                    <m:t>10</m:t>
                  </m:r>
                </m:e>
                <m:sup>
                  <m:r>
                    <m:rPr>
                      <m:sty m:val="p"/>
                    </m:rPr>
                    <m:t>−</m:t>
                  </m:r>
                  <m:r>
                    <m:rPr/>
                    <m:t>10</m:t>
                  </m:r>
                </m:sup>
              </m:sSup>
              <m:r>
                <m:rPr>
                  <m:sty m:val="p"/>
                </m:rPr>
                <m:t>,</m:t>
              </m:r>
              <m:sSup>
                <m:sSupPr/>
                <m:e>
                  <m:r>
                    <m:rPr/>
                    <m:t>10</m:t>
                  </m:r>
                </m:e>
                <m:sup>
                  <m:r>
                    <m:rPr>
                      <m:sty m:val="p"/>
                    </m:rPr>
                    <m:t>−</m:t>
                  </m:r>
                  <m:r>
                    <m:rPr/>
                    <m:t>1</m:t>
                  </m:r>
                </m:sup>
              </m:sSup>
              <m:r>
                <m:rPr>
                  <m:sty m:val="p"/>
                </m:rPr>
                <m:t>]</m:t>
              </m:r>
            </m:oMath>
          </w:p>
        </w:tc>
      </w:tr>
      <w:tr w14:paraId="3B61CC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vAlign w:val="center"/>
          </w:tcPr>
          <w:p w14:paraId="482D8694">
            <w:pPr>
              <w:spacing w:before="30" w:after="30"/>
              <w:ind w:firstLine="0"/>
              <w:jc w:val="center"/>
            </w:pPr>
            <w:r>
              <w:rPr>
                <w:rFonts w:hint="eastAsia" w:ascii="Times New Roman" w:hAnsi="Times New Roman" w:eastAsia="宋体" w:cs="Times New Roman"/>
                <w:b w:val="0"/>
                <w:i w:val="0"/>
                <w:sz w:val="18"/>
              </w:rPr>
              <w:t>外层验证</w:t>
            </w:r>
          </w:p>
        </w:tc>
        <w:tc>
          <w:tcPr>
            <w:tcW w:w="4819" w:type="dxa"/>
            <w:vAlign w:val="center"/>
          </w:tcPr>
          <w:p w14:paraId="6548190F">
            <w:pPr>
              <w:spacing w:before="30" w:after="30"/>
              <w:ind w:firstLine="0"/>
              <w:jc w:val="center"/>
            </w:pPr>
            <w:r>
              <w:rPr>
                <w:rFonts w:hint="eastAsia" w:ascii="Times New Roman" w:hAnsi="Times New Roman" w:eastAsia="宋体" w:cs="Times New Roman"/>
                <w:b w:val="0"/>
                <w:i w:val="0"/>
                <w:sz w:val="18"/>
              </w:rPr>
              <w:t>5折整工况划分，打乱后固定随机种子20260801；每折验证12～13例</w:t>
            </w:r>
          </w:p>
        </w:tc>
      </w:tr>
      <w:tr w14:paraId="216D14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vAlign w:val="center"/>
          </w:tcPr>
          <w:p w14:paraId="58FC061F">
            <w:pPr>
              <w:spacing w:before="30" w:after="30"/>
              <w:ind w:firstLine="0"/>
              <w:jc w:val="center"/>
            </w:pPr>
            <w:r>
              <w:rPr>
                <w:rFonts w:hint="eastAsia" w:ascii="Times New Roman" w:hAnsi="Times New Roman" w:eastAsia="宋体" w:cs="Times New Roman"/>
                <w:b w:val="0"/>
                <w:i w:val="0"/>
                <w:sz w:val="18"/>
              </w:rPr>
              <w:t>模型选择</w:t>
            </w:r>
          </w:p>
        </w:tc>
        <w:tc>
          <w:tcPr>
            <w:tcW w:w="4819" w:type="dxa"/>
            <w:vAlign w:val="center"/>
          </w:tcPr>
          <w:p w14:paraId="1D89EC3F">
            <w:pPr>
              <w:spacing w:before="30" w:after="30"/>
              <w:ind w:firstLine="0"/>
              <w:jc w:val="center"/>
            </w:pPr>
            <w:r>
              <w:rPr>
                <w:rFonts w:hint="eastAsia" w:ascii="Times New Roman" w:hAnsi="Times New Roman" w:eastAsia="宋体" w:cs="Times New Roman"/>
                <w:b w:val="0"/>
                <w:i w:val="0"/>
                <w:sz w:val="18"/>
              </w:rPr>
              <w:t xml:space="preserve">POD-GPR相对最优简单基线的 </w:t>
            </w:r>
            <m:oMath>
              <m:sSub>
                <m:sSubPr/>
                <m:e>
                  <m:r>
                    <m:rPr/>
                    <m:t>E</m:t>
                  </m:r>
                </m:e>
                <m:sub>
                  <m:r>
                    <m:rPr>
                      <m:sty m:val="p"/>
                    </m:rPr>
                    <m:t>complex,</m:t>
                  </m:r>
                  <m:r>
                    <m:rPr/>
                    <m:t>w</m:t>
                  </m:r>
                </m:sub>
              </m:sSub>
            </m:oMath>
            <w:r>
              <w:rPr>
                <w:rFonts w:hint="eastAsia" w:ascii="Times New Roman" w:hAnsi="Times New Roman" w:eastAsia="宋体" w:cs="Times New Roman"/>
                <w:b w:val="0"/>
                <w:i w:val="0"/>
                <w:sz w:val="18"/>
              </w:rPr>
              <w:t xml:space="preserve"> 中位数至少降低5%</w:t>
            </w:r>
          </w:p>
        </w:tc>
      </w:tr>
    </w:tbl>
    <w:p w14:paraId="59784CB8">
      <w:pPr>
        <w:spacing w:before="0" w:after="0"/>
        <w:ind w:firstLine="420"/>
        <w:jc w:val="both"/>
      </w:pPr>
      <w:r>
        <w:rPr>
          <w:rFonts w:hint="eastAsia" w:ascii="Times New Roman" w:hAnsi="Times New Roman" w:eastAsia="宋体" w:cs="Times New Roman"/>
          <w:b w:val="0"/>
          <w:i w:val="0"/>
          <w:sz w:val="21"/>
        </w:rPr>
        <w:t xml:space="preserve">全部P组重拟合后，12个POD系数对应的优化长度尺度在标准化参数空间内分别落在0.557～3.83（坡角）、0.0899～2.82（厚度比）和0.0869～2.29（波速比）之间；第一系数的白噪声水平为0.00351，其余系数收敛到 </w:t>
      </w:r>
      <m:oMath>
        <m:sSup>
          <m:sSupPr/>
          <m:e>
            <m:r>
              <m:rPr/>
              <m:t>10</m:t>
            </m:r>
          </m:e>
          <m:sup>
            <m:r>
              <m:rPr>
                <m:sty m:val="p"/>
              </m:rPr>
              <m:t>−</m:t>
            </m:r>
            <m:r>
              <m:rPr/>
              <m:t>6</m:t>
            </m:r>
          </m:sup>
        </m:sSup>
      </m:oMath>
      <w:r>
        <w:rPr>
          <w:rFonts w:hint="eastAsia" w:ascii="Times New Roman" w:hAnsi="Times New Roman" w:eastAsia="宋体" w:cs="Times New Roman"/>
          <w:b w:val="0"/>
          <w:i w:val="0"/>
          <w:sz w:val="21"/>
        </w:rPr>
        <w:t>。高阶系数在厚度比或波速比方向出现较短长度尺度，与复频响条带随覆盖层参数快速移动的现象相符。不过，每个POD系数混合了多个频率和空间位置，长度尺度仅用于描述回归映射的变化快慢，不直接等同于第3章的物理主效应。</w:t>
      </w:r>
    </w:p>
    <w:p w14:paraId="39260AB4">
      <w:pPr>
        <w:spacing w:before="0" w:after="0"/>
        <w:ind w:firstLine="420"/>
        <w:jc w:val="both"/>
      </w:pPr>
      <w:r>
        <w:rPr>
          <w:rFonts w:hint="eastAsia" w:ascii="Times New Roman" w:hAnsi="Times New Roman" w:eastAsia="宋体" w:cs="Times New Roman"/>
          <w:b w:val="0"/>
          <w:i w:val="0"/>
          <w:sz w:val="21"/>
        </w:rPr>
        <w:t>长度尺度跨度本身也提示同一套固定采样网格对不同模态并不等价。坡角方向的最短尺度仍为0.557，而厚度比和波速比方向分别低至0.0899和0.0869，说明至少部分高阶系数在后两个方向上变化得更急；当相邻训练水平之间存在这种快速变化时，GPR只能依据两端样本推断中间形态，局部峰值便可能被平滑。另一方面，多数白噪声收敛到很小的数值，与有限元数据本身基本确定的性质一致，误差不应被简单解释为随机观测噪声。第一系数保留较高白噪声，更可能是在当前核形式下吸收未被平稳协方差充分描述的变化。由于没有重复数值试验用于独立估计噪声，该参数只作为拟合项解释，不赋予测量噪声的物理含义。</w:t>
      </w:r>
    </w:p>
    <w:p w14:paraId="53C4B25E">
      <w:pPr>
        <w:spacing w:before="0" w:after="0"/>
        <w:ind w:firstLine="420"/>
        <w:jc w:val="both"/>
      </w:pPr>
      <w:r>
        <w:rPr>
          <w:rFonts w:hint="eastAsia" w:ascii="Times New Roman" w:hAnsi="Times New Roman" w:eastAsia="宋体" w:cs="Times New Roman"/>
          <w:b w:val="0"/>
          <w:i w:val="0"/>
          <w:sz w:val="21"/>
        </w:rPr>
        <w:t>评价以有效掩码内、按输入频率能量加权的复数相对误差为主：</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7987A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15B15BA1">
            <w:pPr>
              <w:spacing w:before="60" w:after="60"/>
              <w:jc w:val="center"/>
            </w:pPr>
            <m:oMathPara>
              <m:oMath>
                <m:sSub>
                  <m:sSubPr/>
                  <m:e>
                    <m:r>
                      <m:rPr/>
                      <m:t>E</m:t>
                    </m:r>
                  </m:e>
                  <m:sub>
                    <m:r>
                      <m:rPr>
                        <m:sty m:val="p"/>
                      </m:rPr>
                      <m:t>complex,</m:t>
                    </m:r>
                    <m:r>
                      <m:rPr/>
                      <m:t>w</m:t>
                    </m:r>
                  </m:sub>
                </m:sSub>
                <m:r>
                  <m:rPr>
                    <m:sty m:val="p"/>
                  </m:rPr>
                  <m:t>=</m:t>
                </m:r>
                <m:sSup>
                  <m:sSupPr/>
                  <m:e>
                    <m:d>
                      <m:dPr>
                        <m:begChr m:val="["/>
                        <m:sepChr m:val=""/>
                        <m:endChr m:val="]"/>
                      </m:dPr>
                      <m:e>
                        <m:f>
                          <m:fPr/>
                          <m:num>
                            <m:nary>
                              <m:naryPr>
                                <m:chr m:val="∑"/>
                                <m:limLoc m:val="undOvr"/>
                                <m:supHide m:val="1"/>
                              </m:naryPr>
                              <m:sub>
                                <m:r>
                                  <m:rPr/>
                                  <m:t>f</m:t>
                                </m:r>
                                <m:r>
                                  <m:rPr>
                                    <m:sty m:val="p"/>
                                  </m:rPr>
                                  <m:t>,</m:t>
                                </m:r>
                                <m:r>
                                  <m:rPr/>
                                  <m:t>s</m:t>
                                </m:r>
                              </m:sub>
                              <m:sup>
                                <m:r>
                                  <m:rPr/>
                                  <m:t>​</m:t>
                                </m:r>
                              </m:sup>
                              <m:e>
                                <m:r>
                                  <m:rPr/>
                                  <m:t>M</m:t>
                                </m:r>
                              </m:e>
                            </m:nary>
                            <m:r>
                              <m:rPr>
                                <m:sty m:val="p"/>
                              </m:rPr>
                              <m:t>(</m:t>
                            </m:r>
                            <m:r>
                              <m:rPr/>
                              <m:t>f</m:t>
                            </m:r>
                            <m:r>
                              <m:rPr>
                                <m:sty m:val="p"/>
                              </m:rPr>
                              <m:t>,</m:t>
                            </m:r>
                            <m:r>
                              <m:rPr/>
                              <m:t>s</m:t>
                            </m:r>
                            <m:r>
                              <m:rPr>
                                <m:sty m:val="p"/>
                              </m:rPr>
                              <m:t>)</m:t>
                            </m:r>
                            <m:r>
                              <m:rPr/>
                              <m:t>w</m:t>
                            </m:r>
                            <m:r>
                              <m:rPr>
                                <m:sty m:val="p"/>
                              </m:rPr>
                              <m:t>(</m:t>
                            </m:r>
                            <m:r>
                              <m:rPr/>
                              <m:t>f</m:t>
                            </m:r>
                            <m:r>
                              <m:rPr>
                                <m:sty m:val="p"/>
                              </m:rPr>
                              <m:t>)|</m:t>
                            </m:r>
                            <m:sSub>
                              <m:sSubPr/>
                              <m:e>
                                <m:acc>
                                  <m:accPr/>
                                  <m:e>
                                    <m:r>
                                      <m:rPr/>
                                      <m:t>G</m:t>
                                    </m:r>
                                  </m:e>
                                </m:acc>
                              </m:e>
                              <m:sub>
                                <m:r>
                                  <m:rPr/>
                                  <m:t>h</m:t>
                                </m:r>
                              </m:sub>
                            </m:sSub>
                            <m:r>
                              <m:rPr>
                                <m:sty m:val="p"/>
                              </m:rPr>
                              <m:t>(</m:t>
                            </m:r>
                            <m:r>
                              <m:rPr/>
                              <m:t>f</m:t>
                            </m:r>
                            <m:r>
                              <m:rPr>
                                <m:sty m:val="p"/>
                              </m:rPr>
                              <m:t>,</m:t>
                            </m:r>
                            <m:r>
                              <m:rPr/>
                              <m:t>s</m:t>
                            </m:r>
                            <m:r>
                              <m:rPr>
                                <m:sty m:val="p"/>
                              </m:rPr>
                              <m:t>)−</m:t>
                            </m:r>
                            <m:sSub>
                              <m:sSubPr/>
                              <m:e>
                                <m:r>
                                  <m:rPr/>
                                  <m:t>G</m:t>
                                </m:r>
                              </m:e>
                              <m:sub>
                                <m:r>
                                  <m:rPr/>
                                  <m:t>h</m:t>
                                </m:r>
                              </m:sub>
                            </m:sSub>
                            <m:r>
                              <m:rPr>
                                <m:sty m:val="p"/>
                              </m:rPr>
                              <m:t>(</m:t>
                            </m:r>
                            <m:r>
                              <m:rPr/>
                              <m:t>f</m:t>
                            </m:r>
                            <m:r>
                              <m:rPr>
                                <m:sty m:val="p"/>
                              </m:rPr>
                              <m:t>,</m:t>
                            </m:r>
                            <m:r>
                              <m:rPr/>
                              <m:t>s</m:t>
                            </m:r>
                            <m:r>
                              <m:rPr>
                                <m:sty m:val="p"/>
                              </m:rPr>
                              <m:t>)</m:t>
                            </m:r>
                            <m:sSup>
                              <m:sSupPr/>
                              <m:e>
                                <m:r>
                                  <m:rPr>
                                    <m:sty m:val="p"/>
                                  </m:rPr>
                                  <m:t>|</m:t>
                                </m:r>
                              </m:e>
                              <m:sup>
                                <m:r>
                                  <m:rPr/>
                                  <m:t>2</m:t>
                                </m:r>
                              </m:sup>
                            </m:sSup>
                          </m:num>
                          <m:den>
                            <m:nary>
                              <m:naryPr>
                                <m:chr m:val="∑"/>
                                <m:limLoc m:val="undOvr"/>
                                <m:supHide m:val="1"/>
                              </m:naryPr>
                              <m:sub>
                                <m:r>
                                  <m:rPr/>
                                  <m:t>f</m:t>
                                </m:r>
                                <m:r>
                                  <m:rPr>
                                    <m:sty m:val="p"/>
                                  </m:rPr>
                                  <m:t>,</m:t>
                                </m:r>
                                <m:r>
                                  <m:rPr/>
                                  <m:t>s</m:t>
                                </m:r>
                              </m:sub>
                              <m:sup>
                                <m:r>
                                  <m:rPr/>
                                  <m:t>​</m:t>
                                </m:r>
                              </m:sup>
                              <m:e>
                                <m:r>
                                  <m:rPr/>
                                  <m:t>M</m:t>
                                </m:r>
                              </m:e>
                            </m:nary>
                            <m:r>
                              <m:rPr>
                                <m:sty m:val="p"/>
                              </m:rPr>
                              <m:t>(</m:t>
                            </m:r>
                            <m:r>
                              <m:rPr/>
                              <m:t>f</m:t>
                            </m:r>
                            <m:r>
                              <m:rPr>
                                <m:sty m:val="p"/>
                              </m:rPr>
                              <m:t>,</m:t>
                            </m:r>
                            <m:r>
                              <m:rPr/>
                              <m:t>s</m:t>
                            </m:r>
                            <m:r>
                              <m:rPr>
                                <m:sty m:val="p"/>
                              </m:rPr>
                              <m:t>)</m:t>
                            </m:r>
                            <m:r>
                              <m:rPr/>
                              <m:t>w</m:t>
                            </m:r>
                            <m:r>
                              <m:rPr>
                                <m:sty m:val="p"/>
                              </m:rPr>
                              <m:t>(</m:t>
                            </m:r>
                            <m:r>
                              <m:rPr/>
                              <m:t>f</m:t>
                            </m:r>
                            <m:r>
                              <m:rPr>
                                <m:sty m:val="p"/>
                              </m:rPr>
                              <m:t>)|</m:t>
                            </m:r>
                            <m:sSub>
                              <m:sSubPr/>
                              <m:e>
                                <m:r>
                                  <m:rPr/>
                                  <m:t>G</m:t>
                                </m:r>
                              </m:e>
                              <m:sub>
                                <m:r>
                                  <m:rPr/>
                                  <m:t>h</m:t>
                                </m:r>
                              </m:sub>
                            </m:sSub>
                            <m:r>
                              <m:rPr>
                                <m:sty m:val="p"/>
                              </m:rPr>
                              <m:t>(</m:t>
                            </m:r>
                            <m:r>
                              <m:rPr/>
                              <m:t>f</m:t>
                            </m:r>
                            <m:r>
                              <m:rPr>
                                <m:sty m:val="p"/>
                              </m:rPr>
                              <m:t>,</m:t>
                            </m:r>
                            <m:r>
                              <m:rPr/>
                              <m:t>s</m:t>
                            </m:r>
                            <m:r>
                              <m:rPr>
                                <m:sty m:val="p"/>
                              </m:rPr>
                              <m:t>)</m:t>
                            </m:r>
                            <m:sSup>
                              <m:sSupPr/>
                              <m:e>
                                <m:r>
                                  <m:rPr>
                                    <m:sty m:val="p"/>
                                  </m:rPr>
                                  <m:t>|</m:t>
                                </m:r>
                              </m:e>
                              <m:sup>
                                <m:r>
                                  <m:rPr/>
                                  <m:t>2</m:t>
                                </m:r>
                              </m:sup>
                            </m:sSup>
                          </m:den>
                        </m:f>
                      </m:e>
                    </m:d>
                  </m:e>
                  <m:sup>
                    <m:r>
                      <m:rPr/>
                      <m:t>1</m:t>
                    </m:r>
                    <m:r>
                      <m:rPr>
                        <m:sty m:val="p"/>
                      </m:rPr>
                      <m:t>/</m:t>
                    </m:r>
                    <m:r>
                      <m:rPr/>
                      <m:t>2</m:t>
                    </m:r>
                  </m:sup>
                </m:sSup>
                <m:r>
                  <m:rPr>
                    <m:sty m:val="p"/>
                  </m:rPr>
                  <m:t>.</m:t>
                </m:r>
              </m:oMath>
            </m:oMathPara>
          </w:p>
        </w:tc>
        <w:tc>
          <w:tcPr>
            <w:tcW w:w="4819" w:type="dxa"/>
          </w:tcPr>
          <w:p w14:paraId="0DC3136E">
            <w:pPr>
              <w:spacing w:before="60" w:after="60"/>
              <w:jc w:val="right"/>
            </w:pPr>
            <w:r>
              <w:rPr>
                <w:rFonts w:hint="eastAsia" w:ascii="Times New Roman" w:hAnsi="Times New Roman" w:eastAsia="Times New Roman" w:cs="Times New Roman"/>
                <w:b w:val="0"/>
                <w:i w:val="0"/>
                <w:sz w:val="21"/>
              </w:rPr>
              <w:t>(21)</w:t>
            </w:r>
          </w:p>
        </w:tc>
      </w:tr>
    </w:tbl>
    <w:p w14:paraId="31FE5792">
      <w:pPr>
        <w:spacing w:before="0" w:after="0"/>
        <w:ind w:firstLine="420"/>
        <w:jc w:val="both"/>
      </w:pPr>
      <w:r>
        <w:rPr>
          <w:rFonts w:hint="eastAsia" w:ascii="Times New Roman" w:hAnsi="Times New Roman" w:eastAsia="宋体" w:cs="Times New Roman"/>
          <w:b w:val="0"/>
          <w:i w:val="0"/>
          <w:sz w:val="21"/>
        </w:rPr>
        <w:t>其中，</w:t>
      </w:r>
      <m:oMath>
        <m:r>
          <m:rPr/>
          <m:t>M</m:t>
        </m:r>
      </m:oMath>
      <w:r>
        <w:rPr>
          <w:rFonts w:hint="eastAsia" w:ascii="Times New Roman" w:hAnsi="Times New Roman" w:eastAsia="宋体" w:cs="Times New Roman"/>
          <w:b w:val="0"/>
          <w:i w:val="0"/>
          <w:sz w:val="21"/>
        </w:rPr>
        <w:t xml:space="preserve"> 为真值与预测共同有效的掩码，</w:t>
      </w:r>
      <m:oMath>
        <m:r>
          <m:rPr/>
          <m:t>w</m:t>
        </m:r>
        <m:r>
          <m:rPr>
            <m:sty m:val="p"/>
          </m:rPr>
          <m:t>(</m:t>
        </m:r>
        <m:r>
          <m:rPr/>
          <m:t>f</m:t>
        </m:r>
        <m:r>
          <m:rPr>
            <m:sty m:val="p"/>
          </m:rPr>
          <m:t>)</m:t>
        </m:r>
      </m:oMath>
      <w:r>
        <w:rPr>
          <w:rFonts w:hint="eastAsia" w:ascii="Times New Roman" w:hAnsi="Times New Roman" w:eastAsia="宋体" w:cs="Times New Roman"/>
          <w:b w:val="0"/>
          <w:i w:val="0"/>
          <w:sz w:val="21"/>
        </w:rPr>
        <w:t xml:space="preserve"> 为该工况宽频输入在对应频点的能量权重。该指标同时惩罚幅值和相位偏差，但一个总数不能说明误差发生在哪里，因此另行计算对数幅值均方根误差、圆周相位均方根误差、群时延误差、空间相位梯度误差，以及全场最大幅值、峰值频率和峰值位置的偏差。圆周相位误差通过 </w:t>
      </w:r>
      <m:oMath>
        <m:r>
          <m:rPr>
            <m:sty m:val="p"/>
          </m:rPr>
          <m:t>∠(</m:t>
        </m:r>
        <m:sSub>
          <m:sSubPr/>
          <m:e>
            <m:acc>
              <m:accPr/>
              <m:e>
                <m:r>
                  <m:rPr/>
                  <m:t>G</m:t>
                </m:r>
              </m:e>
            </m:acc>
          </m:e>
          <m:sub>
            <m:r>
              <m:rPr/>
              <m:t>h</m:t>
            </m:r>
          </m:sub>
        </m:sSub>
        <m:sSubSup>
          <m:sSubSupPr/>
          <m:e>
            <m:r>
              <m:rPr/>
              <m:t>G</m:t>
            </m:r>
          </m:e>
          <m:sub>
            <m:r>
              <m:rPr/>
              <m:t>h</m:t>
            </m:r>
          </m:sub>
          <m:sup>
            <m:r>
              <m:rPr>
                <m:sty m:val="p"/>
              </m:rPr>
              <m:t>∗</m:t>
            </m:r>
          </m:sup>
        </m:sSubSup>
        <m:r>
          <m:rPr>
            <m:sty m:val="p"/>
          </m:rPr>
          <m:t>)</m:t>
        </m:r>
      </m:oMath>
      <w:r>
        <w:rPr>
          <w:rFonts w:hint="eastAsia" w:ascii="Times New Roman" w:hAnsi="Times New Roman" w:eastAsia="宋体" w:cs="Times New Roman"/>
          <w:b w:val="0"/>
          <w:i w:val="0"/>
          <w:sz w:val="21"/>
        </w:rPr>
        <w:t xml:space="preserve"> 计算，避免跨越 </w:t>
      </w:r>
      <m:oMath>
        <m:r>
          <m:rPr>
            <m:sty m:val="p"/>
          </m:rPr>
          <m:t>±</m:t>
        </m:r>
        <m:r>
          <m:rPr/>
          <m:t>π</m:t>
        </m:r>
      </m:oMath>
      <w:r>
        <w:rPr>
          <w:rFonts w:hint="eastAsia" w:ascii="Times New Roman" w:hAnsi="Times New Roman" w:eastAsia="宋体" w:cs="Times New Roman"/>
          <w:b w:val="0"/>
          <w:i w:val="0"/>
          <w:sz w:val="21"/>
        </w:rPr>
        <w:t xml:space="preserve"> 时直接相减产生假大误差；群时延在连续有效频段内由解缠相位对频率的导数获得。频率分层采用0.5～3 Hz、3～6 Hz和6～10 Hz三个频带，空间分层采用上平台A段、坡面B段和下平台C段。所有指标先逐工况计算，再汇总工况中位数与P90；这种做法使少数困难工况不会被平均值掩盖。</w:t>
      </w:r>
    </w:p>
    <w:p w14:paraId="655E21EB">
      <w:pPr>
        <w:spacing w:before="0" w:after="0"/>
        <w:ind w:firstLine="420"/>
        <w:jc w:val="both"/>
      </w:pPr>
      <w:r>
        <w:rPr>
          <w:rFonts w:hint="eastAsia" w:ascii="Times New Roman" w:hAnsi="Times New Roman" w:eastAsia="宋体" w:cs="Times New Roman"/>
          <w:b w:val="0"/>
          <w:i w:val="0"/>
          <w:sz w:val="21"/>
        </w:rPr>
        <w:t xml:space="preserve">这些指标分别对应不同的失真方式。对数幅值误差把放大一倍和缩小一半处理为方向相反、量级相当的偏差，避免高放大区以绝对差值压倒其余区域；圆周相位误差关注同一频点的相位对齐；群时延与空间相位梯度又进一步放大相位沿频率和位置变化的不一致。峰值幅值、峰频和峰位则只追踪全场极值，可能对一个网格点的轻微竞争非常敏感。因而本文以 </w:t>
      </w:r>
      <m:oMath>
        <m:sSub>
          <m:sSubPr/>
          <m:e>
            <m:r>
              <m:rPr/>
              <m:t>E</m:t>
            </m:r>
          </m:e>
          <m:sub>
            <m:r>
              <m:rPr>
                <m:sty m:val="p"/>
              </m:rPr>
              <m:t>complex,</m:t>
            </m:r>
            <m:r>
              <m:rPr/>
              <m:t>w</m:t>
            </m:r>
          </m:sub>
        </m:sSub>
      </m:oMath>
      <w:r>
        <w:rPr>
          <w:rFonts w:hint="eastAsia" w:ascii="Times New Roman" w:hAnsi="Times New Roman" w:eastAsia="宋体" w:cs="Times New Roman"/>
          <w:b w:val="0"/>
          <w:i w:val="0"/>
          <w:sz w:val="21"/>
        </w:rPr>
        <w:t xml:space="preserve"> 选定总体模型，同时保留局部和导数型指标检查代价。若一个模型综合误差较低而峰频误差较大，应解释为它恢复了大部分能量加权场，却没有稳定识别竞争峰中的全局最大者，不能把两项结果看成互相矛盾。</w:t>
      </w:r>
    </w:p>
    <w:p w14:paraId="5A42DEC9">
      <w:pPr>
        <w:spacing w:before="0" w:after="0"/>
        <w:ind w:firstLine="420"/>
        <w:jc w:val="both"/>
      </w:pPr>
      <w:r>
        <w:rPr>
          <w:rFonts w:hint="eastAsia" w:ascii="Times New Roman" w:hAnsi="Times New Roman" w:eastAsia="宋体" w:cs="Times New Roman"/>
          <w:b w:val="0"/>
          <w:i w:val="0"/>
          <w:sz w:val="21"/>
        </w:rPr>
        <w:t>外层交叉验证以完整物理工况为最小划分单元，同一工况的全部频率和空间点只能同时出现在训练折或验证折中，不能把单个网格点随机拆分。每一折均重新拟合输入标准化、输出填补与标准化、POD基底及回归器，模型选择完成后才用全部64个P工况重新拟合并冻结主模型。12个B工况始终不进入上述流程。参考场定义并非在B组结果完全封存前冻结；P组和B组均按最终定义重新生成，训练外隔离关系仍然成立，但B组不具备严格一次性盲测属性，故本文统一称其为训练外组合验证。</w:t>
      </w:r>
    </w:p>
    <w:p w14:paraId="41135706">
      <w:pPr>
        <w:spacing w:before="0" w:after="0"/>
        <w:ind w:firstLine="420"/>
        <w:jc w:val="both"/>
      </w:pPr>
      <w:r>
        <w:rPr>
          <w:rFonts w:hint="eastAsia" w:ascii="Times New Roman" w:hAnsi="Times New Roman" w:eastAsia="宋体" w:cs="Times New Roman"/>
          <w:b w:val="0"/>
          <w:i w:val="0"/>
          <w:sz w:val="21"/>
        </w:rPr>
        <w:t>五折划分的验证对象仍位于P组四级规则网格上，所以它检验的是“缺少部分节点时能否恢复这些节点”，而不是任意连续参数上的完全独立泛化。随机种子固定可以保证三种模型面对相同难度的折，但不能消除某一折恰好聚集较多软厚覆盖层工况造成的波动。本文因此不把某一折的结果单独作为优劣依据，而看64例汇总分布，并用B组补充训练水平之间的组合。对参数域外输入，标准化距离、核相关性和POD基底都可能离开训练依据，现有验证没有提供可量化的可靠性保证。</w:t>
      </w:r>
    </w:p>
    <w:p w14:paraId="20104E62">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pPr>
      <w:r>
        <w:rPr>
          <w:rFonts w:hint="eastAsia" w:ascii="Times New Roman" w:hAnsi="Times New Roman" w:eastAsia="宋体" w:cs="Times New Roman"/>
          <w:b/>
          <w:i w:val="0"/>
          <w:sz w:val="24"/>
        </w:rPr>
        <w:t>4.2 代理模型精度与泛化能力</w:t>
      </w:r>
    </w:p>
    <w:p w14:paraId="316E8850">
      <w:pPr>
        <w:keepNext w:val="0"/>
        <w:keepLines w:val="0"/>
        <w:pageBreakBefore w:val="0"/>
        <w:widowControl w:val="0"/>
        <w:kinsoku/>
        <w:wordWrap/>
        <w:overflowPunct/>
        <w:topLinePunct w:val="0"/>
        <w:autoSpaceDE/>
        <w:autoSpaceDN/>
        <w:bidi w:val="0"/>
        <w:adjustRightInd/>
        <w:snapToGrid/>
        <w:spacing w:before="80" w:after="20"/>
        <w:ind w:firstLine="0"/>
        <w:jc w:val="left"/>
        <w:textAlignment w:val="auto"/>
        <w:outlineLvl w:val="2"/>
      </w:pPr>
      <w:r>
        <w:rPr>
          <w:rFonts w:hint="eastAsia" w:ascii="Times New Roman" w:hAnsi="Times New Roman" w:eastAsia="宋体" w:cs="Times New Roman"/>
          <w:b/>
          <w:i w:val="0"/>
          <w:sz w:val="21"/>
        </w:rPr>
        <w:t>4.2.1 模型选择与交叉验证</w:t>
      </w:r>
    </w:p>
    <w:p w14:paraId="709EE13F">
      <w:pPr>
        <w:spacing w:before="0" w:after="0"/>
        <w:ind w:firstLine="420"/>
        <w:jc w:val="both"/>
      </w:pPr>
      <w:r>
        <w:rPr>
          <w:rFonts w:hint="eastAsia" w:ascii="Times New Roman" w:hAnsi="Times New Roman" w:eastAsia="宋体" w:cs="Times New Roman"/>
          <w:b w:val="0"/>
          <w:i w:val="0"/>
          <w:sz w:val="21"/>
        </w:rPr>
        <w:t xml:space="preserve">图19比较了三种候选方法在64个P组工况上的整工况五折结果。按POD-GPR误差由小到大排列后，其误差曲线总体比两种简单方法更平缓，困难端仍出现接近0.9的个别工况。总体分布中，最近邻、POD-Ridge和POD-GPR的 </w:t>
      </w:r>
      <m:oMath>
        <m:sSub>
          <m:sSubPr/>
          <m:e>
            <m:r>
              <m:rPr/>
              <m:t>E</m:t>
            </m:r>
          </m:e>
          <m:sub>
            <m:r>
              <m:rPr>
                <m:sty m:val="p"/>
              </m:rPr>
              <m:t>complex,</m:t>
            </m:r>
            <m:r>
              <m:rPr/>
              <m:t>w</m:t>
            </m:r>
          </m:sub>
        </m:sSub>
      </m:oMath>
      <w:r>
        <w:rPr>
          <w:rFonts w:hint="eastAsia" w:ascii="Times New Roman" w:hAnsi="Times New Roman" w:eastAsia="宋体" w:cs="Times New Roman"/>
          <w:b w:val="0"/>
          <w:i w:val="0"/>
          <w:sz w:val="21"/>
        </w:rPr>
        <w:t xml:space="preserve"> 中位数分别为0.3895、0.4271和0.2708，P90分别为0.7675、0.7114和0.4903。POD-GPR相对误差较小的简单基线最近邻降低30.5%，超过5%的选模门槛；相对POD-Ridge降低36.6%，因此选定POD-GPR作为后续冻结模型。不过，0.2708意味着典型工况仍存在约27.1%的加权复数场误差，P90接近49.0%，结果只能表述为“相对基线改善并能捕捉主要模式”，不能表述为高精度替代有限元。</w:t>
      </w:r>
    </w:p>
    <w:p w14:paraId="7EF39533">
      <w:pPr>
        <w:spacing w:before="80" w:after="40"/>
        <w:ind w:firstLine="0"/>
        <w:jc w:val="center"/>
      </w:pPr>
      <w:r>
        <w:drawing>
          <wp:inline distT="0" distB="0" distL="114300" distR="114300">
            <wp:extent cx="2880360" cy="1839595"/>
            <wp:effectExtent l="0" t="0" r="1524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2880360" cy="1839685"/>
                    </a:xfrm>
                    <a:prstGeom prst="rect">
                      <a:avLst/>
                    </a:prstGeom>
                  </pic:spPr>
                </pic:pic>
              </a:graphicData>
            </a:graphic>
          </wp:inline>
        </w:drawing>
      </w:r>
    </w:p>
    <w:p w14:paraId="555FC0AF">
      <w:pPr>
        <w:spacing w:before="0" w:after="0"/>
        <w:ind w:firstLine="0"/>
        <w:jc w:val="center"/>
      </w:pPr>
      <w:r>
        <w:rPr>
          <w:rFonts w:hint="eastAsia" w:ascii="Times New Roman" w:hAnsi="Times New Roman" w:eastAsia="宋体" w:cs="Times New Roman"/>
          <w:b w:val="0"/>
          <w:i w:val="0"/>
          <w:sz w:val="18"/>
        </w:rPr>
        <w:t>图19 三种候选代理模型的五折交叉验证结果：（a）64个P组工况逐工况加权复数误差；（b）该误差的分布、中位数与90%分位数（P90）；（c）对数幅值、圆周相位、群时延、空间相位梯度、峰值幅值、峰频和峰位误差的中位数与P90</w:t>
      </w:r>
    </w:p>
    <w:p w14:paraId="25590605">
      <w:pPr>
        <w:spacing w:before="0" w:after="60"/>
        <w:ind w:firstLine="0"/>
        <w:jc w:val="center"/>
      </w:pPr>
      <w:r>
        <w:rPr>
          <w:rFonts w:hint="eastAsia" w:ascii="Times New Roman" w:hAnsi="Times New Roman" w:eastAsia="Times New Roman" w:cs="Times New Roman"/>
          <w:b w:val="0"/>
          <w:i w:val="0"/>
          <w:sz w:val="18"/>
        </w:rPr>
        <w:t>Fig. 19 Five-fold cross-validation of the three candidate surrogates: case-wise complex errors, error distributions, and field metrics</w:t>
      </w:r>
    </w:p>
    <w:p w14:paraId="512BEB59">
      <w:pPr>
        <w:spacing w:before="0" w:after="0"/>
        <w:ind w:firstLine="420"/>
        <w:jc w:val="both"/>
      </w:pPr>
      <w:r>
        <w:rPr>
          <w:rFonts w:hint="eastAsia" w:ascii="Times New Roman" w:hAnsi="Times New Roman" w:eastAsia="宋体" w:cs="Times New Roman"/>
          <w:b w:val="0"/>
          <w:i w:val="0"/>
          <w:sz w:val="21"/>
        </w:rPr>
        <w:t>表12给出与图19一致的精确统计。POD-GPR的对数幅值误差中位数为0.1928，略优于最近邻的0.2032，明显优于POD-Ridge的0.3939；圆周相位误差中位数由最近邻的20.6°和POD-Ridge的29.3°降至13.2°，表明非线性系数映射对相位结构尤为重要。群时延和空间相位梯度的中位误差也分别降至0.0404 s和0.519 rad/单位归一化坐标。与此同时，POD-GPR并非每个指标都占优：其对数幅值误差P90为0.4886，比最近邻的0.4248高15.0%；主峰频率误差中位数为2.25 Hz，也高于最近邻的1.15 Hz。原因在于模型选择针对全场加权复数误差，而不是单独优化全局最大点。该差异说明，全场形态、局部峰值与相位时延属于互补评价维度，不能用一个指标替代另一个。</w:t>
      </w:r>
    </w:p>
    <w:p w14:paraId="752BBDBE">
      <w:pPr>
        <w:spacing w:before="0" w:after="0"/>
        <w:ind w:firstLine="420"/>
        <w:jc w:val="both"/>
      </w:pPr>
      <w:r>
        <w:rPr>
          <w:rFonts w:hint="eastAsia" w:ascii="Times New Roman" w:hAnsi="Times New Roman" w:eastAsia="宋体" w:cs="Times New Roman"/>
          <w:b w:val="0"/>
          <w:i w:val="0"/>
          <w:sz w:val="21"/>
        </w:rPr>
        <w:t>最近邻在部分极值指标上的优势有明确的算法含义。它复制一个真实计算过的完整场，因而保留了尖锐峰值和网格级极值，不会像低阶基底与连续回归那样把竞争峰平均化；代价是所复制的峰可能来自错误的参数节点，场的整体相位和区域结构因而偏差较大。POD-Ridge的综合误差中位数甚至高于最近邻，且对数幅值与相位误差同时增大，说明POD压缩本身并不能保证有效预测，三个参数到模态系数的线性关系不足以描述第3章发现的交互和迁移。POD-GPR最显著的改善出现在相位、群时延及空间相位梯度，说明连续非线性映射较好地恢复了场的整体传播关系；但其幅值上尾和峰频仍受平滑影响。选用POD-GPR是基于预先规定的综合误差标准，而不是宣称它在所有用途上支配另外两种方法。</w:t>
      </w:r>
    </w:p>
    <w:p w14:paraId="20876FE9">
      <w:pPr>
        <w:spacing w:before="156" w:after="0"/>
        <w:ind w:firstLine="0"/>
        <w:jc w:val="center"/>
      </w:pPr>
      <w:r>
        <w:rPr>
          <w:rFonts w:hint="eastAsia" w:ascii="Times New Roman" w:hAnsi="Times New Roman" w:eastAsia="宋体" w:cs="Times New Roman"/>
          <w:b w:val="0"/>
          <w:i w:val="0"/>
          <w:sz w:val="18"/>
        </w:rPr>
        <w:t>表12 三种候选代理的五折交叉验证指标（中位数/P90）</w:t>
      </w:r>
    </w:p>
    <w:p w14:paraId="668AE285">
      <w:pPr>
        <w:spacing w:before="0" w:after="40"/>
        <w:ind w:firstLine="0"/>
        <w:jc w:val="center"/>
      </w:pPr>
      <w:r>
        <w:rPr>
          <w:rFonts w:hint="eastAsia" w:ascii="Times New Roman" w:hAnsi="Times New Roman" w:eastAsia="Times New Roman" w:cs="Times New Roman"/>
          <w:b w:val="0"/>
          <w:i w:val="0"/>
          <w:sz w:val="18"/>
        </w:rPr>
        <w:t>Table 12 Five-fold cross-validation metrics of the three candidate surrogates (median/P90)</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1"/>
        <w:gridCol w:w="1141"/>
        <w:gridCol w:w="1141"/>
        <w:gridCol w:w="1071"/>
        <w:gridCol w:w="1141"/>
        <w:gridCol w:w="1071"/>
        <w:gridCol w:w="1071"/>
        <w:gridCol w:w="1071"/>
        <w:gridCol w:w="1071"/>
      </w:tblGrid>
      <w:tr w14:paraId="7DBB17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1" w:type="dxa"/>
            <w:tcBorders>
              <w:bottom w:val="single" w:color="auto" w:sz="6" w:space="0"/>
            </w:tcBorders>
            <w:vAlign w:val="center"/>
          </w:tcPr>
          <w:p w14:paraId="7F06C8CB">
            <w:pPr>
              <w:spacing w:before="30" w:after="30"/>
              <w:ind w:firstLine="0"/>
              <w:jc w:val="center"/>
            </w:pPr>
            <w:r>
              <w:rPr>
                <w:rFonts w:hint="eastAsia" w:ascii="Times New Roman" w:hAnsi="Times New Roman" w:eastAsia="宋体" w:cs="Times New Roman"/>
                <w:b/>
                <w:i w:val="0"/>
                <w:sz w:val="16"/>
              </w:rPr>
              <w:t>模型</w:t>
            </w:r>
          </w:p>
        </w:tc>
        <w:tc>
          <w:tcPr>
            <w:tcW w:w="1071" w:type="dxa"/>
            <w:tcBorders>
              <w:bottom w:val="single" w:color="auto" w:sz="6" w:space="0"/>
            </w:tcBorders>
            <w:vAlign w:val="center"/>
          </w:tcPr>
          <w:p w14:paraId="540C0C57">
            <w:pPr>
              <w:spacing w:before="30" w:after="30"/>
              <w:ind w:firstLine="0"/>
              <w:jc w:val="center"/>
            </w:pPr>
            <m:oMathPara>
              <m:oMath>
                <m:sSub>
                  <m:sSubPr/>
                  <m:e>
                    <m:r>
                      <m:rPr/>
                      <m:t>E</m:t>
                    </m:r>
                  </m:e>
                  <m:sub>
                    <m:r>
                      <m:rPr>
                        <m:sty m:val="p"/>
                      </m:rPr>
                      <m:t>complex,</m:t>
                    </m:r>
                    <m:r>
                      <m:rPr/>
                      <m:t>w</m:t>
                    </m:r>
                  </m:sub>
                </m:sSub>
              </m:oMath>
            </m:oMathPara>
          </w:p>
        </w:tc>
        <w:tc>
          <w:tcPr>
            <w:tcW w:w="1071" w:type="dxa"/>
            <w:tcBorders>
              <w:bottom w:val="single" w:color="auto" w:sz="6" w:space="0"/>
            </w:tcBorders>
            <w:vAlign w:val="center"/>
          </w:tcPr>
          <w:p w14:paraId="6339B972">
            <w:pPr>
              <w:spacing w:before="30" w:after="30"/>
              <w:ind w:firstLine="0"/>
              <w:jc w:val="center"/>
            </w:pPr>
            <m:oMath>
              <m:r>
                <m:rPr>
                  <m:sty m:val="p"/>
                </m:rPr>
                <m:t>ln|</m:t>
              </m:r>
              <m:sSub>
                <m:sSubPr/>
                <m:e>
                  <m:r>
                    <m:rPr/>
                    <m:t>G</m:t>
                  </m:r>
                </m:e>
                <m:sub>
                  <m:r>
                    <m:rPr/>
                    <m:t>h</m:t>
                  </m:r>
                </m:sub>
              </m:sSub>
              <m:r>
                <m:rPr>
                  <m:sty m:val="p"/>
                </m:rPr>
                <m:t>|</m:t>
              </m:r>
            </m:oMath>
            <w:r>
              <w:rPr>
                <w:rFonts w:hint="eastAsia" w:ascii="Times New Roman" w:hAnsi="Times New Roman" w:eastAsia="宋体" w:cs="Times New Roman"/>
                <w:b/>
                <w:i w:val="0"/>
                <w:sz w:val="16"/>
              </w:rPr>
              <w:t xml:space="preserve"> RMSE</w:t>
            </w:r>
          </w:p>
        </w:tc>
        <w:tc>
          <w:tcPr>
            <w:tcW w:w="1071" w:type="dxa"/>
            <w:tcBorders>
              <w:bottom w:val="single" w:color="auto" w:sz="6" w:space="0"/>
            </w:tcBorders>
            <w:vAlign w:val="center"/>
          </w:tcPr>
          <w:p w14:paraId="1051898D">
            <w:pPr>
              <w:spacing w:before="30" w:after="30"/>
              <w:ind w:firstLine="0"/>
              <w:jc w:val="center"/>
            </w:pPr>
            <w:r>
              <w:rPr>
                <w:rFonts w:hint="eastAsia" w:ascii="Times New Roman" w:hAnsi="Times New Roman" w:eastAsia="宋体" w:cs="Times New Roman"/>
                <w:b/>
                <w:i w:val="0"/>
                <w:sz w:val="16"/>
              </w:rPr>
              <w:t>相位RMSE/(°)</w:t>
            </w:r>
          </w:p>
        </w:tc>
        <w:tc>
          <w:tcPr>
            <w:tcW w:w="1071" w:type="dxa"/>
            <w:tcBorders>
              <w:bottom w:val="single" w:color="auto" w:sz="6" w:space="0"/>
            </w:tcBorders>
            <w:vAlign w:val="center"/>
          </w:tcPr>
          <w:p w14:paraId="150C8AEC">
            <w:pPr>
              <w:spacing w:before="30" w:after="30"/>
              <w:ind w:firstLine="0"/>
              <w:jc w:val="center"/>
            </w:pPr>
            <w:r>
              <w:rPr>
                <w:rFonts w:hint="eastAsia" w:ascii="Times New Roman" w:hAnsi="Times New Roman" w:eastAsia="宋体" w:cs="Times New Roman"/>
                <w:b/>
                <w:i w:val="0"/>
                <w:sz w:val="16"/>
              </w:rPr>
              <w:t>群时延RMSE/s</w:t>
            </w:r>
          </w:p>
        </w:tc>
        <w:tc>
          <w:tcPr>
            <w:tcW w:w="1071" w:type="dxa"/>
            <w:tcBorders>
              <w:bottom w:val="single" w:color="auto" w:sz="6" w:space="0"/>
            </w:tcBorders>
            <w:vAlign w:val="center"/>
          </w:tcPr>
          <w:p w14:paraId="3CDDAB69">
            <w:pPr>
              <w:spacing w:before="30" w:after="30"/>
              <w:ind w:firstLine="0"/>
              <w:jc w:val="center"/>
            </w:pPr>
            <w:r>
              <w:rPr>
                <w:rFonts w:hint="eastAsia" w:ascii="Times New Roman" w:hAnsi="Times New Roman" w:eastAsia="宋体" w:cs="Times New Roman"/>
                <w:b/>
                <w:i w:val="0"/>
                <w:sz w:val="16"/>
              </w:rPr>
              <w:t>空间相位梯度RMSE/(rad/单位归一化坐标)</w:t>
            </w:r>
          </w:p>
        </w:tc>
        <w:tc>
          <w:tcPr>
            <w:tcW w:w="1071" w:type="dxa"/>
            <w:tcBorders>
              <w:bottom w:val="single" w:color="auto" w:sz="6" w:space="0"/>
            </w:tcBorders>
            <w:vAlign w:val="center"/>
          </w:tcPr>
          <w:p w14:paraId="09B6521E">
            <w:pPr>
              <w:spacing w:before="30" w:after="30"/>
              <w:ind w:firstLine="0"/>
              <w:jc w:val="center"/>
            </w:pPr>
            <w:r>
              <w:rPr>
                <w:rFonts w:hint="eastAsia" w:ascii="Times New Roman" w:hAnsi="Times New Roman" w:eastAsia="宋体" w:cs="Times New Roman"/>
                <w:b/>
                <w:i w:val="0"/>
                <w:sz w:val="16"/>
              </w:rPr>
              <w:t>峰值幅值误差/%</w:t>
            </w:r>
          </w:p>
        </w:tc>
        <w:tc>
          <w:tcPr>
            <w:tcW w:w="1071" w:type="dxa"/>
            <w:tcBorders>
              <w:bottom w:val="single" w:color="auto" w:sz="6" w:space="0"/>
            </w:tcBorders>
            <w:vAlign w:val="center"/>
          </w:tcPr>
          <w:p w14:paraId="6C6D043A">
            <w:pPr>
              <w:spacing w:before="30" w:after="30"/>
              <w:ind w:firstLine="0"/>
              <w:jc w:val="center"/>
            </w:pPr>
            <w:r>
              <w:rPr>
                <w:rFonts w:hint="eastAsia" w:ascii="Times New Roman" w:hAnsi="Times New Roman" w:eastAsia="宋体" w:cs="Times New Roman"/>
                <w:b/>
                <w:i w:val="0"/>
                <w:sz w:val="16"/>
              </w:rPr>
              <w:t>峰频误差/Hz</w:t>
            </w:r>
          </w:p>
        </w:tc>
        <w:tc>
          <w:tcPr>
            <w:tcW w:w="1071" w:type="dxa"/>
            <w:tcBorders>
              <w:bottom w:val="single" w:color="auto" w:sz="6" w:space="0"/>
            </w:tcBorders>
            <w:vAlign w:val="center"/>
          </w:tcPr>
          <w:p w14:paraId="02DF3E93">
            <w:pPr>
              <w:spacing w:before="30" w:after="30"/>
              <w:ind w:firstLine="0"/>
              <w:jc w:val="center"/>
            </w:pPr>
            <w:r>
              <w:rPr>
                <w:rFonts w:hint="eastAsia" w:ascii="Times New Roman" w:hAnsi="Times New Roman" w:eastAsia="宋体" w:cs="Times New Roman"/>
                <w:b/>
                <w:i w:val="0"/>
                <w:sz w:val="16"/>
              </w:rPr>
              <w:t xml:space="preserve">峰位误差 </w:t>
            </w:r>
            <m:oMath>
              <m:r>
                <m:rPr>
                  <m:sty m:val="p"/>
                </m:rPr>
                <m:t>|Δ</m:t>
              </m:r>
              <m:r>
                <m:rPr/>
                <m:t>s</m:t>
              </m:r>
              <m:r>
                <m:rPr>
                  <m:sty m:val="p"/>
                </m:rPr>
                <m:t>|</m:t>
              </m:r>
            </m:oMath>
          </w:p>
        </w:tc>
      </w:tr>
      <w:tr w14:paraId="016F2C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1" w:type="dxa"/>
            <w:vAlign w:val="center"/>
          </w:tcPr>
          <w:p w14:paraId="2F030D57">
            <w:pPr>
              <w:spacing w:before="30" w:after="30"/>
              <w:ind w:firstLine="0"/>
              <w:jc w:val="center"/>
            </w:pPr>
            <w:r>
              <w:rPr>
                <w:rFonts w:hint="eastAsia" w:ascii="Times New Roman" w:hAnsi="Times New Roman" w:eastAsia="宋体" w:cs="Times New Roman"/>
                <w:b w:val="0"/>
                <w:i w:val="0"/>
                <w:sz w:val="16"/>
              </w:rPr>
              <w:t>最近邻</w:t>
            </w:r>
          </w:p>
        </w:tc>
        <w:tc>
          <w:tcPr>
            <w:tcW w:w="1071" w:type="dxa"/>
            <w:vAlign w:val="center"/>
          </w:tcPr>
          <w:p w14:paraId="643A43AC">
            <w:pPr>
              <w:spacing w:before="30" w:after="30"/>
              <w:ind w:firstLine="0"/>
              <w:jc w:val="center"/>
            </w:pPr>
            <w:r>
              <w:rPr>
                <w:rFonts w:hint="eastAsia" w:ascii="Times New Roman" w:hAnsi="Times New Roman" w:eastAsia="宋体" w:cs="Times New Roman"/>
                <w:b w:val="0"/>
                <w:i w:val="0"/>
                <w:sz w:val="16"/>
              </w:rPr>
              <w:t>0.3895/0.7675</w:t>
            </w:r>
          </w:p>
        </w:tc>
        <w:tc>
          <w:tcPr>
            <w:tcW w:w="1071" w:type="dxa"/>
            <w:vAlign w:val="center"/>
          </w:tcPr>
          <w:p w14:paraId="3447670C">
            <w:pPr>
              <w:spacing w:before="30" w:after="30"/>
              <w:ind w:firstLine="0"/>
              <w:jc w:val="center"/>
            </w:pPr>
            <w:r>
              <w:rPr>
                <w:rFonts w:hint="eastAsia" w:ascii="Times New Roman" w:hAnsi="Times New Roman" w:eastAsia="宋体" w:cs="Times New Roman"/>
                <w:b w:val="0"/>
                <w:i w:val="0"/>
                <w:sz w:val="16"/>
              </w:rPr>
              <w:t>0.2032/0.4248</w:t>
            </w:r>
          </w:p>
        </w:tc>
        <w:tc>
          <w:tcPr>
            <w:tcW w:w="1071" w:type="dxa"/>
            <w:vAlign w:val="center"/>
          </w:tcPr>
          <w:p w14:paraId="38B1D473">
            <w:pPr>
              <w:spacing w:before="30" w:after="30"/>
              <w:ind w:firstLine="0"/>
              <w:jc w:val="center"/>
            </w:pPr>
            <w:r>
              <w:rPr>
                <w:rFonts w:hint="eastAsia" w:ascii="Times New Roman" w:hAnsi="Times New Roman" w:eastAsia="宋体" w:cs="Times New Roman"/>
                <w:b w:val="0"/>
                <w:i w:val="0"/>
                <w:sz w:val="16"/>
              </w:rPr>
              <w:t>20.60/41.94</w:t>
            </w:r>
          </w:p>
        </w:tc>
        <w:tc>
          <w:tcPr>
            <w:tcW w:w="1071" w:type="dxa"/>
            <w:vAlign w:val="center"/>
          </w:tcPr>
          <w:p w14:paraId="65F00BE4">
            <w:pPr>
              <w:spacing w:before="30" w:after="30"/>
              <w:ind w:firstLine="0"/>
              <w:jc w:val="center"/>
            </w:pPr>
            <w:r>
              <w:rPr>
                <w:rFonts w:hint="eastAsia" w:ascii="Times New Roman" w:hAnsi="Times New Roman" w:eastAsia="宋体" w:cs="Times New Roman"/>
                <w:b w:val="0"/>
                <w:i w:val="0"/>
                <w:sz w:val="16"/>
              </w:rPr>
              <w:t>0.0536/0.1300</w:t>
            </w:r>
          </w:p>
        </w:tc>
        <w:tc>
          <w:tcPr>
            <w:tcW w:w="1071" w:type="dxa"/>
            <w:vAlign w:val="center"/>
          </w:tcPr>
          <w:p w14:paraId="44575C1D">
            <w:pPr>
              <w:spacing w:before="30" w:after="30"/>
              <w:ind w:firstLine="0"/>
              <w:jc w:val="center"/>
            </w:pPr>
            <w:r>
              <w:rPr>
                <w:rFonts w:hint="eastAsia" w:ascii="Times New Roman" w:hAnsi="Times New Roman" w:eastAsia="宋体" w:cs="Times New Roman"/>
                <w:b w:val="0"/>
                <w:i w:val="0"/>
                <w:sz w:val="16"/>
              </w:rPr>
              <w:t>0.686/1.383</w:t>
            </w:r>
          </w:p>
        </w:tc>
        <w:tc>
          <w:tcPr>
            <w:tcW w:w="1071" w:type="dxa"/>
            <w:vAlign w:val="center"/>
          </w:tcPr>
          <w:p w14:paraId="20F9841C">
            <w:pPr>
              <w:spacing w:before="30" w:after="30"/>
              <w:ind w:firstLine="0"/>
              <w:jc w:val="center"/>
            </w:pPr>
            <w:r>
              <w:rPr>
                <w:rFonts w:hint="eastAsia" w:ascii="Times New Roman" w:hAnsi="Times New Roman" w:eastAsia="宋体" w:cs="Times New Roman"/>
                <w:b w:val="0"/>
                <w:i w:val="0"/>
                <w:sz w:val="16"/>
              </w:rPr>
              <w:t>6.85/31.96</w:t>
            </w:r>
          </w:p>
        </w:tc>
        <w:tc>
          <w:tcPr>
            <w:tcW w:w="1071" w:type="dxa"/>
            <w:vAlign w:val="center"/>
          </w:tcPr>
          <w:p w14:paraId="47F188E5">
            <w:pPr>
              <w:spacing w:before="30" w:after="30"/>
              <w:ind w:firstLine="0"/>
              <w:jc w:val="center"/>
            </w:pPr>
            <w:r>
              <w:rPr>
                <w:rFonts w:hint="eastAsia" w:ascii="Times New Roman" w:hAnsi="Times New Roman" w:eastAsia="宋体" w:cs="Times New Roman"/>
                <w:b w:val="0"/>
                <w:i w:val="0"/>
                <w:sz w:val="16"/>
              </w:rPr>
              <w:t>1.15/5.14</w:t>
            </w:r>
          </w:p>
        </w:tc>
        <w:tc>
          <w:tcPr>
            <w:tcW w:w="1071" w:type="dxa"/>
            <w:vAlign w:val="center"/>
          </w:tcPr>
          <w:p w14:paraId="2D76B186">
            <w:pPr>
              <w:spacing w:before="30" w:after="30"/>
              <w:ind w:firstLine="0"/>
              <w:jc w:val="center"/>
            </w:pPr>
            <w:r>
              <w:rPr>
                <w:rFonts w:hint="eastAsia" w:ascii="Times New Roman" w:hAnsi="Times New Roman" w:eastAsia="宋体" w:cs="Times New Roman"/>
                <w:b w:val="0"/>
                <w:i w:val="0"/>
                <w:sz w:val="16"/>
              </w:rPr>
              <w:t>0.075/2.890</w:t>
            </w:r>
          </w:p>
        </w:tc>
      </w:tr>
      <w:tr w14:paraId="39EBC3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1" w:type="dxa"/>
            <w:vAlign w:val="center"/>
          </w:tcPr>
          <w:p w14:paraId="717DD7BA">
            <w:pPr>
              <w:spacing w:before="30" w:after="30"/>
              <w:ind w:firstLine="0"/>
              <w:jc w:val="center"/>
            </w:pPr>
            <w:r>
              <w:rPr>
                <w:rFonts w:hint="eastAsia" w:ascii="Times New Roman" w:hAnsi="Times New Roman" w:eastAsia="宋体" w:cs="Times New Roman"/>
                <w:b w:val="0"/>
                <w:i w:val="0"/>
                <w:sz w:val="16"/>
              </w:rPr>
              <w:t>POD-Ridge</w:t>
            </w:r>
          </w:p>
        </w:tc>
        <w:tc>
          <w:tcPr>
            <w:tcW w:w="1071" w:type="dxa"/>
            <w:vAlign w:val="center"/>
          </w:tcPr>
          <w:p w14:paraId="00F4716E">
            <w:pPr>
              <w:spacing w:before="30" w:after="30"/>
              <w:ind w:firstLine="0"/>
              <w:jc w:val="center"/>
            </w:pPr>
            <w:r>
              <w:rPr>
                <w:rFonts w:hint="eastAsia" w:ascii="Times New Roman" w:hAnsi="Times New Roman" w:eastAsia="宋体" w:cs="Times New Roman"/>
                <w:b w:val="0"/>
                <w:i w:val="0"/>
                <w:sz w:val="16"/>
              </w:rPr>
              <w:t>0.4271/0.7114</w:t>
            </w:r>
          </w:p>
        </w:tc>
        <w:tc>
          <w:tcPr>
            <w:tcW w:w="1071" w:type="dxa"/>
            <w:vAlign w:val="center"/>
          </w:tcPr>
          <w:p w14:paraId="44CBB1AB">
            <w:pPr>
              <w:spacing w:before="30" w:after="30"/>
              <w:ind w:firstLine="0"/>
              <w:jc w:val="center"/>
            </w:pPr>
            <w:r>
              <w:rPr>
                <w:rFonts w:hint="eastAsia" w:ascii="Times New Roman" w:hAnsi="Times New Roman" w:eastAsia="宋体" w:cs="Times New Roman"/>
                <w:b w:val="0"/>
                <w:i w:val="0"/>
                <w:sz w:val="16"/>
              </w:rPr>
              <w:t>0.3939/0.8385</w:t>
            </w:r>
          </w:p>
        </w:tc>
        <w:tc>
          <w:tcPr>
            <w:tcW w:w="1071" w:type="dxa"/>
            <w:vAlign w:val="center"/>
          </w:tcPr>
          <w:p w14:paraId="415011F2">
            <w:pPr>
              <w:spacing w:before="30" w:after="30"/>
              <w:ind w:firstLine="0"/>
              <w:jc w:val="center"/>
            </w:pPr>
            <w:r>
              <w:rPr>
                <w:rFonts w:hint="eastAsia" w:ascii="Times New Roman" w:hAnsi="Times New Roman" w:eastAsia="宋体" w:cs="Times New Roman"/>
                <w:b w:val="0"/>
                <w:i w:val="0"/>
                <w:sz w:val="16"/>
              </w:rPr>
              <w:t>29.26/59.40</w:t>
            </w:r>
          </w:p>
        </w:tc>
        <w:tc>
          <w:tcPr>
            <w:tcW w:w="1071" w:type="dxa"/>
            <w:vAlign w:val="center"/>
          </w:tcPr>
          <w:p w14:paraId="75D7A5D8">
            <w:pPr>
              <w:spacing w:before="30" w:after="30"/>
              <w:ind w:firstLine="0"/>
              <w:jc w:val="center"/>
            </w:pPr>
            <w:r>
              <w:rPr>
                <w:rFonts w:hint="eastAsia" w:ascii="Times New Roman" w:hAnsi="Times New Roman" w:eastAsia="宋体" w:cs="Times New Roman"/>
                <w:b w:val="0"/>
                <w:i w:val="0"/>
                <w:sz w:val="16"/>
              </w:rPr>
              <w:t>0.0448/0.1371</w:t>
            </w:r>
          </w:p>
        </w:tc>
        <w:tc>
          <w:tcPr>
            <w:tcW w:w="1071" w:type="dxa"/>
            <w:vAlign w:val="center"/>
          </w:tcPr>
          <w:p w14:paraId="6BF7067D">
            <w:pPr>
              <w:spacing w:before="30" w:after="30"/>
              <w:ind w:firstLine="0"/>
              <w:jc w:val="center"/>
            </w:pPr>
            <w:r>
              <w:rPr>
                <w:rFonts w:hint="eastAsia" w:ascii="Times New Roman" w:hAnsi="Times New Roman" w:eastAsia="宋体" w:cs="Times New Roman"/>
                <w:b w:val="0"/>
                <w:i w:val="0"/>
                <w:sz w:val="16"/>
              </w:rPr>
              <w:t>0.686/1.737</w:t>
            </w:r>
          </w:p>
        </w:tc>
        <w:tc>
          <w:tcPr>
            <w:tcW w:w="1071" w:type="dxa"/>
            <w:vAlign w:val="center"/>
          </w:tcPr>
          <w:p w14:paraId="17015470">
            <w:pPr>
              <w:spacing w:before="30" w:after="30"/>
              <w:ind w:firstLine="0"/>
              <w:jc w:val="center"/>
            </w:pPr>
            <w:r>
              <w:rPr>
                <w:rFonts w:hint="eastAsia" w:ascii="Times New Roman" w:hAnsi="Times New Roman" w:eastAsia="宋体" w:cs="Times New Roman"/>
                <w:b w:val="0"/>
                <w:i w:val="0"/>
                <w:sz w:val="16"/>
              </w:rPr>
              <w:t>17.68/40.40</w:t>
            </w:r>
          </w:p>
        </w:tc>
        <w:tc>
          <w:tcPr>
            <w:tcW w:w="1071" w:type="dxa"/>
            <w:vAlign w:val="center"/>
          </w:tcPr>
          <w:p w14:paraId="671339EB">
            <w:pPr>
              <w:spacing w:before="30" w:after="30"/>
              <w:ind w:firstLine="0"/>
              <w:jc w:val="center"/>
            </w:pPr>
            <w:r>
              <w:rPr>
                <w:rFonts w:hint="eastAsia" w:ascii="Times New Roman" w:hAnsi="Times New Roman" w:eastAsia="宋体" w:cs="Times New Roman"/>
                <w:b w:val="0"/>
                <w:i w:val="0"/>
                <w:sz w:val="16"/>
              </w:rPr>
              <w:t>3.10/7.04</w:t>
            </w:r>
          </w:p>
        </w:tc>
        <w:tc>
          <w:tcPr>
            <w:tcW w:w="1071" w:type="dxa"/>
            <w:vAlign w:val="center"/>
          </w:tcPr>
          <w:p w14:paraId="0074EC82">
            <w:pPr>
              <w:spacing w:before="30" w:after="30"/>
              <w:ind w:firstLine="0"/>
              <w:jc w:val="center"/>
            </w:pPr>
            <w:r>
              <w:rPr>
                <w:rFonts w:hint="eastAsia" w:ascii="Times New Roman" w:hAnsi="Times New Roman" w:eastAsia="宋体" w:cs="Times New Roman"/>
                <w:b w:val="0"/>
                <w:i w:val="0"/>
                <w:sz w:val="16"/>
              </w:rPr>
              <w:t>0.075/3.885</w:t>
            </w:r>
          </w:p>
        </w:tc>
      </w:tr>
      <w:tr w14:paraId="6FF2E3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1" w:type="dxa"/>
            <w:vAlign w:val="center"/>
          </w:tcPr>
          <w:p w14:paraId="5A260D76">
            <w:pPr>
              <w:spacing w:before="30" w:after="30"/>
              <w:ind w:firstLine="0"/>
              <w:jc w:val="center"/>
            </w:pPr>
            <w:r>
              <w:rPr>
                <w:rFonts w:hint="eastAsia" w:ascii="Times New Roman" w:hAnsi="Times New Roman" w:eastAsia="宋体" w:cs="Times New Roman"/>
                <w:b w:val="0"/>
                <w:i w:val="0"/>
                <w:sz w:val="16"/>
              </w:rPr>
              <w:t>POD-GPR</w:t>
            </w:r>
          </w:p>
        </w:tc>
        <w:tc>
          <w:tcPr>
            <w:tcW w:w="1071" w:type="dxa"/>
            <w:vAlign w:val="center"/>
          </w:tcPr>
          <w:p w14:paraId="54099839">
            <w:pPr>
              <w:spacing w:before="30" w:after="30"/>
              <w:ind w:firstLine="0"/>
              <w:jc w:val="center"/>
            </w:pPr>
            <w:r>
              <w:rPr>
                <w:rFonts w:hint="eastAsia" w:ascii="Times New Roman" w:hAnsi="Times New Roman" w:eastAsia="宋体" w:cs="Times New Roman"/>
                <w:b w:val="0"/>
                <w:i w:val="0"/>
                <w:sz w:val="16"/>
              </w:rPr>
              <w:t>0.2708/0.4903</w:t>
            </w:r>
          </w:p>
        </w:tc>
        <w:tc>
          <w:tcPr>
            <w:tcW w:w="1071" w:type="dxa"/>
            <w:vAlign w:val="center"/>
          </w:tcPr>
          <w:p w14:paraId="3ABC0A9E">
            <w:pPr>
              <w:spacing w:before="30" w:after="30"/>
              <w:ind w:firstLine="0"/>
              <w:jc w:val="center"/>
            </w:pPr>
            <w:r>
              <w:rPr>
                <w:rFonts w:hint="eastAsia" w:ascii="Times New Roman" w:hAnsi="Times New Roman" w:eastAsia="宋体" w:cs="Times New Roman"/>
                <w:b w:val="0"/>
                <w:i w:val="0"/>
                <w:sz w:val="16"/>
              </w:rPr>
              <w:t>0.1928/0.4886</w:t>
            </w:r>
          </w:p>
        </w:tc>
        <w:tc>
          <w:tcPr>
            <w:tcW w:w="1071" w:type="dxa"/>
            <w:vAlign w:val="center"/>
          </w:tcPr>
          <w:p w14:paraId="58ACC086">
            <w:pPr>
              <w:spacing w:before="30" w:after="30"/>
              <w:ind w:firstLine="0"/>
              <w:jc w:val="center"/>
            </w:pPr>
            <w:r>
              <w:rPr>
                <w:rFonts w:hint="eastAsia" w:ascii="Times New Roman" w:hAnsi="Times New Roman" w:eastAsia="宋体" w:cs="Times New Roman"/>
                <w:b w:val="0"/>
                <w:i w:val="0"/>
                <w:sz w:val="16"/>
              </w:rPr>
              <w:t>13.22/33.05</w:t>
            </w:r>
          </w:p>
        </w:tc>
        <w:tc>
          <w:tcPr>
            <w:tcW w:w="1071" w:type="dxa"/>
            <w:vAlign w:val="center"/>
          </w:tcPr>
          <w:p w14:paraId="1DD08593">
            <w:pPr>
              <w:spacing w:before="30" w:after="30"/>
              <w:ind w:firstLine="0"/>
              <w:jc w:val="center"/>
            </w:pPr>
            <w:r>
              <w:rPr>
                <w:rFonts w:hint="eastAsia" w:ascii="Times New Roman" w:hAnsi="Times New Roman" w:eastAsia="宋体" w:cs="Times New Roman"/>
                <w:b w:val="0"/>
                <w:i w:val="0"/>
                <w:sz w:val="16"/>
              </w:rPr>
              <w:t>0.0404/0.1198</w:t>
            </w:r>
          </w:p>
        </w:tc>
        <w:tc>
          <w:tcPr>
            <w:tcW w:w="1071" w:type="dxa"/>
            <w:vAlign w:val="center"/>
          </w:tcPr>
          <w:p w14:paraId="311CF3C7">
            <w:pPr>
              <w:spacing w:before="30" w:after="30"/>
              <w:ind w:firstLine="0"/>
              <w:jc w:val="center"/>
            </w:pPr>
            <w:r>
              <w:rPr>
                <w:rFonts w:hint="eastAsia" w:ascii="Times New Roman" w:hAnsi="Times New Roman" w:eastAsia="宋体" w:cs="Times New Roman"/>
                <w:b w:val="0"/>
                <w:i w:val="0"/>
                <w:sz w:val="16"/>
              </w:rPr>
              <w:t>0.519/1.277</w:t>
            </w:r>
          </w:p>
        </w:tc>
        <w:tc>
          <w:tcPr>
            <w:tcW w:w="1071" w:type="dxa"/>
            <w:vAlign w:val="center"/>
          </w:tcPr>
          <w:p w14:paraId="3FF88FF2">
            <w:pPr>
              <w:spacing w:before="30" w:after="30"/>
              <w:ind w:firstLine="0"/>
              <w:jc w:val="center"/>
            </w:pPr>
            <w:r>
              <w:rPr>
                <w:rFonts w:hint="eastAsia" w:ascii="Times New Roman" w:hAnsi="Times New Roman" w:eastAsia="宋体" w:cs="Times New Roman"/>
                <w:b w:val="0"/>
                <w:i w:val="0"/>
                <w:sz w:val="16"/>
              </w:rPr>
              <w:t>11.40/27.87</w:t>
            </w:r>
          </w:p>
        </w:tc>
        <w:tc>
          <w:tcPr>
            <w:tcW w:w="1071" w:type="dxa"/>
            <w:vAlign w:val="center"/>
          </w:tcPr>
          <w:p w14:paraId="2A6591B8">
            <w:pPr>
              <w:spacing w:before="30" w:after="30"/>
              <w:ind w:firstLine="0"/>
              <w:jc w:val="center"/>
            </w:pPr>
            <w:r>
              <w:rPr>
                <w:rFonts w:hint="eastAsia" w:ascii="Times New Roman" w:hAnsi="Times New Roman" w:eastAsia="宋体" w:cs="Times New Roman"/>
                <w:b w:val="0"/>
                <w:i w:val="0"/>
                <w:sz w:val="16"/>
              </w:rPr>
              <w:t>2.25/6.47</w:t>
            </w:r>
          </w:p>
        </w:tc>
        <w:tc>
          <w:tcPr>
            <w:tcW w:w="1071" w:type="dxa"/>
            <w:vAlign w:val="center"/>
          </w:tcPr>
          <w:p w14:paraId="7D843B79">
            <w:pPr>
              <w:spacing w:before="30" w:after="30"/>
              <w:ind w:firstLine="0"/>
              <w:jc w:val="center"/>
            </w:pPr>
            <w:r>
              <w:rPr>
                <w:rFonts w:hint="eastAsia" w:ascii="Times New Roman" w:hAnsi="Times New Roman" w:eastAsia="宋体" w:cs="Times New Roman"/>
                <w:b w:val="0"/>
                <w:i w:val="0"/>
                <w:sz w:val="16"/>
              </w:rPr>
              <w:t>0.050/3.755</w:t>
            </w:r>
          </w:p>
        </w:tc>
      </w:tr>
    </w:tbl>
    <w:p w14:paraId="485D1925">
      <w:pPr>
        <w:spacing w:before="0" w:after="0"/>
        <w:ind w:firstLine="420"/>
        <w:jc w:val="both"/>
      </w:pPr>
      <w:r>
        <w:rPr>
          <w:rFonts w:hint="eastAsia" w:ascii="Times New Roman" w:hAnsi="Times New Roman" w:eastAsia="宋体" w:cs="Times New Roman"/>
          <w:b w:val="0"/>
          <w:i w:val="0"/>
          <w:sz w:val="21"/>
        </w:rPr>
        <w:t>五个外层验证折的POD-GPR误差中位数依次为0.3840、0.2548、0.3121、0.1741和0.2558，相应P90为0.8181、0.4279、0.4814、0.4609和0.4594。第1折明显困难，而其余四折较集中，说明64例样本对复杂参数区的覆盖仍有限；由于采用随机整工况划分而非按误差分层，折间差异还包含各折软覆盖层、厚覆盖层组合比例不同的影响。按物理参数回看，</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、0.45、0.60和0.75四组的误差中位数分别为0.409、0.326、0.191和0.171；</w:t>
      </w:r>
      <m:oMath>
        <m:r>
          <m:rPr/>
          <m:t>d</m:t>
        </m:r>
        <m:r>
          <m:rPr>
            <m:sty m:val="p"/>
          </m:rPr>
          <m:t>/</m:t>
        </m:r>
        <m:r>
          <m:rPr/>
          <m:t>h</m:t>
        </m:r>
        <m:r>
          <m:rPr>
            <m:sty m:val="p"/>
          </m:rPr>
          <m:t>=</m:t>
        </m:r>
        <m:r>
          <m:rPr/>
          <m:t>0.20</m:t>
        </m:r>
      </m:oMath>
      <w:r>
        <w:rPr>
          <w:rFonts w:hint="eastAsia" w:ascii="Times New Roman" w:hAnsi="Times New Roman" w:eastAsia="宋体" w:cs="Times New Roman"/>
          <w:b w:val="0"/>
          <w:i w:val="0"/>
          <w:sz w:val="21"/>
        </w:rPr>
        <w:t>、0.60、1.00和1.40四组依次为0.186、0.250、0.305和0.333。误差随覆盖层变软、变厚总体增加，与第3章中更强的干涉和主峰迁移相对应，也表明最困难区域恰是响应映射最不平滑、训练密度最显不足的区域。</w:t>
      </w:r>
    </w:p>
    <w:p w14:paraId="707F030F">
      <w:pPr>
        <w:spacing w:before="0" w:after="0"/>
        <w:ind w:firstLine="420"/>
        <w:jc w:val="both"/>
      </w:pPr>
      <w:r>
        <w:rPr>
          <w:rFonts w:hint="eastAsia" w:ascii="Times New Roman" w:hAnsi="Times New Roman" w:eastAsia="宋体" w:cs="Times New Roman"/>
          <w:b w:val="0"/>
          <w:i w:val="0"/>
          <w:sz w:val="21"/>
        </w:rPr>
        <w:t>波速比两端的差异尤其明显：</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 xml:space="preserve"> 组的中位误差约为 </w:t>
      </w:r>
      <m:oMath>
        <m:sSub>
          <m:sSubPr/>
          <m:e>
            <m:r>
              <m:rPr/>
              <m:t>r</m:t>
            </m:r>
          </m:e>
          <m:sub>
            <m:r>
              <m:rPr/>
              <m:t>v</m:t>
            </m:r>
          </m:sub>
        </m:sSub>
        <m:r>
          <m:rPr>
            <m:sty m:val="p"/>
          </m:rPr>
          <m:t>=</m:t>
        </m:r>
        <m:r>
          <m:rPr/>
          <m:t>0.75</m:t>
        </m:r>
      </m:oMath>
      <w:r>
        <w:rPr>
          <w:rFonts w:hint="eastAsia" w:ascii="Times New Roman" w:hAnsi="Times New Roman" w:eastAsia="宋体" w:cs="Times New Roman"/>
          <w:b w:val="0"/>
          <w:i w:val="0"/>
          <w:sz w:val="21"/>
        </w:rPr>
        <w:t xml:space="preserve"> 组的2.39倍；厚度比从0.20增至1.40时，中位误差约增至原来的1.79倍。这些数值是按单参数分组后的条件分布，不能被解释为彼此独立的因果贡献，因为每组仍混合了其余两项参数。它们的价值在于把统计误差重新连接到复频响物理特征：软、厚覆盖层产生更多窄带峰谷和频率迁移，同样的四级采样间距需要表达更高的局部曲率。折间起伏与参数分组给出了一致方向，因此困难上尾更像结构性的采样问题，而非一次随机划分异常。</w:t>
      </w:r>
    </w:p>
    <w:p w14:paraId="42FEE820">
      <w:pPr>
        <w:spacing w:before="0" w:after="0"/>
        <w:ind w:firstLine="420"/>
        <w:jc w:val="both"/>
      </w:pPr>
      <w:r>
        <w:rPr>
          <w:rFonts w:hint="eastAsia" w:ascii="Times New Roman" w:hAnsi="Times New Roman" w:eastAsia="宋体" w:cs="Times New Roman"/>
          <w:b w:val="0"/>
          <w:i w:val="0"/>
          <w:sz w:val="21"/>
        </w:rPr>
        <w:t xml:space="preserve">为区分POD截断与系数回归误差，在相同样本划分和模型流程下进行了24阶、36阶有界敏感性复算。24阶累计能量为97.087%，POD-GPR中位误差由12阶的0.270765降至0.246997，改善8.78%，表明12阶截断确实贡献了不可忽略的中位误差；但P90仅由0.490287降至0.488806。36阶累计能量达到99.5066%，其中位误差为0.246995，与24阶仅相差 </w:t>
      </w:r>
      <m:oMath>
        <m:r>
          <m:rPr/>
          <m:t>2.6</m:t>
        </m:r>
        <m:r>
          <m:rPr>
            <m:sty m:val="p"/>
          </m:rPr>
          <m:t>×</m:t>
        </m:r>
        <m:sSup>
          <m:sSupPr/>
          <m:e>
            <m:r>
              <m:rPr/>
              <m:t>10</m:t>
            </m:r>
          </m:e>
          <m:sup>
            <m:r>
              <m:rPr>
                <m:sty m:val="p"/>
              </m:rPr>
              <m:t>−</m:t>
            </m:r>
            <m:r>
              <m:rPr/>
              <m:t>6</m:t>
            </m:r>
          </m:sup>
        </m:sSup>
      </m:oMath>
      <w:r>
        <w:rPr>
          <w:rFonts w:hint="eastAsia" w:ascii="Times New Roman" w:hAnsi="Times New Roman" w:eastAsia="宋体" w:cs="Times New Roman"/>
          <w:b w:val="0"/>
          <w:i w:val="0"/>
          <w:sz w:val="21"/>
        </w:rPr>
        <w:t>，P90为0.489928，反而未继续下降。36阶的对数幅值误差中位数/P90为0.1902/0.4314，相位误差为12.51°/33.50°，峰频误差为1.50/5.60 Hz。由此可将误差来源进一步分开：12阶到24阶的改善主要反映被截断模态的恢复；24阶到36阶虽然又增加2.42个百分点累计能量，却几乎不改变综合误差，说明困难工况上尾已经主要受POD系数的非线性映射、64例样本的空间密度及局部峰值迁移控制，不能继续简单归因于模态阶数不足。为保持B组和真实波闭环与既定冻结模型的一致性，后文仍报告12阶主配置结果，24阶和36阶仅作为误差来源诊断，而不与主模型结果混用。</w:t>
      </w:r>
    </w:p>
    <w:p w14:paraId="490131C9">
      <w:pPr>
        <w:spacing w:before="0" w:after="0"/>
        <w:ind w:firstLine="420"/>
        <w:jc w:val="both"/>
      </w:pPr>
      <w:r>
        <w:rPr>
          <w:rFonts w:hint="eastAsia" w:ascii="Times New Roman" w:hAnsi="Times New Roman" w:eastAsia="宋体" w:cs="Times New Roman"/>
          <w:b w:val="0"/>
          <w:i w:val="0"/>
          <w:sz w:val="21"/>
        </w:rPr>
        <w:t>从误差变化幅度看，12阶到24阶使中位数绝对降低0.023768，而P90只降低0.001481；新增模态主要帮助处于分布中部的工况，对最困难一成工况几乎无效。24阶到36阶继续恢复了2.4196个百分点的标准化能量，中位误差只降低约0.000002，P90还上升0.001122，这已经进入数值上可忽略的饱和区。若上尾主要由POD截断造成，累计能量从97.087%升至99.5066%时应继续出现一致改善，实际并未发生。更合理的解释是：对困难工况，真值场可以被36阶基底表达，但输入到系数的映射没有被现有64点网格和独立GPR充分约束。这个结论同时限定了改进次序：从12阶提高到24阶有直接证据支持，再向上增加阶数的收益很小；后续资源应优先用于软厚区域加密，而不是把模态数当成唯一旋钮。</w:t>
      </w:r>
    </w:p>
    <w:p w14:paraId="04FF2EDA">
      <w:pPr>
        <w:spacing w:before="0" w:after="0"/>
        <w:ind w:firstLine="420"/>
        <w:jc w:val="both"/>
      </w:pPr>
      <w:r>
        <w:rPr>
          <w:rFonts w:hint="eastAsia" w:ascii="Times New Roman" w:hAnsi="Times New Roman" w:eastAsia="宋体" w:cs="Times New Roman"/>
          <w:b w:val="0"/>
          <w:i w:val="0"/>
          <w:sz w:val="21"/>
        </w:rPr>
        <w:t>阶数提高还会增加需要独立学习的系数数量，而样本总数仍为64。越靠后的模态训练方差越小、空间形态越细，系数对参数的局部变化反而可能更难由稀疏样本识别。因此，“真值重构能力增加”和“未知工况预测能力增加”并不同步，36阶接近能量目标却没有继续降低验证误差，正是二者分离的直接表现。</w:t>
      </w:r>
    </w:p>
    <w:p w14:paraId="22216327">
      <w:pPr>
        <w:spacing w:before="0" w:after="0"/>
        <w:ind w:firstLine="420"/>
        <w:jc w:val="both"/>
      </w:pPr>
      <w:r>
        <w:rPr>
          <w:rFonts w:hint="eastAsia" w:ascii="Times New Roman" w:hAnsi="Times New Roman" w:eastAsia="宋体" w:cs="Times New Roman"/>
          <w:b w:val="0"/>
          <w:i w:val="0"/>
          <w:sz w:val="21"/>
        </w:rPr>
        <w:t>图20进一步把POD-GPR误差按频带和空间区段拆开。低、中、高频对数幅值误差中位数分别为0.0659、0.1716和0.2556，高频约为低频的3.88倍；相位误差中位数由4.61°增至10.72°和14.88°，高频约为低频的3.23倍。P90增长更明显，高频相位误差达到44.20°。这表明模型首先稳定恢复低频、长波长的整体结构，随着频率升高，真值场中的窄条带、峰谷交替和相位快速转折对参数变化更敏感，固定训练网格和有限模态更难准确追踪。</w:t>
      </w:r>
    </w:p>
    <w:p w14:paraId="69DAC9F0">
      <w:pPr>
        <w:spacing w:before="80" w:after="40"/>
        <w:ind w:firstLine="0"/>
        <w:jc w:val="center"/>
      </w:pPr>
      <w:r>
        <w:drawing>
          <wp:inline distT="0" distB="0" distL="114300" distR="114300">
            <wp:extent cx="2880360" cy="2273300"/>
            <wp:effectExtent l="0" t="0" r="15240" b="127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2880360" cy="2273691"/>
                    </a:xfrm>
                    <a:prstGeom prst="rect">
                      <a:avLst/>
                    </a:prstGeom>
                  </pic:spPr>
                </pic:pic>
              </a:graphicData>
            </a:graphic>
          </wp:inline>
        </w:drawing>
      </w:r>
    </w:p>
    <w:p w14:paraId="4307D781">
      <w:pPr>
        <w:spacing w:before="0" w:after="0"/>
        <w:ind w:firstLine="0"/>
        <w:jc w:val="center"/>
      </w:pPr>
      <w:r>
        <w:rPr>
          <w:rFonts w:hint="eastAsia" w:ascii="Times New Roman" w:hAnsi="Times New Roman" w:eastAsia="宋体" w:cs="Times New Roman"/>
          <w:b w:val="0"/>
          <w:i w:val="0"/>
          <w:sz w:val="18"/>
        </w:rPr>
        <w:t>图20 POD-GPR交叉验证误差分层：（a）、（b）低频0.5～3 Hz、中频3～6 Hz和高频6～10 Hz的对数幅值与圆周相位误差；（c）、（d）上平台A段（</w:t>
      </w:r>
      <m:oMath>
        <m:r>
          <m:rPr>
            <m:sty m:val="p"/>
          </m:rPr>
          <m:t>−</m:t>
        </m:r>
        <m:r>
          <m:rPr/>
          <m:t>4</m:t>
        </m:r>
        <m:r>
          <m:rPr>
            <m:sty m:val="p"/>
          </m:rPr>
          <m:t>≤</m:t>
        </m:r>
        <m:r>
          <m:rPr/>
          <m:t>s</m:t>
        </m:r>
        <m:r>
          <m:rPr>
            <m:sty m:val="p"/>
          </m:rPr>
          <m:t>≤</m:t>
        </m:r>
        <m:r>
          <m:rPr/>
          <m:t>0</m:t>
        </m:r>
      </m:oMath>
      <w:r>
        <w:rPr>
          <w:rFonts w:hint="eastAsia" w:ascii="Times New Roman" w:hAnsi="Times New Roman" w:eastAsia="宋体" w:cs="Times New Roman"/>
          <w:b w:val="0"/>
          <w:i w:val="0"/>
          <w:sz w:val="18"/>
        </w:rPr>
        <w:t>）、坡面B段（</w:t>
      </w:r>
      <m:oMath>
        <m:r>
          <m:rPr/>
          <m:t>0</m:t>
        </m:r>
        <m:r>
          <m:rPr>
            <m:sty m:val="p"/>
          </m:rPr>
          <m:t>&lt;</m:t>
        </m:r>
        <m:r>
          <m:rPr/>
          <m:t>s</m:t>
        </m:r>
        <m:r>
          <m:rPr>
            <m:sty m:val="p"/>
          </m:rPr>
          <m:t>≤</m:t>
        </m:r>
        <m:r>
          <m:rPr/>
          <m:t>1</m:t>
        </m:r>
      </m:oMath>
      <w:r>
        <w:rPr>
          <w:rFonts w:hint="eastAsia" w:ascii="Times New Roman" w:hAnsi="Times New Roman" w:eastAsia="宋体" w:cs="Times New Roman"/>
          <w:b w:val="0"/>
          <w:i w:val="0"/>
          <w:sz w:val="18"/>
        </w:rPr>
        <w:t>）和下平台C段（</w:t>
      </w:r>
      <m:oMath>
        <m:r>
          <m:rPr/>
          <m:t>1</m:t>
        </m:r>
        <m:r>
          <m:rPr>
            <m:sty m:val="p"/>
          </m:rPr>
          <m:t>&lt;</m:t>
        </m:r>
        <m:r>
          <m:rPr/>
          <m:t>s</m:t>
        </m:r>
        <m:r>
          <m:rPr>
            <m:sty m:val="p"/>
          </m:rPr>
          <m:t>≤</m:t>
        </m:r>
        <m:r>
          <m:rPr/>
          <m:t>4</m:t>
        </m:r>
      </m:oMath>
      <w:r>
        <w:rPr>
          <w:rFonts w:hint="eastAsia" w:ascii="Times New Roman" w:hAnsi="Times New Roman" w:eastAsia="宋体" w:cs="Times New Roman"/>
          <w:b w:val="0"/>
          <w:i w:val="0"/>
          <w:sz w:val="18"/>
        </w:rPr>
        <w:t>）的复数综合误差与对数幅值误差；柱高为工况中位数，三角形为P90</w:t>
      </w:r>
    </w:p>
    <w:p w14:paraId="649DB9AF">
      <w:pPr>
        <w:spacing w:before="0" w:after="60"/>
        <w:ind w:firstLine="0"/>
        <w:jc w:val="center"/>
      </w:pPr>
      <w:r>
        <w:rPr>
          <w:rFonts w:hint="eastAsia" w:ascii="Times New Roman" w:hAnsi="Times New Roman" w:eastAsia="Times New Roman" w:cs="Times New Roman"/>
          <w:b w:val="0"/>
          <w:i w:val="0"/>
          <w:sz w:val="18"/>
        </w:rPr>
        <w:t>Fig. 20 POD-GPR cross-validation errors stratified by frequency band and surface segment</w:t>
      </w:r>
    </w:p>
    <w:p w14:paraId="68B769FD">
      <w:pPr>
        <w:spacing w:before="0" w:after="0"/>
        <w:ind w:firstLine="420"/>
        <w:jc w:val="both"/>
      </w:pPr>
      <w:r>
        <w:rPr>
          <w:rFonts w:hint="eastAsia" w:ascii="Times New Roman" w:hAnsi="Times New Roman" w:eastAsia="宋体" w:cs="Times New Roman"/>
          <w:b w:val="0"/>
          <w:i w:val="0"/>
          <w:sz w:val="21"/>
        </w:rPr>
        <w:t>表13给出了空间分层差异。上平台A段的复数误差中位数为0.180，坡面B段增至0.333，下平台C段为0.301；坡面中位误差较上平台高84.6%。下平台的P90达到0.759，为三个区段最高，说明少数困难工况的误差会沿坡脚散射后向下平台扩展。结合图18的POD模态可见，坡面和下平台的中高频结构分散在多个模态中，不受单一模态控制；24/36阶敏感性进一步表明，增加模态只能改善典型工况，难以消除C段的上尾误差。</w:t>
      </w:r>
    </w:p>
    <w:p w14:paraId="56596F21">
      <w:pPr>
        <w:spacing w:before="0" w:after="0"/>
        <w:ind w:firstLine="420"/>
        <w:jc w:val="both"/>
      </w:pPr>
      <w:r>
        <w:rPr>
          <w:rFonts w:hint="eastAsia" w:ascii="Times New Roman" w:hAnsi="Times New Roman" w:eastAsia="宋体" w:cs="Times New Roman"/>
          <w:b w:val="0"/>
          <w:i w:val="0"/>
          <w:sz w:val="21"/>
        </w:rPr>
        <w:t>B段和C段呈现的是两种不同风险。B段的中位误差最高，表示坡面几何过渡对多数工况都增加了预测难度；C段中位数略低于B段，P90却达到A段P90的1.87倍，表示下平台并非普遍最差，而是在少数参数组合下出现成片失准。高频对数幅值和相位中位误差分别为低频的3.88倍和3.23倍，也说明误差并未均匀散布在全场。把所有网格压成单一中位数会淡化“高频—下平台”的联合上尾，因此图20和表13不是对总误差的重复展示，而是为训练外残差场提供定位依据。</w:t>
      </w:r>
    </w:p>
    <w:p w14:paraId="034ACFE3">
      <w:pPr>
        <w:spacing w:before="156" w:after="0"/>
        <w:ind w:firstLine="0"/>
        <w:jc w:val="center"/>
      </w:pPr>
      <w:r>
        <w:rPr>
          <w:rFonts w:hint="eastAsia" w:ascii="Times New Roman" w:hAnsi="Times New Roman" w:eastAsia="宋体" w:cs="Times New Roman"/>
          <w:b w:val="0"/>
          <w:i w:val="0"/>
          <w:sz w:val="18"/>
        </w:rPr>
        <w:t>表13 POD-GPR误差的频带与空间分层（中位数/P90）</w:t>
      </w:r>
    </w:p>
    <w:p w14:paraId="4FE6BBF3">
      <w:pPr>
        <w:spacing w:before="0" w:after="40"/>
        <w:ind w:firstLine="0"/>
        <w:jc w:val="center"/>
      </w:pPr>
      <w:r>
        <w:rPr>
          <w:rFonts w:hint="eastAsia" w:ascii="Times New Roman" w:hAnsi="Times New Roman" w:eastAsia="Times New Roman" w:cs="Times New Roman"/>
          <w:b w:val="0"/>
          <w:i w:val="0"/>
          <w:sz w:val="18"/>
        </w:rPr>
        <w:t>Table 13 Frequency-band and spatial-segment errors of POD-GPR (median/P90)</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28"/>
        <w:gridCol w:w="1928"/>
        <w:gridCol w:w="1928"/>
        <w:gridCol w:w="1928"/>
        <w:gridCol w:w="1928"/>
      </w:tblGrid>
      <w:tr w14:paraId="719882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bottom w:val="single" w:color="auto" w:sz="6" w:space="0"/>
            </w:tcBorders>
            <w:vAlign w:val="center"/>
          </w:tcPr>
          <w:p w14:paraId="37ED7FC9">
            <w:pPr>
              <w:spacing w:before="30" w:after="30"/>
              <w:ind w:firstLine="0"/>
              <w:jc w:val="center"/>
            </w:pPr>
            <w:r>
              <w:rPr>
                <w:rFonts w:hint="eastAsia" w:ascii="Times New Roman" w:hAnsi="Times New Roman" w:eastAsia="宋体" w:cs="Times New Roman"/>
                <w:b/>
                <w:i w:val="0"/>
                <w:sz w:val="18"/>
              </w:rPr>
              <w:t>分层类型</w:t>
            </w:r>
          </w:p>
        </w:tc>
        <w:tc>
          <w:tcPr>
            <w:tcW w:w="1928" w:type="dxa"/>
            <w:tcBorders>
              <w:bottom w:val="single" w:color="auto" w:sz="6" w:space="0"/>
            </w:tcBorders>
            <w:vAlign w:val="center"/>
          </w:tcPr>
          <w:p w14:paraId="0629E392">
            <w:pPr>
              <w:spacing w:before="30" w:after="30"/>
              <w:ind w:firstLine="0"/>
              <w:jc w:val="center"/>
            </w:pPr>
            <w:r>
              <w:rPr>
                <w:rFonts w:hint="eastAsia" w:ascii="Times New Roman" w:hAnsi="Times New Roman" w:eastAsia="宋体" w:cs="Times New Roman"/>
                <w:b/>
                <w:i w:val="0"/>
                <w:sz w:val="18"/>
              </w:rPr>
              <w:t>范围</w:t>
            </w:r>
          </w:p>
        </w:tc>
        <w:tc>
          <w:tcPr>
            <w:tcW w:w="1928" w:type="dxa"/>
            <w:tcBorders>
              <w:bottom w:val="single" w:color="auto" w:sz="6" w:space="0"/>
            </w:tcBorders>
            <w:vAlign w:val="center"/>
          </w:tcPr>
          <w:p w14:paraId="6390071C">
            <w:pPr>
              <w:spacing w:before="30" w:after="30"/>
              <w:ind w:firstLine="0"/>
              <w:jc w:val="center"/>
            </w:pPr>
            <m:oMath>
              <m:r>
                <m:rPr>
                  <m:sty m:val="p"/>
                </m:rPr>
                <m:t>ln|</m:t>
              </m:r>
              <m:sSub>
                <m:sSubPr/>
                <m:e>
                  <m:r>
                    <m:rPr/>
                    <m:t>G</m:t>
                  </m:r>
                </m:e>
                <m:sub>
                  <m:r>
                    <m:rPr/>
                    <m:t>h</m:t>
                  </m:r>
                </m:sub>
              </m:sSub>
              <m:r>
                <m:rPr>
                  <m:sty m:val="p"/>
                </m:rPr>
                <m:t>|</m:t>
              </m:r>
            </m:oMath>
            <w:r>
              <w:rPr>
                <w:rFonts w:hint="eastAsia" w:ascii="Times New Roman" w:hAnsi="Times New Roman" w:eastAsia="宋体" w:cs="Times New Roman"/>
                <w:b/>
                <w:i w:val="0"/>
                <w:sz w:val="18"/>
              </w:rPr>
              <w:t xml:space="preserve"> RMSE</w:t>
            </w:r>
          </w:p>
        </w:tc>
        <w:tc>
          <w:tcPr>
            <w:tcW w:w="1928" w:type="dxa"/>
            <w:tcBorders>
              <w:bottom w:val="single" w:color="auto" w:sz="6" w:space="0"/>
            </w:tcBorders>
            <w:vAlign w:val="center"/>
          </w:tcPr>
          <w:p w14:paraId="53A4F289">
            <w:pPr>
              <w:spacing w:before="30" w:after="30"/>
              <w:ind w:firstLine="0"/>
              <w:jc w:val="center"/>
            </w:pPr>
            <w:r>
              <w:rPr>
                <w:rFonts w:hint="eastAsia" w:ascii="Times New Roman" w:hAnsi="Times New Roman" w:eastAsia="宋体" w:cs="Times New Roman"/>
                <w:b/>
                <w:i w:val="0"/>
                <w:sz w:val="18"/>
              </w:rPr>
              <w:t>相位RMSE/(°)</w:t>
            </w:r>
          </w:p>
        </w:tc>
        <w:tc>
          <w:tcPr>
            <w:tcW w:w="1928" w:type="dxa"/>
            <w:tcBorders>
              <w:bottom w:val="single" w:color="auto" w:sz="6" w:space="0"/>
            </w:tcBorders>
            <w:vAlign w:val="center"/>
          </w:tcPr>
          <w:p w14:paraId="2A1F6258">
            <w:pPr>
              <w:spacing w:before="30" w:after="30"/>
              <w:ind w:firstLine="0"/>
              <w:jc w:val="center"/>
            </w:pPr>
            <m:oMathPara>
              <m:oMath>
                <m:sSub>
                  <m:sSubPr/>
                  <m:e>
                    <m:r>
                      <m:rPr/>
                      <m:t>E</m:t>
                    </m:r>
                  </m:e>
                  <m:sub>
                    <m:r>
                      <m:rPr>
                        <m:sty m:val="p"/>
                      </m:rPr>
                      <m:t>complex,</m:t>
                    </m:r>
                    <m:r>
                      <m:rPr/>
                      <m:t>w</m:t>
                    </m:r>
                  </m:sub>
                </m:sSub>
              </m:oMath>
            </m:oMathPara>
          </w:p>
        </w:tc>
      </w:tr>
      <w:tr w14:paraId="19531A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vAlign w:val="center"/>
          </w:tcPr>
          <w:p w14:paraId="7AF9BA71">
            <w:pPr>
              <w:spacing w:before="30" w:after="30"/>
              <w:ind w:firstLine="0"/>
              <w:jc w:val="center"/>
            </w:pPr>
            <w:r>
              <w:rPr>
                <w:rFonts w:hint="eastAsia" w:ascii="Times New Roman" w:hAnsi="Times New Roman" w:eastAsia="宋体" w:cs="Times New Roman"/>
                <w:b w:val="0"/>
                <w:i w:val="0"/>
                <w:sz w:val="18"/>
              </w:rPr>
              <w:t>频带</w:t>
            </w:r>
          </w:p>
        </w:tc>
        <w:tc>
          <w:tcPr>
            <w:tcW w:w="1928" w:type="dxa"/>
            <w:vAlign w:val="center"/>
          </w:tcPr>
          <w:p w14:paraId="54EAA165">
            <w:pPr>
              <w:spacing w:before="30" w:after="30"/>
              <w:ind w:firstLine="0"/>
              <w:jc w:val="center"/>
            </w:pPr>
            <w:r>
              <w:rPr>
                <w:rFonts w:hint="eastAsia" w:ascii="Times New Roman" w:hAnsi="Times New Roman" w:eastAsia="宋体" w:cs="Times New Roman"/>
                <w:b w:val="0"/>
                <w:i w:val="0"/>
                <w:sz w:val="18"/>
              </w:rPr>
              <w:t>0.5～3 Hz</w:t>
            </w:r>
          </w:p>
        </w:tc>
        <w:tc>
          <w:tcPr>
            <w:tcW w:w="1928" w:type="dxa"/>
            <w:vAlign w:val="center"/>
          </w:tcPr>
          <w:p w14:paraId="6DBE1F1E">
            <w:pPr>
              <w:spacing w:before="30" w:after="30"/>
              <w:ind w:firstLine="0"/>
              <w:jc w:val="center"/>
            </w:pPr>
            <w:r>
              <w:rPr>
                <w:rFonts w:hint="eastAsia" w:ascii="Times New Roman" w:hAnsi="Times New Roman" w:eastAsia="宋体" w:cs="Times New Roman"/>
                <w:b w:val="0"/>
                <w:i w:val="0"/>
                <w:sz w:val="18"/>
              </w:rPr>
              <w:t>0.0659/0.2087</w:t>
            </w:r>
          </w:p>
        </w:tc>
        <w:tc>
          <w:tcPr>
            <w:tcW w:w="1928" w:type="dxa"/>
            <w:vAlign w:val="center"/>
          </w:tcPr>
          <w:p w14:paraId="2E57434D">
            <w:pPr>
              <w:spacing w:before="30" w:after="30"/>
              <w:ind w:firstLine="0"/>
              <w:jc w:val="center"/>
            </w:pPr>
            <w:r>
              <w:rPr>
                <w:rFonts w:hint="eastAsia" w:ascii="Times New Roman" w:hAnsi="Times New Roman" w:eastAsia="宋体" w:cs="Times New Roman"/>
                <w:b w:val="0"/>
                <w:i w:val="0"/>
                <w:sz w:val="18"/>
              </w:rPr>
              <w:t>4.61/14.40</w:t>
            </w:r>
          </w:p>
        </w:tc>
        <w:tc>
          <w:tcPr>
            <w:tcW w:w="1928" w:type="dxa"/>
            <w:vAlign w:val="center"/>
          </w:tcPr>
          <w:p w14:paraId="09151069">
            <w:pPr>
              <w:spacing w:before="30" w:after="30"/>
              <w:ind w:firstLine="0"/>
              <w:jc w:val="center"/>
            </w:pPr>
            <w:r>
              <w:rPr>
                <w:rFonts w:hint="eastAsia" w:ascii="Times New Roman" w:hAnsi="Times New Roman" w:eastAsia="宋体" w:cs="Times New Roman"/>
                <w:b w:val="0"/>
                <w:i w:val="0"/>
                <w:sz w:val="18"/>
              </w:rPr>
              <w:t>—</w:t>
            </w:r>
          </w:p>
        </w:tc>
      </w:tr>
      <w:tr w14:paraId="711CBE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vAlign w:val="center"/>
          </w:tcPr>
          <w:p w14:paraId="1C90BA86">
            <w:pPr>
              <w:spacing w:before="30" w:after="30"/>
              <w:ind w:firstLine="0"/>
              <w:jc w:val="center"/>
            </w:pPr>
            <w:r>
              <w:rPr>
                <w:rFonts w:hint="eastAsia" w:ascii="Times New Roman" w:hAnsi="Times New Roman" w:eastAsia="宋体" w:cs="Times New Roman"/>
                <w:b w:val="0"/>
                <w:i w:val="0"/>
                <w:sz w:val="18"/>
              </w:rPr>
              <w:t>频带</w:t>
            </w:r>
          </w:p>
        </w:tc>
        <w:tc>
          <w:tcPr>
            <w:tcW w:w="1928" w:type="dxa"/>
            <w:vAlign w:val="center"/>
          </w:tcPr>
          <w:p w14:paraId="79C10F3B">
            <w:pPr>
              <w:spacing w:before="30" w:after="30"/>
              <w:ind w:firstLine="0"/>
              <w:jc w:val="center"/>
            </w:pPr>
            <w:r>
              <w:rPr>
                <w:rFonts w:hint="eastAsia" w:ascii="Times New Roman" w:hAnsi="Times New Roman" w:eastAsia="宋体" w:cs="Times New Roman"/>
                <w:b w:val="0"/>
                <w:i w:val="0"/>
                <w:sz w:val="18"/>
              </w:rPr>
              <w:t>3～6 Hz</w:t>
            </w:r>
          </w:p>
        </w:tc>
        <w:tc>
          <w:tcPr>
            <w:tcW w:w="1928" w:type="dxa"/>
            <w:vAlign w:val="center"/>
          </w:tcPr>
          <w:p w14:paraId="562EC6E7">
            <w:pPr>
              <w:spacing w:before="30" w:after="30"/>
              <w:ind w:firstLine="0"/>
              <w:jc w:val="center"/>
            </w:pPr>
            <w:r>
              <w:rPr>
                <w:rFonts w:hint="eastAsia" w:ascii="Times New Roman" w:hAnsi="Times New Roman" w:eastAsia="宋体" w:cs="Times New Roman"/>
                <w:b w:val="0"/>
                <w:i w:val="0"/>
                <w:sz w:val="18"/>
              </w:rPr>
              <w:t>0.1716/0.4032</w:t>
            </w:r>
          </w:p>
        </w:tc>
        <w:tc>
          <w:tcPr>
            <w:tcW w:w="1928" w:type="dxa"/>
            <w:vAlign w:val="center"/>
          </w:tcPr>
          <w:p w14:paraId="35EEDC7C">
            <w:pPr>
              <w:spacing w:before="30" w:after="30"/>
              <w:ind w:firstLine="0"/>
              <w:jc w:val="center"/>
            </w:pPr>
            <w:r>
              <w:rPr>
                <w:rFonts w:hint="eastAsia" w:ascii="Times New Roman" w:hAnsi="Times New Roman" w:eastAsia="宋体" w:cs="Times New Roman"/>
                <w:b w:val="0"/>
                <w:i w:val="0"/>
                <w:sz w:val="18"/>
              </w:rPr>
              <w:t>10.72/24.73</w:t>
            </w:r>
          </w:p>
        </w:tc>
        <w:tc>
          <w:tcPr>
            <w:tcW w:w="1928" w:type="dxa"/>
            <w:vAlign w:val="center"/>
          </w:tcPr>
          <w:p w14:paraId="267F8378">
            <w:pPr>
              <w:spacing w:before="30" w:after="30"/>
              <w:ind w:firstLine="0"/>
              <w:jc w:val="center"/>
            </w:pPr>
            <w:r>
              <w:rPr>
                <w:rFonts w:hint="eastAsia" w:ascii="Times New Roman" w:hAnsi="Times New Roman" w:eastAsia="宋体" w:cs="Times New Roman"/>
                <w:b w:val="0"/>
                <w:i w:val="0"/>
                <w:sz w:val="18"/>
              </w:rPr>
              <w:t>—</w:t>
            </w:r>
          </w:p>
        </w:tc>
      </w:tr>
      <w:tr w14:paraId="78DB3E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vAlign w:val="center"/>
          </w:tcPr>
          <w:p w14:paraId="12FD8F08">
            <w:pPr>
              <w:spacing w:before="30" w:after="30"/>
              <w:ind w:firstLine="0"/>
              <w:jc w:val="center"/>
            </w:pPr>
            <w:r>
              <w:rPr>
                <w:rFonts w:hint="eastAsia" w:ascii="Times New Roman" w:hAnsi="Times New Roman" w:eastAsia="宋体" w:cs="Times New Roman"/>
                <w:b w:val="0"/>
                <w:i w:val="0"/>
                <w:sz w:val="18"/>
              </w:rPr>
              <w:t>频带</w:t>
            </w:r>
          </w:p>
        </w:tc>
        <w:tc>
          <w:tcPr>
            <w:tcW w:w="1928" w:type="dxa"/>
            <w:vAlign w:val="center"/>
          </w:tcPr>
          <w:p w14:paraId="4B3DA758">
            <w:pPr>
              <w:spacing w:before="30" w:after="30"/>
              <w:ind w:firstLine="0"/>
              <w:jc w:val="center"/>
            </w:pPr>
            <w:r>
              <w:rPr>
                <w:rFonts w:hint="eastAsia" w:ascii="Times New Roman" w:hAnsi="Times New Roman" w:eastAsia="宋体" w:cs="Times New Roman"/>
                <w:b w:val="0"/>
                <w:i w:val="0"/>
                <w:sz w:val="18"/>
              </w:rPr>
              <w:t>6～10 Hz</w:t>
            </w:r>
          </w:p>
        </w:tc>
        <w:tc>
          <w:tcPr>
            <w:tcW w:w="1928" w:type="dxa"/>
            <w:vAlign w:val="center"/>
          </w:tcPr>
          <w:p w14:paraId="70211592">
            <w:pPr>
              <w:spacing w:before="30" w:after="30"/>
              <w:ind w:firstLine="0"/>
              <w:jc w:val="center"/>
            </w:pPr>
            <w:r>
              <w:rPr>
                <w:rFonts w:hint="eastAsia" w:ascii="Times New Roman" w:hAnsi="Times New Roman" w:eastAsia="宋体" w:cs="Times New Roman"/>
                <w:b w:val="0"/>
                <w:i w:val="0"/>
                <w:sz w:val="18"/>
              </w:rPr>
              <w:t>0.2556/0.4911</w:t>
            </w:r>
          </w:p>
        </w:tc>
        <w:tc>
          <w:tcPr>
            <w:tcW w:w="1928" w:type="dxa"/>
            <w:vAlign w:val="center"/>
          </w:tcPr>
          <w:p w14:paraId="257B9E1A">
            <w:pPr>
              <w:spacing w:before="30" w:after="30"/>
              <w:ind w:firstLine="0"/>
              <w:jc w:val="center"/>
            </w:pPr>
            <w:r>
              <w:rPr>
                <w:rFonts w:hint="eastAsia" w:ascii="Times New Roman" w:hAnsi="Times New Roman" w:eastAsia="宋体" w:cs="Times New Roman"/>
                <w:b w:val="0"/>
                <w:i w:val="0"/>
                <w:sz w:val="18"/>
              </w:rPr>
              <w:t>14.88/44.20</w:t>
            </w:r>
          </w:p>
        </w:tc>
        <w:tc>
          <w:tcPr>
            <w:tcW w:w="1928" w:type="dxa"/>
            <w:vAlign w:val="center"/>
          </w:tcPr>
          <w:p w14:paraId="1E2D2F85">
            <w:pPr>
              <w:spacing w:before="30" w:after="30"/>
              <w:ind w:firstLine="0"/>
              <w:jc w:val="center"/>
            </w:pPr>
            <w:r>
              <w:rPr>
                <w:rFonts w:hint="eastAsia" w:ascii="Times New Roman" w:hAnsi="Times New Roman" w:eastAsia="宋体" w:cs="Times New Roman"/>
                <w:b w:val="0"/>
                <w:i w:val="0"/>
                <w:sz w:val="18"/>
              </w:rPr>
              <w:t>—</w:t>
            </w:r>
          </w:p>
        </w:tc>
      </w:tr>
      <w:tr w14:paraId="48B913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vAlign w:val="center"/>
          </w:tcPr>
          <w:p w14:paraId="0251D19C">
            <w:pPr>
              <w:spacing w:before="30" w:after="30"/>
              <w:ind w:firstLine="0"/>
              <w:jc w:val="center"/>
            </w:pPr>
            <w:r>
              <w:rPr>
                <w:rFonts w:hint="eastAsia" w:ascii="Times New Roman" w:hAnsi="Times New Roman" w:eastAsia="宋体" w:cs="Times New Roman"/>
                <w:b w:val="0"/>
                <w:i w:val="0"/>
                <w:sz w:val="18"/>
              </w:rPr>
              <w:t>空间段</w:t>
            </w:r>
          </w:p>
        </w:tc>
        <w:tc>
          <w:tcPr>
            <w:tcW w:w="1928" w:type="dxa"/>
            <w:vAlign w:val="center"/>
          </w:tcPr>
          <w:p w14:paraId="33E27408">
            <w:pPr>
              <w:spacing w:before="30" w:after="30"/>
              <w:ind w:firstLine="0"/>
              <w:jc w:val="center"/>
            </w:pPr>
            <w:r>
              <w:rPr>
                <w:rFonts w:hint="eastAsia" w:ascii="Times New Roman" w:hAnsi="Times New Roman" w:eastAsia="宋体" w:cs="Times New Roman"/>
                <w:b w:val="0"/>
                <w:i w:val="0"/>
                <w:sz w:val="18"/>
              </w:rPr>
              <w:t>A，上平台</w:t>
            </w:r>
          </w:p>
        </w:tc>
        <w:tc>
          <w:tcPr>
            <w:tcW w:w="1928" w:type="dxa"/>
            <w:vAlign w:val="center"/>
          </w:tcPr>
          <w:p w14:paraId="43BE6D8E">
            <w:pPr>
              <w:spacing w:before="30" w:after="30"/>
              <w:ind w:firstLine="0"/>
              <w:jc w:val="center"/>
            </w:pPr>
            <w:r>
              <w:rPr>
                <w:rFonts w:hint="eastAsia" w:ascii="Times New Roman" w:hAnsi="Times New Roman" w:eastAsia="宋体" w:cs="Times New Roman"/>
                <w:b w:val="0"/>
                <w:i w:val="0"/>
                <w:sz w:val="18"/>
              </w:rPr>
              <w:t>0.1439/0.3320</w:t>
            </w:r>
          </w:p>
        </w:tc>
        <w:tc>
          <w:tcPr>
            <w:tcW w:w="1928" w:type="dxa"/>
            <w:vAlign w:val="center"/>
          </w:tcPr>
          <w:p w14:paraId="6E711519">
            <w:pPr>
              <w:spacing w:before="30" w:after="30"/>
              <w:ind w:firstLine="0"/>
              <w:jc w:val="center"/>
            </w:pPr>
            <w:r>
              <w:rPr>
                <w:rFonts w:hint="eastAsia" w:ascii="Times New Roman" w:hAnsi="Times New Roman" w:eastAsia="宋体" w:cs="Times New Roman"/>
                <w:b w:val="0"/>
                <w:i w:val="0"/>
                <w:sz w:val="18"/>
              </w:rPr>
              <w:t>—</w:t>
            </w:r>
          </w:p>
        </w:tc>
        <w:tc>
          <w:tcPr>
            <w:tcW w:w="1928" w:type="dxa"/>
            <w:vAlign w:val="center"/>
          </w:tcPr>
          <w:p w14:paraId="2D0687D3">
            <w:pPr>
              <w:spacing w:before="30" w:after="30"/>
              <w:ind w:firstLine="0"/>
              <w:jc w:val="center"/>
            </w:pPr>
            <w:r>
              <w:rPr>
                <w:rFonts w:hint="eastAsia" w:ascii="Times New Roman" w:hAnsi="Times New Roman" w:eastAsia="宋体" w:cs="Times New Roman"/>
                <w:b w:val="0"/>
                <w:i w:val="0"/>
                <w:sz w:val="18"/>
              </w:rPr>
              <w:t>0.1801/0.4066</w:t>
            </w:r>
          </w:p>
        </w:tc>
      </w:tr>
      <w:tr w14:paraId="254432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vAlign w:val="center"/>
          </w:tcPr>
          <w:p w14:paraId="56D49090">
            <w:pPr>
              <w:spacing w:before="30" w:after="30"/>
              <w:ind w:firstLine="0"/>
              <w:jc w:val="center"/>
            </w:pPr>
            <w:r>
              <w:rPr>
                <w:rFonts w:hint="eastAsia" w:ascii="Times New Roman" w:hAnsi="Times New Roman" w:eastAsia="宋体" w:cs="Times New Roman"/>
                <w:b w:val="0"/>
                <w:i w:val="0"/>
                <w:sz w:val="18"/>
              </w:rPr>
              <w:t>空间段</w:t>
            </w:r>
          </w:p>
        </w:tc>
        <w:tc>
          <w:tcPr>
            <w:tcW w:w="1928" w:type="dxa"/>
            <w:vAlign w:val="center"/>
          </w:tcPr>
          <w:p w14:paraId="052AE63B">
            <w:pPr>
              <w:spacing w:before="30" w:after="30"/>
              <w:ind w:firstLine="0"/>
              <w:jc w:val="center"/>
            </w:pPr>
            <w:r>
              <w:rPr>
                <w:rFonts w:hint="eastAsia" w:ascii="Times New Roman" w:hAnsi="Times New Roman" w:eastAsia="宋体" w:cs="Times New Roman"/>
                <w:b w:val="0"/>
                <w:i w:val="0"/>
                <w:sz w:val="18"/>
              </w:rPr>
              <w:t>B，坡面</w:t>
            </w:r>
          </w:p>
        </w:tc>
        <w:tc>
          <w:tcPr>
            <w:tcW w:w="1928" w:type="dxa"/>
            <w:vAlign w:val="center"/>
          </w:tcPr>
          <w:p w14:paraId="5549BA91">
            <w:pPr>
              <w:spacing w:before="30" w:after="30"/>
              <w:ind w:firstLine="0"/>
              <w:jc w:val="center"/>
            </w:pPr>
            <w:r>
              <w:rPr>
                <w:rFonts w:hint="eastAsia" w:ascii="Times New Roman" w:hAnsi="Times New Roman" w:eastAsia="宋体" w:cs="Times New Roman"/>
                <w:b w:val="0"/>
                <w:i w:val="0"/>
                <w:sz w:val="18"/>
              </w:rPr>
              <w:t>0.2486/0.5115</w:t>
            </w:r>
          </w:p>
        </w:tc>
        <w:tc>
          <w:tcPr>
            <w:tcW w:w="1928" w:type="dxa"/>
            <w:vAlign w:val="center"/>
          </w:tcPr>
          <w:p w14:paraId="5A753317">
            <w:pPr>
              <w:spacing w:before="30" w:after="30"/>
              <w:ind w:firstLine="0"/>
              <w:jc w:val="center"/>
            </w:pPr>
            <w:r>
              <w:rPr>
                <w:rFonts w:hint="eastAsia" w:ascii="Times New Roman" w:hAnsi="Times New Roman" w:eastAsia="宋体" w:cs="Times New Roman"/>
                <w:b w:val="0"/>
                <w:i w:val="0"/>
                <w:sz w:val="18"/>
              </w:rPr>
              <w:t>—</w:t>
            </w:r>
          </w:p>
        </w:tc>
        <w:tc>
          <w:tcPr>
            <w:tcW w:w="1928" w:type="dxa"/>
            <w:vAlign w:val="center"/>
          </w:tcPr>
          <w:p w14:paraId="5DD9E8FE">
            <w:pPr>
              <w:spacing w:before="30" w:after="30"/>
              <w:ind w:firstLine="0"/>
              <w:jc w:val="center"/>
            </w:pPr>
            <w:r>
              <w:rPr>
                <w:rFonts w:hint="eastAsia" w:ascii="Times New Roman" w:hAnsi="Times New Roman" w:eastAsia="宋体" w:cs="Times New Roman"/>
                <w:b w:val="0"/>
                <w:i w:val="0"/>
                <w:sz w:val="18"/>
              </w:rPr>
              <w:t>0.3325/0.5412</w:t>
            </w:r>
          </w:p>
        </w:tc>
      </w:tr>
      <w:tr w14:paraId="5E81AC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vAlign w:val="center"/>
          </w:tcPr>
          <w:p w14:paraId="58C51029">
            <w:pPr>
              <w:spacing w:before="30" w:after="30"/>
              <w:ind w:firstLine="0"/>
              <w:jc w:val="center"/>
            </w:pPr>
            <w:r>
              <w:rPr>
                <w:rFonts w:hint="eastAsia" w:ascii="Times New Roman" w:hAnsi="Times New Roman" w:eastAsia="宋体" w:cs="Times New Roman"/>
                <w:b w:val="0"/>
                <w:i w:val="0"/>
                <w:sz w:val="18"/>
              </w:rPr>
              <w:t>空间段</w:t>
            </w:r>
          </w:p>
        </w:tc>
        <w:tc>
          <w:tcPr>
            <w:tcW w:w="1928" w:type="dxa"/>
            <w:vAlign w:val="center"/>
          </w:tcPr>
          <w:p w14:paraId="3F53657D">
            <w:pPr>
              <w:spacing w:before="30" w:after="30"/>
              <w:ind w:firstLine="0"/>
              <w:jc w:val="center"/>
            </w:pPr>
            <w:r>
              <w:rPr>
                <w:rFonts w:hint="eastAsia" w:ascii="Times New Roman" w:hAnsi="Times New Roman" w:eastAsia="宋体" w:cs="Times New Roman"/>
                <w:b w:val="0"/>
                <w:i w:val="0"/>
                <w:sz w:val="18"/>
              </w:rPr>
              <w:t>C，下平台</w:t>
            </w:r>
          </w:p>
        </w:tc>
        <w:tc>
          <w:tcPr>
            <w:tcW w:w="1928" w:type="dxa"/>
            <w:vAlign w:val="center"/>
          </w:tcPr>
          <w:p w14:paraId="5F72DA06">
            <w:pPr>
              <w:spacing w:before="30" w:after="30"/>
              <w:ind w:firstLine="0"/>
              <w:jc w:val="center"/>
            </w:pPr>
            <w:r>
              <w:rPr>
                <w:rFonts w:hint="eastAsia" w:ascii="Times New Roman" w:hAnsi="Times New Roman" w:eastAsia="宋体" w:cs="Times New Roman"/>
                <w:b w:val="0"/>
                <w:i w:val="0"/>
                <w:sz w:val="18"/>
              </w:rPr>
              <w:t>0.2178/0.5088</w:t>
            </w:r>
          </w:p>
        </w:tc>
        <w:tc>
          <w:tcPr>
            <w:tcW w:w="1928" w:type="dxa"/>
            <w:vAlign w:val="center"/>
          </w:tcPr>
          <w:p w14:paraId="783A20EB">
            <w:pPr>
              <w:spacing w:before="30" w:after="30"/>
              <w:ind w:firstLine="0"/>
              <w:jc w:val="center"/>
            </w:pPr>
            <w:r>
              <w:rPr>
                <w:rFonts w:hint="eastAsia" w:ascii="Times New Roman" w:hAnsi="Times New Roman" w:eastAsia="宋体" w:cs="Times New Roman"/>
                <w:b w:val="0"/>
                <w:i w:val="0"/>
                <w:sz w:val="18"/>
              </w:rPr>
              <w:t>—</w:t>
            </w:r>
          </w:p>
        </w:tc>
        <w:tc>
          <w:tcPr>
            <w:tcW w:w="1928" w:type="dxa"/>
            <w:vAlign w:val="center"/>
          </w:tcPr>
          <w:p w14:paraId="5E535540">
            <w:pPr>
              <w:spacing w:before="30" w:after="30"/>
              <w:ind w:firstLine="0"/>
              <w:jc w:val="center"/>
            </w:pPr>
            <w:r>
              <w:rPr>
                <w:rFonts w:hint="eastAsia" w:ascii="Times New Roman" w:hAnsi="Times New Roman" w:eastAsia="宋体" w:cs="Times New Roman"/>
                <w:b w:val="0"/>
                <w:i w:val="0"/>
                <w:sz w:val="18"/>
              </w:rPr>
              <w:t>0.3006/0.7594</w:t>
            </w:r>
          </w:p>
        </w:tc>
      </w:tr>
    </w:tbl>
    <w:p w14:paraId="1BADCC0C">
      <w:pPr>
        <w:keepNext w:val="0"/>
        <w:keepLines w:val="0"/>
        <w:pageBreakBefore w:val="0"/>
        <w:widowControl w:val="0"/>
        <w:kinsoku/>
        <w:wordWrap/>
        <w:overflowPunct/>
        <w:topLinePunct w:val="0"/>
        <w:autoSpaceDE/>
        <w:autoSpaceDN/>
        <w:bidi w:val="0"/>
        <w:adjustRightInd/>
        <w:snapToGrid/>
        <w:spacing w:before="80" w:after="20"/>
        <w:ind w:firstLine="0"/>
        <w:jc w:val="left"/>
        <w:textAlignment w:val="auto"/>
        <w:outlineLvl w:val="2"/>
      </w:pPr>
      <w:r>
        <w:rPr>
          <w:rFonts w:hint="eastAsia" w:ascii="Times New Roman" w:hAnsi="Times New Roman" w:eastAsia="宋体" w:cs="Times New Roman"/>
          <w:b/>
          <w:i w:val="0"/>
          <w:sz w:val="21"/>
        </w:rPr>
        <w:t>4.2.2 训练外组合预测与误差分布</w:t>
      </w:r>
    </w:p>
    <w:p w14:paraId="21222850">
      <w:pPr>
        <w:spacing w:before="0" w:after="0"/>
        <w:ind w:firstLine="420"/>
        <w:jc w:val="both"/>
      </w:pPr>
      <w:r>
        <w:rPr>
          <w:rFonts w:hint="eastAsia" w:ascii="Times New Roman" w:hAnsi="Times New Roman" w:eastAsia="宋体" w:cs="Times New Roman"/>
          <w:b w:val="0"/>
          <w:i w:val="0"/>
          <w:sz w:val="21"/>
        </w:rPr>
        <w:t xml:space="preserve">在确定POD-GPR后，用全部64个P组工况重新拟合12阶主模型，并对未参与训练或选模的B001～B012逐例预测。图21将工况按 </w:t>
      </w:r>
      <m:oMath>
        <m:sSub>
          <m:sSubPr/>
          <m:e>
            <m:r>
              <m:rPr/>
              <m:t>E</m:t>
            </m:r>
          </m:e>
          <m:sub>
            <m:r>
              <m:rPr>
                <m:sty m:val="p"/>
              </m:rPr>
              <m:t>complex,</m:t>
            </m:r>
            <m:r>
              <m:rPr/>
              <m:t>w</m:t>
            </m:r>
          </m:sub>
        </m:sSub>
      </m:oMath>
      <w:r>
        <w:rPr>
          <w:rFonts w:hint="eastAsia" w:ascii="Times New Roman" w:hAnsi="Times New Roman" w:eastAsia="宋体" w:cs="Times New Roman"/>
          <w:b w:val="0"/>
          <w:i w:val="0"/>
          <w:sz w:val="21"/>
        </w:rPr>
        <w:t xml:space="preserve"> 从小到大排列，并把坡角、厚度比、波速比及各项局部指标与同一列对齐。B组误差中位数为0.2641，与P组五折交叉验证中位数0.2708接近，说明交叉验证对典型网格间组合的中心水平判断基本合理；B组P90为0.6543，却比交叉验证P90高33.5%，说明交叉验证低估了训练网格之间少数困难组合的误差上尾。12例中有9例不超过P组P90的0.4903，B001、B011和B004超过该值，最大误差B004达到0.7358。</w:t>
      </w:r>
    </w:p>
    <w:p w14:paraId="789CFD23">
      <w:pPr>
        <w:spacing w:before="0" w:after="0"/>
        <w:ind w:firstLine="420"/>
        <w:jc w:val="both"/>
      </w:pPr>
      <w:r>
        <w:rPr>
          <w:rFonts w:hint="eastAsia" w:ascii="Times New Roman" w:hAnsi="Times New Roman" w:eastAsia="宋体" w:cs="Times New Roman"/>
          <w:b w:val="0"/>
          <w:i w:val="0"/>
          <w:sz w:val="21"/>
        </w:rPr>
        <w:t>中心值接近而上尾分离，是B组最重要的信息。P组交叉验证留下的是规则网格节点，待预测参数至少在两个方向上仍可能与训练节点共享某些水平；B组同时使用中间水平，更容易落在响应曲面弯曲而两端样本不足的位置。12例规模较小，P90会对个别困难工况敏感，不能据此估计整个连续参数域的精确失效概率；但三个超过交叉验证P90的工况集中在同一软覆盖层类别，使上尾升高具有物理一致性。因而B组不推翻交叉验证给出的典型精度，却提醒不能用0.2708这一中位数描述所有网格间预测。</w:t>
      </w:r>
    </w:p>
    <w:p w14:paraId="5FC02AC1">
      <w:pPr>
        <w:spacing w:before="80" w:after="40"/>
        <w:ind w:firstLine="0"/>
        <w:jc w:val="center"/>
      </w:pPr>
      <w:r>
        <w:drawing>
          <wp:inline distT="0" distB="0" distL="114300" distR="114300">
            <wp:extent cx="2880360" cy="1774825"/>
            <wp:effectExtent l="0" t="0" r="15240" b="158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2880360" cy="1775449"/>
                    </a:xfrm>
                    <a:prstGeom prst="rect">
                      <a:avLst/>
                    </a:prstGeom>
                  </pic:spPr>
                </pic:pic>
              </a:graphicData>
            </a:graphic>
          </wp:inline>
        </w:drawing>
      </w:r>
    </w:p>
    <w:p w14:paraId="18C66CC4">
      <w:pPr>
        <w:spacing w:before="0" w:after="0"/>
        <w:ind w:firstLine="0"/>
        <w:jc w:val="center"/>
      </w:pPr>
      <w:r>
        <w:rPr>
          <w:rFonts w:hint="eastAsia" w:ascii="Times New Roman" w:hAnsi="Times New Roman" w:eastAsia="宋体" w:cs="Times New Roman"/>
          <w:b w:val="0"/>
          <w:i w:val="0"/>
          <w:sz w:val="18"/>
        </w:rPr>
        <w:t>图21 训练外组合的逐例误差与参数对照：（a）按输入谱加权复数误差排序的12个B组工况；（b）对应坡角、厚度比和波速比；（c）对数幅值RMSE、圆周相位RMSE、峰值幅值相对误差、峰频误差和峰位误差</w:t>
      </w:r>
    </w:p>
    <w:p w14:paraId="3DB9040F">
      <w:pPr>
        <w:spacing w:before="0" w:after="60"/>
        <w:ind w:firstLine="0"/>
        <w:jc w:val="center"/>
      </w:pPr>
      <w:r>
        <w:rPr>
          <w:rFonts w:hint="eastAsia" w:ascii="Times New Roman" w:hAnsi="Times New Roman" w:eastAsia="Times New Roman" w:cs="Times New Roman"/>
          <w:b w:val="0"/>
          <w:i w:val="0"/>
          <w:sz w:val="18"/>
        </w:rPr>
        <w:t>Fig. 21 Case-wise errors and parameters of the 12 training-excluded combinations</w:t>
      </w:r>
    </w:p>
    <w:p w14:paraId="0EDE78B4">
      <w:pPr>
        <w:spacing w:before="0" w:after="0"/>
        <w:ind w:firstLine="420"/>
        <w:jc w:val="both"/>
      </w:pPr>
      <w:r>
        <w:rPr>
          <w:rFonts w:hint="eastAsia" w:ascii="Times New Roman" w:hAnsi="Times New Roman" w:eastAsia="宋体" w:cs="Times New Roman"/>
          <w:b w:val="0"/>
          <w:i w:val="0"/>
          <w:sz w:val="21"/>
        </w:rPr>
        <w:t>训练外结果仍呈清晰的波速比分层。</w:t>
      </w:r>
      <m:oMath>
        <m:sSub>
          <m:sSubPr/>
          <m:e>
            <m:r>
              <m:rPr/>
              <m:t>r</m:t>
            </m:r>
          </m:e>
          <m:sub>
            <m:r>
              <m:rPr/>
              <m:t>v</m:t>
            </m:r>
          </m:sub>
        </m:sSub>
        <m:r>
          <m:rPr>
            <m:sty m:val="p"/>
          </m:rPr>
          <m:t>=</m:t>
        </m:r>
        <m:r>
          <m:rPr/>
          <m:t>0.375</m:t>
        </m:r>
      </m:oMath>
      <w:r>
        <w:rPr>
          <w:rFonts w:hint="eastAsia" w:ascii="Times New Roman" w:hAnsi="Times New Roman" w:eastAsia="宋体" w:cs="Times New Roman"/>
          <w:b w:val="0"/>
          <w:i w:val="0"/>
          <w:sz w:val="21"/>
        </w:rPr>
        <w:t xml:space="preserve">、0.525和0.675三组的复数误差中位数分别为0.5966、0.2641和0.1394，P90分别为0.7157、0.3058和0.1530；最困难的B001、B011和B004均属于 </w:t>
      </w:r>
      <m:oMath>
        <m:sSub>
          <m:sSubPr/>
          <m:e>
            <m:r>
              <m:rPr/>
              <m:t>r</m:t>
            </m:r>
          </m:e>
          <m:sub>
            <m:r>
              <m:rPr/>
              <m:t>v</m:t>
            </m:r>
          </m:sub>
        </m:sSub>
        <m:r>
          <m:rPr>
            <m:sty m:val="p"/>
          </m:rPr>
          <m:t>=</m:t>
        </m:r>
        <m:r>
          <m:rPr/>
          <m:t>0.375</m:t>
        </m:r>
      </m:oMath>
      <w:r>
        <w:rPr>
          <w:rFonts w:hint="eastAsia" w:ascii="Times New Roman" w:hAnsi="Times New Roman" w:eastAsia="宋体" w:cs="Times New Roman"/>
          <w:b w:val="0"/>
          <w:i w:val="0"/>
          <w:sz w:val="21"/>
        </w:rPr>
        <w:t xml:space="preserve"> 的软覆盖层组合，其中B011和B004同时具有较大的厚度比1.20。这一顺序与P组交叉验证中 </w:t>
      </w:r>
      <m:oMath>
        <m:sSub>
          <m:sSubPr/>
          <m:e>
            <m:r>
              <m:rPr/>
              <m:t>r</m:t>
            </m:r>
          </m:e>
          <m:sub>
            <m:r>
              <m:rPr/>
              <m:t>v</m:t>
            </m:r>
          </m:sub>
        </m:sSub>
      </m:oMath>
      <w:r>
        <w:rPr>
          <w:rFonts w:hint="eastAsia" w:ascii="Times New Roman" w:hAnsi="Times New Roman" w:eastAsia="宋体" w:cs="Times New Roman"/>
          <w:b w:val="0"/>
          <w:i w:val="0"/>
          <w:sz w:val="21"/>
        </w:rPr>
        <w:t xml:space="preserve"> 降低、</w:t>
      </w:r>
      <m:oMath>
        <m:r>
          <m:rPr/>
          <m:t>d</m:t>
        </m:r>
        <m:r>
          <m:rPr>
            <m:sty m:val="p"/>
          </m:rPr>
          <m:t>/</m:t>
        </m:r>
        <m:r>
          <m:rPr/>
          <m:t>h</m:t>
        </m:r>
      </m:oMath>
      <w:r>
        <w:rPr>
          <w:rFonts w:hint="eastAsia" w:ascii="Times New Roman" w:hAnsi="Times New Roman" w:eastAsia="宋体" w:cs="Times New Roman"/>
          <w:b w:val="0"/>
          <w:i w:val="0"/>
          <w:sz w:val="21"/>
        </w:rPr>
        <w:t xml:space="preserve"> 增大时误差升高的趋势一致，说明误差上尾并非由某个随机验证折偶然造成，而是集中在覆盖层共振更强、频率迁移更剧烈的物理区域。不过，低波速比并不必然导致失败，例如B006同为 </w:t>
      </w:r>
      <m:oMath>
        <m:sSub>
          <m:sSubPr/>
          <m:e>
            <m:r>
              <m:rPr/>
              <m:t>r</m:t>
            </m:r>
          </m:e>
          <m:sub>
            <m:r>
              <m:rPr/>
              <m:t>v</m:t>
            </m:r>
          </m:sub>
        </m:sSub>
        <m:r>
          <m:rPr>
            <m:sty m:val="p"/>
          </m:rPr>
          <m:t>=</m:t>
        </m:r>
        <m:r>
          <m:rPr/>
          <m:t>0.375</m:t>
        </m:r>
      </m:oMath>
      <w:r>
        <w:rPr>
          <w:rFonts w:hint="eastAsia" w:ascii="Times New Roman" w:hAnsi="Times New Roman" w:eastAsia="宋体" w:cs="Times New Roman"/>
          <w:b w:val="0"/>
          <w:i w:val="0"/>
          <w:sz w:val="21"/>
        </w:rPr>
        <w:t>，其误差为0.3133，明显低于另外三例；坡角、厚度与波速比共同决定复频响条带的位置，不能仅凭单参数阈值判定模型是否可靠。</w:t>
      </w:r>
    </w:p>
    <w:p w14:paraId="4BE0876F">
      <w:pPr>
        <w:spacing w:before="0" w:after="0"/>
        <w:ind w:firstLine="420"/>
        <w:jc w:val="both"/>
      </w:pPr>
      <w:r>
        <w:rPr>
          <w:rFonts w:hint="eastAsia" w:ascii="Times New Roman" w:hAnsi="Times New Roman" w:eastAsia="宋体" w:cs="Times New Roman"/>
          <w:b w:val="0"/>
          <w:i w:val="0"/>
          <w:sz w:val="21"/>
        </w:rPr>
        <w:t>三档波速比的中位误差从0.1394增至0.5966，相差约4.28倍，远大于P组对应端点分组的差异，说明训练节点之间的软层插值尤其困难。B006提供了必要的反例：其坡角37.5°、厚度比0.80并未与B004和B011的厚度比1.20叠加，尽管波速比同为0.375，综合误差仍保持在0.3133。由此不能把“低波速比”直接写成失效判据；更贴切的表述是，低波速比提高了出现急剧频响变化的可能性，而较大厚度比和特定坡角进一步决定峰谷条带是否落在训练网格难以插值的位置。样本加密也应围绕参数组合开展，而非只在一个坐标方向机械增加水平。</w:t>
      </w:r>
    </w:p>
    <w:p w14:paraId="231A9255">
      <w:pPr>
        <w:spacing w:before="0" w:after="0"/>
        <w:ind w:firstLine="420"/>
        <w:jc w:val="both"/>
      </w:pPr>
      <w:r>
        <w:rPr>
          <w:rFonts w:hint="eastAsia" w:ascii="Times New Roman" w:hAnsi="Times New Roman" w:eastAsia="宋体" w:cs="Times New Roman"/>
          <w:b w:val="0"/>
          <w:i w:val="0"/>
          <w:sz w:val="21"/>
        </w:rPr>
        <w:t>12个训练外组合的逐例数值结果见表14。</w:t>
      </w:r>
    </w:p>
    <w:p w14:paraId="476A4AA8">
      <w:pPr>
        <w:spacing w:before="156" w:after="0"/>
        <w:ind w:firstLine="0"/>
        <w:jc w:val="center"/>
      </w:pPr>
      <w:r>
        <w:rPr>
          <w:rFonts w:hint="eastAsia" w:ascii="Times New Roman" w:hAnsi="Times New Roman" w:eastAsia="宋体" w:cs="Times New Roman"/>
          <w:b w:val="0"/>
          <w:i w:val="0"/>
          <w:sz w:val="18"/>
        </w:rPr>
        <w:t>表14 12个训练外中间参数组合的预测误差</w:t>
      </w:r>
    </w:p>
    <w:p w14:paraId="0C82308C">
      <w:pPr>
        <w:spacing w:before="0" w:after="40"/>
        <w:ind w:firstLine="0"/>
        <w:jc w:val="center"/>
      </w:pPr>
      <w:r>
        <w:rPr>
          <w:rFonts w:hint="eastAsia" w:ascii="Times New Roman" w:hAnsi="Times New Roman" w:eastAsia="Times New Roman" w:cs="Times New Roman"/>
          <w:b w:val="0"/>
          <w:i w:val="0"/>
          <w:sz w:val="18"/>
        </w:rPr>
        <w:t>Table 14 Prediction errors for the 12 training-excluded intermediate parameter combinations</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4"/>
        <w:gridCol w:w="964"/>
        <w:gridCol w:w="964"/>
        <w:gridCol w:w="964"/>
        <w:gridCol w:w="964"/>
        <w:gridCol w:w="964"/>
        <w:gridCol w:w="990"/>
        <w:gridCol w:w="964"/>
        <w:gridCol w:w="964"/>
        <w:gridCol w:w="964"/>
      </w:tblGrid>
      <w:tr w14:paraId="032341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bottom w:val="single" w:color="auto" w:sz="6" w:space="0"/>
            </w:tcBorders>
            <w:vAlign w:val="center"/>
          </w:tcPr>
          <w:p w14:paraId="0D3BBABE">
            <w:pPr>
              <w:spacing w:before="30" w:after="30"/>
              <w:ind w:firstLine="0"/>
              <w:jc w:val="center"/>
            </w:pPr>
            <w:r>
              <w:rPr>
                <w:rFonts w:hint="eastAsia" w:ascii="Times New Roman" w:hAnsi="Times New Roman" w:eastAsia="宋体" w:cs="Times New Roman"/>
                <w:b/>
                <w:i w:val="0"/>
                <w:sz w:val="16"/>
              </w:rPr>
              <w:t>工况</w:t>
            </w:r>
          </w:p>
        </w:tc>
        <w:tc>
          <w:tcPr>
            <w:tcW w:w="964" w:type="dxa"/>
            <w:tcBorders>
              <w:bottom w:val="single" w:color="auto" w:sz="6" w:space="0"/>
            </w:tcBorders>
            <w:vAlign w:val="center"/>
          </w:tcPr>
          <w:p w14:paraId="35B521EF">
            <w:pPr>
              <w:spacing w:before="30" w:after="30"/>
              <w:ind w:firstLine="0"/>
              <w:jc w:val="center"/>
            </w:pPr>
            <m:oMath>
              <m:r>
                <m:rPr/>
                <m:t>i</m:t>
              </m:r>
            </m:oMath>
            <w:r>
              <w:rPr>
                <w:rFonts w:hint="eastAsia" w:ascii="Times New Roman" w:hAnsi="Times New Roman" w:eastAsia="宋体" w:cs="Times New Roman"/>
                <w:b/>
                <w:i w:val="0"/>
                <w:sz w:val="16"/>
              </w:rPr>
              <w:t>/(°)</w:t>
            </w:r>
          </w:p>
        </w:tc>
        <w:tc>
          <w:tcPr>
            <w:tcW w:w="964" w:type="dxa"/>
            <w:tcBorders>
              <w:bottom w:val="single" w:color="auto" w:sz="6" w:space="0"/>
            </w:tcBorders>
            <w:vAlign w:val="center"/>
          </w:tcPr>
          <w:p w14:paraId="262B20D8">
            <w:pPr>
              <w:spacing w:before="30" w:after="30"/>
              <w:ind w:firstLine="0"/>
              <w:jc w:val="center"/>
            </w:pPr>
            <m:oMathPara>
              <m:oMath>
                <m:r>
                  <m:rPr/>
                  <m:t>d</m:t>
                </m:r>
                <m:r>
                  <m:rPr>
                    <m:sty m:val="p"/>
                  </m:rPr>
                  <m:t>/</m:t>
                </m:r>
                <m:r>
                  <m:rPr/>
                  <m:t>h</m:t>
                </m:r>
              </m:oMath>
            </m:oMathPara>
          </w:p>
        </w:tc>
        <w:tc>
          <w:tcPr>
            <w:tcW w:w="964" w:type="dxa"/>
            <w:tcBorders>
              <w:bottom w:val="single" w:color="auto" w:sz="6" w:space="0"/>
            </w:tcBorders>
            <w:vAlign w:val="center"/>
          </w:tcPr>
          <w:p w14:paraId="53A7AFC8">
            <w:pPr>
              <w:spacing w:before="30" w:after="30"/>
              <w:ind w:firstLine="0"/>
              <w:jc w:val="center"/>
            </w:pPr>
            <m:oMathPara>
              <m:oMath>
                <m:sSub>
                  <m:sSubPr/>
                  <m:e>
                    <m:r>
                      <m:rPr/>
                      <m:t>r</m:t>
                    </m:r>
                  </m:e>
                  <m:sub>
                    <m:r>
                      <m:rPr/>
                      <m:t>v</m:t>
                    </m:r>
                  </m:sub>
                </m:sSub>
              </m:oMath>
            </m:oMathPara>
          </w:p>
        </w:tc>
        <w:tc>
          <w:tcPr>
            <w:tcW w:w="964" w:type="dxa"/>
            <w:tcBorders>
              <w:bottom w:val="single" w:color="auto" w:sz="6" w:space="0"/>
            </w:tcBorders>
            <w:vAlign w:val="center"/>
          </w:tcPr>
          <w:p w14:paraId="5D02B8DF">
            <w:pPr>
              <w:spacing w:before="30" w:after="30"/>
              <w:ind w:firstLine="0"/>
              <w:jc w:val="center"/>
            </w:pPr>
            <m:oMathPara>
              <m:oMath>
                <m:sSub>
                  <m:sSubPr/>
                  <m:e>
                    <m:r>
                      <m:rPr/>
                      <m:t>E</m:t>
                    </m:r>
                  </m:e>
                  <m:sub>
                    <m:r>
                      <m:rPr>
                        <m:sty m:val="p"/>
                      </m:rPr>
                      <m:t>complex,</m:t>
                    </m:r>
                    <m:r>
                      <m:rPr/>
                      <m:t>w</m:t>
                    </m:r>
                  </m:sub>
                </m:sSub>
              </m:oMath>
            </m:oMathPara>
          </w:p>
        </w:tc>
        <w:tc>
          <w:tcPr>
            <w:tcW w:w="964" w:type="dxa"/>
            <w:tcBorders>
              <w:bottom w:val="single" w:color="auto" w:sz="6" w:space="0"/>
            </w:tcBorders>
            <w:vAlign w:val="center"/>
          </w:tcPr>
          <w:p w14:paraId="5751D5EE">
            <w:pPr>
              <w:spacing w:before="30" w:after="30"/>
              <w:ind w:firstLine="0"/>
              <w:jc w:val="center"/>
            </w:pPr>
            <m:oMath>
              <m:r>
                <m:rPr>
                  <m:sty m:val="p"/>
                </m:rPr>
                <m:t>ln|</m:t>
              </m:r>
              <m:sSub>
                <m:sSubPr/>
                <m:e>
                  <m:r>
                    <m:rPr/>
                    <m:t>G</m:t>
                  </m:r>
                </m:e>
                <m:sub>
                  <m:r>
                    <m:rPr/>
                    <m:t>h</m:t>
                  </m:r>
                </m:sub>
              </m:sSub>
              <m:r>
                <m:rPr>
                  <m:sty m:val="p"/>
                </m:rPr>
                <m:t>|</m:t>
              </m:r>
            </m:oMath>
            <w:r>
              <w:rPr>
                <w:rFonts w:hint="eastAsia" w:ascii="Times New Roman" w:hAnsi="Times New Roman" w:eastAsia="宋体" w:cs="Times New Roman"/>
                <w:b/>
                <w:i w:val="0"/>
                <w:sz w:val="16"/>
              </w:rPr>
              <w:t xml:space="preserve"> RMSE</w:t>
            </w:r>
          </w:p>
        </w:tc>
        <w:tc>
          <w:tcPr>
            <w:tcW w:w="964" w:type="dxa"/>
            <w:tcBorders>
              <w:bottom w:val="single" w:color="auto" w:sz="6" w:space="0"/>
            </w:tcBorders>
            <w:vAlign w:val="center"/>
          </w:tcPr>
          <w:p w14:paraId="5630890C">
            <w:pPr>
              <w:spacing w:before="30" w:after="30"/>
              <w:ind w:firstLine="0"/>
              <w:jc w:val="center"/>
            </w:pPr>
            <w:r>
              <w:rPr>
                <w:rFonts w:hint="eastAsia" w:ascii="Times New Roman" w:hAnsi="Times New Roman" w:eastAsia="宋体" w:cs="Times New Roman"/>
                <w:b/>
                <w:i w:val="0"/>
                <w:sz w:val="16"/>
              </w:rPr>
              <w:t>相位RMSE/(°)</w:t>
            </w:r>
          </w:p>
        </w:tc>
        <w:tc>
          <w:tcPr>
            <w:tcW w:w="964" w:type="dxa"/>
            <w:tcBorders>
              <w:bottom w:val="single" w:color="auto" w:sz="6" w:space="0"/>
            </w:tcBorders>
            <w:vAlign w:val="center"/>
          </w:tcPr>
          <w:p w14:paraId="25536B6B">
            <w:pPr>
              <w:spacing w:before="30" w:after="30"/>
              <w:ind w:firstLine="0"/>
              <w:jc w:val="center"/>
            </w:pPr>
            <w:r>
              <w:rPr>
                <w:rFonts w:hint="eastAsia" w:ascii="Times New Roman" w:hAnsi="Times New Roman" w:eastAsia="宋体" w:cs="Times New Roman"/>
                <w:b/>
                <w:i w:val="0"/>
                <w:sz w:val="16"/>
              </w:rPr>
              <w:t>峰值幅值误差/%</w:t>
            </w:r>
          </w:p>
        </w:tc>
        <w:tc>
          <w:tcPr>
            <w:tcW w:w="964" w:type="dxa"/>
            <w:tcBorders>
              <w:bottom w:val="single" w:color="auto" w:sz="6" w:space="0"/>
            </w:tcBorders>
            <w:vAlign w:val="center"/>
          </w:tcPr>
          <w:p w14:paraId="4415F842">
            <w:pPr>
              <w:spacing w:before="30" w:after="30"/>
              <w:ind w:firstLine="0"/>
              <w:jc w:val="center"/>
            </w:pPr>
            <w:r>
              <w:rPr>
                <w:rFonts w:hint="eastAsia" w:ascii="Times New Roman" w:hAnsi="Times New Roman" w:eastAsia="宋体" w:cs="Times New Roman"/>
                <w:b/>
                <w:i w:val="0"/>
                <w:sz w:val="16"/>
              </w:rPr>
              <w:t>峰频误差/Hz</w:t>
            </w:r>
          </w:p>
        </w:tc>
        <w:tc>
          <w:tcPr>
            <w:tcW w:w="964" w:type="dxa"/>
            <w:tcBorders>
              <w:bottom w:val="single" w:color="auto" w:sz="6" w:space="0"/>
            </w:tcBorders>
            <w:vAlign w:val="center"/>
          </w:tcPr>
          <w:p w14:paraId="3FBAD2B8">
            <w:pPr>
              <w:spacing w:before="30" w:after="30"/>
              <w:ind w:firstLine="0"/>
              <w:jc w:val="center"/>
            </w:pPr>
            <w:r>
              <w:rPr>
                <w:rFonts w:hint="eastAsia" w:ascii="Times New Roman" w:hAnsi="Times New Roman" w:eastAsia="宋体" w:cs="Times New Roman"/>
                <w:b/>
                <w:i w:val="0"/>
                <w:sz w:val="16"/>
              </w:rPr>
              <w:t xml:space="preserve">峰位误差 </w:t>
            </w:r>
            <m:oMath>
              <m:r>
                <m:rPr>
                  <m:sty m:val="p"/>
                </m:rPr>
                <m:t>|Δ</m:t>
              </m:r>
              <m:r>
                <m:rPr/>
                <m:t>s</m:t>
              </m:r>
              <m:r>
                <m:rPr>
                  <m:sty m:val="p"/>
                </m:rPr>
                <m:t>|</m:t>
              </m:r>
            </m:oMath>
          </w:p>
        </w:tc>
      </w:tr>
      <w:tr w14:paraId="75D197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vAlign w:val="center"/>
          </w:tcPr>
          <w:p w14:paraId="7F7FCC16">
            <w:pPr>
              <w:spacing w:before="30" w:after="30"/>
              <w:ind w:firstLine="0"/>
              <w:jc w:val="center"/>
            </w:pPr>
            <w:r>
              <w:rPr>
                <w:rFonts w:hint="eastAsia" w:ascii="Times New Roman" w:hAnsi="Times New Roman" w:eastAsia="宋体" w:cs="Times New Roman"/>
                <w:b w:val="0"/>
                <w:i w:val="0"/>
                <w:sz w:val="16"/>
              </w:rPr>
              <w:t>B001</w:t>
            </w:r>
          </w:p>
        </w:tc>
        <w:tc>
          <w:tcPr>
            <w:tcW w:w="964" w:type="dxa"/>
            <w:vAlign w:val="center"/>
          </w:tcPr>
          <w:p w14:paraId="3486E6A8">
            <w:pPr>
              <w:spacing w:before="30" w:after="30"/>
              <w:ind w:firstLine="0"/>
              <w:jc w:val="center"/>
            </w:pPr>
            <w:r>
              <w:rPr>
                <w:rFonts w:hint="eastAsia" w:ascii="Times New Roman" w:hAnsi="Times New Roman" w:eastAsia="宋体" w:cs="Times New Roman"/>
                <w:b w:val="0"/>
                <w:i w:val="0"/>
                <w:sz w:val="16"/>
              </w:rPr>
              <w:t>22.5</w:t>
            </w:r>
          </w:p>
        </w:tc>
        <w:tc>
          <w:tcPr>
            <w:tcW w:w="964" w:type="dxa"/>
            <w:vAlign w:val="center"/>
          </w:tcPr>
          <w:p w14:paraId="3AE1DF5C">
            <w:pPr>
              <w:spacing w:before="30" w:after="30"/>
              <w:ind w:firstLine="0"/>
              <w:jc w:val="center"/>
            </w:pPr>
            <w:r>
              <w:rPr>
                <w:rFonts w:hint="eastAsia" w:ascii="Times New Roman" w:hAnsi="Times New Roman" w:eastAsia="宋体" w:cs="Times New Roman"/>
                <w:b w:val="0"/>
                <w:i w:val="0"/>
                <w:sz w:val="16"/>
              </w:rPr>
              <w:t>0.40</w:t>
            </w:r>
          </w:p>
        </w:tc>
        <w:tc>
          <w:tcPr>
            <w:tcW w:w="964" w:type="dxa"/>
            <w:vAlign w:val="center"/>
          </w:tcPr>
          <w:p w14:paraId="10C5834A">
            <w:pPr>
              <w:spacing w:before="30" w:after="30"/>
              <w:ind w:firstLine="0"/>
              <w:jc w:val="center"/>
            </w:pPr>
            <w:r>
              <w:rPr>
                <w:rFonts w:hint="eastAsia" w:ascii="Times New Roman" w:hAnsi="Times New Roman" w:eastAsia="宋体" w:cs="Times New Roman"/>
                <w:b w:val="0"/>
                <w:i w:val="0"/>
                <w:sz w:val="16"/>
              </w:rPr>
              <w:t>0.375</w:t>
            </w:r>
          </w:p>
        </w:tc>
        <w:tc>
          <w:tcPr>
            <w:tcW w:w="964" w:type="dxa"/>
            <w:vAlign w:val="center"/>
          </w:tcPr>
          <w:p w14:paraId="5AB68879">
            <w:pPr>
              <w:spacing w:before="30" w:after="30"/>
              <w:ind w:firstLine="0"/>
              <w:jc w:val="center"/>
            </w:pPr>
            <w:r>
              <w:rPr>
                <w:rFonts w:hint="eastAsia" w:ascii="Times New Roman" w:hAnsi="Times New Roman" w:eastAsia="宋体" w:cs="Times New Roman"/>
                <w:b w:val="0"/>
                <w:i w:val="0"/>
                <w:sz w:val="16"/>
              </w:rPr>
              <w:t>0.5245</w:t>
            </w:r>
          </w:p>
        </w:tc>
        <w:tc>
          <w:tcPr>
            <w:tcW w:w="964" w:type="dxa"/>
            <w:vAlign w:val="center"/>
          </w:tcPr>
          <w:p w14:paraId="050F6F0C">
            <w:pPr>
              <w:spacing w:before="30" w:after="30"/>
              <w:ind w:firstLine="0"/>
              <w:jc w:val="center"/>
            </w:pPr>
            <w:r>
              <w:rPr>
                <w:rFonts w:hint="eastAsia" w:ascii="Times New Roman" w:hAnsi="Times New Roman" w:eastAsia="宋体" w:cs="Times New Roman"/>
                <w:b w:val="0"/>
                <w:i w:val="0"/>
                <w:sz w:val="16"/>
              </w:rPr>
              <w:t>0.6584</w:t>
            </w:r>
          </w:p>
        </w:tc>
        <w:tc>
          <w:tcPr>
            <w:tcW w:w="964" w:type="dxa"/>
            <w:vAlign w:val="center"/>
          </w:tcPr>
          <w:p w14:paraId="268EB95A">
            <w:pPr>
              <w:spacing w:before="30" w:after="30"/>
              <w:ind w:firstLine="0"/>
              <w:jc w:val="center"/>
            </w:pPr>
            <w:r>
              <w:rPr>
                <w:rFonts w:hint="eastAsia" w:ascii="Times New Roman" w:hAnsi="Times New Roman" w:eastAsia="宋体" w:cs="Times New Roman"/>
                <w:b w:val="0"/>
                <w:i w:val="0"/>
                <w:sz w:val="16"/>
              </w:rPr>
              <w:t>44.55</w:t>
            </w:r>
          </w:p>
        </w:tc>
        <w:tc>
          <w:tcPr>
            <w:tcW w:w="964" w:type="dxa"/>
            <w:vAlign w:val="center"/>
          </w:tcPr>
          <w:p w14:paraId="63838178">
            <w:pPr>
              <w:spacing w:before="30" w:after="30"/>
              <w:ind w:firstLine="0"/>
              <w:jc w:val="center"/>
            </w:pPr>
            <w:r>
              <w:rPr>
                <w:rFonts w:hint="eastAsia" w:ascii="Times New Roman" w:hAnsi="Times New Roman" w:eastAsia="宋体" w:cs="Times New Roman"/>
                <w:b w:val="0"/>
                <w:i w:val="0"/>
                <w:sz w:val="16"/>
              </w:rPr>
              <w:t>30.15</w:t>
            </w:r>
          </w:p>
        </w:tc>
        <w:tc>
          <w:tcPr>
            <w:tcW w:w="964" w:type="dxa"/>
            <w:vAlign w:val="center"/>
          </w:tcPr>
          <w:p w14:paraId="543D25D9">
            <w:pPr>
              <w:spacing w:before="30" w:after="30"/>
              <w:ind w:firstLine="0"/>
              <w:jc w:val="center"/>
            </w:pPr>
            <w:r>
              <w:rPr>
                <w:rFonts w:hint="eastAsia" w:ascii="Times New Roman" w:hAnsi="Times New Roman" w:eastAsia="宋体" w:cs="Times New Roman"/>
                <w:b w:val="0"/>
                <w:i w:val="0"/>
                <w:sz w:val="16"/>
              </w:rPr>
              <w:t>0.7</w:t>
            </w:r>
          </w:p>
        </w:tc>
        <w:tc>
          <w:tcPr>
            <w:tcW w:w="964" w:type="dxa"/>
            <w:vAlign w:val="center"/>
          </w:tcPr>
          <w:p w14:paraId="6A00B5D7">
            <w:pPr>
              <w:spacing w:before="30" w:after="30"/>
              <w:ind w:firstLine="0"/>
              <w:jc w:val="center"/>
            </w:pPr>
            <w:r>
              <w:rPr>
                <w:rFonts w:hint="eastAsia" w:ascii="Times New Roman" w:hAnsi="Times New Roman" w:eastAsia="宋体" w:cs="Times New Roman"/>
                <w:b w:val="0"/>
                <w:i w:val="0"/>
                <w:sz w:val="16"/>
              </w:rPr>
              <w:t>1.35</w:t>
            </w:r>
          </w:p>
        </w:tc>
      </w:tr>
      <w:tr w14:paraId="40C90A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vAlign w:val="center"/>
          </w:tcPr>
          <w:p w14:paraId="0642AC04">
            <w:pPr>
              <w:spacing w:before="30" w:after="30"/>
              <w:ind w:firstLine="0"/>
              <w:jc w:val="center"/>
            </w:pPr>
            <w:r>
              <w:rPr>
                <w:rFonts w:hint="eastAsia" w:ascii="Times New Roman" w:hAnsi="Times New Roman" w:eastAsia="宋体" w:cs="Times New Roman"/>
                <w:b w:val="0"/>
                <w:i w:val="0"/>
                <w:sz w:val="16"/>
              </w:rPr>
              <w:t>B002</w:t>
            </w:r>
          </w:p>
        </w:tc>
        <w:tc>
          <w:tcPr>
            <w:tcW w:w="964" w:type="dxa"/>
            <w:vAlign w:val="center"/>
          </w:tcPr>
          <w:p w14:paraId="35C17D86">
            <w:pPr>
              <w:spacing w:before="30" w:after="30"/>
              <w:ind w:firstLine="0"/>
              <w:jc w:val="center"/>
            </w:pPr>
            <w:r>
              <w:rPr>
                <w:rFonts w:hint="eastAsia" w:ascii="Times New Roman" w:hAnsi="Times New Roman" w:eastAsia="宋体" w:cs="Times New Roman"/>
                <w:b w:val="0"/>
                <w:i w:val="0"/>
                <w:sz w:val="16"/>
              </w:rPr>
              <w:t>22.5</w:t>
            </w:r>
          </w:p>
        </w:tc>
        <w:tc>
          <w:tcPr>
            <w:tcW w:w="964" w:type="dxa"/>
            <w:vAlign w:val="center"/>
          </w:tcPr>
          <w:p w14:paraId="4B2AD829">
            <w:pPr>
              <w:spacing w:before="30" w:after="30"/>
              <w:ind w:firstLine="0"/>
              <w:jc w:val="center"/>
            </w:pPr>
            <w:r>
              <w:rPr>
                <w:rFonts w:hint="eastAsia" w:ascii="Times New Roman" w:hAnsi="Times New Roman" w:eastAsia="宋体" w:cs="Times New Roman"/>
                <w:b w:val="0"/>
                <w:i w:val="0"/>
                <w:sz w:val="16"/>
              </w:rPr>
              <w:t>0.40</w:t>
            </w:r>
          </w:p>
        </w:tc>
        <w:tc>
          <w:tcPr>
            <w:tcW w:w="964" w:type="dxa"/>
            <w:vAlign w:val="center"/>
          </w:tcPr>
          <w:p w14:paraId="2A668211">
            <w:pPr>
              <w:spacing w:before="30" w:after="30"/>
              <w:ind w:firstLine="0"/>
              <w:jc w:val="center"/>
            </w:pPr>
            <w:r>
              <w:rPr>
                <w:rFonts w:hint="eastAsia" w:ascii="Times New Roman" w:hAnsi="Times New Roman" w:eastAsia="宋体" w:cs="Times New Roman"/>
                <w:b w:val="0"/>
                <w:i w:val="0"/>
                <w:sz w:val="16"/>
              </w:rPr>
              <w:t>0.675</w:t>
            </w:r>
          </w:p>
        </w:tc>
        <w:tc>
          <w:tcPr>
            <w:tcW w:w="964" w:type="dxa"/>
            <w:vAlign w:val="center"/>
          </w:tcPr>
          <w:p w14:paraId="2C745757">
            <w:pPr>
              <w:spacing w:before="30" w:after="30"/>
              <w:ind w:firstLine="0"/>
              <w:jc w:val="center"/>
            </w:pPr>
            <w:r>
              <w:rPr>
                <w:rFonts w:hint="eastAsia" w:ascii="Times New Roman" w:hAnsi="Times New Roman" w:eastAsia="宋体" w:cs="Times New Roman"/>
                <w:b w:val="0"/>
                <w:i w:val="0"/>
                <w:sz w:val="16"/>
              </w:rPr>
              <w:t>0.1143</w:t>
            </w:r>
          </w:p>
        </w:tc>
        <w:tc>
          <w:tcPr>
            <w:tcW w:w="964" w:type="dxa"/>
            <w:vAlign w:val="center"/>
          </w:tcPr>
          <w:p w14:paraId="0F386CBE">
            <w:pPr>
              <w:spacing w:before="30" w:after="30"/>
              <w:ind w:firstLine="0"/>
              <w:jc w:val="center"/>
            </w:pPr>
            <w:r>
              <w:rPr>
                <w:rFonts w:hint="eastAsia" w:ascii="Times New Roman" w:hAnsi="Times New Roman" w:eastAsia="宋体" w:cs="Times New Roman"/>
                <w:b w:val="0"/>
                <w:i w:val="0"/>
                <w:sz w:val="16"/>
              </w:rPr>
              <w:t>0.0859</w:t>
            </w:r>
          </w:p>
        </w:tc>
        <w:tc>
          <w:tcPr>
            <w:tcW w:w="964" w:type="dxa"/>
            <w:vAlign w:val="center"/>
          </w:tcPr>
          <w:p w14:paraId="1C27FFEA">
            <w:pPr>
              <w:spacing w:before="30" w:after="30"/>
              <w:ind w:firstLine="0"/>
              <w:jc w:val="center"/>
            </w:pPr>
            <w:r>
              <w:rPr>
                <w:rFonts w:hint="eastAsia" w:ascii="Times New Roman" w:hAnsi="Times New Roman" w:eastAsia="宋体" w:cs="Times New Roman"/>
                <w:b w:val="0"/>
                <w:i w:val="0"/>
                <w:sz w:val="16"/>
              </w:rPr>
              <w:t>5.29</w:t>
            </w:r>
          </w:p>
        </w:tc>
        <w:tc>
          <w:tcPr>
            <w:tcW w:w="964" w:type="dxa"/>
            <w:vAlign w:val="center"/>
          </w:tcPr>
          <w:p w14:paraId="3B3FA895">
            <w:pPr>
              <w:spacing w:before="30" w:after="30"/>
              <w:ind w:firstLine="0"/>
              <w:jc w:val="center"/>
            </w:pPr>
            <w:r>
              <w:rPr>
                <w:rFonts w:hint="eastAsia" w:ascii="Times New Roman" w:hAnsi="Times New Roman" w:eastAsia="宋体" w:cs="Times New Roman"/>
                <w:b w:val="0"/>
                <w:i w:val="0"/>
                <w:sz w:val="16"/>
              </w:rPr>
              <w:t>2.68</w:t>
            </w:r>
          </w:p>
        </w:tc>
        <w:tc>
          <w:tcPr>
            <w:tcW w:w="964" w:type="dxa"/>
            <w:vAlign w:val="center"/>
          </w:tcPr>
          <w:p w14:paraId="0B559360">
            <w:pPr>
              <w:spacing w:before="30" w:after="30"/>
              <w:ind w:firstLine="0"/>
              <w:jc w:val="center"/>
            </w:pPr>
            <w:r>
              <w:rPr>
                <w:rFonts w:hint="eastAsia" w:ascii="Times New Roman" w:hAnsi="Times New Roman" w:eastAsia="宋体" w:cs="Times New Roman"/>
                <w:b w:val="0"/>
                <w:i w:val="0"/>
                <w:sz w:val="16"/>
              </w:rPr>
              <w:t>2.9</w:t>
            </w:r>
          </w:p>
        </w:tc>
        <w:tc>
          <w:tcPr>
            <w:tcW w:w="964" w:type="dxa"/>
            <w:vAlign w:val="center"/>
          </w:tcPr>
          <w:p w14:paraId="1CD2E4D6">
            <w:pPr>
              <w:spacing w:before="30" w:after="30"/>
              <w:ind w:firstLine="0"/>
              <w:jc w:val="center"/>
            </w:pPr>
            <w:r>
              <w:rPr>
                <w:rFonts w:hint="eastAsia" w:ascii="Times New Roman" w:hAnsi="Times New Roman" w:eastAsia="宋体" w:cs="Times New Roman"/>
                <w:b w:val="0"/>
                <w:i w:val="0"/>
                <w:sz w:val="16"/>
              </w:rPr>
              <w:t>2.30</w:t>
            </w:r>
          </w:p>
        </w:tc>
      </w:tr>
      <w:tr w14:paraId="15AB88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vAlign w:val="center"/>
          </w:tcPr>
          <w:p w14:paraId="56D75997">
            <w:pPr>
              <w:spacing w:before="30" w:after="30"/>
              <w:ind w:firstLine="0"/>
              <w:jc w:val="center"/>
            </w:pPr>
            <w:r>
              <w:rPr>
                <w:rFonts w:hint="eastAsia" w:ascii="Times New Roman" w:hAnsi="Times New Roman" w:eastAsia="宋体" w:cs="Times New Roman"/>
                <w:b w:val="0"/>
                <w:i w:val="0"/>
                <w:sz w:val="16"/>
              </w:rPr>
              <w:t>B003</w:t>
            </w:r>
          </w:p>
        </w:tc>
        <w:tc>
          <w:tcPr>
            <w:tcW w:w="964" w:type="dxa"/>
            <w:vAlign w:val="center"/>
          </w:tcPr>
          <w:p w14:paraId="700948A3">
            <w:pPr>
              <w:spacing w:before="30" w:after="30"/>
              <w:ind w:firstLine="0"/>
              <w:jc w:val="center"/>
            </w:pPr>
            <w:r>
              <w:rPr>
                <w:rFonts w:hint="eastAsia" w:ascii="Times New Roman" w:hAnsi="Times New Roman" w:eastAsia="宋体" w:cs="Times New Roman"/>
                <w:b w:val="0"/>
                <w:i w:val="0"/>
                <w:sz w:val="16"/>
              </w:rPr>
              <w:t>22.5</w:t>
            </w:r>
          </w:p>
        </w:tc>
        <w:tc>
          <w:tcPr>
            <w:tcW w:w="964" w:type="dxa"/>
            <w:vAlign w:val="center"/>
          </w:tcPr>
          <w:p w14:paraId="74838A57">
            <w:pPr>
              <w:spacing w:before="30" w:after="30"/>
              <w:ind w:firstLine="0"/>
              <w:jc w:val="center"/>
            </w:pPr>
            <w:r>
              <w:rPr>
                <w:rFonts w:hint="eastAsia" w:ascii="Times New Roman" w:hAnsi="Times New Roman" w:eastAsia="宋体" w:cs="Times New Roman"/>
                <w:b w:val="0"/>
                <w:i w:val="0"/>
                <w:sz w:val="16"/>
              </w:rPr>
              <w:t>0.80</w:t>
            </w:r>
          </w:p>
        </w:tc>
        <w:tc>
          <w:tcPr>
            <w:tcW w:w="964" w:type="dxa"/>
            <w:vAlign w:val="center"/>
          </w:tcPr>
          <w:p w14:paraId="53C85A60">
            <w:pPr>
              <w:spacing w:before="30" w:after="30"/>
              <w:ind w:firstLine="0"/>
              <w:jc w:val="center"/>
            </w:pPr>
            <w:r>
              <w:rPr>
                <w:rFonts w:hint="eastAsia" w:ascii="Times New Roman" w:hAnsi="Times New Roman" w:eastAsia="宋体" w:cs="Times New Roman"/>
                <w:b w:val="0"/>
                <w:i w:val="0"/>
                <w:sz w:val="16"/>
              </w:rPr>
              <w:t>0.525</w:t>
            </w:r>
          </w:p>
        </w:tc>
        <w:tc>
          <w:tcPr>
            <w:tcW w:w="964" w:type="dxa"/>
            <w:vAlign w:val="center"/>
          </w:tcPr>
          <w:p w14:paraId="7C9FA1EA">
            <w:pPr>
              <w:spacing w:before="30" w:after="30"/>
              <w:ind w:firstLine="0"/>
              <w:jc w:val="center"/>
            </w:pPr>
            <w:r>
              <w:rPr>
                <w:rFonts w:hint="eastAsia" w:ascii="Times New Roman" w:hAnsi="Times New Roman" w:eastAsia="宋体" w:cs="Times New Roman"/>
                <w:b w:val="0"/>
                <w:i w:val="0"/>
                <w:sz w:val="16"/>
              </w:rPr>
              <w:t>0.2745</w:t>
            </w:r>
          </w:p>
        </w:tc>
        <w:tc>
          <w:tcPr>
            <w:tcW w:w="964" w:type="dxa"/>
            <w:vAlign w:val="center"/>
          </w:tcPr>
          <w:p w14:paraId="464A7760">
            <w:pPr>
              <w:spacing w:before="30" w:after="30"/>
              <w:ind w:firstLine="0"/>
              <w:jc w:val="center"/>
            </w:pPr>
            <w:r>
              <w:rPr>
                <w:rFonts w:hint="eastAsia" w:ascii="Times New Roman" w:hAnsi="Times New Roman" w:eastAsia="宋体" w:cs="Times New Roman"/>
                <w:b w:val="0"/>
                <w:i w:val="0"/>
                <w:sz w:val="16"/>
              </w:rPr>
              <w:t>0.3039</w:t>
            </w:r>
          </w:p>
        </w:tc>
        <w:tc>
          <w:tcPr>
            <w:tcW w:w="964" w:type="dxa"/>
            <w:vAlign w:val="center"/>
          </w:tcPr>
          <w:p w14:paraId="44B76E2B">
            <w:pPr>
              <w:spacing w:before="30" w:after="30"/>
              <w:ind w:firstLine="0"/>
              <w:jc w:val="center"/>
            </w:pPr>
            <w:r>
              <w:rPr>
                <w:rFonts w:hint="eastAsia" w:ascii="Times New Roman" w:hAnsi="Times New Roman" w:eastAsia="宋体" w:cs="Times New Roman"/>
                <w:b w:val="0"/>
                <w:i w:val="0"/>
                <w:sz w:val="16"/>
              </w:rPr>
              <w:t>11.69</w:t>
            </w:r>
          </w:p>
        </w:tc>
        <w:tc>
          <w:tcPr>
            <w:tcW w:w="964" w:type="dxa"/>
            <w:vAlign w:val="center"/>
          </w:tcPr>
          <w:p w14:paraId="49630EA5">
            <w:pPr>
              <w:spacing w:before="30" w:after="30"/>
              <w:ind w:firstLine="0"/>
              <w:jc w:val="center"/>
            </w:pPr>
            <w:r>
              <w:rPr>
                <w:rFonts w:hint="eastAsia" w:ascii="Times New Roman" w:hAnsi="Times New Roman" w:eastAsia="宋体" w:cs="Times New Roman"/>
                <w:b w:val="0"/>
                <w:i w:val="0"/>
                <w:sz w:val="16"/>
              </w:rPr>
              <w:t>20.34</w:t>
            </w:r>
          </w:p>
        </w:tc>
        <w:tc>
          <w:tcPr>
            <w:tcW w:w="964" w:type="dxa"/>
            <w:vAlign w:val="center"/>
          </w:tcPr>
          <w:p w14:paraId="04BADF51">
            <w:pPr>
              <w:spacing w:before="30" w:after="30"/>
              <w:ind w:firstLine="0"/>
              <w:jc w:val="center"/>
            </w:pPr>
            <w:r>
              <w:rPr>
                <w:rFonts w:hint="eastAsia" w:ascii="Times New Roman" w:hAnsi="Times New Roman" w:eastAsia="宋体" w:cs="Times New Roman"/>
                <w:b w:val="0"/>
                <w:i w:val="0"/>
                <w:sz w:val="16"/>
              </w:rPr>
              <w:t>0.6</w:t>
            </w:r>
          </w:p>
        </w:tc>
        <w:tc>
          <w:tcPr>
            <w:tcW w:w="964" w:type="dxa"/>
            <w:vAlign w:val="center"/>
          </w:tcPr>
          <w:p w14:paraId="13D6F276">
            <w:pPr>
              <w:spacing w:before="30" w:after="30"/>
              <w:ind w:firstLine="0"/>
              <w:jc w:val="center"/>
            </w:pPr>
            <w:r>
              <w:rPr>
                <w:rFonts w:hint="eastAsia" w:ascii="Times New Roman" w:hAnsi="Times New Roman" w:eastAsia="宋体" w:cs="Times New Roman"/>
                <w:b w:val="0"/>
                <w:i w:val="0"/>
                <w:sz w:val="16"/>
              </w:rPr>
              <w:t>0.00</w:t>
            </w:r>
          </w:p>
        </w:tc>
      </w:tr>
      <w:tr w14:paraId="75F3A9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vAlign w:val="center"/>
          </w:tcPr>
          <w:p w14:paraId="441A6287">
            <w:pPr>
              <w:spacing w:before="30" w:after="30"/>
              <w:ind w:firstLine="0"/>
              <w:jc w:val="center"/>
            </w:pPr>
            <w:r>
              <w:rPr>
                <w:rFonts w:hint="eastAsia" w:ascii="Times New Roman" w:hAnsi="Times New Roman" w:eastAsia="宋体" w:cs="Times New Roman"/>
                <w:b w:val="0"/>
                <w:i w:val="0"/>
                <w:sz w:val="16"/>
              </w:rPr>
              <w:t>B004</w:t>
            </w:r>
          </w:p>
        </w:tc>
        <w:tc>
          <w:tcPr>
            <w:tcW w:w="964" w:type="dxa"/>
            <w:vAlign w:val="center"/>
          </w:tcPr>
          <w:p w14:paraId="735AA327">
            <w:pPr>
              <w:spacing w:before="30" w:after="30"/>
              <w:ind w:firstLine="0"/>
              <w:jc w:val="center"/>
            </w:pPr>
            <w:r>
              <w:rPr>
                <w:rFonts w:hint="eastAsia" w:ascii="Times New Roman" w:hAnsi="Times New Roman" w:eastAsia="宋体" w:cs="Times New Roman"/>
                <w:b w:val="0"/>
                <w:i w:val="0"/>
                <w:sz w:val="16"/>
              </w:rPr>
              <w:t>22.5</w:t>
            </w:r>
          </w:p>
        </w:tc>
        <w:tc>
          <w:tcPr>
            <w:tcW w:w="964" w:type="dxa"/>
            <w:vAlign w:val="center"/>
          </w:tcPr>
          <w:p w14:paraId="7F6A6037">
            <w:pPr>
              <w:spacing w:before="30" w:after="30"/>
              <w:ind w:firstLine="0"/>
              <w:jc w:val="center"/>
            </w:pPr>
            <w:r>
              <w:rPr>
                <w:rFonts w:hint="eastAsia" w:ascii="Times New Roman" w:hAnsi="Times New Roman" w:eastAsia="宋体" w:cs="Times New Roman"/>
                <w:b w:val="0"/>
                <w:i w:val="0"/>
                <w:sz w:val="16"/>
              </w:rPr>
              <w:t>1.20</w:t>
            </w:r>
          </w:p>
        </w:tc>
        <w:tc>
          <w:tcPr>
            <w:tcW w:w="964" w:type="dxa"/>
            <w:vAlign w:val="center"/>
          </w:tcPr>
          <w:p w14:paraId="69155C1E">
            <w:pPr>
              <w:spacing w:before="30" w:after="30"/>
              <w:ind w:firstLine="0"/>
              <w:jc w:val="center"/>
            </w:pPr>
            <w:r>
              <w:rPr>
                <w:rFonts w:hint="eastAsia" w:ascii="Times New Roman" w:hAnsi="Times New Roman" w:eastAsia="宋体" w:cs="Times New Roman"/>
                <w:b w:val="0"/>
                <w:i w:val="0"/>
                <w:sz w:val="16"/>
              </w:rPr>
              <w:t>0.375</w:t>
            </w:r>
          </w:p>
        </w:tc>
        <w:tc>
          <w:tcPr>
            <w:tcW w:w="964" w:type="dxa"/>
            <w:vAlign w:val="center"/>
          </w:tcPr>
          <w:p w14:paraId="295966CE">
            <w:pPr>
              <w:spacing w:before="30" w:after="30"/>
              <w:ind w:firstLine="0"/>
              <w:jc w:val="center"/>
            </w:pPr>
            <w:r>
              <w:rPr>
                <w:rFonts w:hint="eastAsia" w:ascii="Times New Roman" w:hAnsi="Times New Roman" w:eastAsia="宋体" w:cs="Times New Roman"/>
                <w:b w:val="0"/>
                <w:i w:val="0"/>
                <w:sz w:val="16"/>
              </w:rPr>
              <w:t>0.7358</w:t>
            </w:r>
          </w:p>
        </w:tc>
        <w:tc>
          <w:tcPr>
            <w:tcW w:w="964" w:type="dxa"/>
            <w:vAlign w:val="center"/>
          </w:tcPr>
          <w:p w14:paraId="23A7B2B2">
            <w:pPr>
              <w:spacing w:before="30" w:after="30"/>
              <w:ind w:firstLine="0"/>
              <w:jc w:val="center"/>
            </w:pPr>
            <w:r>
              <w:rPr>
                <w:rFonts w:hint="eastAsia" w:ascii="Times New Roman" w:hAnsi="Times New Roman" w:eastAsia="宋体" w:cs="Times New Roman"/>
                <w:b w:val="0"/>
                <w:i w:val="0"/>
                <w:sz w:val="16"/>
              </w:rPr>
              <w:t>0.8701</w:t>
            </w:r>
          </w:p>
        </w:tc>
        <w:tc>
          <w:tcPr>
            <w:tcW w:w="964" w:type="dxa"/>
            <w:vAlign w:val="center"/>
          </w:tcPr>
          <w:p w14:paraId="3669E608">
            <w:pPr>
              <w:spacing w:before="30" w:after="30"/>
              <w:ind w:firstLine="0"/>
              <w:jc w:val="center"/>
            </w:pPr>
            <w:r>
              <w:rPr>
                <w:rFonts w:hint="eastAsia" w:ascii="Times New Roman" w:hAnsi="Times New Roman" w:eastAsia="宋体" w:cs="Times New Roman"/>
                <w:b w:val="0"/>
                <w:i w:val="0"/>
                <w:sz w:val="16"/>
              </w:rPr>
              <w:t>47.25</w:t>
            </w:r>
          </w:p>
        </w:tc>
        <w:tc>
          <w:tcPr>
            <w:tcW w:w="964" w:type="dxa"/>
            <w:vAlign w:val="center"/>
          </w:tcPr>
          <w:p w14:paraId="0FF92825">
            <w:pPr>
              <w:spacing w:before="30" w:after="30"/>
              <w:ind w:firstLine="0"/>
              <w:jc w:val="center"/>
            </w:pPr>
            <w:r>
              <w:rPr>
                <w:rFonts w:hint="eastAsia" w:ascii="Times New Roman" w:hAnsi="Times New Roman" w:eastAsia="宋体" w:cs="Times New Roman"/>
                <w:b w:val="0"/>
                <w:i w:val="0"/>
                <w:sz w:val="16"/>
              </w:rPr>
              <w:t>55.89</w:t>
            </w:r>
          </w:p>
        </w:tc>
        <w:tc>
          <w:tcPr>
            <w:tcW w:w="964" w:type="dxa"/>
            <w:vAlign w:val="center"/>
          </w:tcPr>
          <w:p w14:paraId="2801C23C">
            <w:pPr>
              <w:spacing w:before="30" w:after="30"/>
              <w:ind w:firstLine="0"/>
              <w:jc w:val="center"/>
            </w:pPr>
            <w:r>
              <w:rPr>
                <w:rFonts w:hint="eastAsia" w:ascii="Times New Roman" w:hAnsi="Times New Roman" w:eastAsia="宋体" w:cs="Times New Roman"/>
                <w:b w:val="0"/>
                <w:i w:val="0"/>
                <w:sz w:val="16"/>
              </w:rPr>
              <w:t>7.3</w:t>
            </w:r>
          </w:p>
        </w:tc>
        <w:tc>
          <w:tcPr>
            <w:tcW w:w="964" w:type="dxa"/>
            <w:vAlign w:val="center"/>
          </w:tcPr>
          <w:p w14:paraId="1C519325">
            <w:pPr>
              <w:spacing w:before="30" w:after="30"/>
              <w:ind w:firstLine="0"/>
              <w:jc w:val="center"/>
            </w:pPr>
            <w:r>
              <w:rPr>
                <w:rFonts w:hint="eastAsia" w:ascii="Times New Roman" w:hAnsi="Times New Roman" w:eastAsia="宋体" w:cs="Times New Roman"/>
                <w:b w:val="0"/>
                <w:i w:val="0"/>
                <w:sz w:val="16"/>
              </w:rPr>
              <w:t>2.60</w:t>
            </w:r>
          </w:p>
        </w:tc>
      </w:tr>
      <w:tr w14:paraId="6A2899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vAlign w:val="center"/>
          </w:tcPr>
          <w:p w14:paraId="716433FB">
            <w:pPr>
              <w:spacing w:before="30" w:after="30"/>
              <w:ind w:firstLine="0"/>
              <w:jc w:val="center"/>
            </w:pPr>
            <w:r>
              <w:rPr>
                <w:rFonts w:hint="eastAsia" w:ascii="Times New Roman" w:hAnsi="Times New Roman" w:eastAsia="宋体" w:cs="Times New Roman"/>
                <w:b w:val="0"/>
                <w:i w:val="0"/>
                <w:sz w:val="16"/>
              </w:rPr>
              <w:t>B005</w:t>
            </w:r>
          </w:p>
        </w:tc>
        <w:tc>
          <w:tcPr>
            <w:tcW w:w="964" w:type="dxa"/>
            <w:vAlign w:val="center"/>
          </w:tcPr>
          <w:p w14:paraId="446B8B94">
            <w:pPr>
              <w:spacing w:before="30" w:after="30"/>
              <w:ind w:firstLine="0"/>
              <w:jc w:val="center"/>
            </w:pPr>
            <w:r>
              <w:rPr>
                <w:rFonts w:hint="eastAsia" w:ascii="Times New Roman" w:hAnsi="Times New Roman" w:eastAsia="宋体" w:cs="Times New Roman"/>
                <w:b w:val="0"/>
                <w:i w:val="0"/>
                <w:sz w:val="16"/>
              </w:rPr>
              <w:t>37.5</w:t>
            </w:r>
          </w:p>
        </w:tc>
        <w:tc>
          <w:tcPr>
            <w:tcW w:w="964" w:type="dxa"/>
            <w:vAlign w:val="center"/>
          </w:tcPr>
          <w:p w14:paraId="3B1F6D53">
            <w:pPr>
              <w:spacing w:before="30" w:after="30"/>
              <w:ind w:firstLine="0"/>
              <w:jc w:val="center"/>
            </w:pPr>
            <w:r>
              <w:rPr>
                <w:rFonts w:hint="eastAsia" w:ascii="Times New Roman" w:hAnsi="Times New Roman" w:eastAsia="宋体" w:cs="Times New Roman"/>
                <w:b w:val="0"/>
                <w:i w:val="0"/>
                <w:sz w:val="16"/>
              </w:rPr>
              <w:t>0.40</w:t>
            </w:r>
          </w:p>
        </w:tc>
        <w:tc>
          <w:tcPr>
            <w:tcW w:w="964" w:type="dxa"/>
            <w:vAlign w:val="center"/>
          </w:tcPr>
          <w:p w14:paraId="4411C675">
            <w:pPr>
              <w:spacing w:before="30" w:after="30"/>
              <w:ind w:firstLine="0"/>
              <w:jc w:val="center"/>
            </w:pPr>
            <w:r>
              <w:rPr>
                <w:rFonts w:hint="eastAsia" w:ascii="Times New Roman" w:hAnsi="Times New Roman" w:eastAsia="宋体" w:cs="Times New Roman"/>
                <w:b w:val="0"/>
                <w:i w:val="0"/>
                <w:sz w:val="16"/>
              </w:rPr>
              <w:t>0.525</w:t>
            </w:r>
          </w:p>
        </w:tc>
        <w:tc>
          <w:tcPr>
            <w:tcW w:w="964" w:type="dxa"/>
            <w:vAlign w:val="center"/>
          </w:tcPr>
          <w:p w14:paraId="1EC4F09E">
            <w:pPr>
              <w:spacing w:before="30" w:after="30"/>
              <w:ind w:firstLine="0"/>
              <w:jc w:val="center"/>
            </w:pPr>
            <w:r>
              <w:rPr>
                <w:rFonts w:hint="eastAsia" w:ascii="Times New Roman" w:hAnsi="Times New Roman" w:eastAsia="宋体" w:cs="Times New Roman"/>
                <w:b w:val="0"/>
                <w:i w:val="0"/>
                <w:sz w:val="16"/>
              </w:rPr>
              <w:t>0.2536</w:t>
            </w:r>
          </w:p>
        </w:tc>
        <w:tc>
          <w:tcPr>
            <w:tcW w:w="964" w:type="dxa"/>
            <w:vAlign w:val="center"/>
          </w:tcPr>
          <w:p w14:paraId="66E1C860">
            <w:pPr>
              <w:spacing w:before="30" w:after="30"/>
              <w:ind w:firstLine="0"/>
              <w:jc w:val="center"/>
            </w:pPr>
            <w:r>
              <w:rPr>
                <w:rFonts w:hint="eastAsia" w:ascii="Times New Roman" w:hAnsi="Times New Roman" w:eastAsia="宋体" w:cs="Times New Roman"/>
                <w:b w:val="0"/>
                <w:i w:val="0"/>
                <w:sz w:val="16"/>
              </w:rPr>
              <w:t>0.1925</w:t>
            </w:r>
          </w:p>
        </w:tc>
        <w:tc>
          <w:tcPr>
            <w:tcW w:w="964" w:type="dxa"/>
            <w:vAlign w:val="center"/>
          </w:tcPr>
          <w:p w14:paraId="623259C3">
            <w:pPr>
              <w:spacing w:before="30" w:after="30"/>
              <w:ind w:firstLine="0"/>
              <w:jc w:val="center"/>
            </w:pPr>
            <w:r>
              <w:rPr>
                <w:rFonts w:hint="eastAsia" w:ascii="Times New Roman" w:hAnsi="Times New Roman" w:eastAsia="宋体" w:cs="Times New Roman"/>
                <w:b w:val="0"/>
                <w:i w:val="0"/>
                <w:sz w:val="16"/>
              </w:rPr>
              <w:t>14.11</w:t>
            </w:r>
          </w:p>
        </w:tc>
        <w:tc>
          <w:tcPr>
            <w:tcW w:w="964" w:type="dxa"/>
            <w:vAlign w:val="center"/>
          </w:tcPr>
          <w:p w14:paraId="15E43B6C">
            <w:pPr>
              <w:spacing w:before="30" w:after="30"/>
              <w:ind w:firstLine="0"/>
              <w:jc w:val="center"/>
            </w:pPr>
            <w:r>
              <w:rPr>
                <w:rFonts w:hint="eastAsia" w:ascii="Times New Roman" w:hAnsi="Times New Roman" w:eastAsia="宋体" w:cs="Times New Roman"/>
                <w:b w:val="0"/>
                <w:i w:val="0"/>
                <w:sz w:val="16"/>
              </w:rPr>
              <w:t>9.77</w:t>
            </w:r>
          </w:p>
        </w:tc>
        <w:tc>
          <w:tcPr>
            <w:tcW w:w="964" w:type="dxa"/>
            <w:vAlign w:val="center"/>
          </w:tcPr>
          <w:p w14:paraId="15D3DB66">
            <w:pPr>
              <w:spacing w:before="30" w:after="30"/>
              <w:ind w:firstLine="0"/>
              <w:jc w:val="center"/>
            </w:pPr>
            <w:r>
              <w:rPr>
                <w:rFonts w:hint="eastAsia" w:ascii="Times New Roman" w:hAnsi="Times New Roman" w:eastAsia="宋体" w:cs="Times New Roman"/>
                <w:b w:val="0"/>
                <w:i w:val="0"/>
                <w:sz w:val="16"/>
              </w:rPr>
              <w:t>3.7</w:t>
            </w:r>
          </w:p>
        </w:tc>
        <w:tc>
          <w:tcPr>
            <w:tcW w:w="964" w:type="dxa"/>
            <w:vAlign w:val="center"/>
          </w:tcPr>
          <w:p w14:paraId="740CEA0A">
            <w:pPr>
              <w:spacing w:before="30" w:after="30"/>
              <w:ind w:firstLine="0"/>
              <w:jc w:val="center"/>
            </w:pPr>
            <w:r>
              <w:rPr>
                <w:rFonts w:hint="eastAsia" w:ascii="Times New Roman" w:hAnsi="Times New Roman" w:eastAsia="宋体" w:cs="Times New Roman"/>
                <w:b w:val="0"/>
                <w:i w:val="0"/>
                <w:sz w:val="16"/>
              </w:rPr>
              <w:t>0.00</w:t>
            </w:r>
          </w:p>
        </w:tc>
      </w:tr>
      <w:tr w14:paraId="0CD1D3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vAlign w:val="center"/>
          </w:tcPr>
          <w:p w14:paraId="171883BB">
            <w:pPr>
              <w:spacing w:before="30" w:after="30"/>
              <w:ind w:firstLine="0"/>
              <w:jc w:val="center"/>
            </w:pPr>
            <w:r>
              <w:rPr>
                <w:rFonts w:hint="eastAsia" w:ascii="Times New Roman" w:hAnsi="Times New Roman" w:eastAsia="宋体" w:cs="Times New Roman"/>
                <w:b w:val="0"/>
                <w:i w:val="0"/>
                <w:sz w:val="16"/>
              </w:rPr>
              <w:t>B006</w:t>
            </w:r>
          </w:p>
        </w:tc>
        <w:tc>
          <w:tcPr>
            <w:tcW w:w="964" w:type="dxa"/>
            <w:vAlign w:val="center"/>
          </w:tcPr>
          <w:p w14:paraId="7FC66844">
            <w:pPr>
              <w:spacing w:before="30" w:after="30"/>
              <w:ind w:firstLine="0"/>
              <w:jc w:val="center"/>
            </w:pPr>
            <w:r>
              <w:rPr>
                <w:rFonts w:hint="eastAsia" w:ascii="Times New Roman" w:hAnsi="Times New Roman" w:eastAsia="宋体" w:cs="Times New Roman"/>
                <w:b w:val="0"/>
                <w:i w:val="0"/>
                <w:sz w:val="16"/>
              </w:rPr>
              <w:t>37.5</w:t>
            </w:r>
          </w:p>
        </w:tc>
        <w:tc>
          <w:tcPr>
            <w:tcW w:w="964" w:type="dxa"/>
            <w:vAlign w:val="center"/>
          </w:tcPr>
          <w:p w14:paraId="77200BAF">
            <w:pPr>
              <w:spacing w:before="30" w:after="30"/>
              <w:ind w:firstLine="0"/>
              <w:jc w:val="center"/>
            </w:pPr>
            <w:r>
              <w:rPr>
                <w:rFonts w:hint="eastAsia" w:ascii="Times New Roman" w:hAnsi="Times New Roman" w:eastAsia="宋体" w:cs="Times New Roman"/>
                <w:b w:val="0"/>
                <w:i w:val="0"/>
                <w:sz w:val="16"/>
              </w:rPr>
              <w:t>0.80</w:t>
            </w:r>
          </w:p>
        </w:tc>
        <w:tc>
          <w:tcPr>
            <w:tcW w:w="964" w:type="dxa"/>
            <w:vAlign w:val="center"/>
          </w:tcPr>
          <w:p w14:paraId="78F7A31E">
            <w:pPr>
              <w:spacing w:before="30" w:after="30"/>
              <w:ind w:firstLine="0"/>
              <w:jc w:val="center"/>
            </w:pPr>
            <w:r>
              <w:rPr>
                <w:rFonts w:hint="eastAsia" w:ascii="Times New Roman" w:hAnsi="Times New Roman" w:eastAsia="宋体" w:cs="Times New Roman"/>
                <w:b w:val="0"/>
                <w:i w:val="0"/>
                <w:sz w:val="16"/>
              </w:rPr>
              <w:t>0.375</w:t>
            </w:r>
          </w:p>
        </w:tc>
        <w:tc>
          <w:tcPr>
            <w:tcW w:w="964" w:type="dxa"/>
            <w:vAlign w:val="center"/>
          </w:tcPr>
          <w:p w14:paraId="5639F6E1">
            <w:pPr>
              <w:spacing w:before="30" w:after="30"/>
              <w:ind w:firstLine="0"/>
              <w:jc w:val="center"/>
            </w:pPr>
            <w:r>
              <w:rPr>
                <w:rFonts w:hint="eastAsia" w:ascii="Times New Roman" w:hAnsi="Times New Roman" w:eastAsia="宋体" w:cs="Times New Roman"/>
                <w:b w:val="0"/>
                <w:i w:val="0"/>
                <w:sz w:val="16"/>
              </w:rPr>
              <w:t>0.3133</w:t>
            </w:r>
          </w:p>
        </w:tc>
        <w:tc>
          <w:tcPr>
            <w:tcW w:w="964" w:type="dxa"/>
            <w:vAlign w:val="center"/>
          </w:tcPr>
          <w:p w14:paraId="79E80E8F">
            <w:pPr>
              <w:spacing w:before="30" w:after="30"/>
              <w:ind w:firstLine="0"/>
              <w:jc w:val="center"/>
            </w:pPr>
            <w:r>
              <w:rPr>
                <w:rFonts w:hint="eastAsia" w:ascii="Times New Roman" w:hAnsi="Times New Roman" w:eastAsia="宋体" w:cs="Times New Roman"/>
                <w:b w:val="0"/>
                <w:i w:val="0"/>
                <w:sz w:val="16"/>
              </w:rPr>
              <w:t>0.2706</w:t>
            </w:r>
          </w:p>
        </w:tc>
        <w:tc>
          <w:tcPr>
            <w:tcW w:w="964" w:type="dxa"/>
            <w:vAlign w:val="center"/>
          </w:tcPr>
          <w:p w14:paraId="624A1FEA">
            <w:pPr>
              <w:spacing w:before="30" w:after="30"/>
              <w:ind w:firstLine="0"/>
              <w:jc w:val="center"/>
            </w:pPr>
            <w:r>
              <w:rPr>
                <w:rFonts w:hint="eastAsia" w:ascii="Times New Roman" w:hAnsi="Times New Roman" w:eastAsia="宋体" w:cs="Times New Roman"/>
                <w:b w:val="0"/>
                <w:i w:val="0"/>
                <w:sz w:val="16"/>
              </w:rPr>
              <w:t>12.45</w:t>
            </w:r>
          </w:p>
        </w:tc>
        <w:tc>
          <w:tcPr>
            <w:tcW w:w="964" w:type="dxa"/>
            <w:vAlign w:val="center"/>
          </w:tcPr>
          <w:p w14:paraId="0FFCFA8E">
            <w:pPr>
              <w:spacing w:before="30" w:after="30"/>
              <w:ind w:firstLine="0"/>
              <w:jc w:val="center"/>
            </w:pPr>
            <w:r>
              <w:rPr>
                <w:rFonts w:hint="eastAsia" w:ascii="Times New Roman" w:hAnsi="Times New Roman" w:eastAsia="宋体" w:cs="Times New Roman"/>
                <w:b w:val="0"/>
                <w:i w:val="0"/>
                <w:sz w:val="16"/>
              </w:rPr>
              <w:t>17.82</w:t>
            </w:r>
          </w:p>
        </w:tc>
        <w:tc>
          <w:tcPr>
            <w:tcW w:w="964" w:type="dxa"/>
            <w:vAlign w:val="center"/>
          </w:tcPr>
          <w:p w14:paraId="0E7B4932">
            <w:pPr>
              <w:spacing w:before="30" w:after="30"/>
              <w:ind w:firstLine="0"/>
              <w:jc w:val="center"/>
            </w:pPr>
            <w:r>
              <w:rPr>
                <w:rFonts w:hint="eastAsia" w:ascii="Times New Roman" w:hAnsi="Times New Roman" w:eastAsia="宋体" w:cs="Times New Roman"/>
                <w:b w:val="0"/>
                <w:i w:val="0"/>
                <w:sz w:val="16"/>
              </w:rPr>
              <w:t>5.2</w:t>
            </w:r>
          </w:p>
        </w:tc>
        <w:tc>
          <w:tcPr>
            <w:tcW w:w="964" w:type="dxa"/>
            <w:vAlign w:val="center"/>
          </w:tcPr>
          <w:p w14:paraId="1964B327">
            <w:pPr>
              <w:spacing w:before="30" w:after="30"/>
              <w:ind w:firstLine="0"/>
              <w:jc w:val="center"/>
            </w:pPr>
            <w:r>
              <w:rPr>
                <w:rFonts w:hint="eastAsia" w:ascii="Times New Roman" w:hAnsi="Times New Roman" w:eastAsia="宋体" w:cs="Times New Roman"/>
                <w:b w:val="0"/>
                <w:i w:val="0"/>
                <w:sz w:val="16"/>
              </w:rPr>
              <w:t>0.25</w:t>
            </w:r>
          </w:p>
        </w:tc>
      </w:tr>
      <w:tr w14:paraId="64F969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vAlign w:val="center"/>
          </w:tcPr>
          <w:p w14:paraId="2F86E9AD">
            <w:pPr>
              <w:spacing w:before="30" w:after="30"/>
              <w:ind w:firstLine="0"/>
              <w:jc w:val="center"/>
            </w:pPr>
            <w:r>
              <w:rPr>
                <w:rFonts w:hint="eastAsia" w:ascii="Times New Roman" w:hAnsi="Times New Roman" w:eastAsia="宋体" w:cs="Times New Roman"/>
                <w:b w:val="0"/>
                <w:i w:val="0"/>
                <w:sz w:val="16"/>
              </w:rPr>
              <w:t>B007</w:t>
            </w:r>
          </w:p>
        </w:tc>
        <w:tc>
          <w:tcPr>
            <w:tcW w:w="964" w:type="dxa"/>
            <w:vAlign w:val="center"/>
          </w:tcPr>
          <w:p w14:paraId="4714CF20">
            <w:pPr>
              <w:spacing w:before="30" w:after="30"/>
              <w:ind w:firstLine="0"/>
              <w:jc w:val="center"/>
            </w:pPr>
            <w:r>
              <w:rPr>
                <w:rFonts w:hint="eastAsia" w:ascii="Times New Roman" w:hAnsi="Times New Roman" w:eastAsia="宋体" w:cs="Times New Roman"/>
                <w:b w:val="0"/>
                <w:i w:val="0"/>
                <w:sz w:val="16"/>
              </w:rPr>
              <w:t>37.5</w:t>
            </w:r>
          </w:p>
        </w:tc>
        <w:tc>
          <w:tcPr>
            <w:tcW w:w="964" w:type="dxa"/>
            <w:vAlign w:val="center"/>
          </w:tcPr>
          <w:p w14:paraId="02EF8F4E">
            <w:pPr>
              <w:spacing w:before="30" w:after="30"/>
              <w:ind w:firstLine="0"/>
              <w:jc w:val="center"/>
            </w:pPr>
            <w:r>
              <w:rPr>
                <w:rFonts w:hint="eastAsia" w:ascii="Times New Roman" w:hAnsi="Times New Roman" w:eastAsia="宋体" w:cs="Times New Roman"/>
                <w:b w:val="0"/>
                <w:i w:val="0"/>
                <w:sz w:val="16"/>
              </w:rPr>
              <w:t>0.80</w:t>
            </w:r>
          </w:p>
        </w:tc>
        <w:tc>
          <w:tcPr>
            <w:tcW w:w="964" w:type="dxa"/>
            <w:vAlign w:val="center"/>
          </w:tcPr>
          <w:p w14:paraId="4810F97E">
            <w:pPr>
              <w:spacing w:before="30" w:after="30"/>
              <w:ind w:firstLine="0"/>
              <w:jc w:val="center"/>
            </w:pPr>
            <w:r>
              <w:rPr>
                <w:rFonts w:hint="eastAsia" w:ascii="Times New Roman" w:hAnsi="Times New Roman" w:eastAsia="宋体" w:cs="Times New Roman"/>
                <w:b w:val="0"/>
                <w:i w:val="0"/>
                <w:sz w:val="16"/>
              </w:rPr>
              <w:t>0.675</w:t>
            </w:r>
          </w:p>
        </w:tc>
        <w:tc>
          <w:tcPr>
            <w:tcW w:w="964" w:type="dxa"/>
            <w:vAlign w:val="center"/>
          </w:tcPr>
          <w:p w14:paraId="300D2C04">
            <w:pPr>
              <w:spacing w:before="30" w:after="30"/>
              <w:ind w:firstLine="0"/>
              <w:jc w:val="center"/>
            </w:pPr>
            <w:r>
              <w:rPr>
                <w:rFonts w:hint="eastAsia" w:ascii="Times New Roman" w:hAnsi="Times New Roman" w:eastAsia="宋体" w:cs="Times New Roman"/>
                <w:b w:val="0"/>
                <w:i w:val="0"/>
                <w:sz w:val="16"/>
              </w:rPr>
              <w:t>0.1557</w:t>
            </w:r>
          </w:p>
        </w:tc>
        <w:tc>
          <w:tcPr>
            <w:tcW w:w="964" w:type="dxa"/>
            <w:vAlign w:val="center"/>
          </w:tcPr>
          <w:p w14:paraId="5E8CA3A5">
            <w:pPr>
              <w:spacing w:before="30" w:after="30"/>
              <w:ind w:firstLine="0"/>
              <w:jc w:val="center"/>
            </w:pPr>
            <w:r>
              <w:rPr>
                <w:rFonts w:hint="eastAsia" w:ascii="Times New Roman" w:hAnsi="Times New Roman" w:eastAsia="宋体" w:cs="Times New Roman"/>
                <w:b w:val="0"/>
                <w:i w:val="0"/>
                <w:sz w:val="16"/>
              </w:rPr>
              <w:t>0.1356</w:t>
            </w:r>
          </w:p>
        </w:tc>
        <w:tc>
          <w:tcPr>
            <w:tcW w:w="964" w:type="dxa"/>
            <w:vAlign w:val="center"/>
          </w:tcPr>
          <w:p w14:paraId="59DB521A">
            <w:pPr>
              <w:spacing w:before="30" w:after="30"/>
              <w:ind w:firstLine="0"/>
              <w:jc w:val="center"/>
            </w:pPr>
            <w:r>
              <w:rPr>
                <w:rFonts w:hint="eastAsia" w:ascii="Times New Roman" w:hAnsi="Times New Roman" w:eastAsia="宋体" w:cs="Times New Roman"/>
                <w:b w:val="0"/>
                <w:i w:val="0"/>
                <w:sz w:val="16"/>
              </w:rPr>
              <w:t>6.85</w:t>
            </w:r>
          </w:p>
        </w:tc>
        <w:tc>
          <w:tcPr>
            <w:tcW w:w="964" w:type="dxa"/>
            <w:vAlign w:val="center"/>
          </w:tcPr>
          <w:p w14:paraId="30B04DC2">
            <w:pPr>
              <w:spacing w:before="30" w:after="30"/>
              <w:ind w:firstLine="0"/>
              <w:jc w:val="center"/>
            </w:pPr>
            <w:r>
              <w:rPr>
                <w:rFonts w:hint="eastAsia" w:ascii="Times New Roman" w:hAnsi="Times New Roman" w:eastAsia="宋体" w:cs="Times New Roman"/>
                <w:b w:val="0"/>
                <w:i w:val="0"/>
                <w:sz w:val="16"/>
              </w:rPr>
              <w:t>1.82</w:t>
            </w:r>
          </w:p>
        </w:tc>
        <w:tc>
          <w:tcPr>
            <w:tcW w:w="964" w:type="dxa"/>
            <w:vAlign w:val="center"/>
          </w:tcPr>
          <w:p w14:paraId="19120F85">
            <w:pPr>
              <w:spacing w:before="30" w:after="30"/>
              <w:ind w:firstLine="0"/>
              <w:jc w:val="center"/>
            </w:pPr>
            <w:r>
              <w:rPr>
                <w:rFonts w:hint="eastAsia" w:ascii="Times New Roman" w:hAnsi="Times New Roman" w:eastAsia="宋体" w:cs="Times New Roman"/>
                <w:b w:val="0"/>
                <w:i w:val="0"/>
                <w:sz w:val="16"/>
              </w:rPr>
              <w:t>0.6</w:t>
            </w:r>
          </w:p>
        </w:tc>
        <w:tc>
          <w:tcPr>
            <w:tcW w:w="964" w:type="dxa"/>
            <w:vAlign w:val="center"/>
          </w:tcPr>
          <w:p w14:paraId="0F78B079">
            <w:pPr>
              <w:spacing w:before="30" w:after="30"/>
              <w:ind w:firstLine="0"/>
              <w:jc w:val="center"/>
            </w:pPr>
            <w:r>
              <w:rPr>
                <w:rFonts w:hint="eastAsia" w:ascii="Times New Roman" w:hAnsi="Times New Roman" w:eastAsia="宋体" w:cs="Times New Roman"/>
                <w:b w:val="0"/>
                <w:i w:val="0"/>
                <w:sz w:val="16"/>
              </w:rPr>
              <w:t>0.00</w:t>
            </w:r>
          </w:p>
        </w:tc>
      </w:tr>
      <w:tr w14:paraId="22AB93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vAlign w:val="center"/>
          </w:tcPr>
          <w:p w14:paraId="1114DE8E">
            <w:pPr>
              <w:spacing w:before="30" w:after="30"/>
              <w:ind w:firstLine="0"/>
              <w:jc w:val="center"/>
            </w:pPr>
            <w:r>
              <w:rPr>
                <w:rFonts w:hint="eastAsia" w:ascii="Times New Roman" w:hAnsi="Times New Roman" w:eastAsia="宋体" w:cs="Times New Roman"/>
                <w:b w:val="0"/>
                <w:i w:val="0"/>
                <w:sz w:val="16"/>
              </w:rPr>
              <w:t>B008</w:t>
            </w:r>
          </w:p>
        </w:tc>
        <w:tc>
          <w:tcPr>
            <w:tcW w:w="964" w:type="dxa"/>
            <w:vAlign w:val="center"/>
          </w:tcPr>
          <w:p w14:paraId="6FE7D927">
            <w:pPr>
              <w:spacing w:before="30" w:after="30"/>
              <w:ind w:firstLine="0"/>
              <w:jc w:val="center"/>
            </w:pPr>
            <w:r>
              <w:rPr>
                <w:rFonts w:hint="eastAsia" w:ascii="Times New Roman" w:hAnsi="Times New Roman" w:eastAsia="宋体" w:cs="Times New Roman"/>
                <w:b w:val="0"/>
                <w:i w:val="0"/>
                <w:sz w:val="16"/>
              </w:rPr>
              <w:t>37.5</w:t>
            </w:r>
          </w:p>
        </w:tc>
        <w:tc>
          <w:tcPr>
            <w:tcW w:w="964" w:type="dxa"/>
            <w:vAlign w:val="center"/>
          </w:tcPr>
          <w:p w14:paraId="21F72BDD">
            <w:pPr>
              <w:spacing w:before="30" w:after="30"/>
              <w:ind w:firstLine="0"/>
              <w:jc w:val="center"/>
            </w:pPr>
            <w:r>
              <w:rPr>
                <w:rFonts w:hint="eastAsia" w:ascii="Times New Roman" w:hAnsi="Times New Roman" w:eastAsia="宋体" w:cs="Times New Roman"/>
                <w:b w:val="0"/>
                <w:i w:val="0"/>
                <w:sz w:val="16"/>
              </w:rPr>
              <w:t>1.20</w:t>
            </w:r>
          </w:p>
        </w:tc>
        <w:tc>
          <w:tcPr>
            <w:tcW w:w="964" w:type="dxa"/>
            <w:vAlign w:val="center"/>
          </w:tcPr>
          <w:p w14:paraId="2C283C7D">
            <w:pPr>
              <w:spacing w:before="30" w:after="30"/>
              <w:ind w:firstLine="0"/>
              <w:jc w:val="center"/>
            </w:pPr>
            <w:r>
              <w:rPr>
                <w:rFonts w:hint="eastAsia" w:ascii="Times New Roman" w:hAnsi="Times New Roman" w:eastAsia="宋体" w:cs="Times New Roman"/>
                <w:b w:val="0"/>
                <w:i w:val="0"/>
                <w:sz w:val="16"/>
              </w:rPr>
              <w:t>0.525</w:t>
            </w:r>
          </w:p>
        </w:tc>
        <w:tc>
          <w:tcPr>
            <w:tcW w:w="964" w:type="dxa"/>
            <w:vAlign w:val="center"/>
          </w:tcPr>
          <w:p w14:paraId="50C2A3C8">
            <w:pPr>
              <w:spacing w:before="30" w:after="30"/>
              <w:ind w:firstLine="0"/>
              <w:jc w:val="center"/>
            </w:pPr>
            <w:r>
              <w:rPr>
                <w:rFonts w:hint="eastAsia" w:ascii="Times New Roman" w:hAnsi="Times New Roman" w:eastAsia="宋体" w:cs="Times New Roman"/>
                <w:b w:val="0"/>
                <w:i w:val="0"/>
                <w:sz w:val="16"/>
              </w:rPr>
              <w:t>0.3193</w:t>
            </w:r>
          </w:p>
        </w:tc>
        <w:tc>
          <w:tcPr>
            <w:tcW w:w="964" w:type="dxa"/>
            <w:vAlign w:val="center"/>
          </w:tcPr>
          <w:p w14:paraId="532A2674">
            <w:pPr>
              <w:spacing w:before="30" w:after="30"/>
              <w:ind w:firstLine="0"/>
              <w:jc w:val="center"/>
            </w:pPr>
            <w:r>
              <w:rPr>
                <w:rFonts w:hint="eastAsia" w:ascii="Times New Roman" w:hAnsi="Times New Roman" w:eastAsia="宋体" w:cs="Times New Roman"/>
                <w:b w:val="0"/>
                <w:i w:val="0"/>
                <w:sz w:val="16"/>
              </w:rPr>
              <w:t>0.2397</w:t>
            </w:r>
          </w:p>
        </w:tc>
        <w:tc>
          <w:tcPr>
            <w:tcW w:w="964" w:type="dxa"/>
            <w:vAlign w:val="center"/>
          </w:tcPr>
          <w:p w14:paraId="524244DE">
            <w:pPr>
              <w:spacing w:before="30" w:after="30"/>
              <w:ind w:firstLine="0"/>
              <w:jc w:val="center"/>
            </w:pPr>
            <w:r>
              <w:rPr>
                <w:rFonts w:hint="eastAsia" w:ascii="Times New Roman" w:hAnsi="Times New Roman" w:eastAsia="宋体" w:cs="Times New Roman"/>
                <w:b w:val="0"/>
                <w:i w:val="0"/>
                <w:sz w:val="16"/>
              </w:rPr>
              <w:t>10.85</w:t>
            </w:r>
          </w:p>
        </w:tc>
        <w:tc>
          <w:tcPr>
            <w:tcW w:w="964" w:type="dxa"/>
            <w:vAlign w:val="center"/>
          </w:tcPr>
          <w:p w14:paraId="05697EA0">
            <w:pPr>
              <w:spacing w:before="30" w:after="30"/>
              <w:ind w:firstLine="0"/>
              <w:jc w:val="center"/>
            </w:pPr>
            <w:r>
              <w:rPr>
                <w:rFonts w:hint="eastAsia" w:ascii="Times New Roman" w:hAnsi="Times New Roman" w:eastAsia="宋体" w:cs="Times New Roman"/>
                <w:b w:val="0"/>
                <w:i w:val="0"/>
                <w:sz w:val="16"/>
              </w:rPr>
              <w:t>13.98</w:t>
            </w:r>
          </w:p>
        </w:tc>
        <w:tc>
          <w:tcPr>
            <w:tcW w:w="964" w:type="dxa"/>
            <w:vAlign w:val="center"/>
          </w:tcPr>
          <w:p w14:paraId="4C388587">
            <w:pPr>
              <w:spacing w:before="30" w:after="30"/>
              <w:ind w:firstLine="0"/>
              <w:jc w:val="center"/>
            </w:pPr>
            <w:r>
              <w:rPr>
                <w:rFonts w:hint="eastAsia" w:ascii="Times New Roman" w:hAnsi="Times New Roman" w:eastAsia="宋体" w:cs="Times New Roman"/>
                <w:b w:val="0"/>
                <w:i w:val="0"/>
                <w:sz w:val="16"/>
              </w:rPr>
              <w:t>2.5</w:t>
            </w:r>
          </w:p>
        </w:tc>
        <w:tc>
          <w:tcPr>
            <w:tcW w:w="964" w:type="dxa"/>
            <w:vAlign w:val="center"/>
          </w:tcPr>
          <w:p w14:paraId="5D27C14B">
            <w:pPr>
              <w:spacing w:before="30" w:after="30"/>
              <w:ind w:firstLine="0"/>
              <w:jc w:val="center"/>
            </w:pPr>
            <w:r>
              <w:rPr>
                <w:rFonts w:hint="eastAsia" w:ascii="Times New Roman" w:hAnsi="Times New Roman" w:eastAsia="宋体" w:cs="Times New Roman"/>
                <w:b w:val="0"/>
                <w:i w:val="0"/>
                <w:sz w:val="16"/>
              </w:rPr>
              <w:t>0.40</w:t>
            </w:r>
          </w:p>
        </w:tc>
      </w:tr>
      <w:tr w14:paraId="5F97D0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vAlign w:val="center"/>
          </w:tcPr>
          <w:p w14:paraId="2067957F">
            <w:pPr>
              <w:spacing w:before="30" w:after="30"/>
              <w:ind w:firstLine="0"/>
              <w:jc w:val="center"/>
            </w:pPr>
            <w:r>
              <w:rPr>
                <w:rFonts w:hint="eastAsia" w:ascii="Times New Roman" w:hAnsi="Times New Roman" w:eastAsia="宋体" w:cs="Times New Roman"/>
                <w:b w:val="0"/>
                <w:i w:val="0"/>
                <w:sz w:val="16"/>
              </w:rPr>
              <w:t>B009</w:t>
            </w:r>
          </w:p>
        </w:tc>
        <w:tc>
          <w:tcPr>
            <w:tcW w:w="964" w:type="dxa"/>
            <w:vAlign w:val="center"/>
          </w:tcPr>
          <w:p w14:paraId="533C3A10">
            <w:pPr>
              <w:spacing w:before="30" w:after="30"/>
              <w:ind w:firstLine="0"/>
              <w:jc w:val="center"/>
            </w:pPr>
            <w:r>
              <w:rPr>
                <w:rFonts w:hint="eastAsia" w:ascii="Times New Roman" w:hAnsi="Times New Roman" w:eastAsia="宋体" w:cs="Times New Roman"/>
                <w:b w:val="0"/>
                <w:i w:val="0"/>
                <w:sz w:val="16"/>
              </w:rPr>
              <w:t>52.5</w:t>
            </w:r>
          </w:p>
        </w:tc>
        <w:tc>
          <w:tcPr>
            <w:tcW w:w="964" w:type="dxa"/>
            <w:vAlign w:val="center"/>
          </w:tcPr>
          <w:p w14:paraId="79E8A744">
            <w:pPr>
              <w:spacing w:before="30" w:after="30"/>
              <w:ind w:firstLine="0"/>
              <w:jc w:val="center"/>
            </w:pPr>
            <w:r>
              <w:rPr>
                <w:rFonts w:hint="eastAsia" w:ascii="Times New Roman" w:hAnsi="Times New Roman" w:eastAsia="宋体" w:cs="Times New Roman"/>
                <w:b w:val="0"/>
                <w:i w:val="0"/>
                <w:sz w:val="16"/>
              </w:rPr>
              <w:t>0.40</w:t>
            </w:r>
          </w:p>
        </w:tc>
        <w:tc>
          <w:tcPr>
            <w:tcW w:w="964" w:type="dxa"/>
            <w:vAlign w:val="center"/>
          </w:tcPr>
          <w:p w14:paraId="5FC13817">
            <w:pPr>
              <w:spacing w:before="30" w:after="30"/>
              <w:ind w:firstLine="0"/>
              <w:jc w:val="center"/>
            </w:pPr>
            <w:r>
              <w:rPr>
                <w:rFonts w:hint="eastAsia" w:ascii="Times New Roman" w:hAnsi="Times New Roman" w:eastAsia="宋体" w:cs="Times New Roman"/>
                <w:b w:val="0"/>
                <w:i w:val="0"/>
                <w:sz w:val="16"/>
              </w:rPr>
              <w:t>0.675</w:t>
            </w:r>
          </w:p>
        </w:tc>
        <w:tc>
          <w:tcPr>
            <w:tcW w:w="964" w:type="dxa"/>
            <w:vAlign w:val="center"/>
          </w:tcPr>
          <w:p w14:paraId="4F277337">
            <w:pPr>
              <w:spacing w:before="30" w:after="30"/>
              <w:ind w:firstLine="0"/>
              <w:jc w:val="center"/>
            </w:pPr>
            <w:r>
              <w:rPr>
                <w:rFonts w:hint="eastAsia" w:ascii="Times New Roman" w:hAnsi="Times New Roman" w:eastAsia="宋体" w:cs="Times New Roman"/>
                <w:b w:val="0"/>
                <w:i w:val="0"/>
                <w:sz w:val="16"/>
              </w:rPr>
              <w:t>0.1322</w:t>
            </w:r>
          </w:p>
        </w:tc>
        <w:tc>
          <w:tcPr>
            <w:tcW w:w="964" w:type="dxa"/>
            <w:vAlign w:val="center"/>
          </w:tcPr>
          <w:p w14:paraId="28C859A8">
            <w:pPr>
              <w:spacing w:before="30" w:after="30"/>
              <w:ind w:firstLine="0"/>
              <w:jc w:val="center"/>
            </w:pPr>
            <w:r>
              <w:rPr>
                <w:rFonts w:hint="eastAsia" w:ascii="Times New Roman" w:hAnsi="Times New Roman" w:eastAsia="宋体" w:cs="Times New Roman"/>
                <w:b w:val="0"/>
                <w:i w:val="0"/>
                <w:sz w:val="16"/>
              </w:rPr>
              <w:t>0.1387</w:t>
            </w:r>
          </w:p>
        </w:tc>
        <w:tc>
          <w:tcPr>
            <w:tcW w:w="964" w:type="dxa"/>
            <w:vAlign w:val="center"/>
          </w:tcPr>
          <w:p w14:paraId="760E9220">
            <w:pPr>
              <w:spacing w:before="30" w:after="30"/>
              <w:ind w:firstLine="0"/>
              <w:jc w:val="center"/>
            </w:pPr>
            <w:r>
              <w:rPr>
                <w:rFonts w:hint="eastAsia" w:ascii="Times New Roman" w:hAnsi="Times New Roman" w:eastAsia="宋体" w:cs="Times New Roman"/>
                <w:b w:val="0"/>
                <w:i w:val="0"/>
                <w:sz w:val="16"/>
              </w:rPr>
              <w:t>4.61</w:t>
            </w:r>
          </w:p>
        </w:tc>
        <w:tc>
          <w:tcPr>
            <w:tcW w:w="964" w:type="dxa"/>
            <w:vAlign w:val="center"/>
          </w:tcPr>
          <w:p w14:paraId="2ED5A47C">
            <w:pPr>
              <w:spacing w:before="30" w:after="30"/>
              <w:ind w:firstLine="0"/>
              <w:jc w:val="center"/>
            </w:pPr>
            <w:r>
              <w:rPr>
                <w:rFonts w:hint="eastAsia" w:ascii="Times New Roman" w:hAnsi="Times New Roman" w:eastAsia="宋体" w:cs="Times New Roman"/>
                <w:b w:val="0"/>
                <w:i w:val="0"/>
                <w:sz w:val="16"/>
              </w:rPr>
              <w:t>1.90</w:t>
            </w:r>
          </w:p>
        </w:tc>
        <w:tc>
          <w:tcPr>
            <w:tcW w:w="964" w:type="dxa"/>
            <w:vAlign w:val="center"/>
          </w:tcPr>
          <w:p w14:paraId="42E87934">
            <w:pPr>
              <w:spacing w:before="30" w:after="30"/>
              <w:ind w:firstLine="0"/>
              <w:jc w:val="center"/>
            </w:pPr>
            <w:r>
              <w:rPr>
                <w:rFonts w:hint="eastAsia" w:ascii="Times New Roman" w:hAnsi="Times New Roman" w:eastAsia="宋体" w:cs="Times New Roman"/>
                <w:b w:val="0"/>
                <w:i w:val="0"/>
                <w:sz w:val="16"/>
              </w:rPr>
              <w:t>7.1</w:t>
            </w:r>
          </w:p>
        </w:tc>
        <w:tc>
          <w:tcPr>
            <w:tcW w:w="964" w:type="dxa"/>
            <w:vAlign w:val="center"/>
          </w:tcPr>
          <w:p w14:paraId="71672CA2">
            <w:pPr>
              <w:spacing w:before="30" w:after="30"/>
              <w:ind w:firstLine="0"/>
              <w:jc w:val="center"/>
            </w:pPr>
            <w:r>
              <w:rPr>
                <w:rFonts w:hint="eastAsia" w:ascii="Times New Roman" w:hAnsi="Times New Roman" w:eastAsia="宋体" w:cs="Times New Roman"/>
                <w:b w:val="0"/>
                <w:i w:val="0"/>
                <w:sz w:val="16"/>
              </w:rPr>
              <w:t>0.00</w:t>
            </w:r>
          </w:p>
        </w:tc>
      </w:tr>
      <w:tr w14:paraId="63B2F6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vAlign w:val="center"/>
          </w:tcPr>
          <w:p w14:paraId="58DF89C3">
            <w:pPr>
              <w:spacing w:before="30" w:after="30"/>
              <w:ind w:firstLine="0"/>
              <w:jc w:val="center"/>
            </w:pPr>
            <w:r>
              <w:rPr>
                <w:rFonts w:hint="eastAsia" w:ascii="Times New Roman" w:hAnsi="Times New Roman" w:eastAsia="宋体" w:cs="Times New Roman"/>
                <w:b w:val="0"/>
                <w:i w:val="0"/>
                <w:sz w:val="16"/>
              </w:rPr>
              <w:t>B010</w:t>
            </w:r>
          </w:p>
        </w:tc>
        <w:tc>
          <w:tcPr>
            <w:tcW w:w="964" w:type="dxa"/>
            <w:vAlign w:val="center"/>
          </w:tcPr>
          <w:p w14:paraId="07570A31">
            <w:pPr>
              <w:spacing w:before="30" w:after="30"/>
              <w:ind w:firstLine="0"/>
              <w:jc w:val="center"/>
            </w:pPr>
            <w:r>
              <w:rPr>
                <w:rFonts w:hint="eastAsia" w:ascii="Times New Roman" w:hAnsi="Times New Roman" w:eastAsia="宋体" w:cs="Times New Roman"/>
                <w:b w:val="0"/>
                <w:i w:val="0"/>
                <w:sz w:val="16"/>
              </w:rPr>
              <w:t>52.5</w:t>
            </w:r>
          </w:p>
        </w:tc>
        <w:tc>
          <w:tcPr>
            <w:tcW w:w="964" w:type="dxa"/>
            <w:vAlign w:val="center"/>
          </w:tcPr>
          <w:p w14:paraId="0C90C4F8">
            <w:pPr>
              <w:spacing w:before="30" w:after="30"/>
              <w:ind w:firstLine="0"/>
              <w:jc w:val="center"/>
            </w:pPr>
            <w:r>
              <w:rPr>
                <w:rFonts w:hint="eastAsia" w:ascii="Times New Roman" w:hAnsi="Times New Roman" w:eastAsia="宋体" w:cs="Times New Roman"/>
                <w:b w:val="0"/>
                <w:i w:val="0"/>
                <w:sz w:val="16"/>
              </w:rPr>
              <w:t>0.80</w:t>
            </w:r>
          </w:p>
        </w:tc>
        <w:tc>
          <w:tcPr>
            <w:tcW w:w="964" w:type="dxa"/>
            <w:vAlign w:val="center"/>
          </w:tcPr>
          <w:p w14:paraId="40AA8B3A">
            <w:pPr>
              <w:spacing w:before="30" w:after="30"/>
              <w:ind w:firstLine="0"/>
              <w:jc w:val="center"/>
            </w:pPr>
            <w:r>
              <w:rPr>
                <w:rFonts w:hint="eastAsia" w:ascii="Times New Roman" w:hAnsi="Times New Roman" w:eastAsia="宋体" w:cs="Times New Roman"/>
                <w:b w:val="0"/>
                <w:i w:val="0"/>
                <w:sz w:val="16"/>
              </w:rPr>
              <w:t>0.525</w:t>
            </w:r>
          </w:p>
        </w:tc>
        <w:tc>
          <w:tcPr>
            <w:tcW w:w="964" w:type="dxa"/>
            <w:vAlign w:val="center"/>
          </w:tcPr>
          <w:p w14:paraId="377E1CA3">
            <w:pPr>
              <w:spacing w:before="30" w:after="30"/>
              <w:ind w:firstLine="0"/>
              <w:jc w:val="center"/>
            </w:pPr>
            <w:r>
              <w:rPr>
                <w:rFonts w:hint="eastAsia" w:ascii="Times New Roman" w:hAnsi="Times New Roman" w:eastAsia="宋体" w:cs="Times New Roman"/>
                <w:b w:val="0"/>
                <w:i w:val="0"/>
                <w:sz w:val="16"/>
              </w:rPr>
              <w:t>0.1687</w:t>
            </w:r>
          </w:p>
        </w:tc>
        <w:tc>
          <w:tcPr>
            <w:tcW w:w="964" w:type="dxa"/>
            <w:vAlign w:val="center"/>
          </w:tcPr>
          <w:p w14:paraId="724C6802">
            <w:pPr>
              <w:spacing w:before="30" w:after="30"/>
              <w:ind w:firstLine="0"/>
              <w:jc w:val="center"/>
            </w:pPr>
            <w:r>
              <w:rPr>
                <w:rFonts w:hint="eastAsia" w:ascii="Times New Roman" w:hAnsi="Times New Roman" w:eastAsia="宋体" w:cs="Times New Roman"/>
                <w:b w:val="0"/>
                <w:i w:val="0"/>
                <w:sz w:val="16"/>
              </w:rPr>
              <w:t>0.1150</w:t>
            </w:r>
          </w:p>
        </w:tc>
        <w:tc>
          <w:tcPr>
            <w:tcW w:w="964" w:type="dxa"/>
            <w:vAlign w:val="center"/>
          </w:tcPr>
          <w:p w14:paraId="1343AB68">
            <w:pPr>
              <w:spacing w:before="30" w:after="30"/>
              <w:ind w:firstLine="0"/>
              <w:jc w:val="center"/>
            </w:pPr>
            <w:r>
              <w:rPr>
                <w:rFonts w:hint="eastAsia" w:ascii="Times New Roman" w:hAnsi="Times New Roman" w:eastAsia="宋体" w:cs="Times New Roman"/>
                <w:b w:val="0"/>
                <w:i w:val="0"/>
                <w:sz w:val="16"/>
              </w:rPr>
              <w:t>8.53</w:t>
            </w:r>
          </w:p>
        </w:tc>
        <w:tc>
          <w:tcPr>
            <w:tcW w:w="964" w:type="dxa"/>
            <w:vAlign w:val="center"/>
          </w:tcPr>
          <w:p w14:paraId="24D8FF58">
            <w:pPr>
              <w:spacing w:before="30" w:after="30"/>
              <w:ind w:firstLine="0"/>
              <w:jc w:val="center"/>
            </w:pPr>
            <w:r>
              <w:rPr>
                <w:rFonts w:hint="eastAsia" w:ascii="Times New Roman" w:hAnsi="Times New Roman" w:eastAsia="宋体" w:cs="Times New Roman"/>
                <w:b w:val="0"/>
                <w:i w:val="0"/>
                <w:sz w:val="16"/>
              </w:rPr>
              <w:t>13.82</w:t>
            </w:r>
          </w:p>
        </w:tc>
        <w:tc>
          <w:tcPr>
            <w:tcW w:w="964" w:type="dxa"/>
            <w:vAlign w:val="center"/>
          </w:tcPr>
          <w:p w14:paraId="23987ED9">
            <w:pPr>
              <w:spacing w:before="30" w:after="30"/>
              <w:ind w:firstLine="0"/>
              <w:jc w:val="center"/>
            </w:pPr>
            <w:r>
              <w:rPr>
                <w:rFonts w:hint="eastAsia" w:ascii="Times New Roman" w:hAnsi="Times New Roman" w:eastAsia="宋体" w:cs="Times New Roman"/>
                <w:b w:val="0"/>
                <w:i w:val="0"/>
                <w:sz w:val="16"/>
              </w:rPr>
              <w:t>1.1</w:t>
            </w:r>
          </w:p>
        </w:tc>
        <w:tc>
          <w:tcPr>
            <w:tcW w:w="964" w:type="dxa"/>
            <w:vAlign w:val="center"/>
          </w:tcPr>
          <w:p w14:paraId="49532B1F">
            <w:pPr>
              <w:spacing w:before="30" w:after="30"/>
              <w:ind w:firstLine="0"/>
              <w:jc w:val="center"/>
            </w:pPr>
            <w:r>
              <w:rPr>
                <w:rFonts w:hint="eastAsia" w:ascii="Times New Roman" w:hAnsi="Times New Roman" w:eastAsia="宋体" w:cs="Times New Roman"/>
                <w:b w:val="0"/>
                <w:i w:val="0"/>
                <w:sz w:val="16"/>
              </w:rPr>
              <w:t>0.00</w:t>
            </w:r>
          </w:p>
        </w:tc>
      </w:tr>
      <w:tr w14:paraId="7A8770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vAlign w:val="center"/>
          </w:tcPr>
          <w:p w14:paraId="61E47155">
            <w:pPr>
              <w:spacing w:before="30" w:after="30"/>
              <w:ind w:firstLine="0"/>
              <w:jc w:val="center"/>
            </w:pPr>
            <w:r>
              <w:rPr>
                <w:rFonts w:hint="eastAsia" w:ascii="Times New Roman" w:hAnsi="Times New Roman" w:eastAsia="宋体" w:cs="Times New Roman"/>
                <w:b w:val="0"/>
                <w:i w:val="0"/>
                <w:sz w:val="16"/>
              </w:rPr>
              <w:t>B011</w:t>
            </w:r>
          </w:p>
        </w:tc>
        <w:tc>
          <w:tcPr>
            <w:tcW w:w="964" w:type="dxa"/>
            <w:vAlign w:val="center"/>
          </w:tcPr>
          <w:p w14:paraId="12CA7999">
            <w:pPr>
              <w:spacing w:before="30" w:after="30"/>
              <w:ind w:firstLine="0"/>
              <w:jc w:val="center"/>
            </w:pPr>
            <w:r>
              <w:rPr>
                <w:rFonts w:hint="eastAsia" w:ascii="Times New Roman" w:hAnsi="Times New Roman" w:eastAsia="宋体" w:cs="Times New Roman"/>
                <w:b w:val="0"/>
                <w:i w:val="0"/>
                <w:sz w:val="16"/>
              </w:rPr>
              <w:t>52.5</w:t>
            </w:r>
          </w:p>
        </w:tc>
        <w:tc>
          <w:tcPr>
            <w:tcW w:w="964" w:type="dxa"/>
            <w:vAlign w:val="center"/>
          </w:tcPr>
          <w:p w14:paraId="71178A18">
            <w:pPr>
              <w:spacing w:before="30" w:after="30"/>
              <w:ind w:firstLine="0"/>
              <w:jc w:val="center"/>
            </w:pPr>
            <w:r>
              <w:rPr>
                <w:rFonts w:hint="eastAsia" w:ascii="Times New Roman" w:hAnsi="Times New Roman" w:eastAsia="宋体" w:cs="Times New Roman"/>
                <w:b w:val="0"/>
                <w:i w:val="0"/>
                <w:sz w:val="16"/>
              </w:rPr>
              <w:t>1.20</w:t>
            </w:r>
          </w:p>
        </w:tc>
        <w:tc>
          <w:tcPr>
            <w:tcW w:w="964" w:type="dxa"/>
            <w:vAlign w:val="center"/>
          </w:tcPr>
          <w:p w14:paraId="0B4BE84E">
            <w:pPr>
              <w:spacing w:before="30" w:after="30"/>
              <w:ind w:firstLine="0"/>
              <w:jc w:val="center"/>
            </w:pPr>
            <w:r>
              <w:rPr>
                <w:rFonts w:hint="eastAsia" w:ascii="Times New Roman" w:hAnsi="Times New Roman" w:eastAsia="宋体" w:cs="Times New Roman"/>
                <w:b w:val="0"/>
                <w:i w:val="0"/>
                <w:sz w:val="16"/>
              </w:rPr>
              <w:t>0.375</w:t>
            </w:r>
          </w:p>
        </w:tc>
        <w:tc>
          <w:tcPr>
            <w:tcW w:w="964" w:type="dxa"/>
            <w:vAlign w:val="center"/>
          </w:tcPr>
          <w:p w14:paraId="58E4F04A">
            <w:pPr>
              <w:spacing w:before="30" w:after="30"/>
              <w:ind w:firstLine="0"/>
              <w:jc w:val="center"/>
            </w:pPr>
            <w:r>
              <w:rPr>
                <w:rFonts w:hint="eastAsia" w:ascii="Times New Roman" w:hAnsi="Times New Roman" w:eastAsia="宋体" w:cs="Times New Roman"/>
                <w:b w:val="0"/>
                <w:i w:val="0"/>
                <w:sz w:val="16"/>
              </w:rPr>
              <w:t>0.6687</w:t>
            </w:r>
          </w:p>
        </w:tc>
        <w:tc>
          <w:tcPr>
            <w:tcW w:w="964" w:type="dxa"/>
            <w:vAlign w:val="center"/>
          </w:tcPr>
          <w:p w14:paraId="317BB433">
            <w:pPr>
              <w:spacing w:before="30" w:after="30"/>
              <w:ind w:firstLine="0"/>
              <w:jc w:val="center"/>
            </w:pPr>
            <w:r>
              <w:rPr>
                <w:rFonts w:hint="eastAsia" w:ascii="Times New Roman" w:hAnsi="Times New Roman" w:eastAsia="宋体" w:cs="Times New Roman"/>
                <w:b w:val="0"/>
                <w:i w:val="0"/>
                <w:sz w:val="16"/>
              </w:rPr>
              <w:t>0.8395</w:t>
            </w:r>
          </w:p>
        </w:tc>
        <w:tc>
          <w:tcPr>
            <w:tcW w:w="964" w:type="dxa"/>
            <w:vAlign w:val="center"/>
          </w:tcPr>
          <w:p w14:paraId="3E0D5751">
            <w:pPr>
              <w:spacing w:before="30" w:after="30"/>
              <w:ind w:firstLine="0"/>
              <w:jc w:val="center"/>
            </w:pPr>
            <w:r>
              <w:rPr>
                <w:rFonts w:hint="eastAsia" w:ascii="Times New Roman" w:hAnsi="Times New Roman" w:eastAsia="宋体" w:cs="Times New Roman"/>
                <w:b w:val="0"/>
                <w:i w:val="0"/>
                <w:sz w:val="16"/>
              </w:rPr>
              <w:t>21.19</w:t>
            </w:r>
          </w:p>
        </w:tc>
        <w:tc>
          <w:tcPr>
            <w:tcW w:w="964" w:type="dxa"/>
            <w:vAlign w:val="center"/>
          </w:tcPr>
          <w:p w14:paraId="59AAF9B7">
            <w:pPr>
              <w:spacing w:before="30" w:after="30"/>
              <w:ind w:firstLine="0"/>
              <w:jc w:val="center"/>
            </w:pPr>
            <w:r>
              <w:rPr>
                <w:rFonts w:hint="eastAsia" w:ascii="Times New Roman" w:hAnsi="Times New Roman" w:eastAsia="宋体" w:cs="Times New Roman"/>
                <w:b w:val="0"/>
                <w:i w:val="0"/>
                <w:sz w:val="16"/>
              </w:rPr>
              <w:t>53.73</w:t>
            </w:r>
          </w:p>
        </w:tc>
        <w:tc>
          <w:tcPr>
            <w:tcW w:w="964" w:type="dxa"/>
            <w:vAlign w:val="center"/>
          </w:tcPr>
          <w:p w14:paraId="15DED76A">
            <w:pPr>
              <w:spacing w:before="30" w:after="30"/>
              <w:ind w:firstLine="0"/>
              <w:jc w:val="center"/>
            </w:pPr>
            <w:r>
              <w:rPr>
                <w:rFonts w:hint="eastAsia" w:ascii="Times New Roman" w:hAnsi="Times New Roman" w:eastAsia="宋体" w:cs="Times New Roman"/>
                <w:b w:val="0"/>
                <w:i w:val="0"/>
                <w:sz w:val="16"/>
              </w:rPr>
              <w:t>7.4</w:t>
            </w:r>
          </w:p>
        </w:tc>
        <w:tc>
          <w:tcPr>
            <w:tcW w:w="964" w:type="dxa"/>
            <w:vAlign w:val="center"/>
          </w:tcPr>
          <w:p w14:paraId="302C7125">
            <w:pPr>
              <w:spacing w:before="30" w:after="30"/>
              <w:ind w:firstLine="0"/>
              <w:jc w:val="center"/>
            </w:pPr>
            <w:r>
              <w:rPr>
                <w:rFonts w:hint="eastAsia" w:ascii="Times New Roman" w:hAnsi="Times New Roman" w:eastAsia="宋体" w:cs="Times New Roman"/>
                <w:b w:val="0"/>
                <w:i w:val="0"/>
                <w:sz w:val="16"/>
              </w:rPr>
              <w:t>1.95</w:t>
            </w:r>
          </w:p>
        </w:tc>
      </w:tr>
      <w:tr w14:paraId="4538BD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vAlign w:val="center"/>
          </w:tcPr>
          <w:p w14:paraId="484C3546">
            <w:pPr>
              <w:spacing w:before="30" w:after="30"/>
              <w:ind w:firstLine="0"/>
              <w:jc w:val="center"/>
            </w:pPr>
            <w:r>
              <w:rPr>
                <w:rFonts w:hint="eastAsia" w:ascii="Times New Roman" w:hAnsi="Times New Roman" w:eastAsia="宋体" w:cs="Times New Roman"/>
                <w:b w:val="0"/>
                <w:i w:val="0"/>
                <w:sz w:val="16"/>
              </w:rPr>
              <w:t>B012</w:t>
            </w:r>
          </w:p>
        </w:tc>
        <w:tc>
          <w:tcPr>
            <w:tcW w:w="964" w:type="dxa"/>
            <w:vAlign w:val="center"/>
          </w:tcPr>
          <w:p w14:paraId="3F9F5F46">
            <w:pPr>
              <w:spacing w:before="30" w:after="30"/>
              <w:ind w:firstLine="0"/>
              <w:jc w:val="center"/>
            </w:pPr>
            <w:r>
              <w:rPr>
                <w:rFonts w:hint="eastAsia" w:ascii="Times New Roman" w:hAnsi="Times New Roman" w:eastAsia="宋体" w:cs="Times New Roman"/>
                <w:b w:val="0"/>
                <w:i w:val="0"/>
                <w:sz w:val="16"/>
              </w:rPr>
              <w:t>52.5</w:t>
            </w:r>
          </w:p>
        </w:tc>
        <w:tc>
          <w:tcPr>
            <w:tcW w:w="964" w:type="dxa"/>
            <w:vAlign w:val="center"/>
          </w:tcPr>
          <w:p w14:paraId="61342681">
            <w:pPr>
              <w:spacing w:before="30" w:after="30"/>
              <w:ind w:firstLine="0"/>
              <w:jc w:val="center"/>
            </w:pPr>
            <w:r>
              <w:rPr>
                <w:rFonts w:hint="eastAsia" w:ascii="Times New Roman" w:hAnsi="Times New Roman" w:eastAsia="宋体" w:cs="Times New Roman"/>
                <w:b w:val="0"/>
                <w:i w:val="0"/>
                <w:sz w:val="16"/>
              </w:rPr>
              <w:t>1.20</w:t>
            </w:r>
          </w:p>
        </w:tc>
        <w:tc>
          <w:tcPr>
            <w:tcW w:w="964" w:type="dxa"/>
            <w:vAlign w:val="center"/>
          </w:tcPr>
          <w:p w14:paraId="27928DB9">
            <w:pPr>
              <w:spacing w:before="30" w:after="30"/>
              <w:ind w:firstLine="0"/>
              <w:jc w:val="center"/>
            </w:pPr>
            <w:r>
              <w:rPr>
                <w:rFonts w:hint="eastAsia" w:ascii="Times New Roman" w:hAnsi="Times New Roman" w:eastAsia="宋体" w:cs="Times New Roman"/>
                <w:b w:val="0"/>
                <w:i w:val="0"/>
                <w:sz w:val="16"/>
              </w:rPr>
              <w:t>0.675</w:t>
            </w:r>
          </w:p>
        </w:tc>
        <w:tc>
          <w:tcPr>
            <w:tcW w:w="964" w:type="dxa"/>
            <w:vAlign w:val="center"/>
          </w:tcPr>
          <w:p w14:paraId="4E279790">
            <w:pPr>
              <w:spacing w:before="30" w:after="30"/>
              <w:ind w:firstLine="0"/>
              <w:jc w:val="center"/>
            </w:pPr>
            <w:r>
              <w:rPr>
                <w:rFonts w:hint="eastAsia" w:ascii="Times New Roman" w:hAnsi="Times New Roman" w:eastAsia="宋体" w:cs="Times New Roman"/>
                <w:b w:val="0"/>
                <w:i w:val="0"/>
                <w:sz w:val="16"/>
              </w:rPr>
              <w:t>0.1466</w:t>
            </w:r>
          </w:p>
        </w:tc>
        <w:tc>
          <w:tcPr>
            <w:tcW w:w="964" w:type="dxa"/>
            <w:vAlign w:val="center"/>
          </w:tcPr>
          <w:p w14:paraId="3C04E34A">
            <w:pPr>
              <w:spacing w:before="30" w:after="30"/>
              <w:ind w:firstLine="0"/>
              <w:jc w:val="center"/>
            </w:pPr>
            <w:r>
              <w:rPr>
                <w:rFonts w:hint="eastAsia" w:ascii="Times New Roman" w:hAnsi="Times New Roman" w:eastAsia="宋体" w:cs="Times New Roman"/>
                <w:b w:val="0"/>
                <w:i w:val="0"/>
                <w:sz w:val="16"/>
              </w:rPr>
              <w:t>0.0771</w:t>
            </w:r>
          </w:p>
        </w:tc>
        <w:tc>
          <w:tcPr>
            <w:tcW w:w="964" w:type="dxa"/>
            <w:vAlign w:val="center"/>
          </w:tcPr>
          <w:p w14:paraId="190DEC31">
            <w:pPr>
              <w:spacing w:before="30" w:after="30"/>
              <w:ind w:firstLine="0"/>
              <w:jc w:val="center"/>
            </w:pPr>
            <w:r>
              <w:rPr>
                <w:rFonts w:hint="eastAsia" w:ascii="Times New Roman" w:hAnsi="Times New Roman" w:eastAsia="宋体" w:cs="Times New Roman"/>
                <w:b w:val="0"/>
                <w:i w:val="0"/>
                <w:sz w:val="16"/>
              </w:rPr>
              <w:t>7.28</w:t>
            </w:r>
          </w:p>
        </w:tc>
        <w:tc>
          <w:tcPr>
            <w:tcW w:w="964" w:type="dxa"/>
            <w:vAlign w:val="center"/>
          </w:tcPr>
          <w:p w14:paraId="1FDE3D39">
            <w:pPr>
              <w:spacing w:before="30" w:after="30"/>
              <w:ind w:firstLine="0"/>
              <w:jc w:val="center"/>
            </w:pPr>
            <w:r>
              <w:rPr>
                <w:rFonts w:hint="eastAsia" w:ascii="Times New Roman" w:hAnsi="Times New Roman" w:eastAsia="宋体" w:cs="Times New Roman"/>
                <w:b w:val="0"/>
                <w:i w:val="0"/>
                <w:sz w:val="16"/>
              </w:rPr>
              <w:t>0.68</w:t>
            </w:r>
          </w:p>
        </w:tc>
        <w:tc>
          <w:tcPr>
            <w:tcW w:w="964" w:type="dxa"/>
            <w:vAlign w:val="center"/>
          </w:tcPr>
          <w:p w14:paraId="115CAB12">
            <w:pPr>
              <w:spacing w:before="30" w:after="30"/>
              <w:ind w:firstLine="0"/>
              <w:jc w:val="center"/>
            </w:pPr>
            <w:r>
              <w:rPr>
                <w:rFonts w:hint="eastAsia" w:ascii="Times New Roman" w:hAnsi="Times New Roman" w:eastAsia="宋体" w:cs="Times New Roman"/>
                <w:b w:val="0"/>
                <w:i w:val="0"/>
                <w:sz w:val="16"/>
              </w:rPr>
              <w:t>3.0</w:t>
            </w:r>
          </w:p>
        </w:tc>
        <w:tc>
          <w:tcPr>
            <w:tcW w:w="964" w:type="dxa"/>
            <w:vAlign w:val="center"/>
          </w:tcPr>
          <w:p w14:paraId="2055521E">
            <w:pPr>
              <w:spacing w:before="30" w:after="30"/>
              <w:ind w:firstLine="0"/>
              <w:jc w:val="center"/>
            </w:pPr>
            <w:r>
              <w:rPr>
                <w:rFonts w:hint="eastAsia" w:ascii="Times New Roman" w:hAnsi="Times New Roman" w:eastAsia="宋体" w:cs="Times New Roman"/>
                <w:b w:val="0"/>
                <w:i w:val="0"/>
                <w:sz w:val="16"/>
              </w:rPr>
              <w:t>0.00</w:t>
            </w:r>
          </w:p>
        </w:tc>
      </w:tr>
    </w:tbl>
    <w:p w14:paraId="5028CBF9">
      <w:pPr>
        <w:spacing w:before="0" w:after="0"/>
        <w:ind w:firstLine="420"/>
        <w:jc w:val="both"/>
      </w:pPr>
      <w:r>
        <w:rPr>
          <w:rFonts w:hint="eastAsia" w:ascii="Times New Roman" w:hAnsi="Times New Roman" w:eastAsia="宋体" w:cs="Times New Roman"/>
          <w:b w:val="0"/>
          <w:i w:val="0"/>
          <w:sz w:val="21"/>
        </w:rPr>
        <w:t xml:space="preserve">表14还揭示了综合误差与峰值指标不等价的反例。B002的复数误差最低，仅0.1143，幅值和相位RMSE也较小，但峰值频率误差为2.9 Hz、峰值位置误差达到2.30；B009的复数误差仅0.1322，峰值频率误差却达到7.1 Hz。出现这种现象是因为 </w:t>
      </w:r>
      <m:oMath>
        <m:sSub>
          <m:sSubPr/>
          <m:e>
            <m:r>
              <m:rPr/>
              <m:t>E</m:t>
            </m:r>
          </m:e>
          <m:sub>
            <m:r>
              <m:rPr>
                <m:sty m:val="p"/>
              </m:rPr>
              <m:t>complex,</m:t>
            </m:r>
            <m:r>
              <m:rPr/>
              <m:t>w</m:t>
            </m:r>
          </m:sub>
        </m:sSub>
      </m:oMath>
      <w:r>
        <w:rPr>
          <w:rFonts w:hint="eastAsia" w:ascii="Times New Roman" w:hAnsi="Times New Roman" w:eastAsia="宋体" w:cs="Times New Roman"/>
          <w:b w:val="0"/>
          <w:i w:val="0"/>
          <w:sz w:val="21"/>
        </w:rPr>
        <w:t xml:space="preserve"> 对整个频率—空间场积分，一个窄区域内的全局最大点迁移可能只占较少网格和较低输入权重，不足以显著抬高综合误差。相反，B003的峰值位置完全吻合，综合误差仍为0.2745，说明非峰值区域的系统性幅相偏差也会累积成明显场误差。因此，代理结果用于峰值搜索时必须同时读取峰频和峰位误差，不能因全场误差较低就默认极值位置准确。</w:t>
      </w:r>
    </w:p>
    <w:p w14:paraId="68AFEBC9">
      <w:pPr>
        <w:spacing w:before="0" w:after="0"/>
        <w:ind w:firstLine="420"/>
        <w:jc w:val="both"/>
      </w:pPr>
      <w:r>
        <w:rPr>
          <w:rFonts w:hint="eastAsia" w:ascii="Times New Roman" w:hAnsi="Times New Roman" w:eastAsia="宋体" w:cs="Times New Roman"/>
          <w:b w:val="0"/>
          <w:i w:val="0"/>
          <w:sz w:val="21"/>
        </w:rPr>
        <w:t>B002与B009还说明，全局最大点可能由两个幅值接近的局部峰竞争产生。代理只要使次峰略高于原主峰，峰频或峰位指标便会发生很大跳变，而其余绝大多数网格仍可保持接近。反过来，峰位为零也不保证场形态正确，B003正是这种情形。用于参数筛查时，综合误差适合判断整体复频响能否用于谱加权重构，极值指标则适合回答“最不利频率和位置是否找对”。二者应并列报告，工程复核应由实际用途决定侧重点。</w:t>
      </w:r>
    </w:p>
    <w:p w14:paraId="52BCDCD9">
      <w:pPr>
        <w:spacing w:before="0" w:after="0"/>
        <w:ind w:firstLine="420"/>
        <w:jc w:val="both"/>
      </w:pPr>
      <w:r>
        <w:rPr>
          <w:rFonts w:hint="eastAsia" w:ascii="Times New Roman" w:hAnsi="Times New Roman" w:eastAsia="宋体" w:cs="Times New Roman"/>
          <w:b w:val="0"/>
          <w:i w:val="0"/>
          <w:sz w:val="21"/>
        </w:rPr>
        <w:t xml:space="preserve">图22选取B002、B003和B004作为好、中、难三类代表，在统一色标下比较真值、预测幅值、对数幅值残差和圆周相位残差。B002中，预测场较好复现了低中频背景和跨区段连续变化，三个空间段的复数误差分别为0.112、0.133和0.112，残差主要是高频弱条带。B003的上平台在约6～9 Hz出现多条倾斜峰谷，POD-GPR给出的条带更平滑，并低估了下平台中高频响应；其A、B、C段误差依次增至0.228、0.305和0.369。B004的差异最显著：真值在 </w:t>
      </w:r>
      <m:oMath>
        <m:r>
          <m:rPr/>
          <m:t>s</m:t>
        </m:r>
        <m:r>
          <m:rPr>
            <m:sty m:val="p"/>
          </m:rPr>
          <m:t>&gt;</m:t>
        </m:r>
        <m:r>
          <m:rPr/>
          <m:t>1</m:t>
        </m:r>
      </m:oMath>
      <w:r>
        <w:rPr>
          <w:rFonts w:hint="eastAsia" w:ascii="Times New Roman" w:hAnsi="Times New Roman" w:eastAsia="宋体" w:cs="Times New Roman"/>
          <w:b w:val="0"/>
          <w:i w:val="0"/>
          <w:sz w:val="21"/>
        </w:rPr>
        <w:t xml:space="preserve"> 的下平台、约6～10 Hz范围内形成强响应区，而预测幅值明显偏低并伴随大范围负相位残差，C段复数误差达到0.947，高频对数幅值RMSE和相位RMSE分别为1.299和67.19°，真值最大幅值处的相位误差达到133.0°。这一残差形态与图20所示“高频—下平台”上尾一致，也说明困难组合并非全场随机噪声，而是代理未能正确定位软厚覆盖层产生的中高频结构。</w:t>
      </w:r>
    </w:p>
    <w:p w14:paraId="71807824">
      <w:pPr>
        <w:spacing w:before="0" w:after="0"/>
        <w:ind w:firstLine="420"/>
        <w:jc w:val="both"/>
      </w:pPr>
      <w:r>
        <w:rPr>
          <w:rFonts w:hint="eastAsia" w:ascii="Times New Roman" w:hAnsi="Times New Roman" w:eastAsia="宋体" w:cs="Times New Roman"/>
          <w:b w:val="0"/>
          <w:i w:val="0"/>
          <w:sz w:val="21"/>
        </w:rPr>
        <w:t>三幅残差场把统计量背后的失真过程区分开来。B002的误差零散且处于弱响应条带，即使峰值位置跳动，对输入谱加权后的全场影响仍小；B003表现为条带被平滑和下平台逐步低估，是从局部偏差向区域性偏差的过渡；B004则在相同频段同时出现幅值低估和相位偏离，说明不是简单乘一个修正系数即可恢复。特别是C段0.947的复数误差远高于该工况全场0.7358，验证了空间P90所揭示的下平台困难端。若只查看全场最大值或平均幅值，这种有明确频带和空间位置的失真会被压缩掉。</w:t>
      </w:r>
    </w:p>
    <w:p w14:paraId="5870E642">
      <w:pPr>
        <w:spacing w:before="80" w:after="40"/>
        <w:ind w:firstLine="0"/>
        <w:jc w:val="center"/>
      </w:pPr>
      <w:r>
        <w:drawing>
          <wp:inline distT="0" distB="0" distL="114300" distR="114300">
            <wp:extent cx="2880360" cy="2002790"/>
            <wp:effectExtent l="0" t="0" r="15240" b="165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2880360" cy="2003038"/>
                    </a:xfrm>
                    <a:prstGeom prst="rect">
                      <a:avLst/>
                    </a:prstGeom>
                  </pic:spPr>
                </pic:pic>
              </a:graphicData>
            </a:graphic>
          </wp:inline>
        </w:drawing>
      </w:r>
    </w:p>
    <w:p w14:paraId="09EEF5C9">
      <w:pPr>
        <w:spacing w:before="0" w:after="0"/>
        <w:ind w:firstLine="0"/>
        <w:jc w:val="center"/>
      </w:pPr>
      <w:r>
        <w:rPr>
          <w:rFonts w:hint="eastAsia" w:ascii="Times New Roman" w:hAnsi="Times New Roman" w:eastAsia="宋体" w:cs="Times New Roman"/>
          <w:b w:val="0"/>
          <w:i w:val="0"/>
          <w:sz w:val="18"/>
        </w:rPr>
        <w:t>图22 训练外好、中、难工况的复频响真值、POD-GPR预测及残差：（上）B002，</w:t>
      </w:r>
      <m:oMath>
        <m:r>
          <m:rPr/>
          <m:t>i</m:t>
        </m:r>
        <m:r>
          <m:rPr>
            <m:sty m:val="p"/>
          </m:rPr>
          <m:t>=</m:t>
        </m:r>
        <m:sSup>
          <m:sSupPr/>
          <m:e>
            <m:r>
              <m:rPr/>
              <m:t>22.5</m:t>
            </m:r>
          </m:e>
          <m:sup>
            <m:r>
              <m:rPr>
                <m:sty m:val="p"/>
              </m:rPr>
              <m:t>∘</m:t>
            </m:r>
          </m:sup>
        </m:sSup>
      </m:oMath>
      <w:r>
        <w:rPr>
          <w:rFonts w:hint="eastAsia" w:ascii="Times New Roman" w:hAnsi="Times New Roman" w:eastAsia="宋体" w:cs="Times New Roman"/>
          <w:b w:val="0"/>
          <w:i w:val="0"/>
          <w:sz w:val="18"/>
        </w:rPr>
        <w:t>、</w:t>
      </w:r>
      <m:oMath>
        <m:r>
          <m:rPr/>
          <m:t>d</m:t>
        </m:r>
        <m:r>
          <m:rPr>
            <m:sty m:val="p"/>
          </m:rPr>
          <m:t>/</m:t>
        </m:r>
        <m:r>
          <m:rPr/>
          <m:t>h</m:t>
        </m:r>
        <m:r>
          <m:rPr>
            <m:sty m:val="p"/>
          </m:rPr>
          <m:t>=</m:t>
        </m:r>
        <m:r>
          <m:rPr/>
          <m:t>0.40</m:t>
        </m:r>
      </m:oMath>
      <w:r>
        <w:rPr>
          <w:rFonts w:hint="eastAsia" w:ascii="Times New Roman" w:hAnsi="Times New Roman" w:eastAsia="宋体" w:cs="Times New Roman"/>
          <w:b w:val="0"/>
          <w:i w:val="0"/>
          <w:sz w:val="18"/>
        </w:rPr>
        <w:t>、</w:t>
      </w:r>
      <m:oMath>
        <m:sSub>
          <m:sSubPr/>
          <m:e>
            <m:r>
              <m:rPr/>
              <m:t>r</m:t>
            </m:r>
          </m:e>
          <m:sub>
            <m:r>
              <m:rPr/>
              <m:t>v</m:t>
            </m:r>
          </m:sub>
        </m:sSub>
        <m:r>
          <m:rPr>
            <m:sty m:val="p"/>
          </m:rPr>
          <m:t>=</m:t>
        </m:r>
        <m:r>
          <m:rPr/>
          <m:t>0.675</m:t>
        </m:r>
      </m:oMath>
      <w:r>
        <w:rPr>
          <w:rFonts w:hint="eastAsia" w:ascii="Times New Roman" w:hAnsi="Times New Roman" w:eastAsia="宋体" w:cs="Times New Roman"/>
          <w:b w:val="0"/>
          <w:i w:val="0"/>
          <w:sz w:val="18"/>
        </w:rPr>
        <w:t>；（中）B003，</w:t>
      </w:r>
      <m:oMath>
        <m:r>
          <m:rPr/>
          <m:t>i</m:t>
        </m:r>
        <m:r>
          <m:rPr>
            <m:sty m:val="p"/>
          </m:rPr>
          <m:t>=</m:t>
        </m:r>
        <m:sSup>
          <m:sSupPr/>
          <m:e>
            <m:r>
              <m:rPr/>
              <m:t>22.5</m:t>
            </m:r>
          </m:e>
          <m:sup>
            <m:r>
              <m:rPr>
                <m:sty m:val="p"/>
              </m:rPr>
              <m:t>∘</m:t>
            </m:r>
          </m:sup>
        </m:sSup>
      </m:oMath>
      <w:r>
        <w:rPr>
          <w:rFonts w:hint="eastAsia" w:ascii="Times New Roman" w:hAnsi="Times New Roman" w:eastAsia="宋体" w:cs="Times New Roman"/>
          <w:b w:val="0"/>
          <w:i w:val="0"/>
          <w:sz w:val="18"/>
        </w:rPr>
        <w:t>、</w:t>
      </w:r>
      <m:oMath>
        <m:r>
          <m:rPr/>
          <m:t>d</m:t>
        </m:r>
        <m:r>
          <m:rPr>
            <m:sty m:val="p"/>
          </m:rPr>
          <m:t>/</m:t>
        </m:r>
        <m:r>
          <m:rPr/>
          <m:t>h</m:t>
        </m:r>
        <m:r>
          <m:rPr>
            <m:sty m:val="p"/>
          </m:rPr>
          <m:t>=</m:t>
        </m:r>
        <m:r>
          <m:rPr/>
          <m:t>0.80</m:t>
        </m:r>
      </m:oMath>
      <w:r>
        <w:rPr>
          <w:rFonts w:hint="eastAsia" w:ascii="Times New Roman" w:hAnsi="Times New Roman" w:eastAsia="宋体" w:cs="Times New Roman"/>
          <w:b w:val="0"/>
          <w:i w:val="0"/>
          <w:sz w:val="18"/>
        </w:rPr>
        <w:t>、</w:t>
      </w:r>
      <m:oMath>
        <m:sSub>
          <m:sSubPr/>
          <m:e>
            <m:r>
              <m:rPr/>
              <m:t>r</m:t>
            </m:r>
          </m:e>
          <m:sub>
            <m:r>
              <m:rPr/>
              <m:t>v</m:t>
            </m:r>
          </m:sub>
        </m:sSub>
        <m:r>
          <m:rPr>
            <m:sty m:val="p"/>
          </m:rPr>
          <m:t>=</m:t>
        </m:r>
        <m:r>
          <m:rPr/>
          <m:t>0.525</m:t>
        </m:r>
      </m:oMath>
      <w:r>
        <w:rPr>
          <w:rFonts w:hint="eastAsia" w:ascii="Times New Roman" w:hAnsi="Times New Roman" w:eastAsia="宋体" w:cs="Times New Roman"/>
          <w:b w:val="0"/>
          <w:i w:val="0"/>
          <w:sz w:val="18"/>
        </w:rPr>
        <w:t>；（下）B004，</w:t>
      </w:r>
      <m:oMath>
        <m:r>
          <m:rPr/>
          <m:t>i</m:t>
        </m:r>
        <m:r>
          <m:rPr>
            <m:sty m:val="p"/>
          </m:rPr>
          <m:t>=</m:t>
        </m:r>
        <m:sSup>
          <m:sSupPr/>
          <m:e>
            <m:r>
              <m:rPr/>
              <m:t>22.5</m:t>
            </m:r>
          </m:e>
          <m:sup>
            <m:r>
              <m:rPr>
                <m:sty m:val="p"/>
              </m:rPr>
              <m:t>∘</m:t>
            </m:r>
          </m:sup>
        </m:sSup>
      </m:oMath>
      <w:r>
        <w:rPr>
          <w:rFonts w:hint="eastAsia" w:ascii="Times New Roman" w:hAnsi="Times New Roman" w:eastAsia="宋体" w:cs="Times New Roman"/>
          <w:b w:val="0"/>
          <w:i w:val="0"/>
          <w:sz w:val="18"/>
        </w:rPr>
        <w:t>、</w:t>
      </w:r>
      <m:oMath>
        <m:r>
          <m:rPr/>
          <m:t>d</m:t>
        </m:r>
        <m:r>
          <m:rPr>
            <m:sty m:val="p"/>
          </m:rPr>
          <m:t>/</m:t>
        </m:r>
        <m:r>
          <m:rPr/>
          <m:t>h</m:t>
        </m:r>
        <m:r>
          <m:rPr>
            <m:sty m:val="p"/>
          </m:rPr>
          <m:t>=</m:t>
        </m:r>
        <m:r>
          <m:rPr/>
          <m:t>1.20</m:t>
        </m:r>
      </m:oMath>
      <w:r>
        <w:rPr>
          <w:rFonts w:hint="eastAsia" w:ascii="Times New Roman" w:hAnsi="Times New Roman" w:eastAsia="宋体" w:cs="Times New Roman"/>
          <w:b w:val="0"/>
          <w:i w:val="0"/>
          <w:sz w:val="18"/>
        </w:rPr>
        <w:t>、</w:t>
      </w:r>
      <m:oMath>
        <m:sSub>
          <m:sSubPr/>
          <m:e>
            <m:r>
              <m:rPr/>
              <m:t>r</m:t>
            </m:r>
          </m:e>
          <m:sub>
            <m:r>
              <m:rPr/>
              <m:t>v</m:t>
            </m:r>
          </m:sub>
        </m:sSub>
        <m:r>
          <m:rPr>
            <m:sty m:val="p"/>
          </m:rPr>
          <m:t>=</m:t>
        </m:r>
        <m:r>
          <m:rPr/>
          <m:t>0.375</m:t>
        </m:r>
      </m:oMath>
      <w:r>
        <w:rPr>
          <w:rFonts w:hint="eastAsia" w:ascii="Times New Roman" w:hAnsi="Times New Roman" w:eastAsia="宋体" w:cs="Times New Roman"/>
          <w:b w:val="0"/>
          <w:i w:val="0"/>
          <w:sz w:val="18"/>
        </w:rPr>
        <w:t xml:space="preserve">。三例的真值幅值与预测幅值共用同一色标，残差场也分别共用色标；对数幅值残差定义为 </w:t>
      </w:r>
      <m:oMath>
        <m:r>
          <m:rPr>
            <m:sty m:val="p"/>
          </m:rPr>
          <m:t>ln(|</m:t>
        </m:r>
        <m:sSubSup>
          <m:sSubSupPr/>
          <m:e>
            <m:r>
              <m:rPr/>
              <m:t>G</m:t>
            </m:r>
          </m:e>
          <m:sub>
            <m:r>
              <m:rPr/>
              <m:t>h</m:t>
            </m:r>
          </m:sub>
          <m:sup>
            <m:r>
              <m:rPr>
                <m:sty m:val="p"/>
              </m:rPr>
              <m:t>pred</m:t>
            </m:r>
          </m:sup>
        </m:sSubSup>
        <m:r>
          <m:rPr>
            <m:sty m:val="p"/>
          </m:rPr>
          <m:t>|/|</m:t>
        </m:r>
        <m:sSubSup>
          <m:sSubSupPr/>
          <m:e>
            <m:r>
              <m:rPr/>
              <m:t>G</m:t>
            </m:r>
          </m:e>
          <m:sub>
            <m:r>
              <m:rPr/>
              <m:t>h</m:t>
            </m:r>
          </m:sub>
          <m:sup>
            <m:r>
              <m:rPr>
                <m:sty m:val="p"/>
              </m:rPr>
              <m:t>true</m:t>
            </m:r>
          </m:sup>
        </m:sSubSup>
        <m:r>
          <m:rPr>
            <m:sty m:val="p"/>
          </m:rPr>
          <m:t>|)</m:t>
        </m:r>
      </m:oMath>
      <w:r>
        <w:rPr>
          <w:rFonts w:hint="eastAsia" w:ascii="Times New Roman" w:hAnsi="Times New Roman" w:eastAsia="宋体" w:cs="Times New Roman"/>
          <w:b w:val="0"/>
          <w:i w:val="0"/>
          <w:sz w:val="18"/>
        </w:rPr>
        <w:t>，正值表示高估，圆周相位残差取预测相位减真值相位；虚线为A/B/C空间段边界</w:t>
      </w:r>
    </w:p>
    <w:p w14:paraId="5EAC79BE">
      <w:pPr>
        <w:spacing w:before="0" w:after="60"/>
        <w:ind w:firstLine="0"/>
        <w:jc w:val="center"/>
      </w:pPr>
      <w:r>
        <w:rPr>
          <w:rFonts w:hint="eastAsia" w:ascii="Times New Roman" w:hAnsi="Times New Roman" w:eastAsia="Times New Roman" w:cs="Times New Roman"/>
          <w:b w:val="0"/>
          <w:i w:val="0"/>
          <w:sz w:val="18"/>
        </w:rPr>
        <w:t>Fig. 22 Complex-FRF truth, POD-GPR prediction, and residual fields for representative easy, intermediate, and difficult training-excluded cases</w:t>
      </w:r>
    </w:p>
    <w:p w14:paraId="202BCCF2">
      <w:pPr>
        <w:spacing w:before="0" w:after="0"/>
        <w:ind w:firstLine="420"/>
        <w:jc w:val="both"/>
      </w:pPr>
      <w:r>
        <w:rPr>
          <w:rFonts w:hint="eastAsia" w:ascii="Times New Roman" w:hAnsi="Times New Roman" w:eastAsia="宋体" w:cs="Times New Roman"/>
          <w:b w:val="0"/>
          <w:i w:val="0"/>
          <w:sz w:val="21"/>
        </w:rPr>
        <w:t xml:space="preserve">综合交叉验证和训练外组合结果，当前12阶POD-GPR能够在参数域内部较稳定地恢复低频主要结构，并使典型工况的复数场误差相对简单基线下降约30%；但27.1%的交叉验证中位误差、49.0%的P90以及B组65.4%的P90均表明，它尚不能作为无误差的高保真替代模型。对于较硬或中等覆盖层，模型可用于参数筛查和真实波闭环前的频域估计；对于低波速比、较大厚度比及下平台高频响应，仍应保留直接有限元复核。若进一步提高代理精度，首先应把主配置的POD阶数由12提高到至少24，以减少已经证实的截断损失；随后应在 </w:t>
      </w:r>
      <m:oMath>
        <m:sSub>
          <m:sSubPr/>
          <m:e>
            <m:r>
              <m:rPr/>
              <m:t>r</m:t>
            </m:r>
          </m:e>
          <m:sub>
            <m:r>
              <m:rPr/>
              <m:t>v</m:t>
            </m:r>
          </m:sub>
        </m:sSub>
        <m:r>
          <m:rPr>
            <m:sty m:val="p"/>
          </m:rPr>
          <m:t>≲</m:t>
        </m:r>
        <m:r>
          <m:rPr/>
          <m:t>0.45</m:t>
        </m:r>
      </m:oMath>
      <w:r>
        <w:rPr>
          <w:rFonts w:hint="eastAsia" w:ascii="Times New Roman" w:hAnsi="Times New Roman" w:eastAsia="宋体" w:cs="Times New Roman"/>
          <w:b w:val="0"/>
          <w:i w:val="0"/>
          <w:sz w:val="21"/>
        </w:rPr>
        <w:t xml:space="preserve">、较大 </w:t>
      </w:r>
      <m:oMath>
        <m:r>
          <m:rPr/>
          <m:t>d</m:t>
        </m:r>
        <m:r>
          <m:rPr>
            <m:sty m:val="p"/>
          </m:rPr>
          <m:t>/</m:t>
        </m:r>
        <m:r>
          <m:rPr/>
          <m:t>h</m:t>
        </m:r>
      </m:oMath>
      <w:r>
        <w:rPr>
          <w:rFonts w:hint="eastAsia" w:ascii="Times New Roman" w:hAnsi="Times New Roman" w:eastAsia="宋体" w:cs="Times New Roman"/>
          <w:b w:val="0"/>
          <w:i w:val="0"/>
          <w:sz w:val="21"/>
        </w:rPr>
        <w:t xml:space="preserve"> 区域增加样本并考虑能够处理模态系数耦合或局部非平稳性的回归方法。由于24阶到36阶已出现饱和，仅继续增加模态数不会消除困难工况上尾。上述边界为第4.3节解释频域误差如何经过真实地震波能量谱传递到时域响应提供了依据。</w:t>
      </w:r>
    </w:p>
    <w:p w14:paraId="432C256A">
      <w:pPr>
        <w:spacing w:before="0" w:after="0"/>
        <w:ind w:firstLine="420"/>
        <w:jc w:val="both"/>
      </w:pPr>
      <w:r>
        <w:rPr>
          <w:rFonts w:hint="eastAsia" w:ascii="Times New Roman" w:hAnsi="Times New Roman" w:eastAsia="宋体" w:cs="Times New Roman"/>
          <w:b w:val="0"/>
          <w:i w:val="0"/>
          <w:sz w:val="21"/>
        </w:rPr>
        <w:t>就当前证据而言，更合适的使用方式是先由代理生成参数域内的复频响全图，再依据频带、空间段和覆盖层组合判断是否需要有限元复核，而不是给所有预测套用同一个误差百分数。交叉验证与B组给出的是群体误差分布，尚未形成对单个新工况可靠度经过校准的预测区间；GPR后验方差也未完成校准，不能替代这一判断。图20～图22已经把优先复核区域收敛到软厚覆盖层的坡面及下平台中高频结构，后续增样可针对这些残差集中的参数—输出区域进行，而无需均匀扩充整个三维网格。这样的定位既承认代理在低频和典型组合上的计算价值，也保留了对困难工况直接求解的必要性。</w:t>
      </w:r>
    </w:p>
    <w:p w14:paraId="38732BA5">
      <w:pPr>
        <w:spacing w:before="0" w:after="0"/>
        <w:ind w:firstLine="420"/>
        <w:jc w:val="both"/>
      </w:pPr>
      <w:r>
        <w:rPr>
          <w:rFonts w:hint="eastAsia" w:ascii="Times New Roman" w:hAnsi="Times New Roman" w:eastAsia="宋体" w:cs="Times New Roman"/>
          <w:b w:val="0"/>
          <w:i w:val="0"/>
          <w:sz w:val="21"/>
        </w:rPr>
        <w:t>因此，本节得到的是适用范围受训练域约束的降阶预测工具及其误差地图，而不是脱离样本域和输入条件仍然成立的通用公式。POD用于压缩高维场，高斯过程用于学习参数到模态系数的映射，这种组合与既有降阶建模和代理学习的基本思路一致</w:t>
      </w:r>
      <w:r>
        <w:rPr>
          <w:rFonts w:hint="eastAsia" w:ascii="Times New Roman" w:hAnsi="Times New Roman" w:eastAsia="宋体" w:cs="Times New Roman"/>
          <w:b w:val="0"/>
          <w:i w:val="0"/>
          <w:sz w:val="21"/>
          <w:vertAlign w:val="superscript"/>
        </w:rPr>
        <w:t>[25-30]</w:t>
      </w:r>
      <w:r>
        <w:rPr>
          <w:rFonts w:hint="eastAsia" w:ascii="Times New Roman" w:hAnsi="Times New Roman" w:eastAsia="宋体" w:cs="Times New Roman"/>
          <w:b w:val="0"/>
          <w:i w:val="0"/>
          <w:sz w:val="21"/>
        </w:rPr>
        <w:t>；本文的区别在于同时报告复数场、极值位置和训练外上尾误差。后续闭环验证据此采用多记录、多位置评价，而不只展示单个坡顶时程。</w:t>
      </w:r>
    </w:p>
    <w:p w14:paraId="291E99CE">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pPr>
      <w:r>
        <w:rPr>
          <w:rFonts w:hint="eastAsia" w:ascii="Times New Roman" w:hAnsi="Times New Roman" w:eastAsia="宋体" w:cs="Times New Roman"/>
          <w:b/>
          <w:i w:val="0"/>
          <w:sz w:val="24"/>
        </w:rPr>
        <w:t>4.3 真实地震波闭环验证</w:t>
      </w:r>
    </w:p>
    <w:p w14:paraId="58DED757">
      <w:pPr>
        <w:spacing w:before="0" w:after="0"/>
        <w:ind w:firstLine="420"/>
        <w:jc w:val="both"/>
      </w:pPr>
      <w:r>
        <w:rPr>
          <w:rFonts w:hint="eastAsia" w:ascii="Times New Roman" w:hAnsi="Times New Roman" w:eastAsia="宋体" w:cs="Times New Roman"/>
          <w:b w:val="0"/>
          <w:i w:val="0"/>
          <w:sz w:val="21"/>
        </w:rPr>
        <w:t>交叉验证和训练外组合评价所回答的是代理模型能否复现宽频复频响场，尚不能直接说明其重构工程地震动的能力。为此，本文进一步设置“真实记录输入—一维自由场计算—代理复频响预测—二维地表时程重构—直接有限元对照”的闭环。闭环共包括 C001～C010 十个算例，涉及四种坡地体系：P007（</w:t>
      </w:r>
      <m:oMath>
        <m:r>
          <m:rPr/>
          <m:t>i</m:t>
        </m:r>
        <m:r>
          <m:rPr>
            <m:sty m:val="p"/>
          </m:rPr>
          <m:t>=</m:t>
        </m:r>
        <m:sSup>
          <m:sSupPr/>
          <m:e>
            <m:r>
              <m:rPr/>
              <m:t>15</m:t>
            </m:r>
          </m:e>
          <m:sup>
            <m:r>
              <m:rPr>
                <m:sty m:val="p"/>
              </m:rPr>
              <m:t>∘</m:t>
            </m:r>
          </m:sup>
        </m:sSup>
      </m:oMath>
      <w:r>
        <w:rPr>
          <w:rFonts w:hint="eastAsia" w:ascii="Times New Roman" w:hAnsi="Times New Roman" w:eastAsia="宋体" w:cs="Times New Roman"/>
          <w:b w:val="0"/>
          <w:i w:val="0"/>
          <w:sz w:val="21"/>
        </w:rPr>
        <w:t>、</w:t>
      </w:r>
      <m:oMath>
        <m:r>
          <m:rPr/>
          <m:t>d</m:t>
        </m:r>
        <m:r>
          <m:rPr>
            <m:sty m:val="p"/>
          </m:rPr>
          <m:t>/</m:t>
        </m:r>
        <m:r>
          <m:rPr/>
          <m:t>h</m:t>
        </m:r>
        <m:r>
          <m:rPr>
            <m:sty m:val="p"/>
          </m:rPr>
          <m:t>=</m:t>
        </m:r>
        <m:r>
          <m:rPr/>
          <m:t>0.60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0.45</m:t>
        </m:r>
      </m:oMath>
      <w:r>
        <w:rPr>
          <w:rFonts w:hint="eastAsia" w:ascii="Times New Roman" w:hAnsi="Times New Roman" w:eastAsia="宋体" w:cs="Times New Roman"/>
          <w:b w:val="0"/>
          <w:i w:val="0"/>
          <w:sz w:val="21"/>
        </w:rPr>
        <w:t>）、P039（</w:t>
      </w:r>
      <m:oMath>
        <m:r>
          <m:rPr/>
          <m:t>i</m:t>
        </m:r>
        <m:r>
          <m:rPr>
            <m:sty m:val="p"/>
          </m:rPr>
          <m:t>=</m:t>
        </m:r>
        <m:sSup>
          <m:sSupPr/>
          <m:e>
            <m:r>
              <m:rPr/>
              <m:t>45</m:t>
            </m:r>
          </m:e>
          <m:sup>
            <m:r>
              <m:rPr>
                <m:sty m:val="p"/>
              </m:rPr>
              <m:t>∘</m:t>
            </m:r>
          </m:sup>
        </m:sSup>
      </m:oMath>
      <w:r>
        <w:rPr>
          <w:rFonts w:hint="eastAsia" w:ascii="Times New Roman" w:hAnsi="Times New Roman" w:eastAsia="宋体" w:cs="Times New Roman"/>
          <w:b w:val="0"/>
          <w:i w:val="0"/>
          <w:sz w:val="21"/>
        </w:rPr>
        <w:t>、</w:t>
      </w:r>
      <m:oMath>
        <m:r>
          <m:rPr/>
          <m:t>d</m:t>
        </m:r>
        <m:r>
          <m:rPr>
            <m:sty m:val="p"/>
          </m:rPr>
          <m:t>/</m:t>
        </m:r>
        <m:r>
          <m:rPr/>
          <m:t>h</m:t>
        </m:r>
        <m:r>
          <m:rPr>
            <m:sty m:val="p"/>
          </m:rPr>
          <m:t>=</m:t>
        </m:r>
        <m:r>
          <m:rPr/>
          <m:t>0.60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0.60</m:t>
        </m:r>
      </m:oMath>
      <w:r>
        <w:rPr>
          <w:rFonts w:hint="eastAsia" w:ascii="Times New Roman" w:hAnsi="Times New Roman" w:eastAsia="宋体" w:cs="Times New Roman"/>
          <w:b w:val="0"/>
          <w:i w:val="0"/>
          <w:sz w:val="21"/>
        </w:rPr>
        <w:t>）、P061（</w:t>
      </w:r>
      <m:oMath>
        <m:r>
          <m:rPr/>
          <m:t>i</m:t>
        </m:r>
        <m:r>
          <m:rPr>
            <m:sty m:val="p"/>
          </m:rPr>
          <m:t>=</m:t>
        </m:r>
        <m:sSup>
          <m:sSupPr/>
          <m:e>
            <m:r>
              <m:rPr/>
              <m:t>60</m:t>
            </m:r>
          </m:e>
          <m:sup>
            <m:r>
              <m:rPr>
                <m:sty m:val="p"/>
              </m:rPr>
              <m:t>∘</m:t>
            </m:r>
          </m:sup>
        </m:sSup>
      </m:oMath>
      <w:r>
        <w:rPr>
          <w:rFonts w:hint="eastAsia" w:ascii="Times New Roman" w:hAnsi="Times New Roman" w:eastAsia="宋体" w:cs="Times New Roman"/>
          <w:b w:val="0"/>
          <w:i w:val="0"/>
          <w:sz w:val="21"/>
        </w:rPr>
        <w:t>、</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）和训练外中间组合 B007（</w:t>
      </w:r>
      <m:oMath>
        <m:r>
          <m:rPr/>
          <m:t>i</m:t>
        </m:r>
        <m:r>
          <m:rPr>
            <m:sty m:val="p"/>
          </m:rPr>
          <m:t>=</m:t>
        </m:r>
        <m:sSup>
          <m:sSupPr/>
          <m:e>
            <m:r>
              <m:rPr/>
              <m:t>37.5</m:t>
            </m:r>
          </m:e>
          <m:sup>
            <m:r>
              <m:rPr>
                <m:sty m:val="p"/>
              </m:rPr>
              <m:t>∘</m:t>
            </m:r>
          </m:sup>
        </m:sSup>
      </m:oMath>
      <w:r>
        <w:rPr>
          <w:rFonts w:hint="eastAsia" w:ascii="Times New Roman" w:hAnsi="Times New Roman" w:eastAsia="宋体" w:cs="Times New Roman"/>
          <w:b w:val="0"/>
          <w:i w:val="0"/>
          <w:sz w:val="21"/>
        </w:rPr>
        <w:t>、</w:t>
      </w:r>
      <m:oMath>
        <m:r>
          <m:rPr/>
          <m:t>d</m:t>
        </m:r>
        <m:r>
          <m:rPr>
            <m:sty m:val="p"/>
          </m:rPr>
          <m:t>/</m:t>
        </m:r>
        <m:r>
          <m:rPr/>
          <m:t>h</m:t>
        </m:r>
        <m:r>
          <m:rPr>
            <m:sty m:val="p"/>
          </m:rPr>
          <m:t>=</m:t>
        </m:r>
        <m:r>
          <m:rPr/>
          <m:t>0.80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0.675</m:t>
        </m:r>
      </m:oMath>
      <w:r>
        <w:rPr>
          <w:rFonts w:hint="eastAsia" w:ascii="Times New Roman" w:hAnsi="Times New Roman" w:eastAsia="宋体" w:cs="Times New Roman"/>
          <w:b w:val="0"/>
          <w:i w:val="0"/>
          <w:sz w:val="21"/>
        </w:rPr>
        <w:t>）。P007、P039、P061 和 B007 分别在 El Centro 与 Kobe 记录下计算，P039 和 B007 另在 Chi-Chi 记录下计算。每个 C 算例均重新进行二维直接有限元分析，后者只作为闭环真值，不参与代理训练、模型选择或参数调整。</w:t>
      </w:r>
    </w:p>
    <w:p w14:paraId="62D1AD8A">
      <w:pPr>
        <w:spacing w:before="0" w:after="0"/>
        <w:ind w:firstLine="420"/>
        <w:jc w:val="both"/>
      </w:pPr>
      <w:r>
        <w:rPr>
          <w:rFonts w:hint="eastAsia" w:ascii="Times New Roman" w:hAnsi="Times New Roman" w:eastAsia="宋体" w:cs="Times New Roman"/>
          <w:b w:val="0"/>
          <w:i w:val="0"/>
          <w:sz w:val="21"/>
        </w:rPr>
        <w:t>四种体系中，P007、P039和P061属于代理训练参数节点，B007则位于训练网格之间。因此，前三者的闭环主要检验“已覆盖节点的频响经新输入重构时程”，B007还叠加了参数插值这一层困难。十例不是按四体系与三记录的完整全因子配置，比较记录效应时必须保留这种不平衡性；但这种安排能够同时观察训练节点、训练外组合以及从较硬覆盖层到软厚覆盖层的不同响应条件。</w:t>
      </w:r>
    </w:p>
    <w:p w14:paraId="2EC63F2C">
      <w:pPr>
        <w:spacing w:before="0" w:after="0"/>
        <w:ind w:firstLine="420"/>
        <w:jc w:val="both"/>
      </w:pPr>
      <w:r>
        <w:rPr>
          <w:rFonts w:hint="eastAsia" w:ascii="Times New Roman" w:hAnsi="Times New Roman" w:eastAsia="宋体" w:cs="Times New Roman"/>
          <w:b w:val="0"/>
          <w:i w:val="0"/>
          <w:sz w:val="21"/>
        </w:rPr>
        <w:t xml:space="preserve">三条记录均采用水平分量，预处理后峰值加速度为 0.1g，时间步长为 0.001 s；El Centro、Kobe 和 Chi-Chi 的有效持时分别为 31.2、40.9 和 52.8 s。原始记录在重采样前经过六阶零相位 Butterworth 12 Hz 低通滤波，并进行端点速度趋势校正，以降低高频混叠和积分漂移。对每条记录及相应坡地剖面，建模阶段同步计算左侧上平台高度处的一维自由场时程 </w:t>
      </w:r>
      <m:oMath>
        <m:sSubSup>
          <m:sSubSupPr/>
          <m:e>
            <m:r>
              <m:rPr/>
              <m:t>a</m:t>
            </m:r>
          </m:e>
          <m:sub>
            <m:r>
              <m:rPr/>
              <m:t>h</m:t>
            </m:r>
            <m:r>
              <m:rPr>
                <m:sty m:val="p"/>
              </m:rPr>
              <m:t>,left</m:t>
            </m:r>
          </m:sub>
          <m:sup>
            <m:r>
              <m:rPr>
                <m:sty m:val="p"/>
              </m:rPr>
              <m:t>1D</m:t>
            </m:r>
          </m:sup>
        </m:sSubSup>
        <m:r>
          <m:rPr>
            <m:sty m:val="p"/>
          </m:rPr>
          <m:t>(</m:t>
        </m:r>
        <m:r>
          <m:rPr/>
          <m:t>t</m:t>
        </m:r>
        <m:r>
          <m:rPr>
            <m:sty m:val="p"/>
          </m:rPr>
          <m:t>)</m:t>
        </m:r>
      </m:oMath>
      <w:r>
        <w:rPr>
          <w:rFonts w:hint="eastAsia" w:ascii="Times New Roman" w:hAnsi="Times New Roman" w:eastAsia="宋体" w:cs="Times New Roman"/>
          <w:b w:val="0"/>
          <w:i w:val="0"/>
          <w:sz w:val="21"/>
        </w:rPr>
        <w:t xml:space="preserve">。该时程不是后处理中人为缩放出的参考曲线，而是与二维模型采用相同入射波、介质参数和阻尼设置的一维传播结果。闭环全过程继续沿用前文统一口径：上平台、坡面和下平台全部除以这一个左侧一维自由场，不在 </w:t>
      </w:r>
      <m:oMath>
        <m:r>
          <m:rPr/>
          <m:t>s</m:t>
        </m:r>
        <m:r>
          <m:rPr>
            <m:sty m:val="p"/>
          </m:rPr>
          <m:t>=</m:t>
        </m:r>
        <m:r>
          <m:rPr/>
          <m:t>1</m:t>
        </m:r>
      </m:oMath>
      <w:r>
        <w:rPr>
          <w:rFonts w:hint="eastAsia" w:ascii="Times New Roman" w:hAnsi="Times New Roman" w:eastAsia="宋体" w:cs="Times New Roman"/>
          <w:b w:val="0"/>
          <w:i w:val="0"/>
          <w:sz w:val="21"/>
        </w:rPr>
        <w:t xml:space="preserve"> 处切换到右侧低高程参考，因此不会重新引入由分母突变造成的空间分界。</w:t>
      </w:r>
    </w:p>
    <w:p w14:paraId="5703AD31">
      <w:pPr>
        <w:spacing w:before="0" w:after="0"/>
        <w:ind w:firstLine="420"/>
        <w:jc w:val="both"/>
      </w:pPr>
      <w:r>
        <w:rPr>
          <w:rFonts w:hint="eastAsia" w:ascii="Times New Roman" w:hAnsi="Times New Roman" w:eastAsia="宋体" w:cs="Times New Roman"/>
          <w:b w:val="0"/>
          <w:i w:val="0"/>
          <w:sz w:val="21"/>
        </w:rPr>
        <w:t>图23给出了三条左侧一维自由场时程及其在本文分析频带内的能量构成。能量占比由有效持时内的傅里叶能量在各频带积分得到，并以 0.5～10 Hz 总能量归一化。El Centro 在 0.5～3、3～6 和 6～10 Hz 的能量占比分别为 37.9%、55.5% 和 6.6%；Kobe 分别为 38.0%、52.1% 和 9.8%；Chi-Chi 分别为 40.7%、39.9% 和 19.4%。因此，El Centro 与 Kobe 有 93.4% 和 90.1% 的频带能量集中在 6 Hz 以下，而 Chi-Chi 的相应比例为 80.6%。这里更准确的说法不是三条记录都“只含低频”，而是它们在代理误差较大的 6～10 Hz 频段所占权重有限，其中 Chi-Chi 的高频权重明显高于前两条记录。该差别为后文解释频域误差与时域误差之间的关系提供了直接依据。</w:t>
      </w:r>
    </w:p>
    <w:p w14:paraId="5AC3FBE1">
      <w:pPr>
        <w:spacing w:before="0" w:after="0"/>
        <w:ind w:firstLine="420"/>
        <w:jc w:val="both"/>
      </w:pPr>
      <w:r>
        <w:rPr>
          <w:rFonts w:hint="eastAsia" w:ascii="Times New Roman" w:hAnsi="Times New Roman" w:eastAsia="宋体" w:cs="Times New Roman"/>
          <w:b w:val="0"/>
          <w:i w:val="0"/>
          <w:sz w:val="21"/>
        </w:rPr>
        <w:t>三条记录都缩放到0.1g只统一了峰值量级，并没有统一频谱形状。El Centro与Kobe的中频能量均超过一半，二者的主要差别体现在高频占比由6.6%增至9.8%；Chi-Chi的中频占比降至39.9%，高频占比则升至19.4%，其高频权重分别约为前两者的2.9倍和2.0倍。代理预测谱由复频响误差与输入谱逐频相乘，同一处频响偏差只有与记录的能量频带重合时，才会明显进入时域平方误差。因而图23不是一般性的地震动强弱比较，而是闭环误差传递所需的输入条件说明；峰值相同的记录仍可能对代理的高频薄弱区施加不同权重。</w:t>
      </w:r>
    </w:p>
    <w:p w14:paraId="79D54966">
      <w:pPr>
        <w:spacing w:before="80" w:after="40"/>
        <w:ind w:firstLine="0"/>
        <w:jc w:val="center"/>
      </w:pPr>
      <w:r>
        <w:drawing>
          <wp:inline distT="0" distB="0" distL="114300" distR="114300">
            <wp:extent cx="2880360" cy="1913255"/>
            <wp:effectExtent l="0" t="0" r="15240" b="1079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2880360" cy="1913590"/>
                    </a:xfrm>
                    <a:prstGeom prst="rect">
                      <a:avLst/>
                    </a:prstGeom>
                  </pic:spPr>
                </pic:pic>
              </a:graphicData>
            </a:graphic>
          </wp:inline>
        </w:drawing>
      </w:r>
    </w:p>
    <w:p w14:paraId="6553BF64">
      <w:pPr>
        <w:spacing w:before="0" w:after="0"/>
        <w:ind w:firstLine="0"/>
        <w:jc w:val="center"/>
      </w:pPr>
      <w:r>
        <w:rPr>
          <w:rFonts w:hint="eastAsia" w:ascii="Times New Roman" w:hAnsi="Times New Roman" w:eastAsia="宋体" w:cs="Times New Roman"/>
          <w:b w:val="0"/>
          <w:i w:val="0"/>
          <w:sz w:val="18"/>
        </w:rPr>
        <w:t>图23 三条真实记录对应的左侧上平台一维自由场：（a）归一化加速度时程；（b）0.5～10 Hz 归一化能量谱及0.5～3、3～6、6～10 Hz频带能量占比</w:t>
      </w:r>
    </w:p>
    <w:p w14:paraId="4F582BDA">
      <w:pPr>
        <w:spacing w:before="0" w:after="60"/>
        <w:ind w:firstLine="0"/>
        <w:jc w:val="center"/>
      </w:pPr>
      <w:r>
        <w:rPr>
          <w:rFonts w:hint="eastAsia" w:ascii="Times New Roman" w:hAnsi="Times New Roman" w:eastAsia="Times New Roman" w:cs="Times New Roman"/>
          <w:b w:val="0"/>
          <w:i w:val="0"/>
          <w:sz w:val="18"/>
        </w:rPr>
        <w:t>Fig. 23 Left upper-platform one-dimensional free fields of the three real records: normalized time histories and energy spectra</w:t>
      </w:r>
    </w:p>
    <w:p w14:paraId="20027374">
      <w:pPr>
        <w:spacing w:before="0" w:after="0"/>
        <w:ind w:firstLine="420"/>
        <w:jc w:val="both"/>
      </w:pPr>
      <w:r>
        <w:rPr>
          <w:rFonts w:hint="eastAsia" w:ascii="Times New Roman" w:hAnsi="Times New Roman" w:eastAsia="宋体" w:cs="Times New Roman"/>
          <w:b w:val="0"/>
          <w:i w:val="0"/>
          <w:sz w:val="21"/>
        </w:rPr>
        <w:t xml:space="preserve">对给定参数组合 </w:t>
      </w:r>
      <m:oMath>
        <m:r>
          <m:rPr>
            <m:sty m:val="bi"/>
          </m:rPr>
          <m:t>θ</m:t>
        </m:r>
        <m:r>
          <m:rPr>
            <m:sty m:val="p"/>
          </m:rPr>
          <m:t>=(</m:t>
        </m:r>
        <m:r>
          <m:rPr/>
          <m:t>i</m:t>
        </m:r>
        <m:r>
          <m:rPr>
            <m:sty m:val="p"/>
          </m:rPr>
          <m:t>,</m:t>
        </m:r>
        <m:r>
          <m:rPr/>
          <m:t>d</m:t>
        </m:r>
        <m:r>
          <m:rPr>
            <m:sty m:val="p"/>
          </m:rPr>
          <m:t>/</m:t>
        </m:r>
        <m:r>
          <m:rPr/>
          <m:t>h</m:t>
        </m:r>
        <m:r>
          <m:rPr>
            <m:sty m:val="p"/>
          </m:rPr>
          <m:t>,</m:t>
        </m:r>
        <m:sSub>
          <m:sSubPr/>
          <m:e>
            <m:r>
              <m:rPr/>
              <m:t>r</m:t>
            </m:r>
          </m:e>
          <m:sub>
            <m:r>
              <m:rPr/>
              <m:t>v</m:t>
            </m:r>
          </m:sub>
        </m:sSub>
        <m:r>
          <m:rPr>
            <m:sty m:val="p"/>
          </m:rPr>
          <m:t>)</m:t>
        </m:r>
      </m:oMath>
      <w:r>
        <w:rPr>
          <w:rFonts w:hint="eastAsia" w:ascii="Times New Roman" w:hAnsi="Times New Roman" w:eastAsia="宋体" w:cs="Times New Roman"/>
          <w:b w:val="0"/>
          <w:i w:val="0"/>
          <w:sz w:val="21"/>
        </w:rPr>
        <w:t xml:space="preserve"> 和地震记录 </w:t>
      </w:r>
      <m:oMath>
        <m:r>
          <m:rPr/>
          <m:t>g</m:t>
        </m:r>
      </m:oMath>
      <w:r>
        <w:rPr>
          <w:rFonts w:hint="eastAsia" w:ascii="Times New Roman" w:hAnsi="Times New Roman" w:eastAsia="宋体" w:cs="Times New Roman"/>
          <w:b w:val="0"/>
          <w:i w:val="0"/>
          <w:sz w:val="21"/>
        </w:rPr>
        <w:t xml:space="preserve">，冻结后的 POD-GPR 模型先预测公共网格上的完整复频响 </w:t>
      </w:r>
      <m:oMath>
        <m:sSub>
          <m:sSubPr/>
          <m:e>
            <m:acc>
              <m:accPr/>
              <m:e>
                <m:r>
                  <m:rPr/>
                  <m:t>G</m:t>
                </m:r>
              </m:e>
            </m:acc>
          </m:e>
          <m:sub>
            <m:r>
              <m:rPr/>
              <m:t>h</m:t>
            </m:r>
          </m:sub>
        </m:sSub>
        <m:r>
          <m:rPr>
            <m:sty m:val="p"/>
          </m:rPr>
          <m:t>(</m:t>
        </m:r>
        <m:r>
          <m:rPr/>
          <m:t>f</m:t>
        </m:r>
        <m:r>
          <m:rPr>
            <m:sty m:val="p"/>
          </m:rPr>
          <m:t>,</m:t>
        </m:r>
        <m:r>
          <m:rPr/>
          <m:t>s</m:t>
        </m:r>
        <m:r>
          <m:rPr>
            <m:sty m:val="p"/>
          </m:rPr>
          <m:t>;</m:t>
        </m:r>
        <m:r>
          <m:rPr>
            <m:sty m:val="bi"/>
          </m:rPr>
          <m:t>θ</m:t>
        </m:r>
        <m:r>
          <m:rPr>
            <m:sty m:val="p"/>
          </m:rPr>
          <m:t>)</m:t>
        </m:r>
      </m:oMath>
      <w:r>
        <w:rPr>
          <w:rFonts w:hint="eastAsia" w:ascii="Times New Roman" w:hAnsi="Times New Roman" w:eastAsia="宋体" w:cs="Times New Roman"/>
          <w:b w:val="0"/>
          <w:i w:val="0"/>
          <w:sz w:val="21"/>
        </w:rPr>
        <w:t>。随后，将左侧一维自由场时程变换至频域，并按下式得到二维地表预测谱：</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51E23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28A405F7">
            <w:pPr>
              <w:spacing w:before="60" w:after="60"/>
              <w:jc w:val="center"/>
            </w:pPr>
            <m:oMathPara>
              <m:oMath>
                <m:sSubSup>
                  <m:sSubSupPr/>
                  <m:e>
                    <m:acc>
                      <m:accPr/>
                      <m:e>
                        <m:r>
                          <m:rPr/>
                          <m:t>a</m:t>
                        </m:r>
                      </m:e>
                    </m:acc>
                  </m:e>
                  <m:sub>
                    <m:r>
                      <m:rPr/>
                      <m:t>h</m:t>
                    </m:r>
                  </m:sub>
                  <m:sup>
                    <m:r>
                      <m:rPr>
                        <m:sty m:val="p"/>
                      </m:rPr>
                      <m:t>2D</m:t>
                    </m:r>
                  </m:sup>
                </m:sSubSup>
                <m:r>
                  <m:rPr>
                    <m:sty m:val="p"/>
                  </m:rPr>
                  <m:t>(</m:t>
                </m:r>
                <m:r>
                  <m:rPr/>
                  <m:t>f</m:t>
                </m:r>
                <m:r>
                  <m:rPr>
                    <m:sty m:val="p"/>
                  </m:rPr>
                  <m:t>,</m:t>
                </m:r>
                <m:r>
                  <m:rPr/>
                  <m:t>s</m:t>
                </m:r>
                <m:r>
                  <m:rPr>
                    <m:sty m:val="p"/>
                  </m:rPr>
                  <m:t>;</m:t>
                </m:r>
                <m:r>
                  <m:rPr/>
                  <m:t>g</m:t>
                </m:r>
                <m:r>
                  <m:rPr>
                    <m:sty m:val="p"/>
                  </m:rPr>
                  <m:t>)=</m:t>
                </m:r>
                <m:sSub>
                  <m:sSubPr/>
                  <m:e>
                    <m:acc>
                      <m:accPr/>
                      <m:e>
                        <m:r>
                          <m:rPr/>
                          <m:t>G</m:t>
                        </m:r>
                      </m:e>
                    </m:acc>
                  </m:e>
                  <m:sub>
                    <m:r>
                      <m:rPr/>
                      <m:t>h</m:t>
                    </m:r>
                  </m:sub>
                </m:sSub>
                <m:r>
                  <m:rPr>
                    <m:sty m:val="p"/>
                  </m:rPr>
                  <m:t>(</m:t>
                </m:r>
                <m:r>
                  <m:rPr/>
                  <m:t>f</m:t>
                </m:r>
                <m:r>
                  <m:rPr>
                    <m:sty m:val="p"/>
                  </m:rPr>
                  <m:t>,</m:t>
                </m:r>
                <m:r>
                  <m:rPr/>
                  <m:t>s</m:t>
                </m:r>
                <m:r>
                  <m:rPr>
                    <m:sty m:val="p"/>
                  </m:rPr>
                  <m:t>;</m:t>
                </m:r>
                <m:r>
                  <m:rPr>
                    <m:sty m:val="bi"/>
                  </m:rPr>
                  <m:t>θ</m:t>
                </m:r>
                <m:r>
                  <m:rPr>
                    <m:sty m:val="p"/>
                  </m:rPr>
                  <m:t>)</m:t>
                </m:r>
                <m:r>
                  <m:rPr/>
                  <m:t> </m:t>
                </m:r>
                <m:sSubSup>
                  <m:sSubSupPr/>
                  <m:e>
                    <m:acc>
                      <m:accPr/>
                      <m:e>
                        <m:r>
                          <m:rPr/>
                          <m:t>a</m:t>
                        </m:r>
                      </m:e>
                    </m:acc>
                  </m:e>
                  <m:sub>
                    <m:r>
                      <m:rPr/>
                      <m:t>h</m:t>
                    </m:r>
                    <m:r>
                      <m:rPr>
                        <m:sty m:val="p"/>
                      </m:rPr>
                      <m:t>,left</m:t>
                    </m:r>
                  </m:sub>
                  <m:sup>
                    <m:r>
                      <m:rPr>
                        <m:sty m:val="p"/>
                      </m:rPr>
                      <m:t>1D</m:t>
                    </m:r>
                  </m:sup>
                </m:sSubSup>
                <m:r>
                  <m:rPr>
                    <m:sty m:val="p"/>
                  </m:rPr>
                  <m:t>(</m:t>
                </m:r>
                <m:r>
                  <m:rPr/>
                  <m:t>f</m:t>
                </m:r>
                <m:r>
                  <m:rPr>
                    <m:sty m:val="p"/>
                  </m:rPr>
                  <m:t>;</m:t>
                </m:r>
                <m:r>
                  <m:rPr/>
                  <m:t>g</m:t>
                </m:r>
                <m:r>
                  <m:rPr>
                    <m:sty m:val="p"/>
                  </m:rPr>
                  <m:t>).</m:t>
                </m:r>
              </m:oMath>
            </m:oMathPara>
          </w:p>
        </w:tc>
        <w:tc>
          <w:tcPr>
            <w:tcW w:w="4819" w:type="dxa"/>
          </w:tcPr>
          <w:p w14:paraId="5F1668CC">
            <w:pPr>
              <w:spacing w:before="60" w:after="60"/>
              <w:jc w:val="right"/>
            </w:pPr>
            <w:r>
              <w:rPr>
                <w:rFonts w:hint="eastAsia" w:ascii="Times New Roman" w:hAnsi="Times New Roman" w:eastAsia="Times New Roman" w:cs="Times New Roman"/>
                <w:b w:val="0"/>
                <w:i w:val="0"/>
                <w:sz w:val="21"/>
              </w:rPr>
              <w:t>(22)</w:t>
            </w:r>
          </w:p>
        </w:tc>
      </w:tr>
    </w:tbl>
    <w:p w14:paraId="2E4E2124">
      <w:pPr>
        <w:spacing w:before="0" w:after="0"/>
        <w:ind w:firstLine="420"/>
        <w:jc w:val="both"/>
      </w:pPr>
      <w:r>
        <w:rPr>
          <w:rFonts w:hint="eastAsia" w:ascii="Times New Roman" w:hAnsi="Times New Roman" w:eastAsia="宋体" w:cs="Times New Roman"/>
          <w:b w:val="0"/>
          <w:i w:val="0"/>
          <w:sz w:val="21"/>
        </w:rPr>
        <w:t xml:space="preserve">模型复频响在 0.5～10 Hz、0.1 Hz 间隔的 96 个频点上给出，重构时分别对其实部和虚部插值至地震记录的快速傅里叶变换（fast Fourier transform，FFT）频率网格，并在频带两端施加 0.2 Hz 余弦渐变窗。这样既保留幅值与相位的共同作用，又避免在 0.5 和 10 Hz 处硬截断产生明显振铃。补足共轭频谱后进行IFFT，得到 161 个公共地表位置的预测加速度时程 </w:t>
      </w:r>
      <m:oMath>
        <m:sSubSup>
          <m:sSubSupPr/>
          <m:e>
            <m:r>
              <m:rPr/>
              <m:t>a</m:t>
            </m:r>
          </m:e>
          <m:sub>
            <m:r>
              <m:rPr/>
              <m:t>h</m:t>
            </m:r>
          </m:sub>
          <m:sup>
            <m:r>
              <m:rPr>
                <m:sty m:val="p"/>
              </m:rPr>
              <m:t>pred</m:t>
            </m:r>
          </m:sup>
        </m:sSubSup>
        <m:r>
          <m:rPr>
            <m:sty m:val="p"/>
          </m:rPr>
          <m:t>(</m:t>
        </m:r>
        <m:r>
          <m:rPr/>
          <m:t>t</m:t>
        </m:r>
        <m:r>
          <m:rPr>
            <m:sty m:val="p"/>
          </m:rPr>
          <m:t>,</m:t>
        </m:r>
        <m:r>
          <m:rPr/>
          <m:t>s</m:t>
        </m:r>
        <m:r>
          <m:rPr>
            <m:sty m:val="p"/>
          </m:rPr>
          <m:t>)</m:t>
        </m:r>
      </m:oMath>
      <w:r>
        <w:rPr>
          <w:rFonts w:hint="eastAsia" w:ascii="Times New Roman" w:hAnsi="Times New Roman" w:eastAsia="宋体" w:cs="Times New Roman"/>
          <w:b w:val="0"/>
          <w:i w:val="0"/>
          <w:sz w:val="21"/>
        </w:rPr>
        <w:t>。直接有限元时程采用完全相同的时间范围和 0.5～10 Hz 频带窗处理后再参与比较，因而表中误差反映的是“代理复频响驱动的重构”与“同频带直接有限元响应”之间的差别，而不是一个经过带限、另一个保留全频所造成的口径差。</w:t>
      </w:r>
    </w:p>
    <w:p w14:paraId="6A6BD91B">
      <w:pPr>
        <w:spacing w:before="0" w:after="0"/>
        <w:ind w:firstLine="420"/>
        <w:jc w:val="both"/>
      </w:pPr>
      <w:r>
        <w:rPr>
          <w:rFonts w:hint="eastAsia" w:ascii="Times New Roman" w:hAnsi="Times New Roman" w:eastAsia="宋体" w:cs="Times New Roman"/>
          <w:b w:val="0"/>
          <w:i w:val="0"/>
          <w:sz w:val="21"/>
        </w:rPr>
        <w:t>这里必须使用复数预测而不能只把幅值谱乘回输入。幅值决定各频率成分的强弱，相位决定这些成分在时域何时叠加；幅值接近但相位存在系统偏差时，PGA仍可能偶然接近，整段波形却会错位。实部和虚部在同一FFT网格上插值，再通过共轭对称恢复实值时程，使第4.2节的相位、群时延误差能够真实传递到闭环指标。预测与有限元采用同一带限和渐变窗，则把比较范围限定在代理实际覆盖的0.5～10 Hz内。由此得到的良好结果不能推广到0.5 Hz以下或10 Hz以上，而带外误差也不会被混入对代理的评价。</w:t>
      </w:r>
    </w:p>
    <w:p w14:paraId="555F2E30">
      <w:pPr>
        <w:spacing w:before="0" w:after="0"/>
        <w:ind w:firstLine="420"/>
        <w:jc w:val="both"/>
      </w:pPr>
      <w:r>
        <w:rPr>
          <w:rFonts w:hint="eastAsia" w:ascii="Times New Roman" w:hAnsi="Times New Roman" w:eastAsia="宋体" w:cs="Times New Roman"/>
          <w:b w:val="0"/>
          <w:i w:val="0"/>
          <w:sz w:val="21"/>
        </w:rPr>
        <w:t xml:space="preserve">闭环评价在每个地表位置分别计算时程归一化均方根误差、相关系数、PGA 相对误差和峰值时刻误差。以 </w:t>
      </w:r>
      <m:oMath>
        <m:sSubSup>
          <m:sSubSupPr/>
          <m:e>
            <m:r>
              <m:rPr/>
              <m:t>a</m:t>
            </m:r>
          </m:e>
          <m:sub>
            <m:r>
              <m:rPr/>
              <m:t>h</m:t>
            </m:r>
          </m:sub>
          <m:sup>
            <m:r>
              <m:rPr>
                <m:sty m:val="p"/>
              </m:rPr>
              <m:t>pred</m:t>
            </m:r>
          </m:sup>
        </m:sSubSup>
      </m:oMath>
      <w:r>
        <w:rPr>
          <w:rFonts w:hint="eastAsia" w:ascii="Times New Roman" w:hAnsi="Times New Roman" w:eastAsia="宋体" w:cs="Times New Roman"/>
          <w:b w:val="0"/>
          <w:i w:val="0"/>
          <w:sz w:val="21"/>
        </w:rPr>
        <w:t xml:space="preserve"> 表示代理预测时程，以 </w:t>
      </w:r>
      <m:oMath>
        <m:sSubSup>
          <m:sSubSupPr/>
          <m:e>
            <m:r>
              <m:rPr/>
              <m:t>a</m:t>
            </m:r>
          </m:e>
          <m:sub>
            <m:r>
              <m:rPr/>
              <m:t>h</m:t>
            </m:r>
          </m:sub>
          <m:sup>
            <m:r>
              <m:rPr>
                <m:sty m:val="p"/>
              </m:rPr>
              <m:t>FE</m:t>
            </m:r>
          </m:sup>
        </m:sSubSup>
      </m:oMath>
      <w:r>
        <w:rPr>
          <w:rFonts w:hint="eastAsia" w:ascii="Times New Roman" w:hAnsi="Times New Roman" w:eastAsia="宋体" w:cs="Times New Roman"/>
          <w:b w:val="0"/>
          <w:i w:val="0"/>
          <w:sz w:val="21"/>
        </w:rPr>
        <w:t xml:space="preserve"> 表示直接有限元（finite element，FE）时程，时程误差定义为</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44030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7EB67C27">
            <w:pPr>
              <w:spacing w:before="60" w:after="60"/>
              <w:jc w:val="center"/>
            </w:pPr>
            <m:oMathPara>
              <m:oMath>
                <m:sSub>
                  <m:sSubPr/>
                  <m:e>
                    <m:r>
                      <m:rPr/>
                      <m:t>E</m:t>
                    </m:r>
                  </m:e>
                  <m:sub>
                    <m:r>
                      <m:rPr/>
                      <m:t>t</m:t>
                    </m:r>
                  </m:sub>
                </m:sSub>
                <m:r>
                  <m:rPr>
                    <m:sty m:val="p"/>
                  </m:rPr>
                  <m:t>(</m:t>
                </m:r>
                <m:r>
                  <m:rPr/>
                  <m:t>s</m:t>
                </m:r>
                <m:r>
                  <m:rPr>
                    <m:sty m:val="p"/>
                  </m:rPr>
                  <m:t>)=</m:t>
                </m:r>
                <m:f>
                  <m:fPr/>
                  <m:num>
                    <m:sSub>
                      <m:sSubPr/>
                      <m:e>
                        <m:d>
                          <m:dPr>
                            <m:begChr m:val="∥"/>
                            <m:sepChr m:val=""/>
                            <m:endChr m:val="∥"/>
                          </m:dPr>
                          <m:e>
                            <m:sSubSup>
                              <m:sSubSupPr/>
                              <m:e>
                                <m:r>
                                  <m:rPr/>
                                  <m:t>a</m:t>
                                </m:r>
                              </m:e>
                              <m:sub>
                                <m:r>
                                  <m:rPr/>
                                  <m:t>h</m:t>
                                </m:r>
                              </m:sub>
                              <m:sup>
                                <m:r>
                                  <m:rPr>
                                    <m:sty m:val="p"/>
                                  </m:rPr>
                                  <m:t>pred</m:t>
                                </m:r>
                              </m:sup>
                            </m:sSubSup>
                            <m:r>
                              <m:rPr>
                                <m:sty m:val="p"/>
                              </m:rPr>
                              <m:t>(</m:t>
                            </m:r>
                            <m:r>
                              <m:rPr/>
                              <m:t>t</m:t>
                            </m:r>
                            <m:r>
                              <m:rPr>
                                <m:sty m:val="p"/>
                              </m:rPr>
                              <m:t>,</m:t>
                            </m:r>
                            <m:r>
                              <m:rPr/>
                              <m:t>s</m:t>
                            </m:r>
                            <m:r>
                              <m:rPr>
                                <m:sty m:val="p"/>
                              </m:rPr>
                              <m:t>)−</m:t>
                            </m:r>
                            <m:sSubSup>
                              <m:sSubSupPr/>
                              <m:e>
                                <m:r>
                                  <m:rPr/>
                                  <m:t>a</m:t>
                                </m:r>
                              </m:e>
                              <m:sub>
                                <m:r>
                                  <m:rPr/>
                                  <m:t>h</m:t>
                                </m:r>
                              </m:sub>
                              <m:sup>
                                <m:r>
                                  <m:rPr>
                                    <m:sty m:val="p"/>
                                  </m:rPr>
                                  <m:t>FE</m:t>
                                </m:r>
                              </m:sup>
                            </m:sSubSup>
                            <m:r>
                              <m:rPr>
                                <m:sty m:val="p"/>
                              </m:rPr>
                              <m:t>(</m:t>
                            </m:r>
                            <m:r>
                              <m:rPr/>
                              <m:t>t</m:t>
                            </m:r>
                            <m:r>
                              <m:rPr>
                                <m:sty m:val="p"/>
                              </m:rPr>
                              <m:t>,</m:t>
                            </m:r>
                            <m:r>
                              <m:rPr/>
                              <m:t>s</m:t>
                            </m:r>
                            <m:r>
                              <m:rPr>
                                <m:sty m:val="p"/>
                              </m:rPr>
                              <m:t>)</m:t>
                            </m:r>
                          </m:e>
                        </m:d>
                      </m:e>
                      <m:sub>
                        <m:r>
                          <m:rPr/>
                          <m:t>2</m:t>
                        </m:r>
                      </m:sub>
                    </m:sSub>
                  </m:num>
                  <m:den>
                    <m:sSub>
                      <m:sSubPr/>
                      <m:e>
                        <m:d>
                          <m:dPr>
                            <m:begChr m:val="∥"/>
                            <m:sepChr m:val=""/>
                            <m:endChr m:val="∥"/>
                          </m:dPr>
                          <m:e>
                            <m:sSubSup>
                              <m:sSubSupPr/>
                              <m:e>
                                <m:r>
                                  <m:rPr/>
                                  <m:t>a</m:t>
                                </m:r>
                              </m:e>
                              <m:sub>
                                <m:r>
                                  <m:rPr/>
                                  <m:t>h</m:t>
                                </m:r>
                              </m:sub>
                              <m:sup>
                                <m:r>
                                  <m:rPr>
                                    <m:sty m:val="p"/>
                                  </m:rPr>
                                  <m:t>FE</m:t>
                                </m:r>
                              </m:sup>
                            </m:sSubSup>
                            <m:r>
                              <m:rPr>
                                <m:sty m:val="p"/>
                              </m:rPr>
                              <m:t>(</m:t>
                            </m:r>
                            <m:r>
                              <m:rPr/>
                              <m:t>t</m:t>
                            </m:r>
                            <m:r>
                              <m:rPr>
                                <m:sty m:val="p"/>
                              </m:rPr>
                              <m:t>,</m:t>
                            </m:r>
                            <m:r>
                              <m:rPr/>
                              <m:t>s</m:t>
                            </m:r>
                            <m:r>
                              <m:rPr>
                                <m:sty m:val="p"/>
                              </m:rPr>
                              <m:t>)</m:t>
                            </m:r>
                          </m:e>
                        </m:d>
                      </m:e>
                      <m:sub>
                        <m:r>
                          <m:rPr/>
                          <m:t>2</m:t>
                        </m:r>
                      </m:sub>
                    </m:sSub>
                  </m:den>
                </m:f>
                <m:r>
                  <m:rPr>
                    <m:sty m:val="p"/>
                  </m:rPr>
                  <m:t>.</m:t>
                </m:r>
              </m:oMath>
            </m:oMathPara>
          </w:p>
        </w:tc>
        <w:tc>
          <w:tcPr>
            <w:tcW w:w="4819" w:type="dxa"/>
          </w:tcPr>
          <w:p w14:paraId="6EF88FF5">
            <w:pPr>
              <w:spacing w:before="60" w:after="60"/>
              <w:jc w:val="right"/>
            </w:pPr>
            <w:r>
              <w:rPr>
                <w:rFonts w:hint="eastAsia" w:ascii="Times New Roman" w:hAnsi="Times New Roman" w:eastAsia="Times New Roman" w:cs="Times New Roman"/>
                <w:b w:val="0"/>
                <w:i w:val="0"/>
                <w:sz w:val="21"/>
              </w:rPr>
              <w:t>(23)</w:t>
            </w:r>
          </w:p>
        </w:tc>
      </w:tr>
    </w:tbl>
    <w:p w14:paraId="6B58AF36">
      <w:pPr>
        <w:spacing w:before="0" w:after="0"/>
        <w:ind w:firstLine="420"/>
        <w:jc w:val="both"/>
      </w:pPr>
      <w:r>
        <w:rPr>
          <w:rFonts w:hint="eastAsia" w:ascii="Times New Roman" w:hAnsi="Times New Roman" w:eastAsia="宋体" w:cs="Times New Roman"/>
          <w:b w:val="0"/>
          <w:i w:val="0"/>
          <w:sz w:val="21"/>
        </w:rPr>
        <w:t xml:space="preserve">相关系数用于区分整体波形一致性与单纯幅值偏移，PGA 误差为预测峰值与有限元峰值之差相对有限元峰值的绝对值，峰值时刻误差则比较两条时程绝对峰值出现的时间。反应谱采用 5% 阻尼、0.1～2.0 s 的 40 个对数间隔周期，先逐周期求相对误差，再对每个地表位置取周期中位。地形放大系数统一定义为 </w:t>
      </w:r>
      <m:oMath>
        <m:r>
          <m:rPr>
            <m:sty m:val="p"/>
          </m:rPr>
          <m:t>TAF(</m:t>
        </m:r>
        <m:r>
          <m:rPr/>
          <m:t>s</m:t>
        </m:r>
        <m:r>
          <m:rPr>
            <m:sty m:val="p"/>
          </m:rPr>
          <m:t>)=</m:t>
        </m:r>
        <m:sSub>
          <m:sSubPr/>
          <m:e>
            <m:r>
              <m:rPr>
                <m:sty m:val="p"/>
              </m:rPr>
              <m:t>PGA</m:t>
            </m:r>
          </m:e>
          <m:sub>
            <m:r>
              <m:rPr>
                <m:sty m:val="p"/>
              </m:rPr>
              <m:t>2D</m:t>
            </m:r>
          </m:sub>
        </m:sSub>
        <m:r>
          <m:rPr>
            <m:sty m:val="p"/>
          </m:rPr>
          <m:t>(</m:t>
        </m:r>
        <m:r>
          <m:rPr/>
          <m:t>s</m:t>
        </m:r>
        <m:r>
          <m:rPr>
            <m:sty m:val="p"/>
          </m:rPr>
          <m:t>)/</m:t>
        </m:r>
        <m:sSub>
          <m:sSubPr/>
          <m:e>
            <m:r>
              <m:rPr>
                <m:sty m:val="p"/>
              </m:rPr>
              <m:t>PGA</m:t>
            </m:r>
          </m:e>
          <m:sub>
            <m:r>
              <m:rPr>
                <m:sty m:val="p"/>
              </m:rPr>
              <m:t>1D,left</m:t>
            </m:r>
          </m:sub>
        </m:sSub>
      </m:oMath>
      <w:r>
        <w:rPr>
          <w:rFonts w:hint="eastAsia" w:ascii="Times New Roman" w:hAnsi="Times New Roman" w:eastAsia="宋体" w:cs="Times New Roman"/>
          <w:b w:val="0"/>
          <w:i w:val="0"/>
          <w:sz w:val="21"/>
        </w:rPr>
        <w:t>。由于同一算例的预测和真值共用同一个左侧一维分母，TAF 相对误差与 PGA 相对误差数值相同，故表中不再重复设置一列。表中各项均为一个算例 161 个地表位置的中位数；时程 NRMSE 10%、相关系数 0.95、PGA/TAF 误差 10%和峰值时刻误差 0.02 s为预先设定的判读参考线。反应谱图中的10%线仅作为与PGA同量级的辅助视觉参照，并非新增的强制门槛。</w:t>
      </w:r>
    </w:p>
    <w:p w14:paraId="6722942F">
      <w:pPr>
        <w:spacing w:before="0" w:after="0"/>
        <w:ind w:firstLine="420"/>
        <w:jc w:val="both"/>
      </w:pPr>
      <w:r>
        <w:rPr>
          <w:rFonts w:hint="eastAsia" w:ascii="Times New Roman" w:hAnsi="Times New Roman" w:eastAsia="宋体" w:cs="Times New Roman"/>
          <w:b w:val="0"/>
          <w:i w:val="0"/>
          <w:sz w:val="21"/>
        </w:rPr>
        <w:t>五项指标观察的是不同层次。NRMSE累计全持时内每个采样点的差值，对次峰和尾波的持续偏差敏感；相关系数先去除均值并按方差归一，波形形状相近时即使幅值存在比例差也可能保持较高；PGA和峰值时刻只关注一个极值及其位置；反应谱误差则把时程通过一组单自由度振子重新加权。每个算例先在161个位置上取中位，是为了给出该体系—记录组合的典型空间表现，并不表示最差位置满足同一数值。随后再对十个工况中位取总体中位，又是第二层汇总。后文的逐位置超线比例保留了第一层汇总丢失的空间范围，二者回答的问题不同。十例逐工况结果见表15。</w:t>
      </w:r>
    </w:p>
    <w:p w14:paraId="10D21E78">
      <w:pPr>
        <w:spacing w:before="156" w:after="0"/>
        <w:ind w:firstLine="0"/>
        <w:jc w:val="center"/>
      </w:pPr>
      <w:r>
        <w:rPr>
          <w:rFonts w:hint="eastAsia" w:ascii="Times New Roman" w:hAnsi="Times New Roman" w:eastAsia="宋体" w:cs="Times New Roman"/>
          <w:b w:val="0"/>
          <w:i w:val="0"/>
          <w:sz w:val="18"/>
        </w:rPr>
        <w:t>表15 十例真实地震波闭环重构指标（161个地表位置的中位数）</w:t>
      </w:r>
    </w:p>
    <w:p w14:paraId="550DA5BB">
      <w:pPr>
        <w:spacing w:before="0" w:after="40"/>
        <w:ind w:firstLine="0"/>
        <w:jc w:val="center"/>
      </w:pPr>
      <w:r>
        <w:rPr>
          <w:rFonts w:hint="eastAsia" w:ascii="Times New Roman" w:hAnsi="Times New Roman" w:eastAsia="Times New Roman" w:cs="Times New Roman"/>
          <w:b w:val="0"/>
          <w:i w:val="0"/>
          <w:sz w:val="18"/>
        </w:rPr>
        <w:t>Table 15 Closed-loop reconstruction metrics of the ten real-ground-motion cases (median over 161 surface positions)</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7"/>
        <w:gridCol w:w="1377"/>
        <w:gridCol w:w="1377"/>
        <w:gridCol w:w="1377"/>
        <w:gridCol w:w="1377"/>
        <w:gridCol w:w="1377"/>
        <w:gridCol w:w="1377"/>
      </w:tblGrid>
      <w:tr w14:paraId="270ED8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tcBorders>
              <w:bottom w:val="single" w:color="auto" w:sz="6" w:space="0"/>
            </w:tcBorders>
            <w:vAlign w:val="center"/>
          </w:tcPr>
          <w:p w14:paraId="2DAAFFFA">
            <w:pPr>
              <w:spacing w:before="30" w:after="30"/>
              <w:ind w:firstLine="0"/>
              <w:jc w:val="center"/>
            </w:pPr>
            <w:r>
              <w:rPr>
                <w:rFonts w:hint="eastAsia" w:ascii="Times New Roman" w:hAnsi="Times New Roman" w:eastAsia="宋体" w:cs="Times New Roman"/>
                <w:b/>
                <w:i w:val="0"/>
                <w:sz w:val="16"/>
              </w:rPr>
              <w:t>工况</w:t>
            </w:r>
          </w:p>
        </w:tc>
        <w:tc>
          <w:tcPr>
            <w:tcW w:w="1377" w:type="dxa"/>
            <w:tcBorders>
              <w:bottom w:val="single" w:color="auto" w:sz="6" w:space="0"/>
            </w:tcBorders>
            <w:vAlign w:val="center"/>
          </w:tcPr>
          <w:p w14:paraId="3D1F372D">
            <w:pPr>
              <w:spacing w:before="30" w:after="30"/>
              <w:ind w:firstLine="0"/>
              <w:jc w:val="center"/>
            </w:pPr>
            <w:r>
              <w:rPr>
                <w:rFonts w:hint="eastAsia" w:ascii="Times New Roman" w:hAnsi="Times New Roman" w:eastAsia="宋体" w:cs="Times New Roman"/>
                <w:b/>
                <w:i w:val="0"/>
                <w:sz w:val="16"/>
              </w:rPr>
              <w:t>坡地体系/记录</w:t>
            </w:r>
          </w:p>
        </w:tc>
        <w:tc>
          <w:tcPr>
            <w:tcW w:w="1377" w:type="dxa"/>
            <w:tcBorders>
              <w:bottom w:val="single" w:color="auto" w:sz="6" w:space="0"/>
            </w:tcBorders>
            <w:vAlign w:val="center"/>
          </w:tcPr>
          <w:p w14:paraId="3EA85CF9">
            <w:pPr>
              <w:spacing w:before="30" w:after="30"/>
              <w:ind w:firstLine="0"/>
              <w:jc w:val="center"/>
            </w:pPr>
            <w:r>
              <w:rPr>
                <w:rFonts w:hint="eastAsia" w:ascii="Times New Roman" w:hAnsi="Times New Roman" w:eastAsia="宋体" w:cs="Times New Roman"/>
                <w:b/>
                <w:i w:val="0"/>
                <w:sz w:val="16"/>
              </w:rPr>
              <w:t>时程NRMSE</w:t>
            </w:r>
          </w:p>
        </w:tc>
        <w:tc>
          <w:tcPr>
            <w:tcW w:w="1377" w:type="dxa"/>
            <w:tcBorders>
              <w:bottom w:val="single" w:color="auto" w:sz="6" w:space="0"/>
            </w:tcBorders>
            <w:vAlign w:val="center"/>
          </w:tcPr>
          <w:p w14:paraId="60F41AD3">
            <w:pPr>
              <w:spacing w:before="30" w:after="30"/>
              <w:ind w:firstLine="0"/>
              <w:jc w:val="center"/>
            </w:pPr>
            <w:r>
              <w:rPr>
                <w:rFonts w:hint="eastAsia" w:ascii="Times New Roman" w:hAnsi="Times New Roman" w:eastAsia="宋体" w:cs="Times New Roman"/>
                <w:b/>
                <w:i w:val="0"/>
                <w:sz w:val="16"/>
              </w:rPr>
              <w:t>相关系数</w:t>
            </w:r>
          </w:p>
        </w:tc>
        <w:tc>
          <w:tcPr>
            <w:tcW w:w="1377" w:type="dxa"/>
            <w:tcBorders>
              <w:bottom w:val="single" w:color="auto" w:sz="6" w:space="0"/>
            </w:tcBorders>
            <w:vAlign w:val="center"/>
          </w:tcPr>
          <w:p w14:paraId="1DBA1B48">
            <w:pPr>
              <w:spacing w:before="30" w:after="30"/>
              <w:ind w:firstLine="0"/>
              <w:jc w:val="center"/>
            </w:pPr>
            <w:r>
              <w:rPr>
                <w:rFonts w:hint="eastAsia" w:ascii="Times New Roman" w:hAnsi="Times New Roman" w:eastAsia="宋体" w:cs="Times New Roman"/>
                <w:b/>
                <w:i w:val="0"/>
                <w:sz w:val="16"/>
              </w:rPr>
              <w:t>PGA/TAF误差</w:t>
            </w:r>
          </w:p>
        </w:tc>
        <w:tc>
          <w:tcPr>
            <w:tcW w:w="1377" w:type="dxa"/>
            <w:tcBorders>
              <w:bottom w:val="single" w:color="auto" w:sz="6" w:space="0"/>
            </w:tcBorders>
            <w:vAlign w:val="center"/>
          </w:tcPr>
          <w:p w14:paraId="6C55DD88">
            <w:pPr>
              <w:spacing w:before="30" w:after="30"/>
              <w:ind w:firstLine="0"/>
              <w:jc w:val="center"/>
            </w:pPr>
            <w:r>
              <w:rPr>
                <w:rFonts w:hint="eastAsia" w:ascii="Times New Roman" w:hAnsi="Times New Roman" w:eastAsia="宋体" w:cs="Times New Roman"/>
                <w:b/>
                <w:i w:val="0"/>
                <w:sz w:val="16"/>
              </w:rPr>
              <w:t>峰值时刻误差/s</w:t>
            </w:r>
          </w:p>
        </w:tc>
        <w:tc>
          <w:tcPr>
            <w:tcW w:w="1377" w:type="dxa"/>
            <w:tcBorders>
              <w:bottom w:val="single" w:color="auto" w:sz="6" w:space="0"/>
            </w:tcBorders>
            <w:vAlign w:val="center"/>
          </w:tcPr>
          <w:p w14:paraId="2E5C08ED">
            <w:pPr>
              <w:spacing w:before="30" w:after="30"/>
              <w:ind w:firstLine="0"/>
              <w:jc w:val="center"/>
            </w:pPr>
            <w:r>
              <w:rPr>
                <w:rFonts w:hint="eastAsia" w:ascii="Times New Roman" w:hAnsi="Times New Roman" w:eastAsia="宋体" w:cs="Times New Roman"/>
                <w:b/>
                <w:i w:val="0"/>
                <w:sz w:val="16"/>
              </w:rPr>
              <w:t>5%阻尼反应谱误差</w:t>
            </w:r>
          </w:p>
        </w:tc>
      </w:tr>
      <w:tr w14:paraId="00D56E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37161ACA">
            <w:pPr>
              <w:spacing w:before="30" w:after="30"/>
              <w:ind w:firstLine="0"/>
              <w:jc w:val="center"/>
            </w:pPr>
            <w:r>
              <w:rPr>
                <w:rFonts w:hint="eastAsia" w:ascii="Times New Roman" w:hAnsi="Times New Roman" w:eastAsia="宋体" w:cs="Times New Roman"/>
                <w:b w:val="0"/>
                <w:i w:val="0"/>
                <w:sz w:val="16"/>
              </w:rPr>
              <w:t>C001</w:t>
            </w:r>
          </w:p>
        </w:tc>
        <w:tc>
          <w:tcPr>
            <w:tcW w:w="1377" w:type="dxa"/>
            <w:vAlign w:val="center"/>
          </w:tcPr>
          <w:p w14:paraId="21E371BF">
            <w:pPr>
              <w:spacing w:before="30" w:after="30"/>
              <w:ind w:firstLine="0"/>
              <w:jc w:val="center"/>
            </w:pPr>
            <w:r>
              <w:rPr>
                <w:rFonts w:hint="eastAsia" w:ascii="Times New Roman" w:hAnsi="Times New Roman" w:eastAsia="宋体" w:cs="Times New Roman"/>
                <w:b w:val="0"/>
                <w:i w:val="0"/>
                <w:sz w:val="16"/>
              </w:rPr>
              <w:t>P007 / El Centro</w:t>
            </w:r>
          </w:p>
        </w:tc>
        <w:tc>
          <w:tcPr>
            <w:tcW w:w="1377" w:type="dxa"/>
            <w:vAlign w:val="center"/>
          </w:tcPr>
          <w:p w14:paraId="42A56853">
            <w:pPr>
              <w:spacing w:before="30" w:after="30"/>
              <w:ind w:firstLine="0"/>
              <w:jc w:val="center"/>
            </w:pPr>
            <w:r>
              <w:rPr>
                <w:rFonts w:hint="eastAsia" w:ascii="Times New Roman" w:hAnsi="Times New Roman" w:eastAsia="宋体" w:cs="Times New Roman"/>
                <w:b w:val="0"/>
                <w:i w:val="0"/>
                <w:sz w:val="16"/>
              </w:rPr>
              <w:t>20.73%</w:t>
            </w:r>
          </w:p>
        </w:tc>
        <w:tc>
          <w:tcPr>
            <w:tcW w:w="1377" w:type="dxa"/>
            <w:vAlign w:val="center"/>
          </w:tcPr>
          <w:p w14:paraId="32726F29">
            <w:pPr>
              <w:spacing w:before="30" w:after="30"/>
              <w:ind w:firstLine="0"/>
              <w:jc w:val="center"/>
            </w:pPr>
            <w:r>
              <w:rPr>
                <w:rFonts w:hint="eastAsia" w:ascii="Times New Roman" w:hAnsi="Times New Roman" w:eastAsia="宋体" w:cs="Times New Roman"/>
                <w:b w:val="0"/>
                <w:i w:val="0"/>
                <w:sz w:val="16"/>
              </w:rPr>
              <w:t>0.9789</w:t>
            </w:r>
          </w:p>
        </w:tc>
        <w:tc>
          <w:tcPr>
            <w:tcW w:w="1377" w:type="dxa"/>
            <w:vAlign w:val="center"/>
          </w:tcPr>
          <w:p w14:paraId="3105FE50">
            <w:pPr>
              <w:spacing w:before="30" w:after="30"/>
              <w:ind w:firstLine="0"/>
              <w:jc w:val="center"/>
            </w:pPr>
            <w:r>
              <w:rPr>
                <w:rFonts w:hint="eastAsia" w:ascii="Times New Roman" w:hAnsi="Times New Roman" w:eastAsia="宋体" w:cs="Times New Roman"/>
                <w:b w:val="0"/>
                <w:i w:val="0"/>
                <w:sz w:val="16"/>
              </w:rPr>
              <w:t>6.09%</w:t>
            </w:r>
          </w:p>
        </w:tc>
        <w:tc>
          <w:tcPr>
            <w:tcW w:w="1377" w:type="dxa"/>
            <w:vAlign w:val="center"/>
          </w:tcPr>
          <w:p w14:paraId="6E93A7DD">
            <w:pPr>
              <w:spacing w:before="30" w:after="30"/>
              <w:ind w:firstLine="0"/>
              <w:jc w:val="center"/>
            </w:pPr>
            <w:r>
              <w:rPr>
                <w:rFonts w:hint="eastAsia" w:ascii="Times New Roman" w:hAnsi="Times New Roman" w:eastAsia="宋体" w:cs="Times New Roman"/>
                <w:b w:val="0"/>
                <w:i w:val="0"/>
                <w:sz w:val="16"/>
              </w:rPr>
              <w:t>0.002</w:t>
            </w:r>
          </w:p>
        </w:tc>
        <w:tc>
          <w:tcPr>
            <w:tcW w:w="1377" w:type="dxa"/>
            <w:vAlign w:val="center"/>
          </w:tcPr>
          <w:p w14:paraId="0B7F0A0B">
            <w:pPr>
              <w:spacing w:before="30" w:after="30"/>
              <w:ind w:firstLine="0"/>
              <w:jc w:val="center"/>
            </w:pPr>
            <w:r>
              <w:rPr>
                <w:rFonts w:hint="eastAsia" w:ascii="Times New Roman" w:hAnsi="Times New Roman" w:eastAsia="宋体" w:cs="Times New Roman"/>
                <w:b w:val="0"/>
                <w:i w:val="0"/>
                <w:sz w:val="16"/>
              </w:rPr>
              <w:t>1.86%</w:t>
            </w:r>
          </w:p>
        </w:tc>
      </w:tr>
      <w:tr w14:paraId="209440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5B93B927">
            <w:pPr>
              <w:spacing w:before="30" w:after="30"/>
              <w:ind w:firstLine="0"/>
              <w:jc w:val="center"/>
            </w:pPr>
            <w:r>
              <w:rPr>
                <w:rFonts w:hint="eastAsia" w:ascii="Times New Roman" w:hAnsi="Times New Roman" w:eastAsia="宋体" w:cs="Times New Roman"/>
                <w:b w:val="0"/>
                <w:i w:val="0"/>
                <w:sz w:val="16"/>
              </w:rPr>
              <w:t>C002</w:t>
            </w:r>
          </w:p>
        </w:tc>
        <w:tc>
          <w:tcPr>
            <w:tcW w:w="1377" w:type="dxa"/>
            <w:vAlign w:val="center"/>
          </w:tcPr>
          <w:p w14:paraId="6AD4DF99">
            <w:pPr>
              <w:spacing w:before="30" w:after="30"/>
              <w:ind w:firstLine="0"/>
              <w:jc w:val="center"/>
            </w:pPr>
            <w:r>
              <w:rPr>
                <w:rFonts w:hint="eastAsia" w:ascii="Times New Roman" w:hAnsi="Times New Roman" w:eastAsia="宋体" w:cs="Times New Roman"/>
                <w:b w:val="0"/>
                <w:i w:val="0"/>
                <w:sz w:val="16"/>
              </w:rPr>
              <w:t>P007 / Kobe</w:t>
            </w:r>
          </w:p>
        </w:tc>
        <w:tc>
          <w:tcPr>
            <w:tcW w:w="1377" w:type="dxa"/>
            <w:vAlign w:val="center"/>
          </w:tcPr>
          <w:p w14:paraId="3B3BD78D">
            <w:pPr>
              <w:spacing w:before="30" w:after="30"/>
              <w:ind w:firstLine="0"/>
              <w:jc w:val="center"/>
            </w:pPr>
            <w:r>
              <w:rPr>
                <w:rFonts w:hint="eastAsia" w:ascii="Times New Roman" w:hAnsi="Times New Roman" w:eastAsia="宋体" w:cs="Times New Roman"/>
                <w:b w:val="0"/>
                <w:i w:val="0"/>
                <w:sz w:val="16"/>
              </w:rPr>
              <w:t>22.47%</w:t>
            </w:r>
          </w:p>
        </w:tc>
        <w:tc>
          <w:tcPr>
            <w:tcW w:w="1377" w:type="dxa"/>
            <w:vAlign w:val="center"/>
          </w:tcPr>
          <w:p w14:paraId="4C4085C5">
            <w:pPr>
              <w:spacing w:before="30" w:after="30"/>
              <w:ind w:firstLine="0"/>
              <w:jc w:val="center"/>
            </w:pPr>
            <w:r>
              <w:rPr>
                <w:rFonts w:hint="eastAsia" w:ascii="Times New Roman" w:hAnsi="Times New Roman" w:eastAsia="宋体" w:cs="Times New Roman"/>
                <w:b w:val="0"/>
                <w:i w:val="0"/>
                <w:sz w:val="16"/>
              </w:rPr>
              <w:t>0.9784</w:t>
            </w:r>
          </w:p>
        </w:tc>
        <w:tc>
          <w:tcPr>
            <w:tcW w:w="1377" w:type="dxa"/>
            <w:vAlign w:val="center"/>
          </w:tcPr>
          <w:p w14:paraId="55AE58F3">
            <w:pPr>
              <w:spacing w:before="30" w:after="30"/>
              <w:ind w:firstLine="0"/>
              <w:jc w:val="center"/>
            </w:pPr>
            <w:r>
              <w:rPr>
                <w:rFonts w:hint="eastAsia" w:ascii="Times New Roman" w:hAnsi="Times New Roman" w:eastAsia="宋体" w:cs="Times New Roman"/>
                <w:b w:val="0"/>
                <w:i w:val="0"/>
                <w:sz w:val="16"/>
              </w:rPr>
              <w:t>3.70%</w:t>
            </w:r>
          </w:p>
        </w:tc>
        <w:tc>
          <w:tcPr>
            <w:tcW w:w="1377" w:type="dxa"/>
            <w:vAlign w:val="center"/>
          </w:tcPr>
          <w:p w14:paraId="4572E1DB">
            <w:pPr>
              <w:spacing w:before="30" w:after="30"/>
              <w:ind w:firstLine="0"/>
              <w:jc w:val="center"/>
            </w:pPr>
            <w:r>
              <w:rPr>
                <w:rFonts w:hint="eastAsia" w:ascii="Times New Roman" w:hAnsi="Times New Roman" w:eastAsia="宋体" w:cs="Times New Roman"/>
                <w:b w:val="0"/>
                <w:i w:val="0"/>
                <w:sz w:val="16"/>
              </w:rPr>
              <w:t>0.005</w:t>
            </w:r>
          </w:p>
        </w:tc>
        <w:tc>
          <w:tcPr>
            <w:tcW w:w="1377" w:type="dxa"/>
            <w:vAlign w:val="center"/>
          </w:tcPr>
          <w:p w14:paraId="5CDDC89C">
            <w:pPr>
              <w:spacing w:before="30" w:after="30"/>
              <w:ind w:firstLine="0"/>
              <w:jc w:val="center"/>
            </w:pPr>
            <w:r>
              <w:rPr>
                <w:rFonts w:hint="eastAsia" w:ascii="Times New Roman" w:hAnsi="Times New Roman" w:eastAsia="宋体" w:cs="Times New Roman"/>
                <w:b w:val="0"/>
                <w:i w:val="0"/>
                <w:sz w:val="16"/>
              </w:rPr>
              <w:t>2.43%</w:t>
            </w:r>
          </w:p>
        </w:tc>
      </w:tr>
      <w:tr w14:paraId="1F17AD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28A9175A">
            <w:pPr>
              <w:spacing w:before="30" w:after="30"/>
              <w:ind w:firstLine="0"/>
              <w:jc w:val="center"/>
            </w:pPr>
            <w:r>
              <w:rPr>
                <w:rFonts w:hint="eastAsia" w:ascii="Times New Roman" w:hAnsi="Times New Roman" w:eastAsia="宋体" w:cs="Times New Roman"/>
                <w:b w:val="0"/>
                <w:i w:val="0"/>
                <w:sz w:val="16"/>
              </w:rPr>
              <w:t>C003</w:t>
            </w:r>
          </w:p>
        </w:tc>
        <w:tc>
          <w:tcPr>
            <w:tcW w:w="1377" w:type="dxa"/>
            <w:vAlign w:val="center"/>
          </w:tcPr>
          <w:p w14:paraId="10445FB2">
            <w:pPr>
              <w:spacing w:before="30" w:after="30"/>
              <w:ind w:firstLine="0"/>
              <w:jc w:val="center"/>
            </w:pPr>
            <w:r>
              <w:rPr>
                <w:rFonts w:hint="eastAsia" w:ascii="Times New Roman" w:hAnsi="Times New Roman" w:eastAsia="宋体" w:cs="Times New Roman"/>
                <w:b w:val="0"/>
                <w:i w:val="0"/>
                <w:sz w:val="16"/>
              </w:rPr>
              <w:t>P039 / El Centro</w:t>
            </w:r>
          </w:p>
        </w:tc>
        <w:tc>
          <w:tcPr>
            <w:tcW w:w="1377" w:type="dxa"/>
            <w:vAlign w:val="center"/>
          </w:tcPr>
          <w:p w14:paraId="02F237C0">
            <w:pPr>
              <w:spacing w:before="30" w:after="30"/>
              <w:ind w:firstLine="0"/>
              <w:jc w:val="center"/>
            </w:pPr>
            <w:r>
              <w:rPr>
                <w:rFonts w:hint="eastAsia" w:ascii="Times New Roman" w:hAnsi="Times New Roman" w:eastAsia="宋体" w:cs="Times New Roman"/>
                <w:b w:val="0"/>
                <w:i w:val="0"/>
                <w:sz w:val="16"/>
              </w:rPr>
              <w:t>8.11%</w:t>
            </w:r>
          </w:p>
        </w:tc>
        <w:tc>
          <w:tcPr>
            <w:tcW w:w="1377" w:type="dxa"/>
            <w:vAlign w:val="center"/>
          </w:tcPr>
          <w:p w14:paraId="0DA28865">
            <w:pPr>
              <w:spacing w:before="30" w:after="30"/>
              <w:ind w:firstLine="0"/>
              <w:jc w:val="center"/>
            </w:pPr>
            <w:r>
              <w:rPr>
                <w:rFonts w:hint="eastAsia" w:ascii="Times New Roman" w:hAnsi="Times New Roman" w:eastAsia="宋体" w:cs="Times New Roman"/>
                <w:b w:val="0"/>
                <w:i w:val="0"/>
                <w:sz w:val="16"/>
              </w:rPr>
              <w:t>0.9967</w:t>
            </w:r>
          </w:p>
        </w:tc>
        <w:tc>
          <w:tcPr>
            <w:tcW w:w="1377" w:type="dxa"/>
            <w:vAlign w:val="center"/>
          </w:tcPr>
          <w:p w14:paraId="34A5E91D">
            <w:pPr>
              <w:spacing w:before="30" w:after="30"/>
              <w:ind w:firstLine="0"/>
              <w:jc w:val="center"/>
            </w:pPr>
            <w:r>
              <w:rPr>
                <w:rFonts w:hint="eastAsia" w:ascii="Times New Roman" w:hAnsi="Times New Roman" w:eastAsia="宋体" w:cs="Times New Roman"/>
                <w:b w:val="0"/>
                <w:i w:val="0"/>
                <w:sz w:val="16"/>
              </w:rPr>
              <w:t>1.43%</w:t>
            </w:r>
          </w:p>
        </w:tc>
        <w:tc>
          <w:tcPr>
            <w:tcW w:w="1377" w:type="dxa"/>
            <w:vAlign w:val="center"/>
          </w:tcPr>
          <w:p w14:paraId="03AD3B71">
            <w:pPr>
              <w:spacing w:before="30" w:after="30"/>
              <w:ind w:firstLine="0"/>
              <w:jc w:val="center"/>
            </w:pPr>
            <w:r>
              <w:rPr>
                <w:rFonts w:hint="eastAsia" w:ascii="Times New Roman" w:hAnsi="Times New Roman" w:eastAsia="宋体" w:cs="Times New Roman"/>
                <w:b w:val="0"/>
                <w:i w:val="0"/>
                <w:sz w:val="16"/>
              </w:rPr>
              <w:t>0.001</w:t>
            </w:r>
          </w:p>
        </w:tc>
        <w:tc>
          <w:tcPr>
            <w:tcW w:w="1377" w:type="dxa"/>
            <w:vAlign w:val="center"/>
          </w:tcPr>
          <w:p w14:paraId="37CB3893">
            <w:pPr>
              <w:spacing w:before="30" w:after="30"/>
              <w:ind w:firstLine="0"/>
              <w:jc w:val="center"/>
            </w:pPr>
            <w:r>
              <w:rPr>
                <w:rFonts w:hint="eastAsia" w:ascii="Times New Roman" w:hAnsi="Times New Roman" w:eastAsia="宋体" w:cs="Times New Roman"/>
                <w:b w:val="0"/>
                <w:i w:val="0"/>
                <w:sz w:val="16"/>
              </w:rPr>
              <w:t>0.65%</w:t>
            </w:r>
          </w:p>
        </w:tc>
      </w:tr>
      <w:tr w14:paraId="7DF854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5920AEB2">
            <w:pPr>
              <w:spacing w:before="30" w:after="30"/>
              <w:ind w:firstLine="0"/>
              <w:jc w:val="center"/>
            </w:pPr>
            <w:r>
              <w:rPr>
                <w:rFonts w:hint="eastAsia" w:ascii="Times New Roman" w:hAnsi="Times New Roman" w:eastAsia="宋体" w:cs="Times New Roman"/>
                <w:b w:val="0"/>
                <w:i w:val="0"/>
                <w:sz w:val="16"/>
              </w:rPr>
              <w:t>C004</w:t>
            </w:r>
          </w:p>
        </w:tc>
        <w:tc>
          <w:tcPr>
            <w:tcW w:w="1377" w:type="dxa"/>
            <w:vAlign w:val="center"/>
          </w:tcPr>
          <w:p w14:paraId="7B4E4B23">
            <w:pPr>
              <w:spacing w:before="30" w:after="30"/>
              <w:ind w:firstLine="0"/>
              <w:jc w:val="center"/>
            </w:pPr>
            <w:r>
              <w:rPr>
                <w:rFonts w:hint="eastAsia" w:ascii="Times New Roman" w:hAnsi="Times New Roman" w:eastAsia="宋体" w:cs="Times New Roman"/>
                <w:b w:val="0"/>
                <w:i w:val="0"/>
                <w:sz w:val="16"/>
              </w:rPr>
              <w:t>P039 / Kobe</w:t>
            </w:r>
          </w:p>
        </w:tc>
        <w:tc>
          <w:tcPr>
            <w:tcW w:w="1377" w:type="dxa"/>
            <w:vAlign w:val="center"/>
          </w:tcPr>
          <w:p w14:paraId="7406D4A7">
            <w:pPr>
              <w:spacing w:before="30" w:after="30"/>
              <w:ind w:firstLine="0"/>
              <w:jc w:val="center"/>
            </w:pPr>
            <w:r>
              <w:rPr>
                <w:rFonts w:hint="eastAsia" w:ascii="Times New Roman" w:hAnsi="Times New Roman" w:eastAsia="宋体" w:cs="Times New Roman"/>
                <w:b w:val="0"/>
                <w:i w:val="0"/>
                <w:sz w:val="16"/>
              </w:rPr>
              <w:t>9.40%</w:t>
            </w:r>
          </w:p>
        </w:tc>
        <w:tc>
          <w:tcPr>
            <w:tcW w:w="1377" w:type="dxa"/>
            <w:vAlign w:val="center"/>
          </w:tcPr>
          <w:p w14:paraId="6EB68F54">
            <w:pPr>
              <w:spacing w:before="30" w:after="30"/>
              <w:ind w:firstLine="0"/>
              <w:jc w:val="center"/>
            </w:pPr>
            <w:r>
              <w:rPr>
                <w:rFonts w:hint="eastAsia" w:ascii="Times New Roman" w:hAnsi="Times New Roman" w:eastAsia="宋体" w:cs="Times New Roman"/>
                <w:b w:val="0"/>
                <w:i w:val="0"/>
                <w:sz w:val="16"/>
              </w:rPr>
              <w:t>0.9958</w:t>
            </w:r>
          </w:p>
        </w:tc>
        <w:tc>
          <w:tcPr>
            <w:tcW w:w="1377" w:type="dxa"/>
            <w:vAlign w:val="center"/>
          </w:tcPr>
          <w:p w14:paraId="5411A946">
            <w:pPr>
              <w:spacing w:before="30" w:after="30"/>
              <w:ind w:firstLine="0"/>
              <w:jc w:val="center"/>
            </w:pPr>
            <w:r>
              <w:rPr>
                <w:rFonts w:hint="eastAsia" w:ascii="Times New Roman" w:hAnsi="Times New Roman" w:eastAsia="宋体" w:cs="Times New Roman"/>
                <w:b w:val="0"/>
                <w:i w:val="0"/>
                <w:sz w:val="16"/>
              </w:rPr>
              <w:t>2.45%</w:t>
            </w:r>
          </w:p>
        </w:tc>
        <w:tc>
          <w:tcPr>
            <w:tcW w:w="1377" w:type="dxa"/>
            <w:vAlign w:val="center"/>
          </w:tcPr>
          <w:p w14:paraId="042FD63B">
            <w:pPr>
              <w:spacing w:before="30" w:after="30"/>
              <w:ind w:firstLine="0"/>
              <w:jc w:val="center"/>
            </w:pPr>
            <w:r>
              <w:rPr>
                <w:rFonts w:hint="eastAsia" w:ascii="Times New Roman" w:hAnsi="Times New Roman" w:eastAsia="宋体" w:cs="Times New Roman"/>
                <w:b w:val="0"/>
                <w:i w:val="0"/>
                <w:sz w:val="16"/>
              </w:rPr>
              <w:t>0.001</w:t>
            </w:r>
          </w:p>
        </w:tc>
        <w:tc>
          <w:tcPr>
            <w:tcW w:w="1377" w:type="dxa"/>
            <w:vAlign w:val="center"/>
          </w:tcPr>
          <w:p w14:paraId="5FDD26E1">
            <w:pPr>
              <w:spacing w:before="30" w:after="30"/>
              <w:ind w:firstLine="0"/>
              <w:jc w:val="center"/>
            </w:pPr>
            <w:r>
              <w:rPr>
                <w:rFonts w:hint="eastAsia" w:ascii="Times New Roman" w:hAnsi="Times New Roman" w:eastAsia="宋体" w:cs="Times New Roman"/>
                <w:b w:val="0"/>
                <w:i w:val="0"/>
                <w:sz w:val="16"/>
              </w:rPr>
              <w:t>0.91%</w:t>
            </w:r>
          </w:p>
        </w:tc>
      </w:tr>
      <w:tr w14:paraId="42CA45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50D1479F">
            <w:pPr>
              <w:spacing w:before="30" w:after="30"/>
              <w:ind w:firstLine="0"/>
              <w:jc w:val="center"/>
            </w:pPr>
            <w:r>
              <w:rPr>
                <w:rFonts w:hint="eastAsia" w:ascii="Times New Roman" w:hAnsi="Times New Roman" w:eastAsia="宋体" w:cs="Times New Roman"/>
                <w:b w:val="0"/>
                <w:i w:val="0"/>
                <w:sz w:val="16"/>
              </w:rPr>
              <w:t>C005</w:t>
            </w:r>
          </w:p>
        </w:tc>
        <w:tc>
          <w:tcPr>
            <w:tcW w:w="1377" w:type="dxa"/>
            <w:vAlign w:val="center"/>
          </w:tcPr>
          <w:p w14:paraId="3F404CBF">
            <w:pPr>
              <w:spacing w:before="30" w:after="30"/>
              <w:ind w:firstLine="0"/>
              <w:jc w:val="center"/>
            </w:pPr>
            <w:r>
              <w:rPr>
                <w:rFonts w:hint="eastAsia" w:ascii="Times New Roman" w:hAnsi="Times New Roman" w:eastAsia="宋体" w:cs="Times New Roman"/>
                <w:b w:val="0"/>
                <w:i w:val="0"/>
                <w:sz w:val="16"/>
              </w:rPr>
              <w:t>P061 / El Centro</w:t>
            </w:r>
          </w:p>
        </w:tc>
        <w:tc>
          <w:tcPr>
            <w:tcW w:w="1377" w:type="dxa"/>
            <w:vAlign w:val="center"/>
          </w:tcPr>
          <w:p w14:paraId="0143B306">
            <w:pPr>
              <w:spacing w:before="30" w:after="30"/>
              <w:ind w:firstLine="0"/>
              <w:jc w:val="center"/>
            </w:pPr>
            <w:r>
              <w:rPr>
                <w:rFonts w:hint="eastAsia" w:ascii="Times New Roman" w:hAnsi="Times New Roman" w:eastAsia="宋体" w:cs="Times New Roman"/>
                <w:b w:val="0"/>
                <w:i w:val="0"/>
                <w:sz w:val="16"/>
              </w:rPr>
              <w:t>9.52%</w:t>
            </w:r>
          </w:p>
        </w:tc>
        <w:tc>
          <w:tcPr>
            <w:tcW w:w="1377" w:type="dxa"/>
            <w:vAlign w:val="center"/>
          </w:tcPr>
          <w:p w14:paraId="73922772">
            <w:pPr>
              <w:spacing w:before="30" w:after="30"/>
              <w:ind w:firstLine="0"/>
              <w:jc w:val="center"/>
            </w:pPr>
            <w:r>
              <w:rPr>
                <w:rFonts w:hint="eastAsia" w:ascii="Times New Roman" w:hAnsi="Times New Roman" w:eastAsia="宋体" w:cs="Times New Roman"/>
                <w:b w:val="0"/>
                <w:i w:val="0"/>
                <w:sz w:val="16"/>
              </w:rPr>
              <w:t>0.9955</w:t>
            </w:r>
          </w:p>
        </w:tc>
        <w:tc>
          <w:tcPr>
            <w:tcW w:w="1377" w:type="dxa"/>
            <w:vAlign w:val="center"/>
          </w:tcPr>
          <w:p w14:paraId="0F8E4955">
            <w:pPr>
              <w:spacing w:before="30" w:after="30"/>
              <w:ind w:firstLine="0"/>
              <w:jc w:val="center"/>
            </w:pPr>
            <w:r>
              <w:rPr>
                <w:rFonts w:hint="eastAsia" w:ascii="Times New Roman" w:hAnsi="Times New Roman" w:eastAsia="宋体" w:cs="Times New Roman"/>
                <w:b w:val="0"/>
                <w:i w:val="0"/>
                <w:sz w:val="16"/>
              </w:rPr>
              <w:t>1.26%</w:t>
            </w:r>
          </w:p>
        </w:tc>
        <w:tc>
          <w:tcPr>
            <w:tcW w:w="1377" w:type="dxa"/>
            <w:vAlign w:val="center"/>
          </w:tcPr>
          <w:p w14:paraId="5EFBC0A2">
            <w:pPr>
              <w:spacing w:before="30" w:after="30"/>
              <w:ind w:firstLine="0"/>
              <w:jc w:val="center"/>
            </w:pPr>
            <w:r>
              <w:rPr>
                <w:rFonts w:hint="eastAsia" w:ascii="Times New Roman" w:hAnsi="Times New Roman" w:eastAsia="宋体" w:cs="Times New Roman"/>
                <w:b w:val="0"/>
                <w:i w:val="0"/>
                <w:sz w:val="16"/>
              </w:rPr>
              <w:t>0.001</w:t>
            </w:r>
          </w:p>
        </w:tc>
        <w:tc>
          <w:tcPr>
            <w:tcW w:w="1377" w:type="dxa"/>
            <w:vAlign w:val="center"/>
          </w:tcPr>
          <w:p w14:paraId="532C4986">
            <w:pPr>
              <w:spacing w:before="30" w:after="30"/>
              <w:ind w:firstLine="0"/>
              <w:jc w:val="center"/>
            </w:pPr>
            <w:r>
              <w:rPr>
                <w:rFonts w:hint="eastAsia" w:ascii="Times New Roman" w:hAnsi="Times New Roman" w:eastAsia="宋体" w:cs="Times New Roman"/>
                <w:b w:val="0"/>
                <w:i w:val="0"/>
                <w:sz w:val="16"/>
              </w:rPr>
              <w:t>2.37%</w:t>
            </w:r>
          </w:p>
        </w:tc>
      </w:tr>
      <w:tr w14:paraId="54713C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36A5DCA6">
            <w:pPr>
              <w:spacing w:before="30" w:after="30"/>
              <w:ind w:firstLine="0"/>
              <w:jc w:val="center"/>
            </w:pPr>
            <w:r>
              <w:rPr>
                <w:rFonts w:hint="eastAsia" w:ascii="Times New Roman" w:hAnsi="Times New Roman" w:eastAsia="宋体" w:cs="Times New Roman"/>
                <w:b w:val="0"/>
                <w:i w:val="0"/>
                <w:sz w:val="16"/>
              </w:rPr>
              <w:t>C006</w:t>
            </w:r>
          </w:p>
        </w:tc>
        <w:tc>
          <w:tcPr>
            <w:tcW w:w="1377" w:type="dxa"/>
            <w:vAlign w:val="center"/>
          </w:tcPr>
          <w:p w14:paraId="1C28D54D">
            <w:pPr>
              <w:spacing w:before="30" w:after="30"/>
              <w:ind w:firstLine="0"/>
              <w:jc w:val="center"/>
            </w:pPr>
            <w:r>
              <w:rPr>
                <w:rFonts w:hint="eastAsia" w:ascii="Times New Roman" w:hAnsi="Times New Roman" w:eastAsia="宋体" w:cs="Times New Roman"/>
                <w:b w:val="0"/>
                <w:i w:val="0"/>
                <w:sz w:val="16"/>
              </w:rPr>
              <w:t>P061 / Kobe</w:t>
            </w:r>
          </w:p>
        </w:tc>
        <w:tc>
          <w:tcPr>
            <w:tcW w:w="1377" w:type="dxa"/>
            <w:vAlign w:val="center"/>
          </w:tcPr>
          <w:p w14:paraId="7828FDB5">
            <w:pPr>
              <w:spacing w:before="30" w:after="30"/>
              <w:ind w:firstLine="0"/>
              <w:jc w:val="center"/>
            </w:pPr>
            <w:r>
              <w:rPr>
                <w:rFonts w:hint="eastAsia" w:ascii="Times New Roman" w:hAnsi="Times New Roman" w:eastAsia="宋体" w:cs="Times New Roman"/>
                <w:b w:val="0"/>
                <w:i w:val="0"/>
                <w:sz w:val="16"/>
              </w:rPr>
              <w:t>9.66%</w:t>
            </w:r>
          </w:p>
        </w:tc>
        <w:tc>
          <w:tcPr>
            <w:tcW w:w="1377" w:type="dxa"/>
            <w:vAlign w:val="center"/>
          </w:tcPr>
          <w:p w14:paraId="48E71D50">
            <w:pPr>
              <w:spacing w:before="30" w:after="30"/>
              <w:ind w:firstLine="0"/>
              <w:jc w:val="center"/>
            </w:pPr>
            <w:r>
              <w:rPr>
                <w:rFonts w:hint="eastAsia" w:ascii="Times New Roman" w:hAnsi="Times New Roman" w:eastAsia="宋体" w:cs="Times New Roman"/>
                <w:b w:val="0"/>
                <w:i w:val="0"/>
                <w:sz w:val="16"/>
              </w:rPr>
              <w:t>0.9957</w:t>
            </w:r>
          </w:p>
        </w:tc>
        <w:tc>
          <w:tcPr>
            <w:tcW w:w="1377" w:type="dxa"/>
            <w:vAlign w:val="center"/>
          </w:tcPr>
          <w:p w14:paraId="4ED3056A">
            <w:pPr>
              <w:spacing w:before="30" w:after="30"/>
              <w:ind w:firstLine="0"/>
              <w:jc w:val="center"/>
            </w:pPr>
            <w:r>
              <w:rPr>
                <w:rFonts w:hint="eastAsia" w:ascii="Times New Roman" w:hAnsi="Times New Roman" w:eastAsia="宋体" w:cs="Times New Roman"/>
                <w:b w:val="0"/>
                <w:i w:val="0"/>
                <w:sz w:val="16"/>
              </w:rPr>
              <w:t>3.76%</w:t>
            </w:r>
          </w:p>
        </w:tc>
        <w:tc>
          <w:tcPr>
            <w:tcW w:w="1377" w:type="dxa"/>
            <w:vAlign w:val="center"/>
          </w:tcPr>
          <w:p w14:paraId="7A2C3969">
            <w:pPr>
              <w:spacing w:before="30" w:after="30"/>
              <w:ind w:firstLine="0"/>
              <w:jc w:val="center"/>
            </w:pPr>
            <w:r>
              <w:rPr>
                <w:rFonts w:hint="eastAsia" w:ascii="Times New Roman" w:hAnsi="Times New Roman" w:eastAsia="宋体" w:cs="Times New Roman"/>
                <w:b w:val="0"/>
                <w:i w:val="0"/>
                <w:sz w:val="16"/>
              </w:rPr>
              <w:t>0.001</w:t>
            </w:r>
          </w:p>
        </w:tc>
        <w:tc>
          <w:tcPr>
            <w:tcW w:w="1377" w:type="dxa"/>
            <w:vAlign w:val="center"/>
          </w:tcPr>
          <w:p w14:paraId="6595CE55">
            <w:pPr>
              <w:spacing w:before="30" w:after="30"/>
              <w:ind w:firstLine="0"/>
              <w:jc w:val="center"/>
            </w:pPr>
            <w:r>
              <w:rPr>
                <w:rFonts w:hint="eastAsia" w:ascii="Times New Roman" w:hAnsi="Times New Roman" w:eastAsia="宋体" w:cs="Times New Roman"/>
                <w:b w:val="0"/>
                <w:i w:val="0"/>
                <w:sz w:val="16"/>
              </w:rPr>
              <w:t>2.42%</w:t>
            </w:r>
          </w:p>
        </w:tc>
      </w:tr>
      <w:tr w14:paraId="2C7EB5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368D0A6E">
            <w:pPr>
              <w:spacing w:before="30" w:after="30"/>
              <w:ind w:firstLine="0"/>
              <w:jc w:val="center"/>
            </w:pPr>
            <w:r>
              <w:rPr>
                <w:rFonts w:hint="eastAsia" w:ascii="Times New Roman" w:hAnsi="Times New Roman" w:eastAsia="宋体" w:cs="Times New Roman"/>
                <w:b w:val="0"/>
                <w:i w:val="0"/>
                <w:sz w:val="16"/>
              </w:rPr>
              <w:t>C007</w:t>
            </w:r>
          </w:p>
        </w:tc>
        <w:tc>
          <w:tcPr>
            <w:tcW w:w="1377" w:type="dxa"/>
            <w:vAlign w:val="center"/>
          </w:tcPr>
          <w:p w14:paraId="0900618A">
            <w:pPr>
              <w:spacing w:before="30" w:after="30"/>
              <w:ind w:firstLine="0"/>
              <w:jc w:val="center"/>
            </w:pPr>
            <w:r>
              <w:rPr>
                <w:rFonts w:hint="eastAsia" w:ascii="Times New Roman" w:hAnsi="Times New Roman" w:eastAsia="宋体" w:cs="Times New Roman"/>
                <w:b w:val="0"/>
                <w:i w:val="0"/>
                <w:sz w:val="16"/>
              </w:rPr>
              <w:t>B007 / El Centro</w:t>
            </w:r>
          </w:p>
        </w:tc>
        <w:tc>
          <w:tcPr>
            <w:tcW w:w="1377" w:type="dxa"/>
            <w:vAlign w:val="center"/>
          </w:tcPr>
          <w:p w14:paraId="3F893221">
            <w:pPr>
              <w:spacing w:before="30" w:after="30"/>
              <w:ind w:firstLine="0"/>
              <w:jc w:val="center"/>
            </w:pPr>
            <w:r>
              <w:rPr>
                <w:rFonts w:hint="eastAsia" w:ascii="Times New Roman" w:hAnsi="Times New Roman" w:eastAsia="宋体" w:cs="Times New Roman"/>
                <w:b w:val="0"/>
                <w:i w:val="0"/>
                <w:sz w:val="16"/>
              </w:rPr>
              <w:t>9.84%</w:t>
            </w:r>
          </w:p>
        </w:tc>
        <w:tc>
          <w:tcPr>
            <w:tcW w:w="1377" w:type="dxa"/>
            <w:vAlign w:val="center"/>
          </w:tcPr>
          <w:p w14:paraId="6CD72D51">
            <w:pPr>
              <w:spacing w:before="30" w:after="30"/>
              <w:ind w:firstLine="0"/>
              <w:jc w:val="center"/>
            </w:pPr>
            <w:r>
              <w:rPr>
                <w:rFonts w:hint="eastAsia" w:ascii="Times New Roman" w:hAnsi="Times New Roman" w:eastAsia="宋体" w:cs="Times New Roman"/>
                <w:b w:val="0"/>
                <w:i w:val="0"/>
                <w:sz w:val="16"/>
              </w:rPr>
              <w:t>0.9955</w:t>
            </w:r>
          </w:p>
        </w:tc>
        <w:tc>
          <w:tcPr>
            <w:tcW w:w="1377" w:type="dxa"/>
            <w:vAlign w:val="center"/>
          </w:tcPr>
          <w:p w14:paraId="30F03138">
            <w:pPr>
              <w:spacing w:before="30" w:after="30"/>
              <w:ind w:firstLine="0"/>
              <w:jc w:val="center"/>
            </w:pPr>
            <w:r>
              <w:rPr>
                <w:rFonts w:hint="eastAsia" w:ascii="Times New Roman" w:hAnsi="Times New Roman" w:eastAsia="宋体" w:cs="Times New Roman"/>
                <w:b w:val="0"/>
                <w:i w:val="0"/>
                <w:sz w:val="16"/>
              </w:rPr>
              <w:t>1.80%</w:t>
            </w:r>
          </w:p>
        </w:tc>
        <w:tc>
          <w:tcPr>
            <w:tcW w:w="1377" w:type="dxa"/>
            <w:vAlign w:val="center"/>
          </w:tcPr>
          <w:p w14:paraId="75C26AF5">
            <w:pPr>
              <w:spacing w:before="30" w:after="30"/>
              <w:ind w:firstLine="0"/>
              <w:jc w:val="center"/>
            </w:pPr>
            <w:r>
              <w:rPr>
                <w:rFonts w:hint="eastAsia" w:ascii="Times New Roman" w:hAnsi="Times New Roman" w:eastAsia="宋体" w:cs="Times New Roman"/>
                <w:b w:val="0"/>
                <w:i w:val="0"/>
                <w:sz w:val="16"/>
              </w:rPr>
              <w:t>0.002</w:t>
            </w:r>
          </w:p>
        </w:tc>
        <w:tc>
          <w:tcPr>
            <w:tcW w:w="1377" w:type="dxa"/>
            <w:vAlign w:val="center"/>
          </w:tcPr>
          <w:p w14:paraId="585CEB82">
            <w:pPr>
              <w:spacing w:before="30" w:after="30"/>
              <w:ind w:firstLine="0"/>
              <w:jc w:val="center"/>
            </w:pPr>
            <w:r>
              <w:rPr>
                <w:rFonts w:hint="eastAsia" w:ascii="Times New Roman" w:hAnsi="Times New Roman" w:eastAsia="宋体" w:cs="Times New Roman"/>
                <w:b w:val="0"/>
                <w:i w:val="0"/>
                <w:sz w:val="16"/>
              </w:rPr>
              <w:t>2.30%</w:t>
            </w:r>
          </w:p>
        </w:tc>
      </w:tr>
      <w:tr w14:paraId="23E69F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26674BEB">
            <w:pPr>
              <w:spacing w:before="30" w:after="30"/>
              <w:ind w:firstLine="0"/>
              <w:jc w:val="center"/>
            </w:pPr>
            <w:r>
              <w:rPr>
                <w:rFonts w:hint="eastAsia" w:ascii="Times New Roman" w:hAnsi="Times New Roman" w:eastAsia="宋体" w:cs="Times New Roman"/>
                <w:b w:val="0"/>
                <w:i w:val="0"/>
                <w:sz w:val="16"/>
              </w:rPr>
              <w:t>C008</w:t>
            </w:r>
          </w:p>
        </w:tc>
        <w:tc>
          <w:tcPr>
            <w:tcW w:w="1377" w:type="dxa"/>
            <w:vAlign w:val="center"/>
          </w:tcPr>
          <w:p w14:paraId="702D62AD">
            <w:pPr>
              <w:spacing w:before="30" w:after="30"/>
              <w:ind w:firstLine="0"/>
              <w:jc w:val="center"/>
            </w:pPr>
            <w:r>
              <w:rPr>
                <w:rFonts w:hint="eastAsia" w:ascii="Times New Roman" w:hAnsi="Times New Roman" w:eastAsia="宋体" w:cs="Times New Roman"/>
                <w:b w:val="0"/>
                <w:i w:val="0"/>
                <w:sz w:val="16"/>
              </w:rPr>
              <w:t>B007 / Kobe</w:t>
            </w:r>
          </w:p>
        </w:tc>
        <w:tc>
          <w:tcPr>
            <w:tcW w:w="1377" w:type="dxa"/>
            <w:vAlign w:val="center"/>
          </w:tcPr>
          <w:p w14:paraId="29D777B0">
            <w:pPr>
              <w:spacing w:before="30" w:after="30"/>
              <w:ind w:firstLine="0"/>
              <w:jc w:val="center"/>
            </w:pPr>
            <w:r>
              <w:rPr>
                <w:rFonts w:hint="eastAsia" w:ascii="Times New Roman" w:hAnsi="Times New Roman" w:eastAsia="宋体" w:cs="Times New Roman"/>
                <w:b w:val="0"/>
                <w:i w:val="0"/>
                <w:sz w:val="16"/>
              </w:rPr>
              <w:t>11.56%</w:t>
            </w:r>
          </w:p>
        </w:tc>
        <w:tc>
          <w:tcPr>
            <w:tcW w:w="1377" w:type="dxa"/>
            <w:vAlign w:val="center"/>
          </w:tcPr>
          <w:p w14:paraId="74A429F5">
            <w:pPr>
              <w:spacing w:before="30" w:after="30"/>
              <w:ind w:firstLine="0"/>
              <w:jc w:val="center"/>
            </w:pPr>
            <w:r>
              <w:rPr>
                <w:rFonts w:hint="eastAsia" w:ascii="Times New Roman" w:hAnsi="Times New Roman" w:eastAsia="宋体" w:cs="Times New Roman"/>
                <w:b w:val="0"/>
                <w:i w:val="0"/>
                <w:sz w:val="16"/>
              </w:rPr>
              <w:t>0.9937</w:t>
            </w:r>
          </w:p>
        </w:tc>
        <w:tc>
          <w:tcPr>
            <w:tcW w:w="1377" w:type="dxa"/>
            <w:vAlign w:val="center"/>
          </w:tcPr>
          <w:p w14:paraId="02BAFAB7">
            <w:pPr>
              <w:spacing w:before="30" w:after="30"/>
              <w:ind w:firstLine="0"/>
              <w:jc w:val="center"/>
            </w:pPr>
            <w:r>
              <w:rPr>
                <w:rFonts w:hint="eastAsia" w:ascii="Times New Roman" w:hAnsi="Times New Roman" w:eastAsia="宋体" w:cs="Times New Roman"/>
                <w:b w:val="0"/>
                <w:i w:val="0"/>
                <w:sz w:val="16"/>
              </w:rPr>
              <w:t>4.89%</w:t>
            </w:r>
          </w:p>
        </w:tc>
        <w:tc>
          <w:tcPr>
            <w:tcW w:w="1377" w:type="dxa"/>
            <w:vAlign w:val="center"/>
          </w:tcPr>
          <w:p w14:paraId="3204957D">
            <w:pPr>
              <w:spacing w:before="30" w:after="30"/>
              <w:ind w:firstLine="0"/>
              <w:jc w:val="center"/>
            </w:pPr>
            <w:r>
              <w:rPr>
                <w:rFonts w:hint="eastAsia" w:ascii="Times New Roman" w:hAnsi="Times New Roman" w:eastAsia="宋体" w:cs="Times New Roman"/>
                <w:b w:val="0"/>
                <w:i w:val="0"/>
                <w:sz w:val="16"/>
              </w:rPr>
              <w:t>0.002</w:t>
            </w:r>
          </w:p>
        </w:tc>
        <w:tc>
          <w:tcPr>
            <w:tcW w:w="1377" w:type="dxa"/>
            <w:vAlign w:val="center"/>
          </w:tcPr>
          <w:p w14:paraId="75608D0E">
            <w:pPr>
              <w:spacing w:before="30" w:after="30"/>
              <w:ind w:firstLine="0"/>
              <w:jc w:val="center"/>
            </w:pPr>
            <w:r>
              <w:rPr>
                <w:rFonts w:hint="eastAsia" w:ascii="Times New Roman" w:hAnsi="Times New Roman" w:eastAsia="宋体" w:cs="Times New Roman"/>
                <w:b w:val="0"/>
                <w:i w:val="0"/>
                <w:sz w:val="16"/>
              </w:rPr>
              <w:t>1.83%</w:t>
            </w:r>
          </w:p>
        </w:tc>
      </w:tr>
      <w:tr w14:paraId="4043CA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6B8A4BF0">
            <w:pPr>
              <w:spacing w:before="30" w:after="30"/>
              <w:ind w:firstLine="0"/>
              <w:jc w:val="center"/>
            </w:pPr>
            <w:r>
              <w:rPr>
                <w:rFonts w:hint="eastAsia" w:ascii="Times New Roman" w:hAnsi="Times New Roman" w:eastAsia="宋体" w:cs="Times New Roman"/>
                <w:b w:val="0"/>
                <w:i w:val="0"/>
                <w:sz w:val="16"/>
              </w:rPr>
              <w:t>C009</w:t>
            </w:r>
          </w:p>
        </w:tc>
        <w:tc>
          <w:tcPr>
            <w:tcW w:w="1377" w:type="dxa"/>
            <w:vAlign w:val="center"/>
          </w:tcPr>
          <w:p w14:paraId="4597C7E5">
            <w:pPr>
              <w:spacing w:before="30" w:after="30"/>
              <w:ind w:firstLine="0"/>
              <w:jc w:val="center"/>
            </w:pPr>
            <w:r>
              <w:rPr>
                <w:rFonts w:hint="eastAsia" w:ascii="Times New Roman" w:hAnsi="Times New Roman" w:eastAsia="宋体" w:cs="Times New Roman"/>
                <w:b w:val="0"/>
                <w:i w:val="0"/>
                <w:sz w:val="16"/>
              </w:rPr>
              <w:t>P039 / Chi-Chi</w:t>
            </w:r>
          </w:p>
        </w:tc>
        <w:tc>
          <w:tcPr>
            <w:tcW w:w="1377" w:type="dxa"/>
            <w:vAlign w:val="center"/>
          </w:tcPr>
          <w:p w14:paraId="1B06916C">
            <w:pPr>
              <w:spacing w:before="30" w:after="30"/>
              <w:ind w:firstLine="0"/>
              <w:jc w:val="center"/>
            </w:pPr>
            <w:r>
              <w:rPr>
                <w:rFonts w:hint="eastAsia" w:ascii="Times New Roman" w:hAnsi="Times New Roman" w:eastAsia="宋体" w:cs="Times New Roman"/>
                <w:b w:val="0"/>
                <w:i w:val="0"/>
                <w:sz w:val="16"/>
              </w:rPr>
              <w:t>8.35%</w:t>
            </w:r>
          </w:p>
        </w:tc>
        <w:tc>
          <w:tcPr>
            <w:tcW w:w="1377" w:type="dxa"/>
            <w:vAlign w:val="center"/>
          </w:tcPr>
          <w:p w14:paraId="2746ABA8">
            <w:pPr>
              <w:spacing w:before="30" w:after="30"/>
              <w:ind w:firstLine="0"/>
              <w:jc w:val="center"/>
            </w:pPr>
            <w:r>
              <w:rPr>
                <w:rFonts w:hint="eastAsia" w:ascii="Times New Roman" w:hAnsi="Times New Roman" w:eastAsia="宋体" w:cs="Times New Roman"/>
                <w:b w:val="0"/>
                <w:i w:val="0"/>
                <w:sz w:val="16"/>
              </w:rPr>
              <w:t>0.9967</w:t>
            </w:r>
          </w:p>
        </w:tc>
        <w:tc>
          <w:tcPr>
            <w:tcW w:w="1377" w:type="dxa"/>
            <w:vAlign w:val="center"/>
          </w:tcPr>
          <w:p w14:paraId="52D6C9EC">
            <w:pPr>
              <w:spacing w:before="30" w:after="30"/>
              <w:ind w:firstLine="0"/>
              <w:jc w:val="center"/>
            </w:pPr>
            <w:r>
              <w:rPr>
                <w:rFonts w:hint="eastAsia" w:ascii="Times New Roman" w:hAnsi="Times New Roman" w:eastAsia="宋体" w:cs="Times New Roman"/>
                <w:b w:val="0"/>
                <w:i w:val="0"/>
                <w:sz w:val="16"/>
              </w:rPr>
              <w:t>1.16%</w:t>
            </w:r>
          </w:p>
        </w:tc>
        <w:tc>
          <w:tcPr>
            <w:tcW w:w="1377" w:type="dxa"/>
            <w:vAlign w:val="center"/>
          </w:tcPr>
          <w:p w14:paraId="259F5CB2">
            <w:pPr>
              <w:spacing w:before="30" w:after="30"/>
              <w:ind w:firstLine="0"/>
              <w:jc w:val="center"/>
            </w:pPr>
            <w:r>
              <w:rPr>
                <w:rFonts w:hint="eastAsia" w:ascii="Times New Roman" w:hAnsi="Times New Roman" w:eastAsia="宋体" w:cs="Times New Roman"/>
                <w:b w:val="0"/>
                <w:i w:val="0"/>
                <w:sz w:val="16"/>
              </w:rPr>
              <w:t>0.001</w:t>
            </w:r>
          </w:p>
        </w:tc>
        <w:tc>
          <w:tcPr>
            <w:tcW w:w="1377" w:type="dxa"/>
            <w:vAlign w:val="center"/>
          </w:tcPr>
          <w:p w14:paraId="4A0E27CF">
            <w:pPr>
              <w:spacing w:before="30" w:after="30"/>
              <w:ind w:firstLine="0"/>
              <w:jc w:val="center"/>
            </w:pPr>
            <w:r>
              <w:rPr>
                <w:rFonts w:hint="eastAsia" w:ascii="Times New Roman" w:hAnsi="Times New Roman" w:eastAsia="宋体" w:cs="Times New Roman"/>
                <w:b w:val="0"/>
                <w:i w:val="0"/>
                <w:sz w:val="16"/>
              </w:rPr>
              <w:t>0.67%</w:t>
            </w:r>
          </w:p>
        </w:tc>
      </w:tr>
      <w:tr w14:paraId="588AB7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79B9A5B7">
            <w:pPr>
              <w:spacing w:before="30" w:after="30"/>
              <w:ind w:firstLine="0"/>
              <w:jc w:val="center"/>
            </w:pPr>
            <w:r>
              <w:rPr>
                <w:rFonts w:hint="eastAsia" w:ascii="Times New Roman" w:hAnsi="Times New Roman" w:eastAsia="宋体" w:cs="Times New Roman"/>
                <w:b w:val="0"/>
                <w:i w:val="0"/>
                <w:sz w:val="16"/>
              </w:rPr>
              <w:t>C010</w:t>
            </w:r>
          </w:p>
        </w:tc>
        <w:tc>
          <w:tcPr>
            <w:tcW w:w="1377" w:type="dxa"/>
            <w:vAlign w:val="center"/>
          </w:tcPr>
          <w:p w14:paraId="6FC74C16">
            <w:pPr>
              <w:spacing w:before="30" w:after="30"/>
              <w:ind w:firstLine="0"/>
              <w:jc w:val="center"/>
            </w:pPr>
            <w:r>
              <w:rPr>
                <w:rFonts w:hint="eastAsia" w:ascii="Times New Roman" w:hAnsi="Times New Roman" w:eastAsia="宋体" w:cs="Times New Roman"/>
                <w:b w:val="0"/>
                <w:i w:val="0"/>
                <w:sz w:val="16"/>
              </w:rPr>
              <w:t>B007 / Chi-Chi</w:t>
            </w:r>
          </w:p>
        </w:tc>
        <w:tc>
          <w:tcPr>
            <w:tcW w:w="1377" w:type="dxa"/>
            <w:vAlign w:val="center"/>
          </w:tcPr>
          <w:p w14:paraId="428D4E12">
            <w:pPr>
              <w:spacing w:before="30" w:after="30"/>
              <w:ind w:firstLine="0"/>
              <w:jc w:val="center"/>
            </w:pPr>
            <w:r>
              <w:rPr>
                <w:rFonts w:hint="eastAsia" w:ascii="Times New Roman" w:hAnsi="Times New Roman" w:eastAsia="宋体" w:cs="Times New Roman"/>
                <w:b w:val="0"/>
                <w:i w:val="0"/>
                <w:sz w:val="16"/>
              </w:rPr>
              <w:t>10.98%</w:t>
            </w:r>
          </w:p>
        </w:tc>
        <w:tc>
          <w:tcPr>
            <w:tcW w:w="1377" w:type="dxa"/>
            <w:vAlign w:val="center"/>
          </w:tcPr>
          <w:p w14:paraId="2D551940">
            <w:pPr>
              <w:spacing w:before="30" w:after="30"/>
              <w:ind w:firstLine="0"/>
              <w:jc w:val="center"/>
            </w:pPr>
            <w:r>
              <w:rPr>
                <w:rFonts w:hint="eastAsia" w:ascii="Times New Roman" w:hAnsi="Times New Roman" w:eastAsia="宋体" w:cs="Times New Roman"/>
                <w:b w:val="0"/>
                <w:i w:val="0"/>
                <w:sz w:val="16"/>
              </w:rPr>
              <w:t>0.9940</w:t>
            </w:r>
          </w:p>
        </w:tc>
        <w:tc>
          <w:tcPr>
            <w:tcW w:w="1377" w:type="dxa"/>
            <w:vAlign w:val="center"/>
          </w:tcPr>
          <w:p w14:paraId="2E9AC41D">
            <w:pPr>
              <w:spacing w:before="30" w:after="30"/>
              <w:ind w:firstLine="0"/>
              <w:jc w:val="center"/>
            </w:pPr>
            <w:r>
              <w:rPr>
                <w:rFonts w:hint="eastAsia" w:ascii="Times New Roman" w:hAnsi="Times New Roman" w:eastAsia="宋体" w:cs="Times New Roman"/>
                <w:b w:val="0"/>
                <w:i w:val="0"/>
                <w:sz w:val="16"/>
              </w:rPr>
              <w:t>2.53%</w:t>
            </w:r>
          </w:p>
        </w:tc>
        <w:tc>
          <w:tcPr>
            <w:tcW w:w="1377" w:type="dxa"/>
            <w:vAlign w:val="center"/>
          </w:tcPr>
          <w:p w14:paraId="670C7338">
            <w:pPr>
              <w:spacing w:before="30" w:after="30"/>
              <w:ind w:firstLine="0"/>
              <w:jc w:val="center"/>
            </w:pPr>
            <w:r>
              <w:rPr>
                <w:rFonts w:hint="eastAsia" w:ascii="Times New Roman" w:hAnsi="Times New Roman" w:eastAsia="宋体" w:cs="Times New Roman"/>
                <w:b w:val="0"/>
                <w:i w:val="0"/>
                <w:sz w:val="16"/>
              </w:rPr>
              <w:t>0.002</w:t>
            </w:r>
          </w:p>
        </w:tc>
        <w:tc>
          <w:tcPr>
            <w:tcW w:w="1377" w:type="dxa"/>
            <w:vAlign w:val="center"/>
          </w:tcPr>
          <w:p w14:paraId="03A949E4">
            <w:pPr>
              <w:spacing w:before="30" w:after="30"/>
              <w:ind w:firstLine="0"/>
              <w:jc w:val="center"/>
            </w:pPr>
            <w:r>
              <w:rPr>
                <w:rFonts w:hint="eastAsia" w:ascii="Times New Roman" w:hAnsi="Times New Roman" w:eastAsia="宋体" w:cs="Times New Roman"/>
                <w:b w:val="0"/>
                <w:i w:val="0"/>
                <w:sz w:val="16"/>
              </w:rPr>
              <w:t>2.16%</w:t>
            </w:r>
          </w:p>
        </w:tc>
      </w:tr>
      <w:tr w14:paraId="4736BB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076F69C6">
            <w:pPr>
              <w:spacing w:before="30" w:after="30"/>
              <w:ind w:firstLine="0"/>
              <w:jc w:val="center"/>
            </w:pPr>
            <w:r>
              <w:rPr>
                <w:rFonts w:hint="eastAsia" w:ascii="Times New Roman" w:hAnsi="Times New Roman" w:eastAsia="宋体" w:cs="Times New Roman"/>
                <w:b w:val="0"/>
                <w:i w:val="0"/>
                <w:sz w:val="16"/>
              </w:rPr>
              <w:t>十例中位</w:t>
            </w:r>
          </w:p>
        </w:tc>
        <w:tc>
          <w:tcPr>
            <w:tcW w:w="1377" w:type="dxa"/>
            <w:vAlign w:val="center"/>
          </w:tcPr>
          <w:p w14:paraId="1E6A8456">
            <w:pPr>
              <w:spacing w:before="30" w:after="30"/>
              <w:ind w:firstLine="0"/>
              <w:jc w:val="center"/>
            </w:pPr>
            <w:r>
              <w:rPr>
                <w:rFonts w:hint="eastAsia" w:ascii="Times New Roman" w:hAnsi="Times New Roman" w:eastAsia="宋体" w:cs="Times New Roman"/>
                <w:b w:val="0"/>
                <w:i w:val="0"/>
                <w:sz w:val="16"/>
              </w:rPr>
              <w:t>—</w:t>
            </w:r>
          </w:p>
        </w:tc>
        <w:tc>
          <w:tcPr>
            <w:tcW w:w="1377" w:type="dxa"/>
            <w:vAlign w:val="center"/>
          </w:tcPr>
          <w:p w14:paraId="22D8E5DA">
            <w:pPr>
              <w:spacing w:before="30" w:after="30"/>
              <w:ind w:firstLine="0"/>
              <w:jc w:val="center"/>
            </w:pPr>
            <w:r>
              <w:rPr>
                <w:rFonts w:hint="eastAsia" w:ascii="Times New Roman" w:hAnsi="Times New Roman" w:eastAsia="宋体" w:cs="Times New Roman"/>
                <w:b w:val="0"/>
                <w:i w:val="0"/>
                <w:sz w:val="16"/>
              </w:rPr>
              <w:t>9.75%</w:t>
            </w:r>
          </w:p>
        </w:tc>
        <w:tc>
          <w:tcPr>
            <w:tcW w:w="1377" w:type="dxa"/>
            <w:vAlign w:val="center"/>
          </w:tcPr>
          <w:p w14:paraId="251D264B">
            <w:pPr>
              <w:spacing w:before="30" w:after="30"/>
              <w:ind w:firstLine="0"/>
              <w:jc w:val="center"/>
            </w:pPr>
            <w:r>
              <w:rPr>
                <w:rFonts w:hint="eastAsia" w:ascii="Times New Roman" w:hAnsi="Times New Roman" w:eastAsia="宋体" w:cs="Times New Roman"/>
                <w:b w:val="0"/>
                <w:i w:val="0"/>
                <w:sz w:val="16"/>
              </w:rPr>
              <w:t>0.9955</w:t>
            </w:r>
          </w:p>
        </w:tc>
        <w:tc>
          <w:tcPr>
            <w:tcW w:w="1377" w:type="dxa"/>
            <w:vAlign w:val="center"/>
          </w:tcPr>
          <w:p w14:paraId="7AB20C9B">
            <w:pPr>
              <w:spacing w:before="30" w:after="30"/>
              <w:ind w:firstLine="0"/>
              <w:jc w:val="center"/>
            </w:pPr>
            <w:r>
              <w:rPr>
                <w:rFonts w:hint="eastAsia" w:ascii="Times New Roman" w:hAnsi="Times New Roman" w:eastAsia="宋体" w:cs="Times New Roman"/>
                <w:b w:val="0"/>
                <w:i w:val="0"/>
                <w:sz w:val="16"/>
              </w:rPr>
              <w:t>2.49%</w:t>
            </w:r>
          </w:p>
        </w:tc>
        <w:tc>
          <w:tcPr>
            <w:tcW w:w="1377" w:type="dxa"/>
            <w:vAlign w:val="center"/>
          </w:tcPr>
          <w:p w14:paraId="7BB01CBF">
            <w:pPr>
              <w:spacing w:before="30" w:after="30"/>
              <w:ind w:firstLine="0"/>
              <w:jc w:val="center"/>
            </w:pPr>
            <w:r>
              <w:rPr>
                <w:rFonts w:hint="eastAsia" w:ascii="Times New Roman" w:hAnsi="Times New Roman" w:eastAsia="宋体" w:cs="Times New Roman"/>
                <w:b w:val="0"/>
                <w:i w:val="0"/>
                <w:sz w:val="16"/>
              </w:rPr>
              <w:t>0.0015</w:t>
            </w:r>
          </w:p>
        </w:tc>
        <w:tc>
          <w:tcPr>
            <w:tcW w:w="1377" w:type="dxa"/>
            <w:vAlign w:val="center"/>
          </w:tcPr>
          <w:p w14:paraId="5DCBBAF2">
            <w:pPr>
              <w:spacing w:before="30" w:after="30"/>
              <w:ind w:firstLine="0"/>
              <w:jc w:val="center"/>
            </w:pPr>
            <w:r>
              <w:rPr>
                <w:rFonts w:hint="eastAsia" w:ascii="Times New Roman" w:hAnsi="Times New Roman" w:eastAsia="宋体" w:cs="Times New Roman"/>
                <w:b w:val="0"/>
                <w:i w:val="0"/>
                <w:sz w:val="16"/>
              </w:rPr>
              <w:t>2.01%</w:t>
            </w:r>
          </w:p>
        </w:tc>
      </w:tr>
    </w:tbl>
    <w:p w14:paraId="6493F6F6">
      <w:pPr>
        <w:spacing w:before="0" w:after="0"/>
        <w:ind w:firstLine="420"/>
        <w:jc w:val="both"/>
      </w:pPr>
      <w:r>
        <w:rPr>
          <w:rFonts w:hint="eastAsia" w:ascii="Times New Roman" w:hAnsi="Times New Roman" w:eastAsia="宋体" w:cs="Times New Roman"/>
          <w:b w:val="0"/>
          <w:i w:val="0"/>
          <w:sz w:val="21"/>
        </w:rPr>
        <w:t>十例逐工况中位数再取总体中位后，时程 NRMSE 为 9.75%，相关系数为 0.9955，PGA/TAF 相对误差为 2.49%，峰值时刻误差为 0.0015 s，5% 阻尼反应谱相对误差为 2.01%。从总体中位看，前四项均达到相应参考线，说明代理复频响能够在多数体系—记录组合上恢复主要时程形态、峰值量级和峰值发生时间。然而，逐例结果并不等同于“十例全部通过”。C001、C002、C008 和 C010 的时程 NRMSE 分别为 20.73%、22.47%、11.56% 和 10.98%，均超过10%参考线，只有6例逐例在线内。相对地，十例相关系数均高于0.95，PGA/TAF误差均低于10%，峰值时刻误差均低于0.02 s。由此可见，闭环中的主要薄弱项是整个波列的累积偏差，而不是绝对峰值及其发生时刻完全失真。</w:t>
      </w:r>
    </w:p>
    <w:p w14:paraId="4A4CB812">
      <w:pPr>
        <w:spacing w:before="0" w:after="0"/>
        <w:ind w:firstLine="420"/>
        <w:jc w:val="both"/>
      </w:pPr>
      <w:r>
        <w:rPr>
          <w:rFonts w:hint="eastAsia" w:ascii="Times New Roman" w:hAnsi="Times New Roman" w:eastAsia="宋体" w:cs="Times New Roman"/>
          <w:b w:val="0"/>
          <w:i w:val="0"/>
          <w:sz w:val="21"/>
        </w:rPr>
        <w:t>NRMSE与其余指标出现这种分离并不异常。预测和真值若能对齐主震段的符号、主峰时刻和总体包络，相关系数、PGA及峰时可以同时良好；但大量幅值不高的次峰若持续存在小偏差，平方和仍会把NRMSE推高。反应谱中位误差在十例中为0.65%～2.43%，也说明对当前周期范围内多数振子的需求量，误差小于逐点时程差所显示的程度。不过，反应谱使用周期中位，不能排除个别周期误差较大。表15因此支持的是“主要工程量较稳定、全波形仍有薄弱工况”，不能用四项较好指标抵消NRMSE超线的事实。</w:t>
      </w:r>
    </w:p>
    <w:p w14:paraId="5F565D9A">
      <w:pPr>
        <w:spacing w:before="0" w:after="0"/>
        <w:ind w:firstLine="420"/>
        <w:jc w:val="both"/>
      </w:pPr>
      <w:r>
        <w:rPr>
          <w:rFonts w:hint="eastAsia" w:ascii="Times New Roman" w:hAnsi="Times New Roman" w:eastAsia="宋体" w:cs="Times New Roman"/>
          <w:b w:val="0"/>
          <w:i w:val="0"/>
          <w:sz w:val="21"/>
        </w:rPr>
        <w:t>图24选取 C003、C008 和 C001 分别代表当前十例中的好、中、差重构水平。C003 的时程 NRMSE 中位为8.1%，相关系数0.997，PGA误差1.4%，峰值时刻误差0.001 s；预测与直接有限元的坡顶波形及全地表TAF基本重合。C008 的相应指标为11.6%、0.994、4.9%和0.002 s，坡顶主波段仍能较好对齐，但坡面和下平台的时程误差已连续超过10%。C001 的 NRMSE 进一步升至20.7%，相关系数仍为0.979，PGA误差为6.1%，峰值时刻误差仅0.002 s；其坡顶强振段的主要峰值位置没有明显错移，但若干次峰和后续波列的幅值差异在全时段平方和中不断累积，最终形成较高的NRMSE。三个例子共同表明，仅查看峰值或一条代表时程容易高估重构质量，必须同时检查全地表误差分布。</w:t>
      </w:r>
    </w:p>
    <w:p w14:paraId="462CA071">
      <w:pPr>
        <w:spacing w:before="0" w:after="0"/>
        <w:ind w:firstLine="420"/>
        <w:jc w:val="both"/>
      </w:pPr>
      <w:r>
        <w:rPr>
          <w:rFonts w:hint="eastAsia" w:ascii="Times New Roman" w:hAnsi="Times New Roman" w:eastAsia="宋体" w:cs="Times New Roman"/>
          <w:b w:val="0"/>
          <w:i w:val="0"/>
          <w:sz w:val="21"/>
        </w:rPr>
        <w:t>三例的排序依据是当前十例中的时程NRMSE表现，并非把参数域划分成固定的“好、中、差”类别。C003在当前组合下同时保持了波形和TAF，C008说明总体相关仍高时，坡面和下平台可以先出现连续超线；C001则把“峰值基本正确而波列累计误差较大”的情形显示得最清楚。图24把代表位置时程与全地表曲线放在一起，目的正是避免用坡顶单点替代整个表面，也避免由一次峰值吻合推断全部时刻均吻合。</w:t>
      </w:r>
    </w:p>
    <w:p w14:paraId="5FA343C7">
      <w:pPr>
        <w:spacing w:before="80" w:after="40"/>
        <w:ind w:firstLine="0"/>
        <w:jc w:val="center"/>
      </w:pPr>
      <w:r>
        <w:drawing>
          <wp:inline distT="0" distB="0" distL="114300" distR="114300">
            <wp:extent cx="2880360" cy="1906270"/>
            <wp:effectExtent l="0" t="0" r="15240" b="177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2880360" cy="1906778"/>
                    </a:xfrm>
                    <a:prstGeom prst="rect">
                      <a:avLst/>
                    </a:prstGeom>
                  </pic:spPr>
                </pic:pic>
              </a:graphicData>
            </a:graphic>
          </wp:inline>
        </w:drawing>
      </w:r>
    </w:p>
    <w:p w14:paraId="31245153">
      <w:pPr>
        <w:spacing w:before="0" w:after="0"/>
        <w:ind w:firstLine="0"/>
        <w:jc w:val="center"/>
      </w:pPr>
      <w:r>
        <w:rPr>
          <w:rFonts w:hint="eastAsia" w:ascii="Times New Roman" w:hAnsi="Times New Roman" w:eastAsia="宋体" w:cs="Times New Roman"/>
          <w:b w:val="0"/>
          <w:i w:val="0"/>
          <w:sz w:val="18"/>
        </w:rPr>
        <w:t>图24 真实地震波闭环好、中、差代表工况：C003为P039/El Centro，C008为B007/Kobe，C001为P007/El Centro；（a）坡顶带限加速度时程；（b）全地表逐位置时程NRMSE；（c）以统一左侧一维自由场为分母的TAF对比</w:t>
      </w:r>
    </w:p>
    <w:p w14:paraId="7273B2E3">
      <w:pPr>
        <w:spacing w:before="0" w:after="60"/>
        <w:ind w:firstLine="0"/>
        <w:jc w:val="center"/>
      </w:pPr>
      <w:r>
        <w:rPr>
          <w:rFonts w:hint="eastAsia" w:ascii="Times New Roman" w:hAnsi="Times New Roman" w:eastAsia="Times New Roman" w:cs="Times New Roman"/>
          <w:b w:val="0"/>
          <w:i w:val="0"/>
          <w:sz w:val="18"/>
        </w:rPr>
        <w:t>Fig. 24 Representative good, intermediate, and poor real-ground-motion closed-loop cases</w:t>
      </w:r>
    </w:p>
    <w:p w14:paraId="17B498D2">
      <w:pPr>
        <w:spacing w:before="0" w:after="0"/>
        <w:ind w:firstLine="420"/>
        <w:jc w:val="both"/>
      </w:pPr>
      <w:r>
        <w:rPr>
          <w:rFonts w:hint="eastAsia" w:ascii="Times New Roman" w:hAnsi="Times New Roman" w:eastAsia="宋体" w:cs="Times New Roman"/>
          <w:b w:val="0"/>
          <w:i w:val="0"/>
          <w:sz w:val="21"/>
        </w:rPr>
        <w:t>C001 和 C002 同属缓坡体系 P007，其 NRMSE 明显高于其他组合，但两例的 PGA 误差分别只有6.09%和3.70%，峰值时刻误差分别为0.002和0.005 s。现有结果只能确认误差主要表现为波形细节而非峰值失控，尚不能单凭十个算例断言其根源就是坡角较小。一个合理但仍需额外工况验证的解释是：缓坡的地形附加响应较弱，直接有限元时程的有效均方根幅值较小，使相同量级的绝对残差在归一化后占比更高；同时，较弱的散射分量可能使局部相位差更容易在长持时时程中累积。C008 和 C010 都属于训练外中间组合 B007，NRMSE 分别为11.56%和10.98%，说明中间参数组合虽未出现C001/C002那样的高误差，仍不能仅凭“位于训练网格内部”就视为可靠。</w:t>
      </w:r>
    </w:p>
    <w:p w14:paraId="7E8F9DB8">
      <w:pPr>
        <w:spacing w:before="0" w:after="0"/>
        <w:ind w:firstLine="420"/>
        <w:jc w:val="both"/>
      </w:pPr>
      <w:r>
        <w:rPr>
          <w:rFonts w:hint="eastAsia" w:ascii="Times New Roman" w:hAnsi="Times New Roman" w:eastAsia="宋体" w:cs="Times New Roman"/>
          <w:b w:val="0"/>
          <w:i w:val="0"/>
          <w:sz w:val="21"/>
        </w:rPr>
        <w:t>图25将十例的161个位置合并成</w:t>
      </w:r>
      <m:oMath>
        <m:r>
          <m:rPr/>
          <m:t>10</m:t>
        </m:r>
        <m:r>
          <m:rPr>
            <m:sty m:val="p"/>
          </m:rPr>
          <m:t>×</m:t>
        </m:r>
        <m:r>
          <m:rPr/>
          <m:t>161</m:t>
        </m:r>
      </m:oMath>
      <w:r>
        <w:rPr>
          <w:rFonts w:hint="eastAsia" w:ascii="Times New Roman" w:hAnsi="Times New Roman" w:eastAsia="宋体" w:cs="Times New Roman"/>
          <w:b w:val="0"/>
          <w:i w:val="0"/>
          <w:sz w:val="21"/>
        </w:rPr>
        <w:t xml:space="preserve">误差矩阵。若对1610个位置逐点计数，52.8%的地表位置时程NRMSE超过10%，最大值达到0.772，出现在 C002 坡面 </w:t>
      </w:r>
      <m:oMath>
        <m:r>
          <m:rPr/>
          <m:t>s</m:t>
        </m:r>
        <m:r>
          <m:rPr>
            <m:sty m:val="p"/>
          </m:rPr>
          <m:t>=</m:t>
        </m:r>
        <m:r>
          <m:rPr/>
          <m:t>0.45</m:t>
        </m:r>
      </m:oMath>
      <w:r>
        <w:rPr>
          <w:rFonts w:hint="eastAsia" w:ascii="Times New Roman" w:hAnsi="Times New Roman" w:eastAsia="宋体" w:cs="Times New Roman"/>
          <w:b w:val="0"/>
          <w:i w:val="0"/>
          <w:sz w:val="21"/>
        </w:rPr>
        <w:t xml:space="preserve"> 附近。按地表区段统计，上平台A段、坡面B段和下平台C段的超线位置比例分别为29.8%、77.5%和75.7%，对应的逐点NRMSE中位分别为0.088、0.189和0.123。也就是说，十例“逐工况中位”的总体中位为9.75%，并不意味着大多数空间点都低于10%；坡面与下平台存在成片的波形误差，只是不同工况的空间分布和中位汇总压缩了这一信息。图25中的白线逐工况标出超线的连续空间区段，避免在离散工况之间作等值线插值。C001和C002的超线范围几乎覆盖整个坡面和下平台，C003则主要局限在坡面局部，这与图24的好、中、差对比相互印证。</w:t>
      </w:r>
    </w:p>
    <w:p w14:paraId="31009DA8">
      <w:pPr>
        <w:spacing w:before="0" w:after="0"/>
        <w:ind w:firstLine="420"/>
        <w:jc w:val="both"/>
      </w:pPr>
      <w:r>
        <w:rPr>
          <w:rFonts w:hint="eastAsia" w:ascii="Times New Roman" w:hAnsi="Times New Roman" w:eastAsia="宋体" w:cs="Times New Roman"/>
          <w:b w:val="0"/>
          <w:i w:val="0"/>
          <w:sz w:val="21"/>
        </w:rPr>
        <w:t>这一差别还与空间采样构成有关。每个工况的161点中，上平台A段有81点，坡面B段20点，下平台C段60点；逐工况中位排序时，上平台占全部位置的一半以上，坡面即使77.5%的位置超线，也未必把该工况中位推到10%以上。相反，1610点合并统计逐点保留了每个位置是否超线的信息，所以能够显示坡面和下平台成片偏差。中位数具有抑制极端值的作用，却不保存超线区域的长度；超线比例保存空间范围，却不反映误差超过阈值后的大小。最大NRMSE为0.772又补充了严重程度。三者合看，才能同时描述典型水平、影响范围和局部最差值。</w:t>
      </w:r>
    </w:p>
    <w:p w14:paraId="148D0AAC">
      <w:pPr>
        <w:spacing w:before="80" w:after="40"/>
        <w:ind w:firstLine="0"/>
        <w:jc w:val="center"/>
      </w:pPr>
      <w:r>
        <w:drawing>
          <wp:inline distT="0" distB="0" distL="114300" distR="114300">
            <wp:extent cx="2880360" cy="1677035"/>
            <wp:effectExtent l="0" t="0" r="15240" b="184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2880360" cy="1677609"/>
                    </a:xfrm>
                    <a:prstGeom prst="rect">
                      <a:avLst/>
                    </a:prstGeom>
                  </pic:spPr>
                </pic:pic>
              </a:graphicData>
            </a:graphic>
          </wp:inline>
        </w:drawing>
      </w:r>
    </w:p>
    <w:p w14:paraId="69116FD5">
      <w:pPr>
        <w:spacing w:before="0" w:after="0"/>
        <w:ind w:firstLine="0"/>
        <w:jc w:val="center"/>
      </w:pPr>
      <w:r>
        <w:rPr>
          <w:rFonts w:hint="eastAsia" w:ascii="Times New Roman" w:hAnsi="Times New Roman" w:eastAsia="宋体" w:cs="Times New Roman"/>
          <w:b w:val="0"/>
          <w:i w:val="0"/>
          <w:sz w:val="18"/>
        </w:rPr>
        <w:t>图25 十例真实波闭环结果：（a）</w:t>
      </w:r>
      <m:oMath>
        <m:r>
          <m:rPr/>
          <m:t>10</m:t>
        </m:r>
        <m:r>
          <m:rPr>
            <m:sty m:val="p"/>
          </m:rPr>
          <m:t>×</m:t>
        </m:r>
        <m:r>
          <m:rPr/>
          <m:t>161</m:t>
        </m:r>
      </m:oMath>
      <w:r>
        <w:rPr>
          <w:rFonts w:hint="eastAsia" w:ascii="Times New Roman" w:hAnsi="Times New Roman" w:eastAsia="宋体" w:cs="Times New Roman"/>
          <w:b w:val="0"/>
          <w:i w:val="0"/>
          <w:sz w:val="18"/>
        </w:rPr>
        <w:t>逐位置时程NRMSE，白线标出超过10%的连续空间区段；（b）～（f）各指标均先在每个工况的161个地表位置上取中位，依次为时程NRMSE、相关系数、PGA相对误差、峰值时刻误差和5%阻尼反应谱相对误差；虚线分别表示10%、0.95、10%、0.02 s和10%的判读参考线，其中反应谱线仅为辅助视觉参照</w:t>
      </w:r>
    </w:p>
    <w:p w14:paraId="560A2A0E">
      <w:pPr>
        <w:spacing w:before="0" w:after="60"/>
        <w:ind w:firstLine="0"/>
        <w:jc w:val="center"/>
      </w:pPr>
      <w:r>
        <w:rPr>
          <w:rFonts w:hint="eastAsia" w:ascii="Times New Roman" w:hAnsi="Times New Roman" w:eastAsia="Times New Roman" w:cs="Times New Roman"/>
          <w:b w:val="0"/>
          <w:i w:val="0"/>
          <w:sz w:val="18"/>
        </w:rPr>
        <w:t>Fig. 25 Position-wise errors and integrated metrics of the ten real-ground-motion closed-loop cases</w:t>
      </w:r>
    </w:p>
    <w:p w14:paraId="0A448BB3">
      <w:pPr>
        <w:spacing w:before="0" w:after="0"/>
        <w:ind w:firstLine="420"/>
        <w:jc w:val="both"/>
      </w:pPr>
      <w:r>
        <w:rPr>
          <w:rFonts w:hint="eastAsia" w:ascii="Times New Roman" w:hAnsi="Times New Roman" w:eastAsia="宋体" w:cs="Times New Roman"/>
          <w:b w:val="0"/>
          <w:i w:val="0"/>
          <w:sz w:val="21"/>
        </w:rPr>
        <w:t>P061 是频域代理评价中较困难的软厚覆盖层体系，但其 El Centro 和 Kobe 闭环 NRMSE 分别为9.52%和9.66%，并未成为十例时域重构的最差组合。这一现象并不表示高频复频响误差可以忽略，而是说明时域闭环误差受到输入能量谱加权。代理误差较集中的6～10 Hz频段在 El Centro 和 Kobe 中仅承载6.6%和9.8%的分析频带能量，其对总时程平方误差的贡献受到了限制；与此同时，0.5～6 Hz承载约九成能量，而代理在该频段总体更稳定。因此，复频响场的未加权误差和特定记录下的时程误差不必保持相同排序。工程应用时应把“代理误差谱”和“输入能量谱”作为一对联合条件判断，而不能只用一个全频平均误差决定是否可用。</w:t>
      </w:r>
    </w:p>
    <w:p w14:paraId="0500E70B">
      <w:pPr>
        <w:spacing w:before="0" w:after="0"/>
        <w:ind w:firstLine="420"/>
        <w:jc w:val="both"/>
      </w:pPr>
      <w:r>
        <w:rPr>
          <w:rFonts w:hint="eastAsia" w:ascii="Times New Roman" w:hAnsi="Times New Roman" w:eastAsia="宋体" w:cs="Times New Roman"/>
          <w:b w:val="0"/>
          <w:i w:val="0"/>
          <w:sz w:val="21"/>
        </w:rPr>
        <w:t>Chi-Chi 在6～10 Hz的能量占比为19.4%，约为El Centro的2.9倍、Kobe的2.0倍。其两个闭环算例 C009 和 C010 的 NRMSE 分别为8.35%和10.98%，尚未表现出随高频占比简单同步增大的规律，但这不能作为“重构精度与地震记录无关”的证据。C组的体系—记录组合并不平衡：El Centro和Kobe各覆盖四种体系，而Chi-Chi只覆盖P039与B007；同一记录效应与体系参数效应无法由现有十例完全分离。尤其是Chi-Chi没有在频域困难的P061及高误差的P007上计算，因而缺少检验“高频输入与困难体系叠加”所需的关键组合。本文据此只支持较窄的结论：对于当前参数域、当前三条记录和0.5～10 Hz带限条件，代理重构在总体中位意义上达到时程参考线，峰值、峰时和反应谱的逐工况空间中位误差较小，但逐例和逐位置的波形误差仍需明确报告；对于6～10 Hz能量更强的输入，特别是与软厚覆盖层或其他误差敏感体系组合时，应重新进行直接数值抽查，不宜直接沿用本节的总体中位精度。</w:t>
      </w:r>
    </w:p>
    <w:p w14:paraId="7AC8BABE">
      <w:pPr>
        <w:spacing w:before="0" w:after="0"/>
        <w:ind w:firstLine="420"/>
        <w:jc w:val="both"/>
      </w:pPr>
      <w:r>
        <w:rPr>
          <w:rFonts w:hint="eastAsia" w:ascii="Times New Roman" w:hAnsi="Times New Roman" w:eastAsia="宋体" w:cs="Times New Roman"/>
          <w:b w:val="0"/>
          <w:i w:val="0"/>
          <w:sz w:val="21"/>
        </w:rPr>
        <w:t>还应区分闭环验证与数值模型物理真实性验证。这里的真值是按相同介质、边界和输入条件直接计算的二维有限元时程，闭环能够检验从参数输入、复频响预测、频谱插值到IFFT重构的整条计算链是否与该有限元结果一致，也能够暴露频域场误差在真实记录作用下的工程后果。它不能证明有限元模型已经无偏地代表真实边坡，更不能代替第2章的网格、边界和跨软件验证。由于预测和真值共用同一个一维自由场，闭环也不会独立检验该参考场本身是否正确；它验证的是在既定参考定义下，代理能否恢复二维相对响应。</w:t>
      </w:r>
    </w:p>
    <w:p w14:paraId="20FDF55D">
      <w:pPr>
        <w:spacing w:before="0" w:after="0"/>
        <w:ind w:firstLine="420"/>
        <w:jc w:val="both"/>
      </w:pPr>
      <w:r>
        <w:rPr>
          <w:rFonts w:hint="eastAsia" w:ascii="Times New Roman" w:hAnsi="Times New Roman" w:eastAsia="宋体" w:cs="Times New Roman"/>
          <w:b w:val="0"/>
          <w:i w:val="0"/>
          <w:sz w:val="21"/>
        </w:rPr>
        <w:t>同样，十例结果不能给出参数域外、其他持时和其他频谱记录的普遍误差概率，也没有校准单个预测的置信区间。它能支持的应用结论是分层的：在已覆盖参数域和带限条件内，代理可用于恢复多数工况的主要波形与工程峰值；出现缓坡P007、训练外B007，或输入能量与已知高频薄弱区明显重合时，应查看全地表NRMSE而不是只看坡顶PGA；进入软厚覆盖层下平台高频敏感区时，应安排直接有限元复核。这样的证据边界明确了降阶预测与高保真求解各自承担的环节。</w:t>
      </w:r>
    </w:p>
    <w:p w14:paraId="27B4F100">
      <w:pPr>
        <w:keepNext w:val="0"/>
        <w:keepLines w:val="0"/>
        <w:pageBreakBefore w:val="0"/>
        <w:widowControl w:val="0"/>
        <w:kinsoku/>
        <w:wordWrap/>
        <w:overflowPunct/>
        <w:topLinePunct w:val="0"/>
        <w:autoSpaceDE/>
        <w:autoSpaceDN/>
        <w:bidi w:val="0"/>
        <w:adjustRightInd/>
        <w:snapToGrid/>
        <w:spacing w:before="312" w:after="60"/>
        <w:ind w:firstLine="0"/>
        <w:jc w:val="left"/>
        <w:textAlignment w:val="auto"/>
        <w:outlineLvl w:val="0"/>
      </w:pPr>
      <w:r>
        <w:rPr>
          <w:rFonts w:hint="eastAsia" w:ascii="Times New Roman" w:hAnsi="Times New Roman" w:eastAsia="宋体" w:cs="Times New Roman"/>
          <w:b/>
          <w:i w:val="0"/>
          <w:sz w:val="28"/>
        </w:rPr>
        <w:t>5 结 论</w:t>
      </w:r>
    </w:p>
    <w:p w14:paraId="2DB39407">
      <w:pPr>
        <w:spacing w:before="0" w:after="0"/>
        <w:ind w:firstLine="420"/>
        <w:jc w:val="both"/>
      </w:pPr>
      <w:r>
        <w:rPr>
          <w:rFonts w:hint="eastAsia" w:ascii="Times New Roman" w:hAnsi="Times New Roman" w:eastAsia="宋体" w:cs="Times New Roman"/>
          <w:b w:val="0"/>
          <w:i w:val="0"/>
          <w:sz w:val="21"/>
        </w:rPr>
        <w:t xml:space="preserve">本文以二维线性成层坡地为对象，将全地表水平响应统一除以左侧上平台一维自由场，建立了0.5～10 Hz、96×161公共网格上的复频响函数，并沿“数值模型验证—参数规律—复数场代理—真实地震波闭环”开展研究。数值设置单因素检查中，V001～V004的坡顶主峰频率误差为0～0.1 Hz，坡面中部峰值变化为0.001%～1.508%，均满足主要判据；V003的全场 </w:t>
      </w:r>
      <m:oMath>
        <m:r>
          <m:rPr>
            <m:sty m:val="p"/>
          </m:rPr>
          <m:t>ln|</m:t>
        </m:r>
        <m:sSub>
          <m:sSubPr/>
          <m:e>
            <m:r>
              <m:rPr/>
              <m:t>G</m:t>
            </m:r>
          </m:e>
          <m:sub>
            <m:r>
              <m:rPr/>
              <m:t>h</m:t>
            </m:r>
          </m:sub>
        </m:sSub>
        <m:r>
          <m:rPr>
            <m:sty m:val="p"/>
          </m:rPr>
          <m:t>|</m:t>
        </m:r>
      </m:oMath>
      <w:r>
        <w:rPr>
          <w:rFonts w:hint="eastAsia" w:ascii="Times New Roman" w:hAnsi="Times New Roman" w:eastAsia="宋体" w:cs="Times New Roman"/>
          <w:b w:val="0"/>
          <w:i w:val="0"/>
          <w:sz w:val="21"/>
        </w:rPr>
        <w:t xml:space="preserve"> RMSE为0.1824，说明扩大侧向域仍会造成不可忽略的辅助全场差异。V004虽满足坡面中部判据，坡顶峰值幅值仍降低7.3%，因此极值分析需保留基底深度敏感性。Abaqus与SPECFEM2D在H004、P061及4 Hz Ricker有效频带下的三组地表PGA对比均满足水平NRMSE不超过10%、竖向不超过15%、峰位差不超过0.10。上述结果支持当前配置用于相对参数比较，但跨软件证据不外推为全部构型和完整复频响的独立验证。</w:t>
      </w:r>
    </w:p>
    <w:p w14:paraId="48317F72">
      <w:pPr>
        <w:spacing w:before="0" w:after="0"/>
        <w:ind w:firstLine="420"/>
        <w:jc w:val="both"/>
      </w:pPr>
      <w:r>
        <w:rPr>
          <w:rFonts w:hint="eastAsia" w:ascii="Times New Roman" w:hAnsi="Times New Roman" w:eastAsia="宋体" w:cs="Times New Roman"/>
          <w:b w:val="0"/>
          <w:i w:val="0"/>
          <w:sz w:val="21"/>
        </w:rPr>
        <w:t xml:space="preserve">统一后处理分母显著削弱了旧同侧分母在坡脚切换造成的规则突变。H004和P061的坡脚复数邻点跳变量中位数分别由25.9%降至4.7%、由71.0%降至8.6%；修正没有改变二维有限元响应，只统一了后处理归一化基准，剩余变化仍可能包含真实物理梯度。统一口径下，坡角、厚度比和波速比对幅值、主峰频率及控制位置的影响并非三条彼此独立的单调规律。峰值幅值的确定性变异主要由 </w:t>
      </w:r>
      <m:oMath>
        <m:sSub>
          <m:sSubPr/>
          <m:e>
            <m:r>
              <m:rPr/>
              <m:t>r</m:t>
            </m:r>
          </m:e>
          <m:sub>
            <m:r>
              <m:rPr/>
              <m:t>v</m:t>
            </m:r>
          </m:sub>
        </m:sSub>
      </m:oMath>
      <w:r>
        <w:rPr>
          <w:rFonts w:hint="eastAsia" w:ascii="Times New Roman" w:hAnsi="Times New Roman" w:eastAsia="宋体" w:cs="Times New Roman"/>
          <w:b w:val="0"/>
          <w:i w:val="0"/>
          <w:sz w:val="21"/>
        </w:rPr>
        <w:t>、</w:t>
      </w:r>
      <m:oMath>
        <m:r>
          <m:rPr/>
          <m:t>d</m:t>
        </m:r>
        <m:r>
          <m:rPr>
            <m:sty m:val="p"/>
          </m:rPr>
          <m:t>/</m:t>
        </m:r>
        <m:r>
          <m:rPr/>
          <m:t>h</m:t>
        </m:r>
      </m:oMath>
      <w:r>
        <w:rPr>
          <w:rFonts w:hint="eastAsia" w:ascii="Times New Roman" w:hAnsi="Times New Roman" w:eastAsia="宋体" w:cs="Times New Roman"/>
          <w:b w:val="0"/>
          <w:i w:val="0"/>
          <w:sz w:val="21"/>
        </w:rPr>
        <w:t xml:space="preserve"> 及 </w:t>
      </w:r>
      <m:oMath>
        <m:r>
          <m:rPr/>
          <m:t>d</m:t>
        </m:r>
        <m:r>
          <m:rPr>
            <m:sty m:val="p"/>
          </m:rPr>
          <m:t>/</m:t>
        </m:r>
        <m:r>
          <m:rPr/>
          <m:t>h</m:t>
        </m:r>
        <m:r>
          <m:rPr>
            <m:sty m:val="p"/>
          </m:rPr>
          <m:t>×</m:t>
        </m:r>
        <m:sSub>
          <m:sSubPr/>
          <m:e>
            <m:r>
              <m:rPr/>
              <m:t>r</m:t>
            </m:r>
          </m:e>
          <m:sub>
            <m:r>
              <m:rPr/>
              <m:t>v</m:t>
            </m:r>
          </m:sub>
        </m:sSub>
      </m:oMath>
      <w:r>
        <w:rPr>
          <w:rFonts w:hint="eastAsia" w:ascii="Times New Roman" w:hAnsi="Times New Roman" w:eastAsia="宋体" w:cs="Times New Roman"/>
          <w:b w:val="0"/>
          <w:i w:val="0"/>
          <w:sz w:val="21"/>
        </w:rPr>
        <w:t xml:space="preserve"> 控制，贡献率分别为39.65%、34.21%和21.72%；主峰频率的二阶交互贡献合计66.19%。16条厚度序列中9条非单调，其中 </w:t>
      </w:r>
      <m:oMath>
        <m:r>
          <m:rPr/>
          <m:t>i</m:t>
        </m:r>
        <m:r>
          <m:rPr>
            <m:sty m:val="p"/>
          </m:rPr>
          <m:t>=</m:t>
        </m:r>
        <m:sSup>
          <m:sSupPr/>
          <m:e>
            <m:r>
              <m:rPr/>
              <m:t>15</m:t>
            </m:r>
          </m:e>
          <m:sup>
            <m:r>
              <m:rPr>
                <m:sty m:val="p"/>
              </m:rPr>
              <m:t>∘</m:t>
            </m:r>
          </m:sup>
        </m:sSup>
      </m:oMath>
      <w:r>
        <w:rPr>
          <w:rFonts w:hint="eastAsia" w:ascii="Times New Roman" w:hAnsi="Times New Roman" w:eastAsia="宋体" w:cs="Times New Roman"/>
          <w:b w:val="0"/>
          <w:i w:val="0"/>
          <w:sz w:val="21"/>
        </w:rPr>
        <w:t>、</w:t>
      </w:r>
      <m:oMath>
        <m:sSub>
          <m:sSubPr/>
          <m:e>
            <m:r>
              <m:rPr/>
              <m:t>r</m:t>
            </m:r>
          </m:e>
          <m:sub>
            <m:r>
              <m:rPr/>
              <m:t>v</m:t>
            </m:r>
          </m:sub>
        </m:sSub>
        <m:r>
          <m:rPr>
            <m:sty m:val="p"/>
          </m:rPr>
          <m:t>=</m:t>
        </m:r>
        <m:r>
          <m:rPr/>
          <m:t>0.75</m:t>
        </m:r>
      </m:oMath>
      <w:r>
        <w:rPr>
          <w:rFonts w:hint="eastAsia" w:ascii="Times New Roman" w:hAnsi="Times New Roman" w:eastAsia="宋体" w:cs="Times New Roman"/>
          <w:b w:val="0"/>
          <w:i w:val="0"/>
          <w:sz w:val="21"/>
        </w:rPr>
        <w:t xml:space="preserve"> 的厚度序列主峰频率依次为2.1、9.4、6.1和9.4 Hz，最大跨度为7.3 Hz；最厚层控制峰还可由坡顶邻域转到下平台。全场峰值和分区中位规律有时方向相反，说明工程评价必须同时说明频带和空间位置。</w:t>
      </w:r>
    </w:p>
    <w:p w14:paraId="780BCBFA">
      <w:pPr>
        <w:spacing w:before="0" w:after="0"/>
        <w:ind w:firstLine="420"/>
        <w:jc w:val="both"/>
      </w:pPr>
      <w:r>
        <w:rPr>
          <w:rFonts w:hint="eastAsia" w:ascii="Times New Roman" w:hAnsi="Times New Roman" w:eastAsia="宋体" w:cs="Times New Roman"/>
          <w:b w:val="0"/>
          <w:i w:val="0"/>
          <w:sz w:val="21"/>
        </w:rPr>
        <w:t xml:space="preserve">覆盖层相对同坡角均质坡的复数修正进一步表明，局部幅值可出现明显增强或削弱，但净幅值修正幅度 </w:t>
      </w:r>
      <m:oMath>
        <m:r>
          <m:rPr>
            <m:sty m:val="p"/>
          </m:rPr>
          <m:t>|median(</m:t>
        </m:r>
        <m:sSub>
          <m:sSubPr/>
          <m:e>
            <m:r>
              <m:rPr>
                <m:sty m:val="p"/>
              </m:rPr>
              <m:t>Δ</m:t>
            </m:r>
          </m:e>
          <m:sub>
            <m:r>
              <m:rPr/>
              <m:t>A</m:t>
            </m:r>
          </m:sub>
        </m:sSub>
        <m:r>
          <m:rPr>
            <m:sty m:val="p"/>
          </m:rPr>
          <m:t>)|</m:t>
        </m:r>
      </m:oMath>
      <w:r>
        <w:rPr>
          <w:rFonts w:hint="eastAsia" w:ascii="Times New Roman" w:hAnsi="Times New Roman" w:eastAsia="宋体" w:cs="Times New Roman"/>
          <w:b w:val="0"/>
          <w:i w:val="0"/>
          <w:sz w:val="21"/>
        </w:rPr>
        <w:t xml:space="preserve"> 与无量纲特征频率 </w:t>
      </w:r>
      <m:oMath>
        <m:r>
          <m:rPr/>
          <m:t>χ</m:t>
        </m:r>
        <m:r>
          <m:rPr>
            <m:sty m:val="p"/>
          </m:rPr>
          <m:t>=</m:t>
        </m:r>
        <m:sSub>
          <m:sSubPr/>
          <m:e>
            <m:r>
              <m:rPr/>
              <m:t>r</m:t>
            </m:r>
          </m:e>
          <m:sub>
            <m:r>
              <m:rPr/>
              <m:t>v</m:t>
            </m:r>
          </m:sub>
        </m:sSub>
        <m:r>
          <m:rPr>
            <m:sty m:val="p"/>
          </m:rPr>
          <m:t>/[</m:t>
        </m:r>
        <m:r>
          <m:rPr/>
          <m:t>4</m:t>
        </m:r>
        <m:r>
          <m:rPr>
            <m:sty m:val="p"/>
          </m:rPr>
          <m:t>(</m:t>
        </m:r>
        <m:r>
          <m:rPr/>
          <m:t>d</m:t>
        </m:r>
        <m:r>
          <m:rPr>
            <m:sty m:val="p"/>
          </m:rPr>
          <m:t>/</m:t>
        </m:r>
        <m:r>
          <m:rPr/>
          <m:t>h</m:t>
        </m:r>
        <m:r>
          <m:rPr>
            <m:sty m:val="p"/>
          </m:rPr>
          <m:t>)]</m:t>
        </m:r>
      </m:oMath>
      <w:r>
        <w:rPr>
          <w:rFonts w:hint="eastAsia" w:ascii="Times New Roman" w:hAnsi="Times New Roman" w:eastAsia="宋体" w:cs="Times New Roman"/>
          <w:b w:val="0"/>
          <w:i w:val="0"/>
          <w:sz w:val="21"/>
        </w:rPr>
        <w:t xml:space="preserve"> 仅弱相关（Spearman </w:t>
      </w:r>
      <m:oMath>
        <m:r>
          <m:rPr/>
          <m:t>ρ</m:t>
        </m:r>
        <m:r>
          <m:rPr>
            <m:sty m:val="p"/>
          </m:rPr>
          <m:t>=−</m:t>
        </m:r>
        <m:r>
          <m:rPr/>
          <m:t>0.3005</m:t>
        </m:r>
      </m:oMath>
      <w:r>
        <w:rPr>
          <w:rFonts w:hint="eastAsia" w:ascii="Times New Roman" w:hAnsi="Times New Roman" w:eastAsia="宋体" w:cs="Times New Roman"/>
          <w:b w:val="0"/>
          <w:i w:val="0"/>
          <w:sz w:val="21"/>
        </w:rPr>
        <w:t xml:space="preserve">）；中位绝对相位和群时延修正与 </w:t>
      </w:r>
      <m:oMath>
        <m:r>
          <m:rPr/>
          <m:t>χ</m:t>
        </m:r>
      </m:oMath>
      <w:r>
        <w:rPr>
          <w:rFonts w:hint="eastAsia" w:ascii="Times New Roman" w:hAnsi="Times New Roman" w:eastAsia="宋体" w:cs="Times New Roman"/>
          <w:b w:val="0"/>
          <w:i w:val="0"/>
          <w:sz w:val="21"/>
        </w:rPr>
        <w:t xml:space="preserve"> 的相关分别为 </w:t>
      </w:r>
      <m:oMath>
        <m:r>
          <m:rPr>
            <m:sty m:val="p"/>
          </m:rPr>
          <m:t>−</m:t>
        </m:r>
        <m:r>
          <m:rPr/>
          <m:t>0.9403</m:t>
        </m:r>
      </m:oMath>
      <w:r>
        <w:rPr>
          <w:rFonts w:hint="eastAsia" w:ascii="Times New Roman" w:hAnsi="Times New Roman" w:eastAsia="宋体" w:cs="Times New Roman"/>
          <w:b w:val="0"/>
          <w:i w:val="0"/>
          <w:sz w:val="21"/>
        </w:rPr>
        <w:t xml:space="preserve"> 和 </w:t>
      </w:r>
      <m:oMath>
        <m:r>
          <m:rPr>
            <m:sty m:val="p"/>
          </m:rPr>
          <m:t>−</m:t>
        </m:r>
        <m:r>
          <m:rPr/>
          <m:t>0.9223</m:t>
        </m:r>
      </m:oMath>
      <w:r>
        <w:rPr>
          <w:rFonts w:hint="eastAsia" w:ascii="Times New Roman" w:hAnsi="Times New Roman" w:eastAsia="宋体" w:cs="Times New Roman"/>
          <w:b w:val="0"/>
          <w:i w:val="0"/>
          <w:sz w:val="21"/>
        </w:rPr>
        <w:t>。因此，</w:t>
      </w:r>
      <m:oMath>
        <m:r>
          <m:rPr/>
          <m:t>χ</m:t>
        </m:r>
      </m:oMath>
      <w:r>
        <w:rPr>
          <w:rFonts w:hint="eastAsia" w:ascii="Times New Roman" w:hAnsi="Times New Roman" w:eastAsia="宋体" w:cs="Times New Roman"/>
          <w:b w:val="0"/>
          <w:i w:val="0"/>
          <w:sz w:val="21"/>
        </w:rPr>
        <w:t xml:space="preserve"> 对覆盖层引入的典型相位—时延扰动具有较稳定的排序能力，却不能单独决定全地表幅值是净增强还是净削弱。该结论不是“覆盖层不影响幅值”，而是说明幅值受局部相长、相消干涉和峰位迁移共同控制，只有保留复数相位才能完整描述并重构响应。</w:t>
      </w:r>
    </w:p>
    <w:p w14:paraId="0DA8ABC4">
      <w:pPr>
        <w:spacing w:before="0" w:after="0"/>
        <w:ind w:firstLine="420"/>
        <w:jc w:val="both"/>
      </w:pPr>
      <w:r>
        <w:rPr>
          <w:rFonts w:hint="eastAsia" w:ascii="Times New Roman" w:hAnsi="Times New Roman" w:eastAsia="宋体" w:cs="Times New Roman"/>
          <w:b w:val="0"/>
          <w:i w:val="0"/>
          <w:sz w:val="21"/>
        </w:rPr>
        <w:t>在64个P组工况的工况级五折交叉验证中，POD-GPR的加权复数误差中位数为0.2708、P90为0.4903，较最近邻中位误差降低30.5%，但未达到10%的理想参考水平。原配置的99.5%为POD能量目标，受12阶上限约束实际只保留86.14%的标准化输出能量；提高到24阶后中位误差降至0.2470，36阶达到99.51%能量时中位误差仍为0.2470、P90仍约0.490，表明低阶截断是误差来源之一，但困难工况的上尾还受稀疏参数采样和系数回归限制。12个训练外B组合的中位误差为0.264，9/12例不超过P组交叉验证P90，B004则达到0.736；误差集中在软、厚覆盖层及下平台高频区域。当前代理只能说在多数训练外组合上保持与交叉验证中心水平相近的误差，不能表述为全参数域高精度模型。</w:t>
      </w:r>
    </w:p>
    <w:p w14:paraId="6B5B747A">
      <w:pPr>
        <w:spacing w:before="0" w:after="0"/>
        <w:ind w:firstLine="420"/>
        <w:jc w:val="both"/>
      </w:pPr>
      <w:r>
        <w:rPr>
          <w:rFonts w:hint="eastAsia" w:ascii="Times New Roman" w:hAnsi="Times New Roman" w:eastAsia="宋体" w:cs="Times New Roman"/>
          <w:b w:val="0"/>
          <w:i w:val="0"/>
          <w:sz w:val="21"/>
        </w:rPr>
        <w:t>三条真实地震记录的10例闭环中，时程NRMSE、相关系数、PGA误差、峰值时刻误差和反应谱误差的总体中位数分别为9.75%、0.9955、2.49%、0.0015 s和2.01%。C001、C002、C008和C010共4/10例的逐例NRMSE超过10%，</w:t>
      </w:r>
      <m:oMath>
        <m:r>
          <m:rPr/>
          <m:t>10</m:t>
        </m:r>
        <m:r>
          <m:rPr>
            <m:sty m:val="p"/>
          </m:rPr>
          <m:t>×</m:t>
        </m:r>
        <m:r>
          <m:rPr/>
          <m:t>161</m:t>
        </m:r>
      </m:oMath>
      <w:r>
        <w:rPr>
          <w:rFonts w:hint="eastAsia" w:ascii="Times New Roman" w:hAnsi="Times New Roman" w:eastAsia="宋体" w:cs="Times New Roman"/>
          <w:b w:val="0"/>
          <w:i w:val="0"/>
          <w:sz w:val="21"/>
        </w:rPr>
        <w:t>个地表位置中仍有52.8%超过10%，最大值为0.772；十例相关系数均高于0.95，PGA误差均低于10%，峰值时刻误差均低于0.02 s，反应谱误差仅作为辅助指标。频域高频误差经真实波能量谱加权后对PGA和峰时影响较小，可以解释总体中位闭环较好，却不能据此掩盖坡面、下平台的波形误差，也不能保证富含6～10 Hz能量的其他输入仍有相同精度。</w:t>
      </w:r>
    </w:p>
    <w:p w14:paraId="69279B2C">
      <w:pPr>
        <w:spacing w:before="0" w:after="0"/>
        <w:ind w:firstLine="420"/>
        <w:jc w:val="both"/>
      </w:pPr>
      <w:r>
        <w:rPr>
          <w:rFonts w:hint="eastAsia" w:ascii="Times New Roman" w:hAnsi="Times New Roman" w:eastAsia="宋体" w:cs="Times New Roman"/>
          <w:b w:val="0"/>
          <w:i w:val="0"/>
          <w:sz w:val="21"/>
        </w:rPr>
        <w:t>以上结论限于坡高100 m、二维平面应变、线性两层介质、15° SV斜入射、密度比0.85及本文给定阻尼和参数范围。后续应优先在软厚覆盖层区域加密训练样本，并将入射角、密度比和材料非线性纳入设计，同时用更多频谱类型的地震记录和三维地形检验适用域是否迁移。本文把幅值、相位、空间位置和真实波时域结果放在同一复数场框架内比较；统一参考后的剩余梯度仍按物理响应解释，代理精度则同时用典型水平与困难工况约束。</w:t>
      </w:r>
    </w:p>
    <w:p w14:paraId="61C4EBB6">
      <w:pPr>
        <w:spacing w:before="312" w:after="60"/>
        <w:ind w:firstLine="0"/>
        <w:jc w:val="left"/>
      </w:pPr>
      <w:r>
        <w:rPr>
          <w:rFonts w:hint="eastAsia" w:ascii="Times New Roman" w:hAnsi="Times New Roman" w:eastAsia="宋体" w:cs="Times New Roman"/>
          <w:b/>
          <w:i w:val="0"/>
          <w:sz w:val="28"/>
        </w:rPr>
        <w:t>参 考 文 献</w:t>
      </w:r>
    </w:p>
    <w:p w14:paraId="1551C6F1">
      <w:pPr>
        <w:spacing w:before="0" w:after="0"/>
        <w:ind w:firstLine="420"/>
        <w:jc w:val="both"/>
      </w:pPr>
      <w:r>
        <w:rPr>
          <w:rFonts w:hint="eastAsia" w:ascii="Times New Roman" w:hAnsi="Times New Roman" w:eastAsia="宋体" w:cs="Times New Roman"/>
          <w:b w:val="0"/>
          <w:i w:val="0"/>
          <w:sz w:val="21"/>
        </w:rPr>
        <w:t>[1] DAVIS L L, WEST L R. Observed effects of topography on ground motion[J]. Bulletin of the Seismological Society of America, 1973, 63(1): 283-298.</w:t>
      </w:r>
    </w:p>
    <w:p w14:paraId="6407AADF">
      <w:pPr>
        <w:spacing w:before="0" w:after="0"/>
        <w:ind w:firstLine="420"/>
        <w:jc w:val="both"/>
      </w:pPr>
      <w:r>
        <w:rPr>
          <w:rFonts w:hint="eastAsia" w:ascii="Times New Roman" w:hAnsi="Times New Roman" w:eastAsia="宋体" w:cs="Times New Roman"/>
          <w:b w:val="0"/>
          <w:i w:val="0"/>
          <w:sz w:val="21"/>
        </w:rPr>
        <w:t>[2] ÇELEBI M. Topographical and geological amplifications determined from strong-motion and aftershock records of the 3 March 1985 Chile earthquake[J]. Bulletin of the Seismological Society of America, 1987, 77(4): 1147-1167.</w:t>
      </w:r>
    </w:p>
    <w:p w14:paraId="567564F5">
      <w:pPr>
        <w:spacing w:before="0" w:after="0"/>
        <w:ind w:firstLine="420"/>
        <w:jc w:val="both"/>
      </w:pPr>
      <w:r>
        <w:rPr>
          <w:rFonts w:hint="eastAsia" w:ascii="Times New Roman" w:hAnsi="Times New Roman" w:eastAsia="宋体" w:cs="Times New Roman"/>
          <w:b w:val="0"/>
          <w:i w:val="0"/>
          <w:sz w:val="21"/>
        </w:rPr>
        <w:t>[3] GELI L, BARD P Y, JULLIEN B. The effect of topography on earthquake ground motion: a review and new results[J]. Bulletin of the Seismological Society of America, 1988, 78(1): 42-63.</w:t>
      </w:r>
    </w:p>
    <w:p w14:paraId="3C2168E3">
      <w:pPr>
        <w:spacing w:before="0" w:after="0"/>
        <w:ind w:firstLine="420"/>
        <w:jc w:val="both"/>
      </w:pPr>
      <w:r>
        <w:rPr>
          <w:rFonts w:hint="eastAsia" w:ascii="Times New Roman" w:hAnsi="Times New Roman" w:eastAsia="宋体" w:cs="Times New Roman"/>
          <w:b w:val="0"/>
          <w:i w:val="0"/>
          <w:sz w:val="21"/>
        </w:rPr>
        <w:t>[4] 胡聿贤, 孙平善, 章在墉, 等. 场地条件对震害和地震动的影响[J]. 地震工程与工程振动, 1980(0): 34-41.</w:t>
      </w:r>
    </w:p>
    <w:p w14:paraId="3AB9B1D4">
      <w:pPr>
        <w:spacing w:before="0" w:after="0"/>
        <w:ind w:firstLine="420"/>
        <w:jc w:val="both"/>
      </w:pPr>
      <w:r>
        <w:rPr>
          <w:rFonts w:hint="eastAsia" w:ascii="Times New Roman" w:hAnsi="Times New Roman" w:eastAsia="宋体" w:cs="Times New Roman"/>
          <w:b w:val="0"/>
          <w:i w:val="0"/>
          <w:sz w:val="21"/>
        </w:rPr>
        <w:t>HU Yu-xian, SUN Ping-shan, ZHANG Zai-yong, et al. Influence of site conditions on earthquake damage and ground motion[J]. Earthquake Engineering and Engineering Vibration, 1980(0): 34-41.</w:t>
      </w:r>
    </w:p>
    <w:p w14:paraId="3C108F04">
      <w:pPr>
        <w:spacing w:before="0" w:after="0"/>
        <w:ind w:firstLine="420"/>
        <w:jc w:val="both"/>
      </w:pPr>
      <w:r>
        <w:rPr>
          <w:rFonts w:hint="eastAsia" w:ascii="Times New Roman" w:hAnsi="Times New Roman" w:eastAsia="宋体" w:cs="Times New Roman"/>
          <w:b w:val="0"/>
          <w:i w:val="0"/>
          <w:sz w:val="21"/>
        </w:rPr>
        <w:t>[5] European Committee for Standardization. Eurocode 8: design of structures for earthquake resistance[S]. Brussels: CEN, 2004.</w:t>
      </w:r>
    </w:p>
    <w:p w14:paraId="129B279F">
      <w:pPr>
        <w:spacing w:before="0" w:after="0"/>
        <w:ind w:firstLine="420"/>
        <w:jc w:val="both"/>
      </w:pPr>
      <w:r>
        <w:rPr>
          <w:rFonts w:hint="eastAsia" w:ascii="Times New Roman" w:hAnsi="Times New Roman" w:eastAsia="宋体" w:cs="Times New Roman"/>
          <w:b w:val="0"/>
          <w:i w:val="0"/>
          <w:sz w:val="21"/>
        </w:rPr>
        <w:t>[6] 中华人民共和国住房和城乡建设部. 建筑抗震设计规范: GB 50011—2010（2016年版）[S]. 北京: 中国建筑工业出版社, 2016.</w:t>
      </w:r>
    </w:p>
    <w:p w14:paraId="72AEDFE3">
      <w:pPr>
        <w:spacing w:before="0" w:after="0"/>
        <w:ind w:firstLine="420"/>
        <w:jc w:val="both"/>
      </w:pPr>
      <w:r>
        <w:rPr>
          <w:rFonts w:hint="eastAsia" w:ascii="Times New Roman" w:hAnsi="Times New Roman" w:eastAsia="宋体" w:cs="Times New Roman"/>
          <w:b w:val="0"/>
          <w:i w:val="0"/>
          <w:sz w:val="21"/>
        </w:rPr>
        <w:t>Ministry of Housing and Urban-Rural Development of the People's Republic of China. Code for seismic design of buildings: GB 50011—2010 (2016 edition)[S]. Beijing: China Architecture and Building Press, 2016.</w:t>
      </w:r>
    </w:p>
    <w:p w14:paraId="6BBCCE55">
      <w:pPr>
        <w:spacing w:before="0" w:after="0"/>
        <w:ind w:firstLine="420"/>
        <w:jc w:val="both"/>
      </w:pPr>
      <w:r>
        <w:rPr>
          <w:rFonts w:hint="eastAsia" w:ascii="Times New Roman" w:hAnsi="Times New Roman" w:eastAsia="宋体" w:cs="Times New Roman"/>
          <w:b w:val="0"/>
          <w:i w:val="0"/>
          <w:sz w:val="21"/>
        </w:rPr>
        <w:t>[7] LI H, LIU Y, LIU L, et al. Numerical evaluation of topographic effects on seismic response of single-faced rock slopes[J]. Bulletin of Engineering Geology and the Environment, 2019, 78(3): 1873-1891.</w:t>
      </w:r>
    </w:p>
    <w:p w14:paraId="2C19A033">
      <w:pPr>
        <w:spacing w:before="0" w:after="0"/>
        <w:ind w:firstLine="420"/>
        <w:jc w:val="both"/>
      </w:pPr>
      <w:r>
        <w:rPr>
          <w:rFonts w:hint="eastAsia" w:ascii="Times New Roman" w:hAnsi="Times New Roman" w:eastAsia="宋体" w:cs="Times New Roman"/>
          <w:b w:val="0"/>
          <w:i w:val="0"/>
          <w:sz w:val="21"/>
        </w:rPr>
        <w:t>[8] SHEN H, LIU Y, LI H, et al. Numerical evaluation of ground motion amplification of rock slopes under obliquely incident seismic waves[J]. Soil Dynamics and Earthquake Engineering, 2024, 178: 108488.</w:t>
      </w:r>
    </w:p>
    <w:p w14:paraId="543B2701">
      <w:pPr>
        <w:spacing w:before="0" w:after="0"/>
        <w:ind w:firstLine="420"/>
        <w:jc w:val="both"/>
      </w:pPr>
      <w:r>
        <w:rPr>
          <w:rFonts w:hint="eastAsia" w:ascii="Times New Roman" w:hAnsi="Times New Roman" w:eastAsia="宋体" w:cs="Times New Roman"/>
          <w:b w:val="0"/>
          <w:i w:val="0"/>
          <w:sz w:val="21"/>
        </w:rPr>
        <w:t>[9] 赵仕兴, 杨姝姮, 唐元旭, 等. 四川泸定6.8级地震震中区域建筑震害考察与思考[J]. 建筑结构, 2023, 53(7): 1-8.</w:t>
      </w:r>
    </w:p>
    <w:p w14:paraId="3153C3A7">
      <w:pPr>
        <w:spacing w:before="0" w:after="0"/>
        <w:ind w:firstLine="420"/>
        <w:jc w:val="both"/>
      </w:pPr>
      <w:r>
        <w:rPr>
          <w:rFonts w:hint="eastAsia" w:ascii="Times New Roman" w:hAnsi="Times New Roman" w:eastAsia="宋体" w:cs="Times New Roman"/>
          <w:b w:val="0"/>
          <w:i w:val="0"/>
          <w:sz w:val="21"/>
        </w:rPr>
        <w:t>ZHAO Shi-xing, YANG Shu-heng, TANG Yuan-xu, et al. Investigation and analysis of building damage in the epicentral area of the Luding Ms 6.8 earthquake in Sichuan[J]. Building Structure, 2023, 53(7): 1-8.</w:t>
      </w:r>
    </w:p>
    <w:p w14:paraId="4AA11D13">
      <w:pPr>
        <w:spacing w:before="0" w:after="0"/>
        <w:ind w:firstLine="420"/>
        <w:jc w:val="both"/>
      </w:pPr>
      <w:r>
        <w:rPr>
          <w:rFonts w:hint="eastAsia" w:ascii="Times New Roman" w:hAnsi="Times New Roman" w:eastAsia="宋体" w:cs="Times New Roman"/>
          <w:b w:val="0"/>
          <w:i w:val="0"/>
          <w:sz w:val="21"/>
        </w:rPr>
        <w:t>[10] 王鹏程, 罗永红, 刘红枫, 等. "9·5"四川泸定Ms6.8级地震诱发磨西台地地震响应分析[J]. 山地学报, 2024, 42(4): 576-590.</w:t>
      </w:r>
    </w:p>
    <w:p w14:paraId="5BF8B92D">
      <w:pPr>
        <w:spacing w:before="0" w:after="0"/>
        <w:ind w:firstLine="420"/>
        <w:jc w:val="both"/>
      </w:pPr>
      <w:r>
        <w:rPr>
          <w:rFonts w:hint="eastAsia" w:ascii="Times New Roman" w:hAnsi="Times New Roman" w:eastAsia="宋体" w:cs="Times New Roman"/>
          <w:b w:val="0"/>
          <w:i w:val="0"/>
          <w:sz w:val="21"/>
        </w:rPr>
        <w:t>WANG Peng-cheng, LUO Yong-hong, LIU Hong-feng, et al. Seismic response of the Moxi terrace induced by the "9·5" Luding Ms 6.8 earthquake, Sichuan[J]. Journal of Mountain Science, 2024, 42(4): 576-590.</w:t>
      </w:r>
    </w:p>
    <w:p w14:paraId="4CDC285E">
      <w:pPr>
        <w:spacing w:before="0" w:after="0"/>
        <w:ind w:firstLine="420"/>
        <w:jc w:val="both"/>
      </w:pPr>
      <w:r>
        <w:rPr>
          <w:rFonts w:hint="eastAsia" w:ascii="Times New Roman" w:hAnsi="Times New Roman" w:eastAsia="宋体" w:cs="Times New Roman"/>
          <w:b w:val="0"/>
          <w:i w:val="0"/>
          <w:sz w:val="21"/>
        </w:rPr>
        <w:t>[11] 潘毅, 任靖哲, 任宇, 等. 考虑台地效应的泸定6.8级地震某框架结构震害调查与分析[J]. 土木工程学报, 2024, 57(6): 136-151.</w:t>
      </w:r>
    </w:p>
    <w:p w14:paraId="3D48B540">
      <w:pPr>
        <w:spacing w:before="0" w:after="0"/>
        <w:ind w:firstLine="420"/>
        <w:jc w:val="both"/>
      </w:pPr>
      <w:r>
        <w:rPr>
          <w:rFonts w:hint="eastAsia" w:ascii="Times New Roman" w:hAnsi="Times New Roman" w:eastAsia="宋体" w:cs="Times New Roman"/>
          <w:b w:val="0"/>
          <w:i w:val="0"/>
          <w:sz w:val="21"/>
        </w:rPr>
        <w:t>PAN Yi, REN Jing-zhe, REN Yu, et al. Seismic damage investigation and analysis of a frame structure considering the terrace effect in the Luding Ms 6.8 earthquake[J]. China Civil Engineering Journal, 2024, 57(6): 136-151.</w:t>
      </w:r>
    </w:p>
    <w:p w14:paraId="31D74005">
      <w:pPr>
        <w:spacing w:before="0" w:after="0"/>
        <w:ind w:firstLine="420"/>
        <w:jc w:val="both"/>
      </w:pPr>
      <w:r>
        <w:rPr>
          <w:rFonts w:hint="eastAsia" w:ascii="Times New Roman" w:hAnsi="Times New Roman" w:eastAsia="宋体" w:cs="Times New Roman"/>
          <w:b w:val="0"/>
          <w:i w:val="0"/>
          <w:sz w:val="21"/>
        </w:rPr>
        <w:t>[12] BOUCKOVALAS G D, PAPADIMITRIOU A G. Numerical evaluation of slope topography effects on seismic ground motion[J]. Soil Dynamics and Earthquake Engineering, 2005, 25(7-10): 547-558.</w:t>
      </w:r>
    </w:p>
    <w:p w14:paraId="1B307DC6">
      <w:pPr>
        <w:spacing w:before="0" w:after="0"/>
        <w:ind w:firstLine="420"/>
        <w:jc w:val="both"/>
      </w:pPr>
      <w:r>
        <w:rPr>
          <w:rFonts w:hint="eastAsia" w:ascii="Times New Roman" w:hAnsi="Times New Roman" w:eastAsia="宋体" w:cs="Times New Roman"/>
          <w:b w:val="0"/>
          <w:i w:val="0"/>
          <w:sz w:val="21"/>
        </w:rPr>
        <w:t>[13] ZHANG Z, FLEURISSON J A, PELLET F. The effects of slope topography on acceleration amplification and interaction between slope topography and seismic input motion[J]. Soil Dynamics and Earthquake Engineering, 2018, 113: 420-431.</w:t>
      </w:r>
    </w:p>
    <w:p w14:paraId="47FDAF52">
      <w:pPr>
        <w:spacing w:before="0" w:after="0"/>
        <w:ind w:firstLine="420"/>
        <w:jc w:val="both"/>
      </w:pPr>
      <w:r>
        <w:rPr>
          <w:rFonts w:hint="eastAsia" w:ascii="Times New Roman" w:hAnsi="Times New Roman" w:eastAsia="宋体" w:cs="Times New Roman"/>
          <w:b w:val="0"/>
          <w:i w:val="0"/>
          <w:sz w:val="21"/>
        </w:rPr>
        <w:t>[14] GALLIPOLI M R, BIANCA M, MUCCIARELLI M, et al. Topographic versus stratigraphic amplification: mismatch between code provisions and observations during the L'Aquila (Italy, 2009) sequence[J]. Bulletin of Earthquake Engineering, 2013, 11(5): 1325-1336.</w:t>
      </w:r>
    </w:p>
    <w:p w14:paraId="2A1DD5DB">
      <w:pPr>
        <w:spacing w:before="0" w:after="0"/>
        <w:ind w:firstLine="420"/>
        <w:jc w:val="both"/>
      </w:pPr>
      <w:r>
        <w:rPr>
          <w:rFonts w:hint="eastAsia" w:ascii="Times New Roman" w:hAnsi="Times New Roman" w:eastAsia="宋体" w:cs="Times New Roman"/>
          <w:b w:val="0"/>
          <w:i w:val="0"/>
          <w:sz w:val="21"/>
        </w:rPr>
        <w:t>[15] HAILEMIKAEL S, LENTI L, MARTINO S, et al. Ground-motion amplification at the Colle di Roio ridge, central Italy: a combined effect of stratigraphy and topography[J]. Geophysical Journal International, 2016, 206(1): 1-18.</w:t>
      </w:r>
    </w:p>
    <w:p w14:paraId="2BB02ABE">
      <w:pPr>
        <w:spacing w:before="0" w:after="0"/>
        <w:ind w:firstLine="420"/>
        <w:jc w:val="both"/>
      </w:pPr>
      <w:r>
        <w:rPr>
          <w:rFonts w:hint="eastAsia" w:ascii="Times New Roman" w:hAnsi="Times New Roman" w:eastAsia="宋体" w:cs="Times New Roman"/>
          <w:b w:val="0"/>
          <w:i w:val="0"/>
          <w:sz w:val="21"/>
        </w:rPr>
        <w:t>[16] TRIPE R, KONTOE S, WONG T K C. Slope topography effects on ground motion in the presence of deep soil layers[J]. Soil Dynamics and Earthquake Engineering, 2013, 50: 72-84.</w:t>
      </w:r>
    </w:p>
    <w:p w14:paraId="4FA07021">
      <w:pPr>
        <w:spacing w:before="0" w:after="0"/>
        <w:ind w:firstLine="420"/>
        <w:jc w:val="both"/>
      </w:pPr>
      <w:r>
        <w:rPr>
          <w:rFonts w:hint="eastAsia" w:ascii="Times New Roman" w:hAnsi="Times New Roman" w:eastAsia="宋体" w:cs="Times New Roman"/>
          <w:b w:val="0"/>
          <w:i w:val="0"/>
          <w:sz w:val="21"/>
        </w:rPr>
        <w:t>[17] ASSIMAKI D, KAUSEL E, GAZETAS G. Soil-dependent topographic effects: a case study from the 1999 Athens Earthquake[J]. Earthquake Spectra, 2005, 21(4): 929-966.</w:t>
      </w:r>
    </w:p>
    <w:p w14:paraId="334E4BF9">
      <w:pPr>
        <w:spacing w:before="0" w:after="0"/>
        <w:ind w:firstLine="420"/>
        <w:jc w:val="both"/>
      </w:pPr>
      <w:r>
        <w:rPr>
          <w:rFonts w:hint="eastAsia" w:ascii="Times New Roman" w:hAnsi="Times New Roman" w:eastAsia="宋体" w:cs="Times New Roman"/>
          <w:b w:val="0"/>
          <w:i w:val="0"/>
          <w:sz w:val="21"/>
        </w:rPr>
        <w:t>[18] SHEN H, LIU Y, LI X, et al. The combined amplification effects of topography and stratigraphy of layered rock slopes under vertically and obliquely incident seismic waves[J]. Soil Dynamics and Earthquake Engineering, 2025, 193: 109331.</w:t>
      </w:r>
    </w:p>
    <w:p w14:paraId="621411DE">
      <w:pPr>
        <w:spacing w:before="0" w:after="0"/>
        <w:ind w:firstLine="420"/>
        <w:jc w:val="both"/>
      </w:pPr>
      <w:r>
        <w:rPr>
          <w:rFonts w:hint="eastAsia" w:ascii="Times New Roman" w:hAnsi="Times New Roman" w:eastAsia="宋体" w:cs="Times New Roman"/>
          <w:b w:val="0"/>
          <w:i w:val="0"/>
          <w:sz w:val="21"/>
        </w:rPr>
        <w:t>[19] RIZZITANO S, CASCONE E, BIONDI G. Coupling of topographic and stratigraphic effects on seismic response of slopes through 2D linear and equivalent linear analyses[J]. Soil Dynamics and Earthquake Engineering, 2014, 67: 66-84.</w:t>
      </w:r>
    </w:p>
    <w:p w14:paraId="2496230C">
      <w:pPr>
        <w:spacing w:before="0" w:after="0"/>
        <w:ind w:firstLine="420"/>
        <w:jc w:val="both"/>
      </w:pPr>
      <w:r>
        <w:rPr>
          <w:rFonts w:hint="eastAsia" w:ascii="Times New Roman" w:hAnsi="Times New Roman" w:eastAsia="宋体" w:cs="Times New Roman"/>
          <w:b w:val="0"/>
          <w:i w:val="0"/>
          <w:sz w:val="21"/>
        </w:rPr>
        <w:t>[20] PELEKIS P, BATILAS A, PEFANI E, et al. Surface topography and site stratigraphy effects on the seismic response of a slope in the Achaia-Ilia (Greece) 2008 Mw6.4 earthquake[J]. Soil Dynamics and Earthquake Engineering, 2017, 100: 538-554.</w:t>
      </w:r>
    </w:p>
    <w:p w14:paraId="288AA6CA">
      <w:pPr>
        <w:spacing w:before="0" w:after="0"/>
        <w:ind w:firstLine="420"/>
        <w:jc w:val="both"/>
      </w:pPr>
      <w:r>
        <w:rPr>
          <w:rFonts w:hint="eastAsia" w:ascii="Times New Roman" w:hAnsi="Times New Roman" w:eastAsia="宋体" w:cs="Times New Roman"/>
          <w:b w:val="0"/>
          <w:i w:val="0"/>
          <w:sz w:val="21"/>
        </w:rPr>
        <w:t>[21] LUO Y, FAN X, HUANG R, et al. Topographic and near-surface stratigraphic amplification of the seismic response of a mountain slope revealed by field monitoring and numerical simulations[J]. Engineering Geology, 2020, 271: 105607.</w:t>
      </w:r>
    </w:p>
    <w:p w14:paraId="1CDE2690">
      <w:pPr>
        <w:spacing w:before="0" w:after="0"/>
        <w:ind w:firstLine="420"/>
        <w:jc w:val="both"/>
      </w:pPr>
      <w:r>
        <w:rPr>
          <w:rFonts w:hint="eastAsia" w:ascii="Times New Roman" w:hAnsi="Times New Roman" w:eastAsia="宋体" w:cs="Times New Roman"/>
          <w:b w:val="0"/>
          <w:i w:val="0"/>
          <w:sz w:val="21"/>
        </w:rPr>
        <w:t>[22] VAHDANI S, WIKSTROM S. Response of the Tarzana strong motion site during the 1994 Northridge earthquake[J]. Soil Dynamics and Earthquake Engineering, 2002, 22(9): 837-848.</w:t>
      </w:r>
    </w:p>
    <w:p w14:paraId="66E1D8F8">
      <w:pPr>
        <w:spacing w:before="0" w:after="0"/>
        <w:ind w:firstLine="420"/>
        <w:jc w:val="both"/>
      </w:pPr>
      <w:r>
        <w:rPr>
          <w:rFonts w:hint="eastAsia" w:ascii="Times New Roman" w:hAnsi="Times New Roman" w:eastAsia="宋体" w:cs="Times New Roman"/>
          <w:b w:val="0"/>
          <w:i w:val="0"/>
          <w:sz w:val="21"/>
        </w:rPr>
        <w:t>[23] ASHFORD S A, SITAR N. Analysis of topographic amplification of inclined shear waves in a steep coastal bluff[J]. Bulletin of the Seismological Society of America, 1997, 87(3): 692-700.</w:t>
      </w:r>
    </w:p>
    <w:p w14:paraId="4546B7C9">
      <w:pPr>
        <w:spacing w:before="0" w:after="0"/>
        <w:ind w:firstLine="420"/>
        <w:jc w:val="both"/>
      </w:pPr>
      <w:r>
        <w:rPr>
          <w:rFonts w:hint="eastAsia" w:ascii="Times New Roman" w:hAnsi="Times New Roman" w:eastAsia="宋体" w:cs="Times New Roman"/>
          <w:b w:val="0"/>
          <w:i w:val="0"/>
          <w:sz w:val="21"/>
        </w:rPr>
        <w:t>[24] 申辉, 刘亚群, 刘博, 等. 地震波斜入射下岩质边坡放大效应的数值模拟研究[J]. 岩土力学, 2023, 44(7): 2129-2142.</w:t>
      </w:r>
    </w:p>
    <w:p w14:paraId="3269B0DA">
      <w:pPr>
        <w:spacing w:before="0" w:after="0"/>
        <w:ind w:firstLine="420"/>
        <w:jc w:val="both"/>
      </w:pPr>
      <w:r>
        <w:rPr>
          <w:rFonts w:hint="eastAsia" w:ascii="Times New Roman" w:hAnsi="Times New Roman" w:eastAsia="宋体" w:cs="Times New Roman"/>
          <w:b w:val="0"/>
          <w:i w:val="0"/>
          <w:sz w:val="21"/>
        </w:rPr>
        <w:t>SHEN Hui, LIU Ya-qun, LIU Bo, et al. Numerical study on the amplification effect of rock slopes under oblique incidence of seismic waves[J]. Rock and Soil Mechanics, 2023, 44(7): 2129-2142.</w:t>
      </w:r>
    </w:p>
    <w:p w14:paraId="173EBD10">
      <w:pPr>
        <w:spacing w:before="0" w:after="0"/>
        <w:ind w:firstLine="420"/>
        <w:jc w:val="both"/>
      </w:pPr>
      <w:r>
        <w:rPr>
          <w:rFonts w:hint="eastAsia" w:ascii="Times New Roman" w:hAnsi="Times New Roman" w:eastAsia="宋体" w:cs="Times New Roman"/>
          <w:b w:val="0"/>
          <w:i w:val="0"/>
          <w:sz w:val="21"/>
        </w:rPr>
        <w:t>[25] 陈咏珊. 基于卷积神经网络预测下哈特盆地地表地震动放大特征[D]. 广州: 广东工业大学, 2023.</w:t>
      </w:r>
    </w:p>
    <w:p w14:paraId="4F078931">
      <w:pPr>
        <w:spacing w:before="0" w:after="0"/>
        <w:ind w:firstLine="420"/>
        <w:jc w:val="both"/>
      </w:pPr>
      <w:r>
        <w:rPr>
          <w:rFonts w:hint="eastAsia" w:ascii="Times New Roman" w:hAnsi="Times New Roman" w:eastAsia="宋体" w:cs="Times New Roman"/>
          <w:b w:val="0"/>
          <w:i w:val="0"/>
          <w:sz w:val="21"/>
        </w:rPr>
        <w:t>CHEN Yong-shan. Prediction of surface ground motion amplification characteristics of the Lower Hutt Basin based on convolutional neural network[D]. Guangzhou: Guangdong University of Technology, 2023.</w:t>
      </w:r>
    </w:p>
    <w:p w14:paraId="0958FC0A">
      <w:pPr>
        <w:spacing w:before="0" w:after="0"/>
        <w:ind w:firstLine="420"/>
        <w:jc w:val="both"/>
      </w:pPr>
      <w:r>
        <w:rPr>
          <w:rFonts w:hint="eastAsia" w:ascii="Times New Roman" w:hAnsi="Times New Roman" w:eastAsia="宋体" w:cs="Times New Roman"/>
          <w:b w:val="0"/>
          <w:i w:val="0"/>
          <w:sz w:val="21"/>
        </w:rPr>
        <w:t>[26] 赵嘉玮. 基于机器学习算法的复杂场地地震动放大效应和非线性效应预测模型研究[D]. 天津: 天津城建大学, 2024.</w:t>
      </w:r>
    </w:p>
    <w:p w14:paraId="36697CAD">
      <w:pPr>
        <w:spacing w:before="0" w:after="0"/>
        <w:ind w:firstLine="420"/>
        <w:jc w:val="both"/>
      </w:pPr>
      <w:r>
        <w:rPr>
          <w:rFonts w:hint="eastAsia" w:ascii="Times New Roman" w:hAnsi="Times New Roman" w:eastAsia="宋体" w:cs="Times New Roman"/>
          <w:b w:val="0"/>
          <w:i w:val="0"/>
          <w:sz w:val="21"/>
        </w:rPr>
        <w:t>ZHAO Jia-wei. Research on prediction models of ground motion amplification and nonlinear effects in complex sites based on machine learning algorithms[D]. Tianjin: Tianjin Chengjian University, 2024.</w:t>
      </w:r>
    </w:p>
    <w:p w14:paraId="1932C3C7">
      <w:pPr>
        <w:spacing w:before="0" w:after="0"/>
        <w:ind w:firstLine="420"/>
        <w:jc w:val="both"/>
      </w:pPr>
      <w:r>
        <w:rPr>
          <w:rFonts w:hint="eastAsia" w:ascii="Times New Roman" w:hAnsi="Times New Roman" w:eastAsia="宋体" w:cs="Times New Roman"/>
          <w:b w:val="0"/>
          <w:i w:val="0"/>
          <w:sz w:val="21"/>
        </w:rPr>
        <w:t>[27] 罗麒锐, 赵仕兴, 吴启红, 等. 基于地形参数的地震动放大系数数值分析与预测方法[J]. 建筑结构, 2025, 55(2): 50-57, 35.</w:t>
      </w:r>
    </w:p>
    <w:p w14:paraId="7CDA244D">
      <w:pPr>
        <w:spacing w:before="0" w:after="0"/>
        <w:ind w:firstLine="420"/>
        <w:jc w:val="both"/>
      </w:pPr>
      <w:r>
        <w:rPr>
          <w:rFonts w:hint="eastAsia" w:ascii="Times New Roman" w:hAnsi="Times New Roman" w:eastAsia="宋体" w:cs="Times New Roman"/>
          <w:b w:val="0"/>
          <w:i w:val="0"/>
          <w:sz w:val="21"/>
        </w:rPr>
        <w:t>LUO Qi-rui, ZHAO Shi-xing, WU Qi-hong, et al. Numerical analysis and prediction method of ground motion amplification factor based on topographic parameters[J]. Building Structure, 2025, 55(2): 50-57, 35.</w:t>
      </w:r>
    </w:p>
    <w:p w14:paraId="54F49666">
      <w:pPr>
        <w:spacing w:before="0" w:after="0"/>
        <w:ind w:firstLine="420"/>
        <w:jc w:val="both"/>
      </w:pPr>
      <w:r>
        <w:rPr>
          <w:rFonts w:hint="eastAsia" w:ascii="Times New Roman" w:hAnsi="Times New Roman" w:eastAsia="宋体" w:cs="Times New Roman"/>
          <w:b w:val="0"/>
          <w:i w:val="0"/>
          <w:sz w:val="21"/>
        </w:rPr>
        <w:t>[28] 周红, 常莹. 利用BP神经网络技术建立自贡地区地震动地形效应模型及其在汶川地震中的效验[J]. 地球物理学报, 2022, 65(6): 2022-2034.</w:t>
      </w:r>
    </w:p>
    <w:p w14:paraId="26D5DF8F">
      <w:pPr>
        <w:spacing w:before="0" w:after="0"/>
        <w:ind w:firstLine="420"/>
        <w:jc w:val="both"/>
      </w:pPr>
      <w:r>
        <w:rPr>
          <w:rFonts w:hint="eastAsia" w:ascii="Times New Roman" w:hAnsi="Times New Roman" w:eastAsia="宋体" w:cs="Times New Roman"/>
          <w:b w:val="0"/>
          <w:i w:val="0"/>
          <w:sz w:val="21"/>
        </w:rPr>
        <w:t>ZHOU Hong, CHANG Ying. A ground motion topographic effect model for the Zigong area based on BP neural network and its validation in the Wenchuan earthquake[J]. Chinese Journal of Geophysics, 2022, 65(6): 2022-2034.</w:t>
      </w:r>
    </w:p>
    <w:p w14:paraId="75CBC0CA">
      <w:pPr>
        <w:spacing w:before="0" w:after="0"/>
        <w:ind w:firstLine="420"/>
        <w:jc w:val="both"/>
      </w:pPr>
      <w:r>
        <w:rPr>
          <w:rFonts w:hint="eastAsia" w:ascii="Times New Roman" w:hAnsi="Times New Roman" w:eastAsia="宋体" w:cs="Times New Roman"/>
          <w:b w:val="0"/>
          <w:i w:val="0"/>
          <w:sz w:val="21"/>
        </w:rPr>
        <w:t>[29] ZHOU H, LI J, CHEN X. Establishment of a seismic topographic effect prediction model in the Lushan Ms 7.0 earthquake area[J]. Geophysical Journal International, 2020, 221(1): 273-288.</w:t>
      </w:r>
    </w:p>
    <w:p w14:paraId="4D34BBD5">
      <w:pPr>
        <w:spacing w:before="0" w:after="0"/>
        <w:ind w:firstLine="420"/>
        <w:jc w:val="both"/>
      </w:pPr>
      <w:r>
        <w:rPr>
          <w:rFonts w:hint="eastAsia" w:ascii="Times New Roman" w:hAnsi="Times New Roman" w:eastAsia="宋体" w:cs="Times New Roman"/>
          <w:b w:val="0"/>
          <w:i w:val="0"/>
          <w:sz w:val="21"/>
        </w:rPr>
        <w:t>[30] TAVAKOLI H, SOLEIMANI KUTANAEI S. Evaluation of effect of soil characteristics on the seismic amplification factor using the neural network and reliability concept[J]. Arabian Journal of Geosciences, 2015, 8(6): 3881-3891.</w:t>
      </w:r>
    </w:p>
    <w:p w14:paraId="10741764">
      <w:pPr>
        <w:spacing w:before="0" w:after="0"/>
        <w:ind w:firstLine="420"/>
        <w:jc w:val="both"/>
      </w:pPr>
      <w:r>
        <w:rPr>
          <w:rFonts w:hint="eastAsia" w:ascii="Times New Roman" w:hAnsi="Times New Roman" w:eastAsia="宋体" w:cs="Times New Roman"/>
          <w:b w:val="0"/>
          <w:i w:val="0"/>
          <w:sz w:val="21"/>
        </w:rPr>
        <w:t>[31] Dassault Systèmes. Abaqus 2021 documentation[CP/OL]. Providence (RI): Dassault Systèmes SIMULIA Corp., 2021.</w:t>
      </w:r>
    </w:p>
    <w:p w14:paraId="21FA5461">
      <w:pPr>
        <w:spacing w:before="0" w:after="0"/>
        <w:ind w:firstLine="420"/>
        <w:jc w:val="both"/>
      </w:pPr>
      <w:r>
        <w:rPr>
          <w:rFonts w:hint="eastAsia" w:ascii="Times New Roman" w:hAnsi="Times New Roman" w:eastAsia="宋体" w:cs="Times New Roman"/>
          <w:b w:val="0"/>
          <w:i w:val="0"/>
          <w:sz w:val="21"/>
        </w:rPr>
        <w:t>[32] 刘晶波, 谷音, 杜义欣. 粘弹性人工边界及粘弹性边界单元[J]. 土木工程学报, 2006, 39(2): 31-36.</w:t>
      </w:r>
    </w:p>
    <w:p w14:paraId="7B075776">
      <w:pPr>
        <w:spacing w:before="0" w:after="0"/>
        <w:ind w:firstLine="420"/>
        <w:jc w:val="both"/>
      </w:pPr>
      <w:r>
        <w:rPr>
          <w:rFonts w:hint="eastAsia" w:ascii="Times New Roman" w:hAnsi="Times New Roman" w:eastAsia="宋体" w:cs="Times New Roman"/>
          <w:b w:val="0"/>
          <w:i w:val="0"/>
          <w:sz w:val="21"/>
        </w:rPr>
        <w:t>LIU Jing-bo, GU Yin, DU Yi-xin. Viscoelastic artificial boundary and viscoelastic boundary element[J]. China Civil Engineering Journal, 2006, 39(2): 31-36.</w:t>
      </w:r>
    </w:p>
    <w:p w14:paraId="7D70EADD">
      <w:pPr>
        <w:spacing w:before="0" w:after="0"/>
        <w:ind w:firstLine="420"/>
        <w:jc w:val="both"/>
      </w:pPr>
      <w:r>
        <w:rPr>
          <w:rFonts w:hint="eastAsia" w:ascii="Times New Roman" w:hAnsi="Times New Roman" w:eastAsia="宋体" w:cs="Times New Roman"/>
          <w:b w:val="0"/>
          <w:i w:val="0"/>
          <w:sz w:val="21"/>
        </w:rPr>
        <w:t>[33] BIELAK J, LOUKAS K, HISADA Y, et al. Domain reduction method for computing earthquake ground motions in localized regions. Part I: Theory[J]. Bulletin of the Seismological Society of America, 2003, 93(2): 817-824.</w:t>
      </w:r>
    </w:p>
    <w:p w14:paraId="36DAAF6E">
      <w:pPr>
        <w:spacing w:before="0" w:after="0"/>
        <w:ind w:firstLine="420"/>
        <w:jc w:val="both"/>
      </w:pPr>
      <w:r>
        <w:rPr>
          <w:rFonts w:hint="eastAsia" w:ascii="Times New Roman" w:hAnsi="Times New Roman" w:eastAsia="宋体" w:cs="Times New Roman"/>
          <w:b w:val="0"/>
          <w:i w:val="0"/>
          <w:sz w:val="21"/>
        </w:rPr>
        <w:t>[34] SPECFEM2D Development Team. SPECFEM2D Cartesian user guide (v8.1.0)[CP/OL]. [2026-08-24]. https://github.com/geodynamics/specfem2d.</w:t>
      </w:r>
    </w:p>
    <w:sectPr>
      <w:headerReference r:id="rId4" w:type="default"/>
      <w:type w:val="continuous"/>
      <w:pgSz w:w="11906" w:h="16838"/>
      <w:pgMar w:top="1418" w:right="1134" w:bottom="1418" w:left="1134" w:header="851" w:footer="850"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6AF6F739">
      <w:pPr>
        <w:pStyle w:val="6"/>
        <w:rPr>
          <w:rFonts w:ascii="Times New Roman" w:hAnsi="Times New Roman" w:eastAsia="宋体" w:cs="Times New Roman"/>
          <w:sz w:val="18"/>
        </w:rPr>
      </w:pPr>
      <w:r>
        <w:rPr>
          <w:rFonts w:ascii="Times New Roman" w:hAnsi="Times New Roman" w:eastAsia="宋体" w:cs="Times New Roman"/>
          <w:sz w:val="18"/>
        </w:rPr>
        <w:t>收稿日期：2026-08-24</w:t>
      </w:r>
    </w:p>
    <w:p w14:paraId="413BB2FA">
      <w:pPr>
        <w:pStyle w:val="6"/>
        <w:rPr>
          <w:rFonts w:ascii="Times New Roman" w:hAnsi="Times New Roman" w:eastAsia="宋体" w:cs="Times New Roman"/>
          <w:sz w:val="18"/>
        </w:rPr>
      </w:pPr>
      <w:r>
        <w:rPr>
          <w:rFonts w:ascii="Times New Roman" w:hAnsi="Times New Roman" w:eastAsia="宋体" w:cs="Times New Roman"/>
          <w:sz w:val="18"/>
        </w:rPr>
        <w:t>基金项目：国家自然科学基金(********)；重庆市自然科学基金(********)</w:t>
      </w:r>
    </w:p>
    <w:p w14:paraId="7769428A">
      <w:pPr>
        <w:pStyle w:val="6"/>
        <w:rPr>
          <w:rFonts w:ascii="Times New Roman" w:hAnsi="Times New Roman" w:eastAsia="宋体" w:cs="Times New Roman"/>
          <w:sz w:val="18"/>
        </w:rPr>
      </w:pPr>
      <w:r>
        <w:rPr>
          <w:rFonts w:ascii="Times New Roman" w:hAnsi="Times New Roman" w:eastAsia="宋体" w:cs="Times New Roman"/>
          <w:sz w:val="18"/>
        </w:rPr>
        <w:t>作者简介：【作者一】（19XX- ），男，博士，副教授，主要从事边坡动力响应与数值模拟研究，E-mail：***@*******</w:t>
      </w:r>
    </w:p>
    <w:p w14:paraId="1788238C">
      <w:pPr>
        <w:pStyle w:val="6"/>
        <w:ind w:firstLine="900" w:firstLineChars="500"/>
        <w:rPr>
          <w:rFonts w:ascii="Times New Roman" w:hAnsi="Times New Roman" w:eastAsia="宋体" w:cs="Times New Roman"/>
          <w:sz w:val="18"/>
        </w:rPr>
      </w:pPr>
      <w:r>
        <w:rPr>
          <w:rFonts w:ascii="Times New Roman" w:hAnsi="Times New Roman" w:eastAsia="宋体" w:cs="Times New Roman"/>
          <w:sz w:val="18"/>
        </w:rPr>
        <w:t>【作者二】（通信作者），男，教授，博士生导师，E-mail：***@*******。</w:t>
      </w:r>
    </w:p>
    <w:p w14:paraId="2A1935A6">
      <w:pPr>
        <w:pStyle w:val="6"/>
        <w:rPr>
          <w:rFonts w:ascii="Times New Roman" w:hAnsi="Times New Roman" w:eastAsia="宋体" w:cs="Times New Roman"/>
          <w:sz w:val="18"/>
        </w:rPr>
      </w:pPr>
      <w:r>
        <w:rPr>
          <w:rFonts w:ascii="Times New Roman" w:hAnsi="Times New Roman" w:eastAsia="宋体" w:cs="Times New Roman"/>
          <w:sz w:val="18"/>
        </w:rPr>
        <w:t>Received: 2026-08-24</w:t>
      </w:r>
    </w:p>
    <w:p w14:paraId="7BEACF42">
      <w:pPr>
        <w:pStyle w:val="6"/>
        <w:rPr>
          <w:rFonts w:ascii="Times New Roman" w:hAnsi="Times New Roman" w:eastAsia="宋体" w:cs="Times New Roman"/>
          <w:sz w:val="18"/>
        </w:rPr>
      </w:pPr>
      <w:r>
        <w:rPr>
          <w:rFonts w:ascii="Times New Roman" w:hAnsi="Times New Roman" w:eastAsia="宋体" w:cs="Times New Roman"/>
          <w:sz w:val="18"/>
        </w:rPr>
        <w:t>Foundation items: National Natural Science Foundation of China (No. ********); Natural Science Foundation of Chongqing (No. ********)</w:t>
      </w:r>
    </w:p>
    <w:p w14:paraId="4FEAE784">
      <w:pPr>
        <w:pStyle w:val="6"/>
        <w:rPr>
          <w:rFonts w:ascii="Times New Roman" w:hAnsi="Times New Roman" w:eastAsia="宋体" w:cs="Times New Roman"/>
          <w:sz w:val="18"/>
        </w:rPr>
      </w:pPr>
      <w:r>
        <w:rPr>
          <w:rFonts w:ascii="Times New Roman" w:hAnsi="Times New Roman" w:eastAsia="宋体" w:cs="Times New Roman"/>
          <w:sz w:val="18"/>
        </w:rPr>
        <w:t>Author brief: 【AUTHOR 1】 (19XX- ), PhD, associate professor, main research interest: slope dynamic response and numerical simulation, E-mail: ***@*******</w:t>
      </w:r>
    </w:p>
    <w:p w14:paraId="29854AD3">
      <w:pPr>
        <w:pStyle w:val="6"/>
        <w:rPr>
          <w:rFonts w:ascii="Times New Roman" w:hAnsi="Times New Roman" w:eastAsia="宋体" w:cs="Times New Roman"/>
          <w:sz w:val="18"/>
        </w:rPr>
      </w:pPr>
      <w:r>
        <w:rPr>
          <w:rFonts w:ascii="Times New Roman" w:hAnsi="Times New Roman" w:eastAsia="宋体" w:cs="Times New Roman"/>
          <w:sz w:val="18"/>
        </w:rPr>
        <w:t>【AUTHOR 2】 (corresponding author), professor, doctorial supervisor,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37CE0">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1C1"/>
    <w:rsid w:val="00004B44"/>
    <w:rsid w:val="00023407"/>
    <w:rsid w:val="00027410"/>
    <w:rsid w:val="00031E8C"/>
    <w:rsid w:val="000416C9"/>
    <w:rsid w:val="000435C0"/>
    <w:rsid w:val="00044F03"/>
    <w:rsid w:val="00054A2E"/>
    <w:rsid w:val="000718DF"/>
    <w:rsid w:val="00072C77"/>
    <w:rsid w:val="000741AC"/>
    <w:rsid w:val="0008292A"/>
    <w:rsid w:val="00085045"/>
    <w:rsid w:val="000920D8"/>
    <w:rsid w:val="00094C1D"/>
    <w:rsid w:val="00095927"/>
    <w:rsid w:val="000B2582"/>
    <w:rsid w:val="000C0CD4"/>
    <w:rsid w:val="000C5221"/>
    <w:rsid w:val="000C7792"/>
    <w:rsid w:val="000D439F"/>
    <w:rsid w:val="000D5399"/>
    <w:rsid w:val="000E3AA9"/>
    <w:rsid w:val="000E3E53"/>
    <w:rsid w:val="000E60BB"/>
    <w:rsid w:val="000F2143"/>
    <w:rsid w:val="000F4E33"/>
    <w:rsid w:val="00103C2C"/>
    <w:rsid w:val="0010546E"/>
    <w:rsid w:val="00112CA7"/>
    <w:rsid w:val="00117D81"/>
    <w:rsid w:val="00120AEA"/>
    <w:rsid w:val="001235BC"/>
    <w:rsid w:val="001329D2"/>
    <w:rsid w:val="00137A65"/>
    <w:rsid w:val="00143FDA"/>
    <w:rsid w:val="0014410F"/>
    <w:rsid w:val="00146EF8"/>
    <w:rsid w:val="00151411"/>
    <w:rsid w:val="00154090"/>
    <w:rsid w:val="001565A6"/>
    <w:rsid w:val="001571D4"/>
    <w:rsid w:val="0016037C"/>
    <w:rsid w:val="00161D13"/>
    <w:rsid w:val="001769F1"/>
    <w:rsid w:val="00181824"/>
    <w:rsid w:val="00192224"/>
    <w:rsid w:val="001969AB"/>
    <w:rsid w:val="0019729A"/>
    <w:rsid w:val="001A4266"/>
    <w:rsid w:val="001B02C6"/>
    <w:rsid w:val="001B39A3"/>
    <w:rsid w:val="001B48F8"/>
    <w:rsid w:val="001B53CD"/>
    <w:rsid w:val="001C7547"/>
    <w:rsid w:val="001D0166"/>
    <w:rsid w:val="001D41AC"/>
    <w:rsid w:val="001E3B9A"/>
    <w:rsid w:val="001E3D6E"/>
    <w:rsid w:val="001F0F8A"/>
    <w:rsid w:val="001F394D"/>
    <w:rsid w:val="001F4C3E"/>
    <w:rsid w:val="0020155D"/>
    <w:rsid w:val="00202036"/>
    <w:rsid w:val="00202B43"/>
    <w:rsid w:val="00207B72"/>
    <w:rsid w:val="0021775F"/>
    <w:rsid w:val="00217F26"/>
    <w:rsid w:val="00226006"/>
    <w:rsid w:val="00226766"/>
    <w:rsid w:val="0023707E"/>
    <w:rsid w:val="00247F9C"/>
    <w:rsid w:val="0025341F"/>
    <w:rsid w:val="00262483"/>
    <w:rsid w:val="00265648"/>
    <w:rsid w:val="00271261"/>
    <w:rsid w:val="0027332E"/>
    <w:rsid w:val="00273741"/>
    <w:rsid w:val="002863E6"/>
    <w:rsid w:val="00290572"/>
    <w:rsid w:val="0029451E"/>
    <w:rsid w:val="00296326"/>
    <w:rsid w:val="002966EF"/>
    <w:rsid w:val="00296B18"/>
    <w:rsid w:val="00297A45"/>
    <w:rsid w:val="002B124B"/>
    <w:rsid w:val="002C0069"/>
    <w:rsid w:val="002C0230"/>
    <w:rsid w:val="002C04C4"/>
    <w:rsid w:val="002C3EDF"/>
    <w:rsid w:val="002D110E"/>
    <w:rsid w:val="002D156D"/>
    <w:rsid w:val="002D51EC"/>
    <w:rsid w:val="002E77B2"/>
    <w:rsid w:val="002F7ADD"/>
    <w:rsid w:val="003028DE"/>
    <w:rsid w:val="0030416B"/>
    <w:rsid w:val="003101C2"/>
    <w:rsid w:val="00310271"/>
    <w:rsid w:val="00324229"/>
    <w:rsid w:val="00327089"/>
    <w:rsid w:val="00327D15"/>
    <w:rsid w:val="003300D6"/>
    <w:rsid w:val="00335134"/>
    <w:rsid w:val="003403DB"/>
    <w:rsid w:val="00340979"/>
    <w:rsid w:val="0035415A"/>
    <w:rsid w:val="00361237"/>
    <w:rsid w:val="00362279"/>
    <w:rsid w:val="003622FF"/>
    <w:rsid w:val="00384251"/>
    <w:rsid w:val="003A3A52"/>
    <w:rsid w:val="003B1C12"/>
    <w:rsid w:val="003B5764"/>
    <w:rsid w:val="003C51CF"/>
    <w:rsid w:val="003D1D8E"/>
    <w:rsid w:val="003D1EDE"/>
    <w:rsid w:val="003D4171"/>
    <w:rsid w:val="003E4069"/>
    <w:rsid w:val="003E6DFB"/>
    <w:rsid w:val="003E724D"/>
    <w:rsid w:val="003E7A9B"/>
    <w:rsid w:val="003F09B7"/>
    <w:rsid w:val="003F1596"/>
    <w:rsid w:val="003F1C14"/>
    <w:rsid w:val="004263E7"/>
    <w:rsid w:val="0044751D"/>
    <w:rsid w:val="004479C2"/>
    <w:rsid w:val="0046548A"/>
    <w:rsid w:val="00475E88"/>
    <w:rsid w:val="00477533"/>
    <w:rsid w:val="00481361"/>
    <w:rsid w:val="00493EBA"/>
    <w:rsid w:val="004B1C07"/>
    <w:rsid w:val="004C3392"/>
    <w:rsid w:val="004C4BC5"/>
    <w:rsid w:val="004D1B5F"/>
    <w:rsid w:val="004D3B93"/>
    <w:rsid w:val="004D55A3"/>
    <w:rsid w:val="004D76E0"/>
    <w:rsid w:val="004E7637"/>
    <w:rsid w:val="004F42E9"/>
    <w:rsid w:val="004F4934"/>
    <w:rsid w:val="004F6213"/>
    <w:rsid w:val="00530B31"/>
    <w:rsid w:val="00535253"/>
    <w:rsid w:val="00540EF4"/>
    <w:rsid w:val="00541CDE"/>
    <w:rsid w:val="005534C9"/>
    <w:rsid w:val="0056351D"/>
    <w:rsid w:val="005724B9"/>
    <w:rsid w:val="0057633D"/>
    <w:rsid w:val="005915C3"/>
    <w:rsid w:val="00596F0E"/>
    <w:rsid w:val="005A016A"/>
    <w:rsid w:val="005A7E15"/>
    <w:rsid w:val="005B203B"/>
    <w:rsid w:val="005B70A7"/>
    <w:rsid w:val="005B73A5"/>
    <w:rsid w:val="005D4423"/>
    <w:rsid w:val="005E2A56"/>
    <w:rsid w:val="005E4468"/>
    <w:rsid w:val="005F0AD8"/>
    <w:rsid w:val="005F0D1B"/>
    <w:rsid w:val="005F2146"/>
    <w:rsid w:val="005F4738"/>
    <w:rsid w:val="005F7B0B"/>
    <w:rsid w:val="006040F2"/>
    <w:rsid w:val="0061409F"/>
    <w:rsid w:val="00615AC2"/>
    <w:rsid w:val="00624CD2"/>
    <w:rsid w:val="006254D1"/>
    <w:rsid w:val="00630D16"/>
    <w:rsid w:val="0063285D"/>
    <w:rsid w:val="00636386"/>
    <w:rsid w:val="006413D5"/>
    <w:rsid w:val="006417B7"/>
    <w:rsid w:val="006478E3"/>
    <w:rsid w:val="00651F2F"/>
    <w:rsid w:val="00654477"/>
    <w:rsid w:val="00656323"/>
    <w:rsid w:val="00671E8F"/>
    <w:rsid w:val="00673112"/>
    <w:rsid w:val="006948D9"/>
    <w:rsid w:val="00697DC0"/>
    <w:rsid w:val="006A4097"/>
    <w:rsid w:val="006A4AD7"/>
    <w:rsid w:val="006A6747"/>
    <w:rsid w:val="006B607E"/>
    <w:rsid w:val="006C27F1"/>
    <w:rsid w:val="006C38FB"/>
    <w:rsid w:val="006D4D16"/>
    <w:rsid w:val="006E0EE8"/>
    <w:rsid w:val="006E3AB3"/>
    <w:rsid w:val="006E5717"/>
    <w:rsid w:val="00701EB2"/>
    <w:rsid w:val="007102B0"/>
    <w:rsid w:val="00712A5C"/>
    <w:rsid w:val="0072361A"/>
    <w:rsid w:val="0073715A"/>
    <w:rsid w:val="00740F22"/>
    <w:rsid w:val="0074180F"/>
    <w:rsid w:val="0074716C"/>
    <w:rsid w:val="00752166"/>
    <w:rsid w:val="00755054"/>
    <w:rsid w:val="00762E84"/>
    <w:rsid w:val="00765174"/>
    <w:rsid w:val="00767B8C"/>
    <w:rsid w:val="007710D9"/>
    <w:rsid w:val="00772EF7"/>
    <w:rsid w:val="00776DA2"/>
    <w:rsid w:val="00780474"/>
    <w:rsid w:val="00780908"/>
    <w:rsid w:val="0078379C"/>
    <w:rsid w:val="00785775"/>
    <w:rsid w:val="00792104"/>
    <w:rsid w:val="007932F9"/>
    <w:rsid w:val="007A2794"/>
    <w:rsid w:val="007C0402"/>
    <w:rsid w:val="007C2E6C"/>
    <w:rsid w:val="007C7C22"/>
    <w:rsid w:val="007D11DA"/>
    <w:rsid w:val="007D2BE7"/>
    <w:rsid w:val="007D6BF4"/>
    <w:rsid w:val="007D767C"/>
    <w:rsid w:val="007E4044"/>
    <w:rsid w:val="007E63B1"/>
    <w:rsid w:val="007E74B2"/>
    <w:rsid w:val="007F2284"/>
    <w:rsid w:val="007F4C79"/>
    <w:rsid w:val="00806B24"/>
    <w:rsid w:val="00810147"/>
    <w:rsid w:val="0081591F"/>
    <w:rsid w:val="00827DCF"/>
    <w:rsid w:val="00830191"/>
    <w:rsid w:val="008328AC"/>
    <w:rsid w:val="00842C58"/>
    <w:rsid w:val="00846478"/>
    <w:rsid w:val="00850CC0"/>
    <w:rsid w:val="00853A59"/>
    <w:rsid w:val="00860F04"/>
    <w:rsid w:val="00874DD7"/>
    <w:rsid w:val="0088539F"/>
    <w:rsid w:val="00887C1C"/>
    <w:rsid w:val="00897CF9"/>
    <w:rsid w:val="008A66ED"/>
    <w:rsid w:val="008A7865"/>
    <w:rsid w:val="008B2271"/>
    <w:rsid w:val="008D14C1"/>
    <w:rsid w:val="008D783E"/>
    <w:rsid w:val="008E1511"/>
    <w:rsid w:val="008F098C"/>
    <w:rsid w:val="00900385"/>
    <w:rsid w:val="00901773"/>
    <w:rsid w:val="0090710A"/>
    <w:rsid w:val="00907770"/>
    <w:rsid w:val="00911189"/>
    <w:rsid w:val="0092097F"/>
    <w:rsid w:val="00926065"/>
    <w:rsid w:val="00927222"/>
    <w:rsid w:val="00930007"/>
    <w:rsid w:val="009312B7"/>
    <w:rsid w:val="009335D4"/>
    <w:rsid w:val="009347BD"/>
    <w:rsid w:val="00941434"/>
    <w:rsid w:val="009447C1"/>
    <w:rsid w:val="00950EF0"/>
    <w:rsid w:val="0095461C"/>
    <w:rsid w:val="009765BC"/>
    <w:rsid w:val="00986073"/>
    <w:rsid w:val="00986CCF"/>
    <w:rsid w:val="00990A3D"/>
    <w:rsid w:val="009940E5"/>
    <w:rsid w:val="00997D51"/>
    <w:rsid w:val="009A063D"/>
    <w:rsid w:val="009A77DB"/>
    <w:rsid w:val="009B644F"/>
    <w:rsid w:val="009C1D70"/>
    <w:rsid w:val="009C2732"/>
    <w:rsid w:val="009C2F82"/>
    <w:rsid w:val="009D545A"/>
    <w:rsid w:val="009E153B"/>
    <w:rsid w:val="009E5687"/>
    <w:rsid w:val="009E5B67"/>
    <w:rsid w:val="009E626E"/>
    <w:rsid w:val="009F4DCB"/>
    <w:rsid w:val="00A02EAC"/>
    <w:rsid w:val="00A03BA6"/>
    <w:rsid w:val="00A03E75"/>
    <w:rsid w:val="00A13F57"/>
    <w:rsid w:val="00A2005C"/>
    <w:rsid w:val="00A227E7"/>
    <w:rsid w:val="00A25EE3"/>
    <w:rsid w:val="00A35ED9"/>
    <w:rsid w:val="00A430D4"/>
    <w:rsid w:val="00A4450B"/>
    <w:rsid w:val="00A47ECA"/>
    <w:rsid w:val="00A66D2D"/>
    <w:rsid w:val="00A729A0"/>
    <w:rsid w:val="00A86F6F"/>
    <w:rsid w:val="00A91F26"/>
    <w:rsid w:val="00A931D6"/>
    <w:rsid w:val="00A93BFA"/>
    <w:rsid w:val="00AA60C2"/>
    <w:rsid w:val="00AA6CBF"/>
    <w:rsid w:val="00AC0D42"/>
    <w:rsid w:val="00AD7923"/>
    <w:rsid w:val="00AE2593"/>
    <w:rsid w:val="00AE2F57"/>
    <w:rsid w:val="00AF4CCF"/>
    <w:rsid w:val="00B0233D"/>
    <w:rsid w:val="00B02D8E"/>
    <w:rsid w:val="00B165CB"/>
    <w:rsid w:val="00B31C59"/>
    <w:rsid w:val="00B356A6"/>
    <w:rsid w:val="00B37686"/>
    <w:rsid w:val="00B54886"/>
    <w:rsid w:val="00B60D4C"/>
    <w:rsid w:val="00B74148"/>
    <w:rsid w:val="00B87CB1"/>
    <w:rsid w:val="00B9001B"/>
    <w:rsid w:val="00BA3072"/>
    <w:rsid w:val="00BA3B31"/>
    <w:rsid w:val="00BC7802"/>
    <w:rsid w:val="00BD28DB"/>
    <w:rsid w:val="00BE17AB"/>
    <w:rsid w:val="00BF3F93"/>
    <w:rsid w:val="00BF45D8"/>
    <w:rsid w:val="00BF5EC5"/>
    <w:rsid w:val="00BF6749"/>
    <w:rsid w:val="00BF735E"/>
    <w:rsid w:val="00C10698"/>
    <w:rsid w:val="00C11F5F"/>
    <w:rsid w:val="00C14B6A"/>
    <w:rsid w:val="00C211EA"/>
    <w:rsid w:val="00C300A8"/>
    <w:rsid w:val="00C37553"/>
    <w:rsid w:val="00C52281"/>
    <w:rsid w:val="00C56A98"/>
    <w:rsid w:val="00C8218A"/>
    <w:rsid w:val="00CA1E26"/>
    <w:rsid w:val="00CA5259"/>
    <w:rsid w:val="00CC0601"/>
    <w:rsid w:val="00CC421E"/>
    <w:rsid w:val="00CC75E4"/>
    <w:rsid w:val="00CD1162"/>
    <w:rsid w:val="00CD3A81"/>
    <w:rsid w:val="00CD3DC5"/>
    <w:rsid w:val="00CD4A1D"/>
    <w:rsid w:val="00CE2AC6"/>
    <w:rsid w:val="00D0118B"/>
    <w:rsid w:val="00D05248"/>
    <w:rsid w:val="00D1165D"/>
    <w:rsid w:val="00D5098E"/>
    <w:rsid w:val="00D528B1"/>
    <w:rsid w:val="00D602DD"/>
    <w:rsid w:val="00D621EE"/>
    <w:rsid w:val="00D66906"/>
    <w:rsid w:val="00D67AA9"/>
    <w:rsid w:val="00D72769"/>
    <w:rsid w:val="00D80CC6"/>
    <w:rsid w:val="00D80CE4"/>
    <w:rsid w:val="00D92873"/>
    <w:rsid w:val="00D941C5"/>
    <w:rsid w:val="00D94CAC"/>
    <w:rsid w:val="00D95784"/>
    <w:rsid w:val="00D9661F"/>
    <w:rsid w:val="00DA28AD"/>
    <w:rsid w:val="00DA5524"/>
    <w:rsid w:val="00DA6D75"/>
    <w:rsid w:val="00DB1410"/>
    <w:rsid w:val="00DB55BB"/>
    <w:rsid w:val="00DB767B"/>
    <w:rsid w:val="00DC59D9"/>
    <w:rsid w:val="00DE5075"/>
    <w:rsid w:val="00DE574B"/>
    <w:rsid w:val="00E033AA"/>
    <w:rsid w:val="00E05AA7"/>
    <w:rsid w:val="00E23206"/>
    <w:rsid w:val="00E24982"/>
    <w:rsid w:val="00E25456"/>
    <w:rsid w:val="00E25E3D"/>
    <w:rsid w:val="00E40024"/>
    <w:rsid w:val="00E420A5"/>
    <w:rsid w:val="00E473D3"/>
    <w:rsid w:val="00E47B10"/>
    <w:rsid w:val="00E51898"/>
    <w:rsid w:val="00E51EF1"/>
    <w:rsid w:val="00E52EFB"/>
    <w:rsid w:val="00E805A4"/>
    <w:rsid w:val="00E847B0"/>
    <w:rsid w:val="00E84DD0"/>
    <w:rsid w:val="00E84F9D"/>
    <w:rsid w:val="00E85B68"/>
    <w:rsid w:val="00E92CBD"/>
    <w:rsid w:val="00EA2312"/>
    <w:rsid w:val="00EA56FC"/>
    <w:rsid w:val="00EA6CED"/>
    <w:rsid w:val="00EB3C1C"/>
    <w:rsid w:val="00EB3FDD"/>
    <w:rsid w:val="00EB4B8F"/>
    <w:rsid w:val="00EC299D"/>
    <w:rsid w:val="00EC48A4"/>
    <w:rsid w:val="00ED36F8"/>
    <w:rsid w:val="00ED7C92"/>
    <w:rsid w:val="00EE176D"/>
    <w:rsid w:val="00EE7056"/>
    <w:rsid w:val="00EF0A4E"/>
    <w:rsid w:val="00EF125A"/>
    <w:rsid w:val="00EF2439"/>
    <w:rsid w:val="00F00C9F"/>
    <w:rsid w:val="00F03110"/>
    <w:rsid w:val="00F15845"/>
    <w:rsid w:val="00F16930"/>
    <w:rsid w:val="00F261C1"/>
    <w:rsid w:val="00F434C2"/>
    <w:rsid w:val="00F4464E"/>
    <w:rsid w:val="00F44AF0"/>
    <w:rsid w:val="00F60200"/>
    <w:rsid w:val="00F61C48"/>
    <w:rsid w:val="00F66FF1"/>
    <w:rsid w:val="00F72E18"/>
    <w:rsid w:val="00F744A9"/>
    <w:rsid w:val="00F74BC4"/>
    <w:rsid w:val="00F74ED8"/>
    <w:rsid w:val="00F74F87"/>
    <w:rsid w:val="00F8302C"/>
    <w:rsid w:val="00F84AB7"/>
    <w:rsid w:val="00FA176A"/>
    <w:rsid w:val="00FA350E"/>
    <w:rsid w:val="00FA4178"/>
    <w:rsid w:val="00FA6697"/>
    <w:rsid w:val="00FB1A18"/>
    <w:rsid w:val="00FB2557"/>
    <w:rsid w:val="00FB6ADF"/>
    <w:rsid w:val="00FC4A6E"/>
    <w:rsid w:val="00FD1446"/>
    <w:rsid w:val="00FD6D67"/>
    <w:rsid w:val="00FE176C"/>
    <w:rsid w:val="00FE2009"/>
    <w:rsid w:val="00FF37FE"/>
    <w:rsid w:val="00FF5137"/>
    <w:rsid w:val="00FF5303"/>
    <w:rsid w:val="48D25BE3"/>
    <w:rsid w:val="533917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99" w:name="Placeholder Text"/>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3"/>
    <w:semiHidden/>
    <w:unhideWhenUsed/>
    <w:qFormat/>
    <w:uiPriority w:val="99"/>
    <w:pPr>
      <w:jc w:val="left"/>
    </w:pPr>
  </w:style>
  <w:style w:type="paragraph" w:styleId="3">
    <w:name w:val="Balloon Text"/>
    <w:basedOn w:val="1"/>
    <w:link w:val="16"/>
    <w:semiHidden/>
    <w:unhideWhenUsed/>
    <w:qFormat/>
    <w:uiPriority w:val="99"/>
    <w:rPr>
      <w:sz w:val="18"/>
      <w:szCs w:val="18"/>
    </w:rPr>
  </w:style>
  <w:style w:type="paragraph" w:styleId="4">
    <w:name w:val="footer"/>
    <w:basedOn w:val="1"/>
    <w:link w:val="18"/>
    <w:unhideWhenUsed/>
    <w:qFormat/>
    <w:uiPriority w:val="99"/>
    <w:pPr>
      <w:tabs>
        <w:tab w:val="center" w:pos="4153"/>
        <w:tab w:val="right" w:pos="8306"/>
      </w:tabs>
      <w:snapToGrid w:val="0"/>
      <w:jc w:val="left"/>
    </w:pPr>
    <w:rPr>
      <w:sz w:val="18"/>
      <w:szCs w:val="18"/>
    </w:rPr>
  </w:style>
  <w:style w:type="paragraph" w:styleId="5">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21"/>
    <w:unhideWhenUsed/>
    <w:qFormat/>
    <w:uiPriority w:val="99"/>
    <w:pPr>
      <w:snapToGrid w:val="0"/>
      <w:jc w:val="left"/>
    </w:pPr>
    <w:rPr>
      <w:sz w:val="18"/>
      <w:szCs w:val="18"/>
    </w:rPr>
  </w:style>
  <w:style w:type="paragraph" w:styleId="7">
    <w:name w:val="annotation subject"/>
    <w:basedOn w:val="2"/>
    <w:next w:val="2"/>
    <w:link w:val="24"/>
    <w:semiHidden/>
    <w:unhideWhenUsed/>
    <w:qFormat/>
    <w:uiPriority w:val="99"/>
    <w:rPr>
      <w:b/>
      <w:bCs/>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
    <w:name w:val="Light Shading"/>
    <w:basedOn w:val="8"/>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12">
    <w:name w:val="FollowedHyperlink"/>
    <w:basedOn w:val="11"/>
    <w:semiHidden/>
    <w:unhideWhenUsed/>
    <w:qFormat/>
    <w:uiPriority w:val="99"/>
    <w:rPr>
      <w:color w:val="800080" w:themeColor="followedHyperlink"/>
      <w:u w:val="single"/>
      <w14:textFill>
        <w14:solidFill>
          <w14:schemeClr w14:val="folHlink"/>
        </w14:solidFill>
      </w14:textFill>
    </w:rPr>
  </w:style>
  <w:style w:type="character" w:styleId="13">
    <w:name w:val="Hyperlink"/>
    <w:basedOn w:val="11"/>
    <w:unhideWhenUsed/>
    <w:qFormat/>
    <w:uiPriority w:val="99"/>
    <w:rPr>
      <w:color w:val="0000FF" w:themeColor="hyperlink"/>
      <w:u w:val="single"/>
      <w14:textFill>
        <w14:solidFill>
          <w14:schemeClr w14:val="hlink"/>
        </w14:solidFill>
      </w14:textFill>
    </w:rPr>
  </w:style>
  <w:style w:type="character" w:styleId="14">
    <w:name w:val="annotation reference"/>
    <w:basedOn w:val="11"/>
    <w:semiHidden/>
    <w:unhideWhenUsed/>
    <w:qFormat/>
    <w:uiPriority w:val="99"/>
    <w:rPr>
      <w:sz w:val="21"/>
      <w:szCs w:val="21"/>
    </w:rPr>
  </w:style>
  <w:style w:type="character" w:styleId="15">
    <w:name w:val="footnote reference"/>
    <w:basedOn w:val="11"/>
    <w:unhideWhenUsed/>
    <w:qFormat/>
    <w:uiPriority w:val="99"/>
    <w:rPr>
      <w:vertAlign w:val="superscript"/>
    </w:rPr>
  </w:style>
  <w:style w:type="character" w:customStyle="1" w:styleId="16">
    <w:name w:val="批注框文本 字符"/>
    <w:basedOn w:val="11"/>
    <w:link w:val="3"/>
    <w:semiHidden/>
    <w:qFormat/>
    <w:uiPriority w:val="99"/>
    <w:rPr>
      <w:sz w:val="18"/>
      <w:szCs w:val="18"/>
    </w:rPr>
  </w:style>
  <w:style w:type="character" w:customStyle="1" w:styleId="17">
    <w:name w:val="页眉 字符"/>
    <w:basedOn w:val="11"/>
    <w:link w:val="5"/>
    <w:qFormat/>
    <w:uiPriority w:val="99"/>
    <w:rPr>
      <w:sz w:val="18"/>
      <w:szCs w:val="18"/>
    </w:rPr>
  </w:style>
  <w:style w:type="character" w:customStyle="1" w:styleId="18">
    <w:name w:val="页脚 字符"/>
    <w:basedOn w:val="11"/>
    <w:link w:val="4"/>
    <w:qFormat/>
    <w:uiPriority w:val="99"/>
    <w:rPr>
      <w:sz w:val="18"/>
      <w:szCs w:val="18"/>
    </w:rPr>
  </w:style>
  <w:style w:type="paragraph" w:customStyle="1" w:styleId="19">
    <w:name w:val="Default"/>
    <w:qForma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 w:type="character" w:styleId="20">
    <w:name w:val="Placeholder Text"/>
    <w:basedOn w:val="11"/>
    <w:semiHidden/>
    <w:uiPriority w:val="99"/>
    <w:rPr>
      <w:color w:val="808080"/>
    </w:rPr>
  </w:style>
  <w:style w:type="character" w:customStyle="1" w:styleId="21">
    <w:name w:val="脚注文本 字符"/>
    <w:basedOn w:val="11"/>
    <w:link w:val="6"/>
    <w:uiPriority w:val="99"/>
    <w:rPr>
      <w:sz w:val="18"/>
      <w:szCs w:val="18"/>
    </w:rPr>
  </w:style>
  <w:style w:type="character" w:customStyle="1" w:styleId="22">
    <w:name w:val="15"/>
    <w:basedOn w:val="11"/>
    <w:uiPriority w:val="0"/>
    <w:rPr>
      <w:rFonts w:hint="default" w:ascii="Calibri" w:hAnsi="Calibri"/>
      <w:vertAlign w:val="superscript"/>
    </w:rPr>
  </w:style>
  <w:style w:type="character" w:customStyle="1" w:styleId="23">
    <w:name w:val="批注文字 字符"/>
    <w:basedOn w:val="11"/>
    <w:link w:val="2"/>
    <w:semiHidden/>
    <w:uiPriority w:val="99"/>
  </w:style>
  <w:style w:type="character" w:customStyle="1" w:styleId="24">
    <w:name w:val="批注主题 字符"/>
    <w:basedOn w:val="23"/>
    <w:link w:val="7"/>
    <w:semiHidden/>
    <w:uiPriority w:val="99"/>
    <w:rPr>
      <w:b/>
      <w:bCs/>
    </w:rPr>
  </w:style>
  <w:style w:type="paragraph" w:styleId="2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1.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8176ED-D6A9-4185-9C44-43BA5558406B}">
  <ds:schemaRefs/>
</ds:datastoreItem>
</file>

<file path=docProps/app.xml><?xml version="1.0" encoding="utf-8"?>
<Properties xmlns="http://schemas.openxmlformats.org/officeDocument/2006/extended-properties" xmlns:vt="http://schemas.openxmlformats.org/officeDocument/2006/docPropsVTypes">
  <Template>Normal</Template>
  <Company>MS</Company>
  <Pages>60</Pages>
  <Words>8783</Words>
  <Characters>11420</Characters>
  <Lines>12</Lines>
  <Paragraphs>3</Paragraphs>
  <TotalTime>22</TotalTime>
  <ScaleCrop>false</ScaleCrop>
  <LinksUpToDate>false</LinksUpToDate>
  <CharactersWithSpaces>11957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2020-05-19T01:48:00Z</dcterms:created>
  <dc:creator>USER-</dc:creator>
  <cp:lastModifiedBy>傅宇轩</cp:lastModifiedBy>
  <dcterms:modified xsi:type="dcterms:W3CDTF">2026-08-26T06:31:40Z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95E7BBC65A2148C199F1550A590EC1DF_13</vt:lpwstr>
  </property>
  <property fmtid="{D5CDD505-2E9C-101B-9397-08002B2CF9AE}" pid="4" name="KSOTemplateDocerSaveRecord">
    <vt:lpwstr>eyJoZGlkIjoiM2YxZjgwMDdiMTY0M2JkZGU1ZmU0ZGJlZDBhOWMzN2IiLCJ1c2VySWQiOiIyMTUyODA0MCJ9</vt:lpwstr>
  </property>
</Properties>
</file>