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2DF5C">
      <w:pPr>
        <w:spacing w:before="468" w:after="0"/>
        <w:ind w:left="420" w:right="420"/>
        <w:jc w:val="center"/>
      </w:pPr>
      <w:r>
        <w:rPr>
          <w:rFonts w:hint="eastAsia" w:ascii="Times New Roman" w:hAnsi="Times New Roman" w:eastAsia="宋体" w:cs="Times New Roman"/>
          <w:b/>
          <w:i w:val="0"/>
          <w:sz w:val="32"/>
        </w:rPr>
        <w:t>成层坡地地震动放大效应的幅值—相位联合表征、代理预测与真实地震动重构</w:t>
      </w:r>
      <w:r>
        <w:footnoteReference w:id="0"/>
      </w:r>
    </w:p>
    <w:p w14:paraId="5D8A5B19">
      <w:pPr>
        <w:spacing w:before="156" w:beforeLines="50"/>
        <w:ind w:left="420" w:leftChars="200" w:right="420" w:rightChars="200" w:firstLine="170" w:firstLineChars="71"/>
        <w:jc w:val="center"/>
        <w:rPr>
          <w:rFonts w:ascii="Times New Roman" w:hAnsi="Times New Roman" w:eastAsia="仿宋" w:cs="Times New Roman"/>
          <w:sz w:val="24"/>
          <w:szCs w:val="24"/>
          <w:vertAlign w:val="superscript"/>
        </w:rPr>
      </w:pPr>
      <w:r>
        <w:rPr>
          <w:rFonts w:hint="eastAsia" w:ascii="Times New Roman" w:hAnsi="Times New Roman" w:eastAsia="仿宋" w:cs="Times New Roman"/>
          <w:sz w:val="24"/>
          <w:szCs w:val="24"/>
        </w:rPr>
        <w:t>李*</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1a</w:t>
      </w:r>
      <w:r>
        <w:rPr>
          <w:rFonts w:ascii="Times New Roman" w:hAnsi="Times New Roman" w:eastAsia="仿宋" w:cs="Times New Roman"/>
          <w:sz w:val="24"/>
          <w:szCs w:val="24"/>
        </w:rPr>
        <w:t>，</w:t>
      </w:r>
      <w:r>
        <w:rPr>
          <w:rFonts w:hint="eastAsia" w:ascii="Times New Roman" w:hAnsi="Times New Roman" w:eastAsia="仿宋" w:cs="Times New Roman"/>
          <w:sz w:val="24"/>
          <w:szCs w:val="24"/>
        </w:rPr>
        <w:t>王*</w: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1b</w:t>
      </w:r>
      <w:r>
        <w:rPr>
          <w:rFonts w:ascii="Times New Roman" w:hAnsi="Times New Roman" w:eastAsia="仿宋" w:cs="Times New Roman"/>
          <w:sz w:val="24"/>
          <w:szCs w:val="24"/>
        </w:rPr>
        <w:t>，</w:t>
      </w:r>
      <w:r>
        <w:rPr>
          <w:rFonts w:hint="eastAsia" w:ascii="Times New Roman" w:hAnsi="Times New Roman" w:eastAsia="仿宋" w:cs="Times New Roman"/>
          <w:sz w:val="24"/>
          <w:szCs w:val="24"/>
        </w:rPr>
        <w:t>张****</w:t>
      </w:r>
      <w:r>
        <w:rPr>
          <w:rFonts w:ascii="Times New Roman" w:hAnsi="Times New Roman" w:eastAsia="仿宋" w:cs="Times New Roman"/>
          <w:sz w:val="24"/>
          <w:szCs w:val="24"/>
          <w:vertAlign w:val="superscript"/>
        </w:rPr>
        <w:t>2</w:t>
      </w:r>
    </w:p>
    <w:p w14:paraId="1FD5B243">
      <w:pPr>
        <w:snapToGrid w:val="0"/>
        <w:spacing w:after="156" w:afterLines="50"/>
        <w:ind w:left="420" w:leftChars="200" w:right="420" w:rightChars="200"/>
        <w:jc w:val="center"/>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1</w:t>
      </w:r>
      <w:r>
        <w:rPr>
          <w:rFonts w:ascii="Times New Roman" w:hAnsi="Times New Roman" w:eastAsia="宋体" w:cs="Times New Roman"/>
          <w:szCs w:val="21"/>
        </w:rPr>
        <w:t>.</w:t>
      </w:r>
      <w:r>
        <w:rPr>
          <w:rFonts w:hint="eastAsia" w:ascii="Times New Roman" w:hAnsi="Times New Roman" w:eastAsia="宋体" w:cs="Times New Roman"/>
          <w:szCs w:val="21"/>
        </w:rPr>
        <w:t>重庆</w:t>
      </w:r>
      <w:r>
        <w:rPr>
          <w:rFonts w:ascii="Times New Roman" w:hAnsi="Times New Roman" w:eastAsia="宋体" w:cs="Times New Roman"/>
          <w:szCs w:val="21"/>
        </w:rPr>
        <w:t>大学 a.</w:t>
      </w:r>
      <w:r>
        <w:rPr>
          <w:rFonts w:hint="eastAsia" w:ascii="Times New Roman" w:hAnsi="Times New Roman" w:eastAsia="宋体" w:cs="Times New Roman"/>
          <w:szCs w:val="21"/>
        </w:rPr>
        <w:t>土木</w:t>
      </w:r>
      <w:r>
        <w:rPr>
          <w:rFonts w:ascii="Times New Roman" w:hAnsi="Times New Roman" w:eastAsia="宋体" w:cs="Times New Roman"/>
          <w:szCs w:val="21"/>
        </w:rPr>
        <w:t>工程学院；b.</w:t>
      </w:r>
      <w:r>
        <w:rPr>
          <w:rFonts w:hint="eastAsia" w:ascii="Times New Roman" w:hAnsi="Times New Roman" w:eastAsia="宋体" w:cs="Times New Roman"/>
          <w:szCs w:val="21"/>
        </w:rPr>
        <w:t>环境与生态</w:t>
      </w:r>
      <w:r>
        <w:rPr>
          <w:rFonts w:ascii="Times New Roman" w:hAnsi="Times New Roman" w:eastAsia="宋体" w:cs="Times New Roman"/>
          <w:szCs w:val="21"/>
        </w:rPr>
        <w:t>学院，</w:t>
      </w:r>
      <w:r>
        <w:rPr>
          <w:rFonts w:hint="eastAsia" w:ascii="Times New Roman" w:hAnsi="Times New Roman" w:eastAsia="宋体" w:cs="Times New Roman"/>
          <w:szCs w:val="21"/>
        </w:rPr>
        <w:t>重庆</w:t>
      </w:r>
      <w:r>
        <w:rPr>
          <w:rFonts w:ascii="Times New Roman" w:hAnsi="Times New Roman" w:eastAsia="宋体" w:cs="Times New Roman"/>
          <w:szCs w:val="21"/>
        </w:rPr>
        <w:t xml:space="preserve"> 400045</w:t>
      </w:r>
      <w:r>
        <w:rPr>
          <w:rFonts w:hint="eastAsia" w:ascii="Times New Roman" w:hAnsi="Times New Roman" w:eastAsia="宋体" w:cs="Times New Roman"/>
          <w:szCs w:val="21"/>
        </w:rPr>
        <w:t>；2</w:t>
      </w:r>
      <w:r>
        <w:rPr>
          <w:rFonts w:ascii="Times New Roman" w:hAnsi="Times New Roman" w:eastAsia="宋体" w:cs="Times New Roman"/>
          <w:szCs w:val="21"/>
        </w:rPr>
        <w:t>.</w:t>
      </w:r>
      <w:r>
        <w:rPr>
          <w:rFonts w:hint="eastAsia" w:ascii="Times New Roman" w:hAnsi="Times New Roman" w:eastAsia="宋体" w:cs="Times New Roman"/>
          <w:szCs w:val="21"/>
        </w:rPr>
        <w:t xml:space="preserve">同济大学 土木工程学院，上海 </w:t>
      </w:r>
      <w:r>
        <w:rPr>
          <w:rFonts w:ascii="Times New Roman" w:hAnsi="Times New Roman" w:eastAsia="宋体" w:cs="Times New Roman"/>
          <w:szCs w:val="21"/>
        </w:rPr>
        <w:t>210092）</w:t>
      </w:r>
    </w:p>
    <w:p w14:paraId="5EB45A9C">
      <w:pPr>
        <w:ind w:left="420" w:right="420"/>
        <w:jc w:val="both"/>
      </w:pPr>
      <w:r>
        <w:rPr>
          <w:rFonts w:hint="eastAsia" w:ascii="Times New Roman" w:hAnsi="Times New Roman" w:eastAsia="黑体" w:cs="Times New Roman"/>
          <w:b w:val="0"/>
          <w:i w:val="0"/>
          <w:sz w:val="21"/>
        </w:rPr>
        <w:t>摘  要：</w:t>
      </w:r>
      <w:r>
        <w:rPr>
          <w:rFonts w:hint="eastAsia" w:ascii="Times New Roman" w:hAnsi="Times New Roman" w:eastAsia="楷体" w:cs="Times New Roman"/>
          <w:b w:val="0"/>
          <w:i w:val="0"/>
          <w:sz w:val="21"/>
        </w:rPr>
        <w:t xml:space="preserve">成层坡地地震动放大同时受地形散射、覆盖层传播和斜入射相位差控制，传统峰值加速度（PGA）等标量指标难以保留频率—空间响应中的相位关系。基于黏弹性人工边界、频域自由场输入和宽频多正弦系统识别，建立了15° SV波斜入射下的二维线弹性成层坡地模型，并将全地表水平复频响函数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楷体" w:cs="Times New Roman"/>
          <w:b w:val="0"/>
          <w:i w:val="0"/>
          <w:sz w:val="21"/>
        </w:rPr>
        <w:t xml:space="preserve"> 定义为二维地表复谱相对于左侧上平台一维自由场的比值。针对4个均质坡、64个成层坡及12个训练外中间参数组合，研究了坡角、覆盖层厚度比和波速比的影响，并构建本征正交分解—高斯过程代理模型。结果表明，统一参考场显著削弱了坡脚处由分母切换造成的非物理突变；16条厚度序列中有9条峰值放大呈非单调变化，固定坡角和波速比时主峰频率最大跨度为7.3 Hz；无量纲特征频率与中位绝对相位、群时延修正的Spearman相关系数分别为−0.940和−0.922，明显强于其与净幅值修正幅度的相关（−0.300）。代理模型在五折交叉验证和训练外组合上的中位加权复数误差分别为27.1%和26.4%，提高POD截断阶数可以降低中位误差，但不能消除误差上尾。采用El Centro、Kobe和Chi-Chi记录开展的10个体系—记录闭环表明，重构时程的中位归一化均方根误差为9.8%，相关系数为0.995，PGA误差为2.5%，峰值时刻误差为0.002 s；但10个组合中有4个、全部地表位置中有52.8%的时程误差超过10%。软厚覆盖层、坡面—下平台及高频区域仍需有限元复核。</w:t>
      </w:r>
    </w:p>
    <w:p w14:paraId="52BA3CDB">
      <w:pPr>
        <w:ind w:left="420" w:right="420"/>
        <w:jc w:val="both"/>
      </w:pPr>
      <w:r>
        <w:rPr>
          <w:rFonts w:hint="eastAsia" w:ascii="Times New Roman" w:hAnsi="Times New Roman" w:eastAsia="黑体" w:cs="Times New Roman"/>
          <w:b w:val="0"/>
          <w:i w:val="0"/>
          <w:sz w:val="21"/>
        </w:rPr>
        <w:t>关键词：</w:t>
      </w:r>
      <w:r>
        <w:rPr>
          <w:rFonts w:hint="eastAsia" w:ascii="Times New Roman" w:hAnsi="Times New Roman" w:eastAsia="楷体" w:cs="Times New Roman"/>
          <w:b w:val="0"/>
          <w:i w:val="0"/>
          <w:sz w:val="21"/>
        </w:rPr>
        <w:t>成层坡地；地形效应；复频响函数；相位；代理模型；地震动重构</w:t>
      </w:r>
    </w:p>
    <w:p w14:paraId="736B9DBA">
      <w:pPr>
        <w:ind w:left="420" w:right="420"/>
        <w:jc w:val="both"/>
      </w:pPr>
      <w:r>
        <w:rPr>
          <w:rFonts w:hint="eastAsia" w:ascii="Times New Roman" w:hAnsi="Times New Roman" w:eastAsia="黑体" w:cs="Times New Roman"/>
          <w:b w:val="0"/>
          <w:i w:val="0"/>
          <w:sz w:val="21"/>
        </w:rPr>
        <w:t>中图分类号：</w:t>
      </w:r>
      <w:r>
        <w:rPr>
          <w:rFonts w:hint="eastAsia" w:ascii="Times New Roman" w:hAnsi="Times New Roman" w:eastAsia="宋体" w:cs="Times New Roman"/>
          <w:b w:val="0"/>
          <w:i w:val="0"/>
          <w:sz w:val="21"/>
        </w:rPr>
        <w:t xml:space="preserve">TU43                </w:t>
      </w:r>
      <w:r>
        <w:rPr>
          <w:rFonts w:hint="eastAsia" w:ascii="Times New Roman" w:hAnsi="Times New Roman" w:eastAsia="黑体" w:cs="Times New Roman"/>
          <w:b w:val="0"/>
          <w:i w:val="0"/>
          <w:sz w:val="21"/>
        </w:rPr>
        <w:t>文献标志码：</w:t>
      </w:r>
      <w:r>
        <w:rPr>
          <w:rFonts w:hint="eastAsia" w:ascii="Times New Roman" w:hAnsi="Times New Roman" w:eastAsia="Times New Roman" w:cs="Times New Roman"/>
          <w:b w:val="0"/>
          <w:i w:val="0"/>
          <w:sz w:val="21"/>
        </w:rPr>
        <w:t>A</w:t>
      </w:r>
    </w:p>
    <w:p w14:paraId="1B85DCC1">
      <w:pPr>
        <w:spacing w:before="312" w:after="0"/>
        <w:jc w:val="center"/>
      </w:pPr>
      <w:r>
        <w:rPr>
          <w:rFonts w:hint="eastAsia" w:ascii="Times New Roman" w:hAnsi="Times New Roman" w:eastAsia="Times New Roman" w:cs="Times New Roman"/>
          <w:b/>
          <w:i w:val="0"/>
          <w:sz w:val="28"/>
        </w:rPr>
        <w:t>Amplitude–phase joint characterization, surrogate prediction and ground-motion reconstruction of seismic amplification effects of layered slopes</w:t>
      </w:r>
    </w:p>
    <w:p w14:paraId="7E658011">
      <w:pPr>
        <w:spacing w:before="156" w:beforeLines="50"/>
        <w:jc w:val="center"/>
        <w:rPr>
          <w:rFonts w:ascii="Times New Roman" w:hAnsi="Times New Roman" w:eastAsia="黑体"/>
          <w:sz w:val="24"/>
          <w:szCs w:val="24"/>
          <w:vertAlign w:val="superscript"/>
        </w:rPr>
      </w:pPr>
      <w:r>
        <w:rPr>
          <w:rFonts w:hint="eastAsia" w:ascii="Times New Roman" w:hAnsi="Times New Roman" w:eastAsia="黑体"/>
          <w:sz w:val="24"/>
          <w:szCs w:val="24"/>
        </w:rPr>
        <w:t>L</w:t>
      </w:r>
      <w:r>
        <w:rPr>
          <w:rFonts w:ascii="Times New Roman" w:hAnsi="Times New Roman" w:eastAsia="黑体"/>
          <w:sz w:val="24"/>
          <w:szCs w:val="24"/>
        </w:rPr>
        <w:t xml:space="preserve">I </w:t>
      </w:r>
      <w:r>
        <w:rPr>
          <w:rFonts w:hint="eastAsia" w:ascii="Times New Roman" w:hAnsi="Times New Roman" w:eastAsia="黑体"/>
          <w:sz w:val="24"/>
          <w:szCs w:val="24"/>
        </w:rPr>
        <w:t>****</w:t>
      </w:r>
      <w:r>
        <w:rPr>
          <w:rFonts w:ascii="Times New Roman" w:hAnsi="Times New Roman" w:eastAsia="黑体"/>
          <w:sz w:val="24"/>
          <w:szCs w:val="24"/>
          <w:vertAlign w:val="superscript"/>
        </w:rPr>
        <w:t xml:space="preserve"> 1a</w:t>
      </w:r>
      <w:r>
        <w:rPr>
          <w:rFonts w:ascii="Times New Roman" w:hAnsi="Times New Roman" w:eastAsia="黑体"/>
          <w:sz w:val="24"/>
          <w:szCs w:val="24"/>
        </w:rPr>
        <w:t xml:space="preserve">, WANG </w:t>
      </w:r>
      <w:r>
        <w:rPr>
          <w:rFonts w:hint="eastAsia" w:ascii="Times New Roman" w:hAnsi="Times New Roman" w:eastAsia="黑体"/>
          <w:sz w:val="24"/>
          <w:szCs w:val="24"/>
        </w:rPr>
        <w:t>****</w:t>
      </w:r>
      <w:r>
        <w:rPr>
          <w:rFonts w:ascii="Times New Roman" w:hAnsi="Times New Roman" w:eastAsia="黑体"/>
          <w:sz w:val="24"/>
          <w:szCs w:val="24"/>
          <w:vertAlign w:val="superscript"/>
        </w:rPr>
        <w:t>1b</w:t>
      </w:r>
      <w:r>
        <w:rPr>
          <w:rFonts w:ascii="Times New Roman" w:hAnsi="Times New Roman" w:eastAsia="黑体"/>
          <w:sz w:val="24"/>
          <w:szCs w:val="24"/>
        </w:rPr>
        <w:t xml:space="preserve">, </w:t>
      </w:r>
      <w:r>
        <w:rPr>
          <w:rFonts w:hint="eastAsia" w:ascii="Times New Roman" w:hAnsi="Times New Roman" w:eastAsia="仿宋" w:cs="Times New Roman"/>
          <w:sz w:val="24"/>
          <w:szCs w:val="24"/>
        </w:rPr>
        <w:t>Z</w:t>
      </w:r>
      <w:r>
        <w:rPr>
          <w:rFonts w:ascii="Times New Roman" w:hAnsi="Times New Roman" w:eastAsia="仿宋" w:cs="Times New Roman"/>
          <w:sz w:val="24"/>
          <w:szCs w:val="24"/>
        </w:rPr>
        <w:t>HANG</w:t>
      </w:r>
      <w:r>
        <w:rPr>
          <w:rFonts w:hint="eastAsia" w:ascii="Times New Roman" w:hAnsi="Times New Roman" w:eastAsia="仿宋" w:cs="Times New Roman"/>
          <w:sz w:val="24"/>
          <w:szCs w:val="24"/>
        </w:rPr>
        <w:t>****</w:t>
      </w:r>
      <w:r>
        <w:rPr>
          <w:rFonts w:ascii="Times New Roman" w:hAnsi="Times New Roman" w:eastAsia="仿宋" w:cs="Times New Roman"/>
          <w:sz w:val="24"/>
          <w:szCs w:val="24"/>
          <w:vertAlign w:val="superscript"/>
        </w:rPr>
        <w:t>2</w:t>
      </w:r>
    </w:p>
    <w:p w14:paraId="16EEFBF9">
      <w:pPr>
        <w:spacing w:after="156" w:afterLines="50"/>
        <w:jc w:val="center"/>
        <w:rPr>
          <w:rFonts w:ascii="Times New Roman" w:hAnsi="Times New Roman"/>
          <w:szCs w:val="21"/>
        </w:rPr>
      </w:pPr>
      <w:r>
        <w:rPr>
          <w:rFonts w:ascii="Times New Roman" w:hAnsi="Times New Roman" w:eastAsia="黑体"/>
          <w:szCs w:val="21"/>
        </w:rPr>
        <w:t>(1</w:t>
      </w:r>
      <w:r>
        <w:rPr>
          <w:rFonts w:hint="eastAsia" w:ascii="Times New Roman" w:hAnsi="Times New Roman" w:eastAsia="黑体"/>
          <w:szCs w:val="21"/>
        </w:rPr>
        <w:t>a.</w:t>
      </w:r>
      <w:r>
        <w:rPr>
          <w:rFonts w:ascii="Times New Roman" w:hAnsi="Times New Roman"/>
          <w:szCs w:val="21"/>
        </w:rPr>
        <w:t xml:space="preserve"> School of Civil Engineering; 1b.</w:t>
      </w:r>
      <w:r>
        <w:rPr>
          <w:rFonts w:ascii="Times New Roman" w:hAnsi="Times New Roman" w:eastAsia="黑体"/>
          <w:szCs w:val="21"/>
        </w:rPr>
        <w:t xml:space="preserve"> </w:t>
      </w:r>
      <w:r>
        <w:rPr>
          <w:rFonts w:ascii="Times New Roman" w:hAnsi="Times New Roman"/>
          <w:szCs w:val="21"/>
        </w:rPr>
        <w:t xml:space="preserve">College of Environment and Ecology, Chongqing University, Chongqing 400045, </w:t>
      </w:r>
      <w:r>
        <w:rPr>
          <w:rFonts w:hint="eastAsia" w:ascii="Times New Roman" w:hAnsi="Times New Roman"/>
          <w:szCs w:val="21"/>
        </w:rPr>
        <w:t>P</w:t>
      </w:r>
      <w:r>
        <w:rPr>
          <w:rFonts w:ascii="Times New Roman" w:hAnsi="Times New Roman"/>
          <w:szCs w:val="21"/>
        </w:rPr>
        <w:t xml:space="preserve">. </w:t>
      </w:r>
      <w:r>
        <w:rPr>
          <w:rFonts w:hint="eastAsia" w:ascii="Times New Roman" w:hAnsi="Times New Roman"/>
          <w:szCs w:val="21"/>
        </w:rPr>
        <w:t>R</w:t>
      </w:r>
      <w:r>
        <w:rPr>
          <w:rFonts w:ascii="Times New Roman" w:hAnsi="Times New Roman"/>
          <w:szCs w:val="21"/>
        </w:rPr>
        <w:t>. China; 2. College of Civil Engineering, Tongji University, Shanghai 210092, P. R. China)</w:t>
      </w:r>
    </w:p>
    <w:p w14:paraId="2F414FA3">
      <w:pPr>
        <w:jc w:val="both"/>
      </w:pPr>
      <w:r>
        <w:rPr>
          <w:rFonts w:hint="eastAsia" w:ascii="Times New Roman" w:hAnsi="Times New Roman" w:eastAsia="Times New Roman" w:cs="Times New Roman"/>
          <w:b/>
          <w:i w:val="0"/>
          <w:sz w:val="21"/>
        </w:rPr>
        <w:t xml:space="preserve">Abstract: </w:t>
      </w:r>
      <w:r>
        <w:rPr>
          <w:rFonts w:hint="eastAsia" w:ascii="Times New Roman" w:hAnsi="Times New Roman" w:eastAsia="Times New Roman" w:cs="Times New Roman"/>
          <w:b w:val="0"/>
          <w:i w:val="0"/>
          <w:sz w:val="21"/>
        </w:rPr>
        <w:t xml:space="preserve">Seismic amplification of layered slopes is jointly controlled by topographic scattering, cover-layer propagation and oblique-incidence phase differences, whereas scalar measures such as peak ground acceleration (PGA) cannot retain the phase relation within the frequency–space response. A two-dimensional linear-elastic model under 15° SV-wave incidence was developed using viscous-spring boundaries, frequency-domain free-field input and broadband system identification. The horizontal complex frequency-response function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Times New Roman" w:cs="Times New Roman"/>
          <w:b w:val="0"/>
          <w:i w:val="0"/>
          <w:sz w:val="21"/>
        </w:rPr>
        <w:t xml:space="preserve"> was defined relative to one left upper-platform free field. Four homogeneous and 64 layered configurations, together with 12 training-excluded intermediate combinations, were used to examine three governing parameters and construct a proper orthogonal decomposition–Gaussian process regression surrogate. The use of a common reference substantially reduced the spurious discontinuity at the slope toe caused by denominator switching. Nine of the 16 thickness sequences showed non-monotonic peak amplification, with a maximum dominant-frequency span of 7.3 Hz. The characteristic frequency was strongly correlated with the median absolute phase and group-delay corrections (Spearman coefficients −0.940 and −0.922), but weakly correlated with the absolute magnitude of the net amplitude correction (−0.300). Median weighted complex errors were 27.1% in five-fold cross-validation and 26.4% for the training-excluded combinations. Increasing the POD order reduced the median error but not its upper tail. Ten closed-loop system–record combinations involving El Centro, Kobe and Chi-Chi motions yielded a median time-history normalized root-mean-square error of 9.8%, a correlation of 0.995, a PGA error of 2.5% and a peak-time error of 0.002 s. Nevertheless, the time-history error exceeded 10% in four combinations and at 52.8% of surface locations. Direct finite-element checks remain necessary for soft-thick cover, slope and lower-platform regions, and high frequencies.</w:t>
      </w:r>
    </w:p>
    <w:p w14:paraId="499F547A">
      <w:pPr>
        <w:spacing w:after="120"/>
        <w:jc w:val="both"/>
        <w:sectPr>
          <w:type w:val="continuous"/>
          <w:pgSz w:w="11906" w:h="16838"/>
          <w:pgMar w:top="1418" w:right="1134" w:bottom="1418" w:left="1134" w:header="851" w:footer="992" w:gutter="0"/>
          <w:cols w:space="425" w:num="1"/>
          <w:docGrid w:type="lines" w:linePitch="312" w:charSpace="0"/>
        </w:sectPr>
      </w:pPr>
      <w:r>
        <w:rPr>
          <w:rFonts w:hint="eastAsia" w:ascii="Times New Roman" w:hAnsi="Times New Roman" w:eastAsia="Times New Roman" w:cs="Times New Roman"/>
          <w:b/>
          <w:i w:val="0"/>
          <w:sz w:val="21"/>
        </w:rPr>
        <w:t xml:space="preserve">Keywords: </w:t>
      </w:r>
      <w:r>
        <w:rPr>
          <w:rFonts w:hint="eastAsia" w:ascii="Times New Roman" w:hAnsi="Times New Roman" w:eastAsia="Times New Roman" w:cs="Times New Roman"/>
          <w:b w:val="0"/>
          <w:i w:val="0"/>
          <w:sz w:val="21"/>
        </w:rPr>
        <w:t>layered slope; topographic effect; complex frequency-response function; phase; surrogate model; ground-motion reconstruction</w:t>
      </w:r>
    </w:p>
    <w:p w14:paraId="56452B79">
      <w:pPr>
        <w:spacing w:before="312" w:after="60"/>
        <w:ind w:firstLine="0"/>
        <w:jc w:val="left"/>
      </w:pPr>
      <w:r>
        <w:rPr>
          <w:rFonts w:hint="eastAsia" w:ascii="Times New Roman" w:hAnsi="Times New Roman" w:eastAsia="宋体" w:cs="Times New Roman"/>
          <w:b/>
          <w:i w:val="0"/>
          <w:sz w:val="28"/>
        </w:rPr>
        <w:t>1 引 言</w:t>
      </w:r>
    </w:p>
    <w:p w14:paraId="1920A6CE">
      <w:pPr>
        <w:spacing w:before="0" w:after="0"/>
        <w:ind w:firstLine="420"/>
        <w:jc w:val="both"/>
      </w:pPr>
      <w:r>
        <w:rPr>
          <w:rFonts w:hint="eastAsia" w:ascii="Times New Roman" w:hAnsi="Times New Roman" w:eastAsia="宋体" w:cs="Times New Roman"/>
          <w:b w:val="0"/>
          <w:i w:val="0"/>
          <w:sz w:val="21"/>
        </w:rPr>
        <w:t>大量强震观测与震害调查表明，山脊、坡顶及地形边缘处的地震动显著强于平坦场地，地形放大效应是山地震害空间差异的重要控制因素。1971 年 San Fernando 地震余震台站观测证实，当放大波长与山体宽度相当时山顶放大最为显著</w:t>
      </w:r>
      <w:r>
        <w:rPr>
          <w:rFonts w:hint="eastAsia" w:ascii="Times New Roman" w:hAnsi="Times New Roman" w:eastAsia="宋体" w:cs="Times New Roman"/>
          <w:b w:val="0"/>
          <w:i w:val="0"/>
          <w:sz w:val="21"/>
          <w:vertAlign w:val="superscript"/>
        </w:rPr>
        <w:t>[1]</w:t>
      </w:r>
      <w:r>
        <w:rPr>
          <w:rFonts w:hint="eastAsia" w:ascii="Times New Roman" w:hAnsi="Times New Roman" w:eastAsia="宋体" w:cs="Times New Roman"/>
          <w:b w:val="0"/>
          <w:i w:val="0"/>
          <w:sz w:val="21"/>
        </w:rPr>
        <w:t>；1985 年智利地震余震谱比分析定位了与主震破坏分布一致的山脊放大</w:t>
      </w:r>
      <w:r>
        <w:rPr>
          <w:rFonts w:hint="eastAsia" w:ascii="Times New Roman" w:hAnsi="Times New Roman" w:eastAsia="宋体" w:cs="Times New Roman"/>
          <w:b w:val="0"/>
          <w:i w:val="0"/>
          <w:sz w:val="21"/>
          <w:vertAlign w:val="superscript"/>
        </w:rPr>
        <w:t>[2]</w:t>
      </w:r>
      <w:r>
        <w:rPr>
          <w:rFonts w:hint="eastAsia" w:ascii="Times New Roman" w:hAnsi="Times New Roman" w:eastAsia="宋体" w:cs="Times New Roman"/>
          <w:b w:val="0"/>
          <w:i w:val="0"/>
          <w:sz w:val="21"/>
        </w:rPr>
        <w:t>；Geli 等</w:t>
      </w:r>
      <w:r>
        <w:rPr>
          <w:rFonts w:hint="eastAsia" w:ascii="Times New Roman" w:hAnsi="Times New Roman" w:eastAsia="宋体" w:cs="Times New Roman"/>
          <w:b w:val="0"/>
          <w:i w:val="0"/>
          <w:sz w:val="21"/>
          <w:vertAlign w:val="superscript"/>
        </w:rPr>
        <w:t>[3]</w:t>
      </w:r>
      <w:r>
        <w:rPr>
          <w:rFonts w:hint="eastAsia" w:ascii="Times New Roman" w:hAnsi="Times New Roman" w:eastAsia="宋体" w:cs="Times New Roman"/>
          <w:b w:val="0"/>
          <w:i w:val="0"/>
          <w:sz w:val="21"/>
        </w:rPr>
        <w:t>的观测综述系统总结了地形效应的普遍性与入射角相关性；国内的震害调查同样发现孤立山体山顶加速度较山脚增大近一倍</w:t>
      </w:r>
      <w:r>
        <w:rPr>
          <w:rFonts w:hint="eastAsia" w:ascii="Times New Roman" w:hAnsi="Times New Roman" w:eastAsia="宋体" w:cs="Times New Roman"/>
          <w:b w:val="0"/>
          <w:i w:val="0"/>
          <w:sz w:val="21"/>
          <w:vertAlign w:val="superscript"/>
        </w:rPr>
        <w:t>[4]</w:t>
      </w:r>
      <w:r>
        <w:rPr>
          <w:rFonts w:hint="eastAsia" w:ascii="Times New Roman" w:hAnsi="Times New Roman" w:eastAsia="宋体" w:cs="Times New Roman"/>
          <w:b w:val="0"/>
          <w:i w:val="0"/>
          <w:sz w:val="21"/>
        </w:rPr>
        <w:t>。各国抗震规范将上述证据转化为标量放大系数：欧洲规范 EC8 规定孤立悬崖与边坡的放大系数不小于 1.2、平均坡度不小于 30° 的孤立山脊不小于 1.4</w:t>
      </w:r>
      <w:r>
        <w:rPr>
          <w:rFonts w:hint="eastAsia" w:ascii="Times New Roman" w:hAnsi="Times New Roman" w:eastAsia="宋体" w:cs="Times New Roman"/>
          <w:b w:val="0"/>
          <w:i w:val="0"/>
          <w:sz w:val="21"/>
          <w:vertAlign w:val="superscript"/>
        </w:rPr>
        <w:t>[5]</w:t>
      </w:r>
      <w:r>
        <w:rPr>
          <w:rFonts w:hint="eastAsia" w:ascii="Times New Roman" w:hAnsi="Times New Roman" w:eastAsia="宋体" w:cs="Times New Roman"/>
          <w:b w:val="0"/>
          <w:i w:val="0"/>
          <w:sz w:val="21"/>
        </w:rPr>
        <w:t>；我国《建筑抗震设计规范》（GB 50011—2010）按地形与地质条件给出 1.1～1.6 的放大系数</w:t>
      </w:r>
      <w:r>
        <w:rPr>
          <w:rFonts w:hint="eastAsia" w:ascii="Times New Roman" w:hAnsi="Times New Roman" w:eastAsia="宋体" w:cs="Times New Roman"/>
          <w:b w:val="0"/>
          <w:i w:val="0"/>
          <w:sz w:val="21"/>
          <w:vertAlign w:val="superscript"/>
        </w:rPr>
        <w:t>[6]</w:t>
      </w:r>
      <w:r>
        <w:rPr>
          <w:rFonts w:hint="eastAsia" w:ascii="Times New Roman" w:hAnsi="Times New Roman" w:eastAsia="宋体" w:cs="Times New Roman"/>
          <w:b w:val="0"/>
          <w:i w:val="0"/>
          <w:sz w:val="21"/>
        </w:rPr>
        <w:t>。</w:t>
      </w:r>
    </w:p>
    <w:p w14:paraId="0CD69055">
      <w:pPr>
        <w:spacing w:before="0" w:after="0"/>
        <w:ind w:firstLine="420"/>
        <w:jc w:val="both"/>
      </w:pPr>
      <w:r>
        <w:rPr>
          <w:rFonts w:hint="eastAsia" w:ascii="Times New Roman" w:hAnsi="Times New Roman" w:eastAsia="宋体" w:cs="Times New Roman"/>
          <w:b w:val="0"/>
          <w:i w:val="0"/>
          <w:sz w:val="21"/>
        </w:rPr>
        <w:t>然而，数值模拟与震害实录均提示规范上限可能低估了真实地形效应。均质弹性岩坡的有限元模拟在特定几何与岩体参数下给出高达 1.93 的放大系数</w:t>
      </w:r>
      <w:r>
        <w:rPr>
          <w:rFonts w:hint="eastAsia" w:ascii="Times New Roman" w:hAnsi="Times New Roman" w:eastAsia="宋体" w:cs="Times New Roman"/>
          <w:b w:val="0"/>
          <w:i w:val="0"/>
          <w:sz w:val="21"/>
          <w:vertAlign w:val="superscript"/>
        </w:rPr>
        <w:t>[7]</w:t>
      </w:r>
      <w:r>
        <w:rPr>
          <w:rFonts w:hint="eastAsia" w:ascii="Times New Roman" w:hAnsi="Times New Roman" w:eastAsia="宋体" w:cs="Times New Roman"/>
          <w:b w:val="0"/>
          <w:i w:val="0"/>
          <w:sz w:val="21"/>
        </w:rPr>
        <w:t>；考虑斜入射后，SV 波 30° 入射时的平均谱放大可超过 2</w:t>
      </w:r>
      <w:r>
        <w:rPr>
          <w:rFonts w:hint="eastAsia" w:ascii="Times New Roman" w:hAnsi="Times New Roman" w:eastAsia="宋体" w:cs="Times New Roman"/>
          <w:b w:val="0"/>
          <w:i w:val="0"/>
          <w:sz w:val="21"/>
          <w:vertAlign w:val="superscript"/>
        </w:rPr>
        <w:t>[8]</w:t>
      </w:r>
      <w:r>
        <w:rPr>
          <w:rFonts w:hint="eastAsia" w:ascii="Times New Roman" w:hAnsi="Times New Roman" w:eastAsia="宋体" w:cs="Times New Roman"/>
          <w:b w:val="0"/>
          <w:i w:val="0"/>
          <w:sz w:val="21"/>
        </w:rPr>
        <w:t>。2022 年泸定 6.8 级地震中，磨西台地边缘两栋结构对称的框架建筑呈现出“近缘严重损毁、远缘轻微受损”的鲜明对比，直接证实了地形边缘对地震响应的差异化控制作用</w:t>
      </w:r>
      <w:r>
        <w:rPr>
          <w:rFonts w:hint="eastAsia" w:ascii="Times New Roman" w:hAnsi="Times New Roman" w:eastAsia="宋体" w:cs="Times New Roman"/>
          <w:b w:val="0"/>
          <w:i w:val="0"/>
          <w:sz w:val="21"/>
          <w:vertAlign w:val="superscript"/>
        </w:rPr>
        <w:t>[9-11]</w:t>
      </w:r>
      <w:r>
        <w:rPr>
          <w:rFonts w:hint="eastAsia" w:ascii="Times New Roman" w:hAnsi="Times New Roman" w:eastAsia="宋体" w:cs="Times New Roman"/>
          <w:b w:val="0"/>
          <w:i w:val="0"/>
          <w:sz w:val="21"/>
        </w:rPr>
        <w:t>。</w:t>
      </w:r>
    </w:p>
    <w:p w14:paraId="68141ECD">
      <w:pPr>
        <w:spacing w:before="0" w:after="0"/>
        <w:ind w:firstLine="420"/>
        <w:jc w:val="both"/>
      </w:pPr>
      <w:r>
        <w:rPr>
          <w:rFonts w:hint="eastAsia" w:ascii="Times New Roman" w:hAnsi="Times New Roman" w:eastAsia="宋体" w:cs="Times New Roman"/>
          <w:b w:val="0"/>
          <w:i w:val="0"/>
          <w:sz w:val="21"/>
        </w:rPr>
        <w:t>值得注意的是，上述研究与规范体系几乎无一例外地采用标量指标——PGA 放大系数、选定频率处的谱放大或地形放大系数</w:t>
      </w:r>
      <w:r>
        <w:rPr>
          <w:rFonts w:hint="eastAsia" w:ascii="Times New Roman" w:hAnsi="Times New Roman" w:eastAsia="宋体" w:cs="Times New Roman"/>
          <w:b w:val="0"/>
          <w:i w:val="0"/>
          <w:sz w:val="21"/>
          <w:vertAlign w:val="superscript"/>
        </w:rPr>
        <w:t>[12-13]</w:t>
      </w:r>
      <w:r>
        <w:rPr>
          <w:rFonts w:hint="eastAsia" w:ascii="Times New Roman" w:hAnsi="Times New Roman" w:eastAsia="宋体" w:cs="Times New Roman"/>
          <w:b w:val="0"/>
          <w:i w:val="0"/>
          <w:sz w:val="21"/>
        </w:rPr>
        <w:t>。然而，线性场地响应本质上是一个传递函数，幅值与相位是其两个正交分量：仅保留幅值的描述在原理上无法重构地震动时程，也无法区分真实的放大与波动的时域叠加效应。散射波相对于一维参考场积累的频率相关迟滞——即传递函数的相位——在这一标量化传统中被系统性地丢弃了。</w:t>
      </w:r>
    </w:p>
    <w:p w14:paraId="73B4B112">
      <w:pPr>
        <w:spacing w:before="0" w:after="0"/>
        <w:ind w:firstLine="420"/>
        <w:jc w:val="both"/>
      </w:pPr>
      <w:r>
        <w:rPr>
          <w:rFonts w:hint="eastAsia" w:ascii="Times New Roman" w:hAnsi="Times New Roman" w:eastAsia="宋体" w:cs="Times New Roman"/>
          <w:b w:val="0"/>
          <w:i w:val="0"/>
          <w:sz w:val="21"/>
        </w:rPr>
        <w:t>另一方面，天然坡地常覆盖有软弱覆盖层，地层效应与地形效应并不简单叠加。山脊场地的放大被归因于地形与近地表地层的联合作用</w:t>
      </w:r>
      <w:r>
        <w:rPr>
          <w:rFonts w:hint="eastAsia" w:ascii="Times New Roman" w:hAnsi="Times New Roman" w:eastAsia="宋体" w:cs="Times New Roman"/>
          <w:b w:val="0"/>
          <w:i w:val="0"/>
          <w:sz w:val="21"/>
          <w:vertAlign w:val="superscript"/>
        </w:rPr>
        <w:t>[14-15]</w:t>
      </w:r>
      <w:r>
        <w:rPr>
          <w:rFonts w:hint="eastAsia" w:ascii="Times New Roman" w:hAnsi="Times New Roman" w:eastAsia="宋体" w:cs="Times New Roman"/>
          <w:b w:val="0"/>
          <w:i w:val="0"/>
          <w:sz w:val="21"/>
        </w:rPr>
        <w:t>；参数化分析与震例研究表明软弱表层可显著重塑地形放大</w:t>
      </w:r>
      <w:r>
        <w:rPr>
          <w:rFonts w:hint="eastAsia" w:ascii="Times New Roman" w:hAnsi="Times New Roman" w:eastAsia="宋体" w:cs="Times New Roman"/>
          <w:b w:val="0"/>
          <w:i w:val="0"/>
          <w:sz w:val="21"/>
          <w:vertAlign w:val="superscript"/>
        </w:rPr>
        <w:t>[16-17]</w:t>
      </w:r>
      <w:r>
        <w:rPr>
          <w:rFonts w:hint="eastAsia" w:ascii="Times New Roman" w:hAnsi="Times New Roman" w:eastAsia="宋体" w:cs="Times New Roman"/>
          <w:b w:val="0"/>
          <w:i w:val="0"/>
          <w:sz w:val="21"/>
        </w:rPr>
        <w:t>，且两种效应的线性或等效线性耦合必须显式表达</w:t>
      </w:r>
      <w:r>
        <w:rPr>
          <w:rFonts w:hint="eastAsia" w:ascii="Times New Roman" w:hAnsi="Times New Roman" w:eastAsia="宋体" w:cs="Times New Roman"/>
          <w:b w:val="0"/>
          <w:i w:val="0"/>
          <w:sz w:val="21"/>
          <w:vertAlign w:val="superscript"/>
        </w:rPr>
        <w:t>[18-19]</w:t>
      </w:r>
      <w:r>
        <w:rPr>
          <w:rFonts w:hint="eastAsia" w:ascii="Times New Roman" w:hAnsi="Times New Roman" w:eastAsia="宋体" w:cs="Times New Roman"/>
          <w:b w:val="0"/>
          <w:i w:val="0"/>
          <w:sz w:val="21"/>
        </w:rPr>
        <w:t>；2008 年希腊 Achaia-Ilia 地震的震害观测表明，规范中“地形与地层效应解耦叠加”的做法在特定周期带内低估了坡顶放大</w:t>
      </w:r>
      <w:r>
        <w:rPr>
          <w:rFonts w:hint="eastAsia" w:ascii="Times New Roman" w:hAnsi="Times New Roman" w:eastAsia="宋体" w:cs="Times New Roman"/>
          <w:b w:val="0"/>
          <w:i w:val="0"/>
          <w:sz w:val="21"/>
          <w:vertAlign w:val="superscript"/>
        </w:rPr>
        <w:t>[20]</w:t>
      </w:r>
      <w:r>
        <w:rPr>
          <w:rFonts w:hint="eastAsia" w:ascii="Times New Roman" w:hAnsi="Times New Roman" w:eastAsia="宋体" w:cs="Times New Roman"/>
          <w:b w:val="0"/>
          <w:i w:val="0"/>
          <w:sz w:val="21"/>
        </w:rPr>
        <w:t>；现场监测与高分辨率模拟的联合研究更发现，耦合近地表成层地质可将放大系数由不足 3 提升至 5～6</w:t>
      </w:r>
      <w:r>
        <w:rPr>
          <w:rFonts w:hint="eastAsia" w:ascii="Times New Roman" w:hAnsi="Times New Roman" w:eastAsia="宋体" w:cs="Times New Roman"/>
          <w:b w:val="0"/>
          <w:i w:val="0"/>
          <w:sz w:val="21"/>
          <w:vertAlign w:val="superscript"/>
        </w:rPr>
        <w:t>[21]</w:t>
      </w:r>
      <w:r>
        <w:rPr>
          <w:rFonts w:hint="eastAsia" w:ascii="Times New Roman" w:hAnsi="Times New Roman" w:eastAsia="宋体" w:cs="Times New Roman"/>
          <w:b w:val="0"/>
          <w:i w:val="0"/>
          <w:sz w:val="21"/>
        </w:rPr>
        <w:t>。与此同时，真实地震动往往以一定角度斜入射：1994 年 Northridge 地震 Tarzana 台站的异常放大只有引入斜入射才能解释</w:t>
      </w:r>
      <w:r>
        <w:rPr>
          <w:rFonts w:hint="eastAsia" w:ascii="Times New Roman" w:hAnsi="Times New Roman" w:eastAsia="宋体" w:cs="Times New Roman"/>
          <w:b w:val="0"/>
          <w:i w:val="0"/>
          <w:sz w:val="21"/>
          <w:vertAlign w:val="superscript"/>
        </w:rPr>
        <w:t>[22]</w:t>
      </w:r>
      <w:r>
        <w:rPr>
          <w:rFonts w:hint="eastAsia" w:ascii="Times New Roman" w:hAnsi="Times New Roman" w:eastAsia="宋体" w:cs="Times New Roman"/>
          <w:b w:val="0"/>
          <w:i w:val="0"/>
          <w:sz w:val="21"/>
        </w:rPr>
        <w:t>；陡峻海岸崖坡的参数化分析表明斜入射剪切波的放大可达垂直入射的两倍以上</w:t>
      </w:r>
      <w:r>
        <w:rPr>
          <w:rFonts w:hint="eastAsia" w:ascii="Times New Roman" w:hAnsi="Times New Roman" w:eastAsia="宋体" w:cs="Times New Roman"/>
          <w:b w:val="0"/>
          <w:i w:val="0"/>
          <w:sz w:val="21"/>
          <w:vertAlign w:val="superscript"/>
        </w:rPr>
        <w:t>[23]</w:t>
      </w:r>
      <w:r>
        <w:rPr>
          <w:rFonts w:hint="eastAsia" w:ascii="Times New Roman" w:hAnsi="Times New Roman" w:eastAsia="宋体" w:cs="Times New Roman"/>
          <w:b w:val="0"/>
          <w:i w:val="0"/>
          <w:sz w:val="21"/>
        </w:rPr>
        <w:t>；均质岩坡在斜入射 SV 波作用下的系统研究表明，最大 PGA 放大系数为垂直入射的 1.4～2.2 倍</w:t>
      </w:r>
      <w:r>
        <w:rPr>
          <w:rFonts w:hint="eastAsia" w:ascii="Times New Roman" w:hAnsi="Times New Roman" w:eastAsia="宋体" w:cs="Times New Roman"/>
          <w:b w:val="0"/>
          <w:i w:val="0"/>
          <w:sz w:val="21"/>
          <w:vertAlign w:val="superscript"/>
        </w:rPr>
        <w:t>[8,24]</w:t>
      </w:r>
      <w:r>
        <w:rPr>
          <w:rFonts w:hint="eastAsia" w:ascii="Times New Roman" w:hAnsi="Times New Roman" w:eastAsia="宋体" w:cs="Times New Roman"/>
          <w:b w:val="0"/>
          <w:i w:val="0"/>
          <w:sz w:val="21"/>
        </w:rPr>
        <w:t>。</w:t>
      </w:r>
    </w:p>
    <w:p w14:paraId="32B849F5">
      <w:pPr>
        <w:spacing w:before="0" w:after="0"/>
        <w:ind w:firstLine="420"/>
        <w:jc w:val="both"/>
      </w:pPr>
      <w:r>
        <w:rPr>
          <w:rFonts w:hint="eastAsia" w:ascii="Times New Roman" w:hAnsi="Times New Roman" w:eastAsia="宋体" w:cs="Times New Roman"/>
          <w:b w:val="0"/>
          <w:i w:val="0"/>
          <w:sz w:val="21"/>
        </w:rPr>
        <w:t xml:space="preserve">覆盖层一维共振与坡体散射频段接近程度的一个自然无量纲度量是归一化场地特征频率 </w:t>
      </w:r>
      <m:oMath>
        <m:r>
          <m:rPr/>
          <m:t>χ</m:t>
        </m:r>
        <m:r>
          <m:rPr>
            <m:sty m:val="p"/>
          </m:rPr>
          <m:t>=</m:t>
        </m:r>
        <m:sSub>
          <m:sSubPr/>
          <m:e>
            <m:r>
              <m:rPr/>
              <m:t>f</m:t>
            </m:r>
          </m:e>
          <m:sub>
            <m:r>
              <m:rPr>
                <m:sty m:val="p"/>
              </m:rPr>
              <m:t>s</m:t>
            </m:r>
          </m:sub>
        </m:sSub>
        <m:r>
          <m:rPr/>
          <m:t>h</m:t>
        </m:r>
        <m:r>
          <m:rPr>
            <m:sty m:val="p"/>
          </m:rPr>
          <m:t>/</m:t>
        </m:r>
        <m:sSub>
          <m:sSubPr/>
          <m:e>
            <m:r>
              <m:rPr/>
              <m:t>V</m:t>
            </m:r>
          </m:e>
          <m:sub>
            <m:r>
              <m:rPr>
                <m:sty m:val="p"/>
              </m:rPr>
              <m:t>s,b</m:t>
            </m:r>
          </m:sub>
        </m:sSub>
        <m:r>
          <m:rPr>
            <m:sty m:val="p"/>
          </m:rPr>
          <m:t>=</m:t>
        </m:r>
        <m:sSub>
          <m:sSubPr/>
          <m:e>
            <m:r>
              <m:rPr/>
              <m:t>r</m:t>
            </m:r>
          </m:e>
          <m:sub>
            <m:r>
              <m:rPr/>
              <m:t>v</m:t>
            </m:r>
          </m:sub>
        </m:sSub>
        <m:r>
          <m:rPr>
            <m:sty m:val="p"/>
          </m:rPr>
          <m:t>/[</m:t>
        </m:r>
        <m:r>
          <m:rPr/>
          <m:t>4</m:t>
        </m:r>
        <m:r>
          <m:rPr>
            <m:sty m:val="p"/>
          </m:rPr>
          <m:t>(</m:t>
        </m:r>
        <m:r>
          <m:rPr/>
          <m:t>d</m:t>
        </m:r>
        <m:r>
          <m:rPr>
            <m:sty m:val="p"/>
          </m:rPr>
          <m:t>/</m:t>
        </m:r>
        <m:r>
          <m:rPr/>
          <m:t>h</m:t>
        </m:r>
        <m:r>
          <m:rPr>
            <m:sty m:val="p"/>
          </m:rPr>
          <m:t>)]</m:t>
        </m:r>
      </m:oMath>
      <w:r>
        <w:rPr>
          <w:rFonts w:hint="eastAsia" w:ascii="Times New Roman" w:hAnsi="Times New Roman" w:eastAsia="宋体" w:cs="Times New Roman"/>
          <w:b w:val="0"/>
          <w:i w:val="0"/>
          <w:sz w:val="21"/>
        </w:rPr>
        <w:t>，式中：</w:t>
      </w:r>
      <m:oMath>
        <m:sSub>
          <m:sSubPr/>
          <m:e>
            <m:r>
              <m:rPr/>
              <m:t>f</m:t>
            </m:r>
          </m:e>
          <m:sub>
            <m:r>
              <m:rPr>
                <m:sty m:val="p"/>
              </m:rPr>
              <m:t>s</m:t>
            </m:r>
          </m:sub>
        </m:sSub>
        <m:r>
          <m:rPr>
            <m:sty m:val="p"/>
          </m:rPr>
          <m:t>=</m:t>
        </m:r>
        <m:sSub>
          <m:sSubPr/>
          <m:e>
            <m:r>
              <m:rPr/>
              <m:t>V</m:t>
            </m:r>
          </m:e>
          <m:sub>
            <m:r>
              <m:rPr>
                <m:sty m:val="p"/>
              </m:rPr>
              <m:t>s,c</m:t>
            </m:r>
          </m:sub>
        </m:sSub>
        <m:r>
          <m:rPr>
            <m:sty m:val="p"/>
          </m:rPr>
          <m:t>/(</m:t>
        </m:r>
        <m:r>
          <m:rPr/>
          <m:t>4d</m:t>
        </m:r>
        <m:r>
          <m:rPr>
            <m:sty m:val="p"/>
          </m:rPr>
          <m:t>)</m:t>
        </m:r>
      </m:oMath>
      <w:r>
        <w:rPr>
          <w:rFonts w:hint="eastAsia" w:ascii="Times New Roman" w:hAnsi="Times New Roman" w:eastAsia="宋体" w:cs="Times New Roman"/>
          <w:b w:val="0"/>
          <w:i w:val="0"/>
          <w:sz w:val="21"/>
        </w:rPr>
        <w:t xml:space="preserve"> 为覆盖层基频；</w:t>
      </w:r>
      <m:oMath>
        <m:r>
          <m:rPr/>
          <m:t>h</m:t>
        </m:r>
      </m:oMath>
      <w:r>
        <w:rPr>
          <w:rFonts w:hint="eastAsia" w:ascii="Times New Roman" w:hAnsi="Times New Roman" w:eastAsia="宋体" w:cs="Times New Roman"/>
          <w:b w:val="0"/>
          <w:i w:val="0"/>
          <w:sz w:val="21"/>
        </w:rPr>
        <w:t xml:space="preserve"> 为坡高；</w:t>
      </w:r>
      <m:oMath>
        <m:sSub>
          <m:sSubPr/>
          <m:e>
            <m:r>
              <m:rPr/>
              <m:t>V</m:t>
            </m:r>
          </m:e>
          <m:sub>
            <m:r>
              <m:rPr>
                <m:sty m:val="p"/>
              </m:rPr>
              <m:t>s,b</m:t>
            </m:r>
          </m:sub>
        </m:sSub>
      </m:oMath>
      <w:r>
        <w:rPr>
          <w:rFonts w:hint="eastAsia" w:ascii="Times New Roman" w:hAnsi="Times New Roman" w:eastAsia="宋体" w:cs="Times New Roman"/>
          <w:b w:val="0"/>
          <w:i w:val="0"/>
          <w:sz w:val="21"/>
        </w:rPr>
        <w:t xml:space="preserve"> 为基岩剪切波速；</w:t>
      </w:r>
      <m:oMath>
        <m:r>
          <m:rPr/>
          <m:t>d</m:t>
        </m:r>
      </m:oMath>
      <w:r>
        <w:rPr>
          <w:rFonts w:hint="eastAsia" w:ascii="Times New Roman" w:hAnsi="Times New Roman" w:eastAsia="宋体" w:cs="Times New Roman"/>
          <w:b w:val="0"/>
          <w:i w:val="0"/>
          <w:sz w:val="21"/>
        </w:rPr>
        <w:t xml:space="preserve"> 为覆盖层厚度；</w:t>
      </w:r>
      <m:oMath>
        <m:sSub>
          <m:sSubPr/>
          <m:e>
            <m:r>
              <m:rPr/>
              <m:t>r</m:t>
            </m:r>
          </m:e>
          <m:sub>
            <m:r>
              <m:rPr/>
              <m:t>v</m:t>
            </m:r>
          </m:sub>
        </m:sSub>
        <m:r>
          <m:rPr>
            <m:sty m:val="p"/>
          </m:rPr>
          <m:t>=</m:t>
        </m:r>
        <m:sSub>
          <m:sSubPr/>
          <m:e>
            <m:r>
              <m:rPr/>
              <m:t>V</m:t>
            </m:r>
          </m:e>
          <m:sub>
            <m:r>
              <m:rPr>
                <m:sty m:val="p"/>
              </m:rPr>
              <m:t>s,c</m:t>
            </m:r>
          </m:sub>
        </m:sSub>
        <m:r>
          <m:rPr>
            <m:sty m:val="p"/>
          </m:rPr>
          <m:t>/</m:t>
        </m:r>
        <m:sSub>
          <m:sSubPr/>
          <m:e>
            <m:r>
              <m:rPr/>
              <m:t>V</m:t>
            </m:r>
          </m:e>
          <m:sub>
            <m:r>
              <m:rPr>
                <m:sty m:val="p"/>
              </m:rPr>
              <m:t>s,b</m:t>
            </m:r>
          </m:sub>
        </m:sSub>
      </m:oMath>
      <w:r>
        <w:rPr>
          <w:rFonts w:hint="eastAsia" w:ascii="Times New Roman" w:hAnsi="Times New Roman" w:eastAsia="宋体" w:cs="Times New Roman"/>
          <w:b w:val="0"/>
          <w:i w:val="0"/>
          <w:sz w:val="21"/>
        </w:rPr>
        <w:t xml:space="preserve"> 为波速比。既有研究尚未定量回答覆盖层如何联合修正地形响应的幅值与相位，以及该修正如何随 </w:t>
      </w: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 xml:space="preserve"> 变化。</w:t>
      </w:r>
    </w:p>
    <w:p w14:paraId="2BD9BD53">
      <w:pPr>
        <w:spacing w:before="0" w:after="0"/>
        <w:ind w:firstLine="420"/>
        <w:jc w:val="both"/>
      </w:pPr>
      <w:r>
        <w:rPr>
          <w:rFonts w:hint="eastAsia" w:ascii="Times New Roman" w:hAnsi="Times New Roman" w:eastAsia="宋体" w:cs="Times New Roman"/>
          <w:b w:val="0"/>
          <w:i w:val="0"/>
          <w:sz w:val="21"/>
        </w:rPr>
        <w:t>在预测方法层面，有限元场地反应分析代价高昂，数据驱动的代理模型已被用于地形与场地放大预测，但目标几乎全部是标量：卷积神经网络预测盆地地表放大</w:t>
      </w:r>
      <w:r>
        <w:rPr>
          <w:rFonts w:hint="eastAsia" w:ascii="Times New Roman" w:hAnsi="Times New Roman" w:eastAsia="宋体" w:cs="Times New Roman"/>
          <w:b w:val="0"/>
          <w:i w:val="0"/>
          <w:sz w:val="21"/>
          <w:vertAlign w:val="superscript"/>
        </w:rPr>
        <w:t>[25]</w:t>
      </w:r>
      <w:r>
        <w:rPr>
          <w:rFonts w:hint="eastAsia" w:ascii="Times New Roman" w:hAnsi="Times New Roman" w:eastAsia="宋体" w:cs="Times New Roman"/>
          <w:b w:val="0"/>
          <w:i w:val="0"/>
          <w:sz w:val="21"/>
        </w:rPr>
        <w:t>，人工神经网络、支持向量机和随机森林回归复杂场地放大</w:t>
      </w:r>
      <w:r>
        <w:rPr>
          <w:rFonts w:hint="eastAsia" w:ascii="Times New Roman" w:hAnsi="Times New Roman" w:eastAsia="宋体" w:cs="Times New Roman"/>
          <w:b w:val="0"/>
          <w:i w:val="0"/>
          <w:sz w:val="21"/>
          <w:vertAlign w:val="superscript"/>
        </w:rPr>
        <w:t>[26]</w:t>
      </w:r>
      <w:r>
        <w:rPr>
          <w:rFonts w:hint="eastAsia" w:ascii="Times New Roman" w:hAnsi="Times New Roman" w:eastAsia="宋体" w:cs="Times New Roman"/>
          <w:b w:val="0"/>
          <w:i w:val="0"/>
          <w:sz w:val="21"/>
        </w:rPr>
        <w:t>，基于二维地形图像的 BP 网络</w:t>
      </w:r>
      <w:r>
        <w:rPr>
          <w:rFonts w:hint="eastAsia" w:ascii="Times New Roman" w:hAnsi="Times New Roman" w:eastAsia="宋体" w:cs="Times New Roman"/>
          <w:b w:val="0"/>
          <w:i w:val="0"/>
          <w:sz w:val="21"/>
          <w:vertAlign w:val="superscript"/>
        </w:rPr>
        <w:t>[27]</w:t>
      </w:r>
      <w:r>
        <w:rPr>
          <w:rFonts w:hint="eastAsia" w:ascii="Times New Roman" w:hAnsi="Times New Roman" w:eastAsia="宋体" w:cs="Times New Roman"/>
          <w:b w:val="0"/>
          <w:i w:val="0"/>
          <w:sz w:val="21"/>
        </w:rPr>
        <w:t>，谱元数据驱动的区域地形效应模型</w:t>
      </w:r>
      <w:r>
        <w:rPr>
          <w:rFonts w:hint="eastAsia" w:ascii="Times New Roman" w:hAnsi="Times New Roman" w:eastAsia="宋体" w:cs="Times New Roman"/>
          <w:b w:val="0"/>
          <w:i w:val="0"/>
          <w:sz w:val="21"/>
          <w:vertAlign w:val="superscript"/>
        </w:rPr>
        <w:t>[28-29]</w:t>
      </w:r>
      <w:r>
        <w:rPr>
          <w:rFonts w:hint="eastAsia" w:ascii="Times New Roman" w:hAnsi="Times New Roman" w:eastAsia="宋体" w:cs="Times New Roman"/>
          <w:b w:val="0"/>
          <w:i w:val="0"/>
          <w:sz w:val="21"/>
        </w:rPr>
        <w:t>，以及基于可靠性分析的控制参数识别</w:t>
      </w:r>
      <w:r>
        <w:rPr>
          <w:rFonts w:hint="eastAsia" w:ascii="Times New Roman" w:hAnsi="Times New Roman" w:eastAsia="宋体" w:cs="Times New Roman"/>
          <w:b w:val="0"/>
          <w:i w:val="0"/>
          <w:sz w:val="21"/>
          <w:vertAlign w:val="superscript"/>
        </w:rPr>
        <w:t>[30]</w:t>
      </w:r>
      <w:r>
        <w:rPr>
          <w:rFonts w:hint="eastAsia" w:ascii="Times New Roman" w:hAnsi="Times New Roman" w:eastAsia="宋体" w:cs="Times New Roman"/>
          <w:b w:val="0"/>
          <w:i w:val="0"/>
          <w:sz w:val="21"/>
        </w:rPr>
        <w:t>。这些研究建立了可行性，但完整空间模式和相位信息较少被同时预测，训练域之外的适用边界也缺少独立检验。</w:t>
      </w:r>
    </w:p>
    <w:p w14:paraId="48FB76F9">
      <w:pPr>
        <w:spacing w:before="0" w:after="0"/>
        <w:ind w:firstLine="420"/>
        <w:jc w:val="both"/>
      </w:pPr>
      <w:r>
        <w:rPr>
          <w:rFonts w:hint="eastAsia" w:ascii="Times New Roman" w:hAnsi="Times New Roman" w:eastAsia="宋体" w:cs="Times New Roman"/>
          <w:b w:val="0"/>
          <w:i w:val="0"/>
          <w:sz w:val="21"/>
        </w:rPr>
        <w:t xml:space="preserve">针对上述问题，本文以二维线弹性“上土下岩”成层坡地为对象，将地表水平复频响函数 </w:t>
      </w:r>
      <m:oMath>
        <m:sSub>
          <m:sSubPr/>
          <m:e>
            <m:r>
              <m:rPr/>
              <m:t>G</m:t>
            </m:r>
          </m:e>
          <m:sub>
            <m:r>
              <m:rPr/>
              <m:t>h</m:t>
            </m:r>
          </m:sub>
        </m:sSub>
        <m:r>
          <m:rPr>
            <m:sty m:val="p"/>
          </m:rPr>
          <m:t>(</m:t>
        </m:r>
        <m:r>
          <m:rPr/>
          <m:t>f</m:t>
        </m:r>
        <m:r>
          <m:rPr>
            <m:sty m:val="p"/>
          </m:rPr>
          <m:t>,</m:t>
        </m:r>
        <m:r>
          <m:rPr/>
          <m:t>s</m:t>
        </m:r>
        <m:r>
          <m:rPr>
            <m:sty m:val="p"/>
          </m:rPr>
          <m:t>)</m:t>
        </m:r>
      </m:oMath>
      <w:r>
        <w:rPr>
          <w:rFonts w:hint="eastAsia" w:ascii="Times New Roman" w:hAnsi="Times New Roman" w:eastAsia="宋体" w:cs="Times New Roman"/>
          <w:b w:val="0"/>
          <w:i w:val="0"/>
          <w:sz w:val="21"/>
        </w:rPr>
        <w:t xml:space="preserve"> 作为统一研究对象。首先采用宽频系统识别，在4个均质坡和64个成层坡上分析 </w:t>
      </w:r>
      <m:oMath>
        <m:r>
          <m:rPr/>
          <m:t>i</m:t>
        </m:r>
      </m:oMath>
      <w:r>
        <w:rPr>
          <w:rFonts w:hint="eastAsia" w:ascii="Times New Roman" w:hAnsi="Times New Roman" w:eastAsia="宋体" w:cs="Times New Roman"/>
          <w:b w:val="0"/>
          <w:i w:val="0"/>
          <w:sz w:val="21"/>
        </w:rPr>
        <w:t>、</w:t>
      </w:r>
      <m:oMath>
        <m:r>
          <m:rPr/>
          <m:t>d</m:t>
        </m:r>
        <m:r>
          <m:rPr>
            <m:sty m:val="p"/>
          </m:rPr>
          <m:t>/</m:t>
        </m:r>
        <m:r>
          <m:rPr/>
          <m:t>h</m:t>
        </m:r>
      </m:oMath>
      <w:r>
        <w:rPr>
          <w:rFonts w:hint="eastAsia" w:ascii="Times New Roman" w:hAnsi="Times New Roman" w:eastAsia="宋体" w:cs="Times New Roman"/>
          <w:b w:val="0"/>
          <w:i w:val="0"/>
          <w:sz w:val="21"/>
        </w:rPr>
        <w:t>、</w:t>
      </w:r>
      <m:oMath>
        <m:sSub>
          <m:sSubPr/>
          <m:e>
            <m:r>
              <m:rPr/>
              <m:t>r</m:t>
            </m:r>
          </m:e>
          <m:sub>
            <m:r>
              <m:rPr/>
              <m:t>v</m:t>
            </m:r>
          </m:sub>
        </m:sSub>
      </m:oMath>
      <w:r>
        <w:rPr>
          <w:rFonts w:hint="eastAsia" w:ascii="Times New Roman" w:hAnsi="Times New Roman" w:eastAsia="宋体" w:cs="Times New Roman"/>
          <w:b w:val="0"/>
          <w:i w:val="0"/>
          <w:sz w:val="21"/>
        </w:rPr>
        <w:t xml:space="preserve"> 对幅值、相位与峰位的影响；随后建立 POD-GPR 复数场代理，以12个未参与训练和选模的中间参数组合检验域内插值能力；最后将代理复频响用于 El Centro、Kobe 和 Chi-Chi 地震动重构，并与10例直接有限元结果闭环比较。</w:t>
      </w:r>
    </w:p>
    <w:p w14:paraId="0F8E6B40">
      <w:pPr>
        <w:spacing w:before="312" w:after="60"/>
        <w:ind w:firstLine="0"/>
        <w:jc w:val="left"/>
      </w:pPr>
      <w:r>
        <w:rPr>
          <w:rFonts w:hint="eastAsia" w:ascii="Times New Roman" w:hAnsi="Times New Roman" w:eastAsia="宋体" w:cs="Times New Roman"/>
          <w:b/>
          <w:i w:val="0"/>
          <w:sz w:val="28"/>
        </w:rPr>
        <w:t>2 数值模型与结果校核</w:t>
      </w:r>
    </w:p>
    <w:p w14:paraId="279F87A3">
      <w:pPr>
        <w:spacing w:before="156" w:after="40"/>
        <w:ind w:firstLine="0"/>
        <w:jc w:val="left"/>
      </w:pPr>
      <w:r>
        <w:rPr>
          <w:rFonts w:hint="eastAsia" w:ascii="Times New Roman" w:hAnsi="Times New Roman" w:eastAsia="宋体" w:cs="Times New Roman"/>
          <w:b/>
          <w:i w:val="0"/>
          <w:sz w:val="24"/>
        </w:rPr>
        <w:t>2.1 数值模型与计算方案</w:t>
      </w:r>
    </w:p>
    <w:p w14:paraId="22814A74">
      <w:pPr>
        <w:spacing w:before="0" w:after="0"/>
        <w:ind w:firstLine="420"/>
        <w:jc w:val="both"/>
      </w:pPr>
      <w:r>
        <w:rPr>
          <w:rFonts w:hint="eastAsia" w:ascii="Times New Roman" w:hAnsi="Times New Roman" w:eastAsia="宋体" w:cs="Times New Roman"/>
          <w:b w:val="0"/>
          <w:i w:val="0"/>
          <w:sz w:val="21"/>
        </w:rPr>
        <w:t>本文采用Abaqus/Standard 2021</w:t>
      </w:r>
      <w:r>
        <w:rPr>
          <w:rFonts w:hint="eastAsia" w:ascii="Times New Roman" w:hAnsi="Times New Roman" w:eastAsia="宋体" w:cs="Times New Roman"/>
          <w:b w:val="0"/>
          <w:i w:val="0"/>
          <w:sz w:val="21"/>
          <w:vertAlign w:val="superscript"/>
        </w:rPr>
        <w:t>[31]</w:t>
      </w:r>
      <w:r>
        <w:rPr>
          <w:rFonts w:hint="eastAsia" w:ascii="Times New Roman" w:hAnsi="Times New Roman" w:eastAsia="宋体" w:cs="Times New Roman"/>
          <w:b w:val="0"/>
          <w:i w:val="0"/>
          <w:sz w:val="21"/>
        </w:rPr>
        <w:t>建立二维平面应变成层坡地模型，如图1所示。由于主要考察坡角和覆盖层参数对波动响应的影响，不考虑地震作用下的材料屈服、模量退化、孔压发展及坡体失稳，基岩和覆盖层均按线弹性体计算。模型坡高</w:t>
      </w:r>
      <m:oMath>
        <m:r>
          <m:rPr/>
          <m:t>h</m:t>
        </m:r>
        <m:r>
          <m:rPr>
            <m:sty m:val="p"/>
          </m:rPr>
          <m:t>=</m:t>
        </m:r>
        <m:r>
          <m:rPr/>
          <m:t>100</m:t>
        </m:r>
      </m:oMath>
      <w:r>
        <w:rPr>
          <w:rFonts w:hint="eastAsia" w:ascii="Times New Roman" w:hAnsi="Times New Roman" w:eastAsia="宋体" w:cs="Times New Roman"/>
          <w:b w:val="0"/>
          <w:i w:val="0"/>
          <w:sz w:val="21"/>
        </w:rPr>
        <w:t xml:space="preserve"> m，坡角</w:t>
      </w:r>
      <m:oMath>
        <m:r>
          <m:rPr/>
          <m:t>i</m:t>
        </m:r>
      </m:oMath>
      <w:r>
        <w:rPr>
          <w:rFonts w:hint="eastAsia" w:ascii="Times New Roman" w:hAnsi="Times New Roman" w:eastAsia="宋体" w:cs="Times New Roman"/>
          <w:b w:val="0"/>
          <w:i w:val="0"/>
          <w:sz w:val="21"/>
        </w:rPr>
        <w:t>取15°、30°、45°和60°，左右两侧各保留</w:t>
      </w:r>
      <m:oMath>
        <m:r>
          <m:rPr/>
          <m:t>1h</m:t>
        </m:r>
      </m:oMath>
      <w:r>
        <w:rPr>
          <w:rFonts w:hint="eastAsia" w:ascii="Times New Roman" w:hAnsi="Times New Roman" w:eastAsia="宋体" w:cs="Times New Roman"/>
          <w:b w:val="0"/>
          <w:i w:val="0"/>
          <w:sz w:val="21"/>
        </w:rPr>
        <w:t>净空，坡脚以下基岩厚度为</w:t>
      </w:r>
      <m:oMath>
        <m:r>
          <m:rPr/>
          <m:t>3h</m:t>
        </m:r>
      </m:oMath>
      <w:r>
        <w:rPr>
          <w:rFonts w:hint="eastAsia" w:ascii="Times New Roman" w:hAnsi="Times New Roman" w:eastAsia="宋体" w:cs="Times New Roman"/>
          <w:b w:val="0"/>
          <w:i w:val="0"/>
          <w:sz w:val="21"/>
        </w:rPr>
        <w:t>。基岩剪切波速、密度、泊松比和阻尼比分别为2000 m/s、2500 kg/m³、0.30和0.05%；覆盖层密度、泊松比和阻尼比分别为2125 kg/m³、0.35和3%，剪切波速取600、900、1200和1500 m/s。</w:t>
      </w:r>
    </w:p>
    <w:p w14:paraId="371BBA39">
      <w:pPr>
        <w:spacing w:before="0" w:after="0"/>
        <w:ind w:firstLine="420"/>
        <w:jc w:val="both"/>
      </w:pPr>
      <w:r>
        <w:rPr>
          <w:rFonts w:hint="eastAsia" w:ascii="Times New Roman" w:hAnsi="Times New Roman" w:eastAsia="宋体" w:cs="Times New Roman"/>
          <w:b w:val="0"/>
          <w:i w:val="0"/>
          <w:sz w:val="21"/>
        </w:rPr>
        <w:t>水平覆盖层厚度比</w:t>
      </w:r>
      <m:oMath>
        <m:r>
          <m:rPr/>
          <m:t>d</m:t>
        </m:r>
        <m:r>
          <m:rPr>
            <m:sty m:val="p"/>
          </m:rPr>
          <m:t>/</m:t>
        </m:r>
        <m:r>
          <m:rPr/>
          <m:t>h</m:t>
        </m:r>
      </m:oMath>
      <w:r>
        <w:rPr>
          <w:rFonts w:hint="eastAsia" w:ascii="Times New Roman" w:hAnsi="Times New Roman" w:eastAsia="宋体" w:cs="Times New Roman"/>
          <w:b w:val="0"/>
          <w:i w:val="0"/>
          <w:sz w:val="21"/>
        </w:rPr>
        <w:t>取0.20、0.60、1.00和1.40，相应剪切波速比</w:t>
      </w:r>
      <m:oMath>
        <m:sSub>
          <m:sSubPr/>
          <m:e>
            <m:r>
              <m:rPr/>
              <m:t>r</m:t>
            </m:r>
          </m:e>
          <m:sub>
            <m:r>
              <m:rPr/>
              <m:t>v</m:t>
            </m:r>
          </m:sub>
        </m:sSub>
      </m:oMath>
      <w:r>
        <w:rPr>
          <w:rFonts w:hint="eastAsia" w:ascii="Times New Roman" w:hAnsi="Times New Roman" w:eastAsia="宋体" w:cs="Times New Roman"/>
          <w:b w:val="0"/>
          <w:i w:val="0"/>
          <w:sz w:val="21"/>
        </w:rPr>
        <w:t>取0.30、0.45、0.60和0.75。当</w:t>
      </w:r>
      <m:oMath>
        <m:r>
          <m:rPr/>
          <m:t>d</m:t>
        </m:r>
        <m:r>
          <m:rPr>
            <m:sty m:val="p"/>
          </m:rPr>
          <m:t>/</m:t>
        </m:r>
        <m:r>
          <m:rPr/>
          <m:t>h</m:t>
        </m:r>
        <m:r>
          <m:rPr>
            <m:sty m:val="p"/>
          </m:rPr>
          <m:t>&lt;</m:t>
        </m:r>
        <m:r>
          <m:rPr/>
          <m:t>1</m:t>
        </m:r>
      </m:oMath>
      <w:r>
        <w:rPr>
          <w:rFonts w:hint="eastAsia" w:ascii="Times New Roman" w:hAnsi="Times New Roman" w:eastAsia="宋体" w:cs="Times New Roman"/>
          <w:b w:val="0"/>
          <w:i w:val="0"/>
          <w:sz w:val="21"/>
        </w:rPr>
        <w:t>时，材料界面在坡面出露；</w:t>
      </w:r>
      <m:oMath>
        <m:r>
          <m:rPr/>
          <m:t>d</m:t>
        </m:r>
        <m:r>
          <m:rPr>
            <m:sty m:val="p"/>
          </m:rPr>
          <m:t>/</m:t>
        </m:r>
        <m:r>
          <m:rPr/>
          <m:t>h</m:t>
        </m:r>
        <m:r>
          <m:rPr>
            <m:sty m:val="p"/>
          </m:rPr>
          <m:t>=</m:t>
        </m:r>
        <m:r>
          <m:rPr/>
          <m:t>1</m:t>
        </m:r>
      </m:oMath>
      <w:r>
        <w:rPr>
          <w:rFonts w:hint="eastAsia" w:ascii="Times New Roman" w:hAnsi="Times New Roman" w:eastAsia="宋体" w:cs="Times New Roman"/>
          <w:b w:val="0"/>
          <w:i w:val="0"/>
          <w:sz w:val="21"/>
        </w:rPr>
        <w:t>时界面恰达坡脚；</w:t>
      </w:r>
      <m:oMath>
        <m:r>
          <m:rPr/>
          <m:t>d</m:t>
        </m:r>
        <m:r>
          <m:rPr>
            <m:sty m:val="p"/>
          </m:rPr>
          <m:t>/</m:t>
        </m:r>
        <m:r>
          <m:rPr/>
          <m:t>h</m:t>
        </m:r>
        <m:r>
          <m:rPr>
            <m:sty m:val="p"/>
          </m:rPr>
          <m:t>&gt;</m:t>
        </m:r>
        <m:r>
          <m:rPr/>
          <m:t>1</m:t>
        </m:r>
      </m:oMath>
      <w:r>
        <w:rPr>
          <w:rFonts w:hint="eastAsia" w:ascii="Times New Roman" w:hAnsi="Times New Roman" w:eastAsia="宋体" w:cs="Times New Roman"/>
          <w:b w:val="0"/>
          <w:i w:val="0"/>
          <w:sz w:val="21"/>
        </w:rPr>
        <w:t>时覆盖层延伸至下平台。为比较不同坡角下相同地表区段的响应，将上平台、坡面和下平台映射为公共坐标</w:t>
      </w:r>
      <m:oMath>
        <m:r>
          <m:rPr/>
          <m:t>s</m:t>
        </m:r>
        <m:r>
          <m:rPr>
            <m:sty m:val="p"/>
          </m:rPr>
          <m:t>∈[−</m:t>
        </m:r>
        <m:r>
          <m:rPr/>
          <m:t>4</m:t>
        </m:r>
        <m:r>
          <m:rPr>
            <m:sty m:val="p"/>
          </m:rPr>
          <m:t>,</m:t>
        </m:r>
        <m:r>
          <m:rPr/>
          <m:t>4</m:t>
        </m:r>
        <m:r>
          <m:rPr>
            <m:sty m:val="p"/>
          </m:rPr>
          <m:t>]</m:t>
        </m:r>
      </m:oMath>
      <w:r>
        <w:rPr>
          <w:rFonts w:hint="eastAsia" w:ascii="Times New Roman" w:hAnsi="Times New Roman" w:eastAsia="宋体" w:cs="Times New Roman"/>
          <w:b w:val="0"/>
          <w:i w:val="0"/>
          <w:sz w:val="21"/>
        </w:rPr>
        <w:t>：</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为上平台，</w:t>
      </w:r>
      <m:oMath>
        <m:r>
          <m:rPr/>
          <m:t>0</m:t>
        </m:r>
        <m:r>
          <m:rPr>
            <m:sty m:val="p"/>
          </m:rPr>
          <m:t>&lt;</m:t>
        </m:r>
        <m:r>
          <m:rPr/>
          <m:t>s</m:t>
        </m:r>
        <m:r>
          <m:rPr>
            <m:sty m:val="p"/>
          </m:rPr>
          <m:t>≤</m:t>
        </m:r>
        <m:r>
          <m:rPr/>
          <m:t>1</m:t>
        </m:r>
      </m:oMath>
      <w:r>
        <w:rPr>
          <w:rFonts w:hint="eastAsia" w:ascii="Times New Roman" w:hAnsi="Times New Roman" w:eastAsia="宋体" w:cs="Times New Roman"/>
          <w:b w:val="0"/>
          <w:i w:val="0"/>
          <w:sz w:val="21"/>
        </w:rPr>
        <w:t>为坡面，</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为下平台，</w:t>
      </w:r>
      <m:oMath>
        <m:r>
          <m:rPr/>
          <m:t>s</m:t>
        </m:r>
        <m:r>
          <m:rPr>
            <m:sty m:val="p"/>
          </m:rPr>
          <m:t>=</m:t>
        </m:r>
        <m:r>
          <m:rPr/>
          <m:t>0</m:t>
        </m:r>
      </m:oMath>
      <w:r>
        <w:rPr>
          <w:rFonts w:hint="eastAsia" w:ascii="Times New Roman" w:hAnsi="Times New Roman" w:eastAsia="宋体" w:cs="Times New Roman"/>
          <w:b w:val="0"/>
          <w:i w:val="0"/>
          <w:sz w:val="21"/>
        </w:rPr>
        <w:t>和1分别对应坡顶和坡脚。该坐标表示坡段内的相对位置，不表示相同的水平坐标或传播时间。</w:t>
      </w:r>
    </w:p>
    <w:p w14:paraId="60A3BF30">
      <w:pPr>
        <w:spacing w:before="80" w:after="40"/>
        <w:ind w:firstLine="0"/>
        <w:jc w:val="center"/>
      </w:pPr>
      <w:r>
        <w:drawing>
          <wp:inline distT="0" distB="0" distL="114300" distR="114300">
            <wp:extent cx="2880360" cy="1496060"/>
            <wp:effectExtent l="0" t="0" r="15240" b="8890"/>
            <wp:docPr id="1" name="Picture 1" descr="C:/Users/12462/Documents/Code/AbqScripts/docs/论文材料/小论文中文初稿/images/fig01_数值模型与归一化坐标.pngfig01_数值模型与归一化坐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12462/Documents/Code/AbqScripts/docs/论文材料/小论文中文初稿/images/fig01_数值模型与归一化坐标.pngfig01_数值模型与归一化坐标"/>
                    <pic:cNvPicPr>
                      <a:picLocks noChangeAspect="1"/>
                    </pic:cNvPicPr>
                  </pic:nvPicPr>
                  <pic:blipFill>
                    <a:blip r:embed="rId6"/>
                    <a:srcRect t="22" b="22"/>
                    <a:stretch>
                      <a:fillRect/>
                    </a:stretch>
                  </pic:blipFill>
                  <pic:spPr>
                    <a:xfrm>
                      <a:off x="0" y="0"/>
                      <a:ext cx="2880360" cy="1496452"/>
                    </a:xfrm>
                    <a:prstGeom prst="rect">
                      <a:avLst/>
                    </a:prstGeom>
                  </pic:spPr>
                </pic:pic>
              </a:graphicData>
            </a:graphic>
          </wp:inline>
        </w:drawing>
      </w:r>
    </w:p>
    <w:p w14:paraId="50E57A57">
      <w:pPr>
        <w:spacing w:before="0" w:after="0"/>
        <w:ind w:firstLine="420"/>
        <w:jc w:val="both"/>
      </w:pPr>
      <w:r>
        <w:rPr>
          <w:rFonts w:hint="eastAsia" w:ascii="Times New Roman" w:hAnsi="Times New Roman" w:eastAsia="宋体" w:cs="Times New Roman"/>
          <w:b w:val="0"/>
          <w:i w:val="0"/>
          <w:sz w:val="21"/>
        </w:rPr>
        <w:t>图1 数值模型、材料分区、人工边界及归一化地表坐标</w:t>
      </w:r>
    </w:p>
    <w:p w14:paraId="30D66D03">
      <w:pPr>
        <w:spacing w:before="0" w:after="0"/>
        <w:ind w:firstLine="420"/>
        <w:jc w:val="both"/>
      </w:pPr>
      <w:r>
        <w:rPr>
          <w:rFonts w:hint="eastAsia" w:ascii="Times New Roman" w:hAnsi="Times New Roman" w:eastAsia="宋体" w:cs="Times New Roman"/>
          <w:b w:val="0"/>
          <w:i w:val="0"/>
          <w:sz w:val="21"/>
        </w:rPr>
        <w:t>Fig. 1 Numerical model and normalized surface coordinate</w:t>
      </w:r>
    </w:p>
    <w:p w14:paraId="4441CF86">
      <w:pPr>
        <w:spacing w:before="0" w:after="0"/>
        <w:ind w:firstLine="420"/>
        <w:jc w:val="both"/>
      </w:pPr>
      <w:r>
        <w:rPr>
          <w:rFonts w:hint="eastAsia" w:ascii="Times New Roman" w:hAnsi="Times New Roman" w:eastAsia="宋体" w:cs="Times New Roman"/>
          <w:b w:val="0"/>
          <w:i w:val="0"/>
          <w:sz w:val="21"/>
        </w:rPr>
        <w:t>在上述参数水平上进行</w:t>
      </w:r>
      <m:oMath>
        <m:r>
          <m:rPr/>
          <m:t>4</m:t>
        </m:r>
        <m:r>
          <m:rPr>
            <m:sty m:val="p"/>
          </m:rPr>
          <m:t>×</m:t>
        </m:r>
        <m:r>
          <m:rPr/>
          <m:t>4</m:t>
        </m:r>
        <m:r>
          <m:rPr>
            <m:sty m:val="p"/>
          </m:rPr>
          <m:t>×</m:t>
        </m:r>
        <m:r>
          <m:rPr/>
          <m:t>4</m:t>
        </m:r>
      </m:oMath>
      <w:r>
        <w:rPr>
          <w:rFonts w:hint="eastAsia" w:ascii="Times New Roman" w:hAnsi="Times New Roman" w:eastAsia="宋体" w:cs="Times New Roman"/>
          <w:b w:val="0"/>
          <w:i w:val="0"/>
          <w:sz w:val="21"/>
        </w:rPr>
        <w:t>全因子组合，共形成64个成层工况P001—P064，用于参数规律分析、代理训练和五折验证；另设置4个同坡角均质坡H001—H004作为基线。V001—V004分别改变网格、尾段时长、侧向净空和基底深度，用于核对关键计算设置；3组X比较采用Abaqus与SPECFEM2D计算H004、P061及P061加密谱元模型，用于检查代表工况PGA空间分布的一致性。V组和X组不进入参数统计或代理训练。</w:t>
      </w:r>
    </w:p>
    <w:p w14:paraId="39245E05">
      <w:pPr>
        <w:spacing w:before="0" w:after="0"/>
        <w:ind w:firstLine="420"/>
        <w:jc w:val="both"/>
      </w:pPr>
      <w:r>
        <w:rPr>
          <w:rFonts w:hint="eastAsia" w:ascii="Times New Roman" w:hAnsi="Times New Roman" w:eastAsia="宋体" w:cs="Times New Roman"/>
          <w:b w:val="0"/>
          <w:i w:val="0"/>
          <w:sz w:val="21"/>
        </w:rPr>
        <w:t>近场波动分析通常需要在有限计算域的截断边界处设置人工边界，以吸收向外传播的散射波。本文在模型侧边和底边设置黏弹性人工边界</w:t>
      </w:r>
      <w:r>
        <w:rPr>
          <w:rFonts w:hint="eastAsia" w:ascii="Times New Roman" w:hAnsi="Times New Roman" w:eastAsia="宋体" w:cs="Times New Roman"/>
          <w:b w:val="0"/>
          <w:i w:val="0"/>
          <w:sz w:val="21"/>
          <w:vertAlign w:val="superscript"/>
        </w:rPr>
        <w:t>[32]</w:t>
      </w:r>
      <w:r>
        <w:rPr>
          <w:rFonts w:hint="eastAsia" w:ascii="Times New Roman" w:hAnsi="Times New Roman" w:eastAsia="宋体" w:cs="Times New Roman"/>
          <w:b w:val="0"/>
          <w:i w:val="0"/>
          <w:sz w:val="21"/>
        </w:rPr>
        <w:t>，并将总波场分解为自由场与散射场。根据边界节点在自由场中的位移、速度和应力，地震动可转换为施加于人工边界的等效节点力</w:t>
      </w:r>
      <w:r>
        <w:rPr>
          <w:rFonts w:hint="eastAsia" w:ascii="Times New Roman" w:hAnsi="Times New Roman" w:eastAsia="宋体" w:cs="Times New Roman"/>
          <w:b w:val="0"/>
          <w:i w:val="0"/>
          <w:sz w:val="21"/>
          <w:vertAlign w:val="superscript"/>
        </w:rPr>
        <w:t>[33]</w:t>
      </w:r>
      <w:r>
        <w:rPr>
          <w:rFonts w:hint="eastAsia" w:ascii="Times New Roman" w:hAnsi="Times New Roman" w:eastAsia="宋体" w:cs="Times New Roman"/>
          <w:b w:val="0"/>
          <w:i w:val="0"/>
          <w:sz w:val="21"/>
        </w:rPr>
        <w:t>：</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4ECD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56144EA6">
            <w:pPr>
              <w:spacing w:before="60" w:after="60"/>
              <w:jc w:val="center"/>
            </w:pPr>
            <m:oMathPara>
              <m:oMath>
                <m:sSub>
                  <m:sSubPr/>
                  <m:e>
                    <m:r>
                      <m:rPr>
                        <m:sty m:val="bi"/>
                      </m:rPr>
                      <m:t>F</m:t>
                    </m:r>
                  </m:e>
                  <m:sub>
                    <m:r>
                      <m:rPr/>
                      <m:t>l</m:t>
                    </m:r>
                  </m:sub>
                </m:sSub>
                <m:r>
                  <m:rPr>
                    <m:sty m:val="p"/>
                  </m:rPr>
                  <m:t>=</m:t>
                </m:r>
                <m:sSub>
                  <m:sSubPr/>
                  <m:e>
                    <m:r>
                      <m:rPr>
                        <m:sty m:val="bi"/>
                      </m:rPr>
                      <m:t>K</m:t>
                    </m:r>
                  </m:e>
                  <m:sub>
                    <m:r>
                      <m:rPr/>
                      <m:t>l</m:t>
                    </m:r>
                  </m:sub>
                </m:sSub>
                <m:sSubSup>
                  <m:sSubSupPr/>
                  <m:e>
                    <m:r>
                      <m:rPr>
                        <m:sty m:val="bi"/>
                      </m:rPr>
                      <m:t>u</m:t>
                    </m:r>
                  </m:e>
                  <m:sub>
                    <m:r>
                      <m:rPr/>
                      <m:t>l</m:t>
                    </m:r>
                  </m:sub>
                  <m:sup>
                    <m:r>
                      <m:rPr>
                        <m:sty m:val="p"/>
                      </m:rPr>
                      <m:t>ff</m:t>
                    </m:r>
                  </m:sup>
                </m:sSubSup>
                <m:r>
                  <m:rPr>
                    <m:sty m:val="p"/>
                  </m:rPr>
                  <m:t>+</m:t>
                </m:r>
                <m:sSub>
                  <m:sSubPr/>
                  <m:e>
                    <m:r>
                      <m:rPr>
                        <m:sty m:val="bi"/>
                      </m:rPr>
                      <m:t>C</m:t>
                    </m:r>
                  </m:e>
                  <m:sub>
                    <m:r>
                      <m:rPr/>
                      <m:t>l</m:t>
                    </m:r>
                  </m:sub>
                </m:sSub>
                <m:sSubSup>
                  <m:sSubSupPr/>
                  <m:e>
                    <m:acc>
                      <m:accPr>
                        <m:chr m:val="̇"/>
                      </m:accPr>
                      <m:e>
                        <m:r>
                          <m:rPr>
                            <m:sty m:val="bi"/>
                          </m:rPr>
                          <m:t>u</m:t>
                        </m:r>
                      </m:e>
                    </m:acc>
                  </m:e>
                  <m:sub>
                    <m:r>
                      <m:rPr/>
                      <m:t>l</m:t>
                    </m:r>
                  </m:sub>
                  <m:sup>
                    <m:r>
                      <m:rPr>
                        <m:sty m:val="p"/>
                      </m:rPr>
                      <m:t>ff</m:t>
                    </m:r>
                  </m:sup>
                </m:sSubSup>
                <m:r>
                  <m:rPr>
                    <m:sty m:val="p"/>
                  </m:rPr>
                  <m:t>+</m:t>
                </m:r>
                <m:sSubSup>
                  <m:sSubSupPr/>
                  <m:e>
                    <m:r>
                      <m:rPr>
                        <m:sty m:val="bi"/>
                      </m:rPr>
                      <m:t>σ</m:t>
                    </m:r>
                  </m:e>
                  <m:sub>
                    <m:r>
                      <m:rPr/>
                      <m:t>l</m:t>
                    </m:r>
                  </m:sub>
                  <m:sup>
                    <m:r>
                      <m:rPr>
                        <m:sty m:val="p"/>
                      </m:rPr>
                      <m:t>ff</m:t>
                    </m:r>
                  </m:sup>
                </m:sSubSup>
                <m:sSub>
                  <m:sSubPr/>
                  <m:e>
                    <m:r>
                      <m:rPr>
                        <m:sty m:val="bi"/>
                      </m:rPr>
                      <m:t>n</m:t>
                    </m:r>
                  </m:e>
                  <m:sub>
                    <m:r>
                      <m:rPr/>
                      <m:t>l</m:t>
                    </m:r>
                  </m:sub>
                </m:sSub>
                <m:sSub>
                  <m:sSubPr/>
                  <m:e>
                    <m:r>
                      <m:rPr/>
                      <m:t>A</m:t>
                    </m:r>
                  </m:e>
                  <m:sub>
                    <m:r>
                      <m:rPr/>
                      <m:t>l</m:t>
                    </m:r>
                  </m:sub>
                </m:sSub>
                <m:r>
                  <m:rPr>
                    <m:sty m:val="p"/>
                  </m:rPr>
                  <m:t>.</m:t>
                </m:r>
              </m:oMath>
            </m:oMathPara>
          </w:p>
        </w:tc>
        <w:tc>
          <w:tcPr>
            <w:tcW w:w="4819" w:type="dxa"/>
          </w:tcPr>
          <w:p w14:paraId="384C1606">
            <w:pPr>
              <w:spacing w:before="60" w:after="60"/>
              <w:jc w:val="right"/>
            </w:pPr>
            <w:r>
              <w:rPr>
                <w:rFonts w:hint="eastAsia" w:ascii="Times New Roman" w:hAnsi="Times New Roman" w:eastAsia="Times New Roman" w:cs="Times New Roman"/>
                <w:b w:val="0"/>
                <w:i w:val="0"/>
                <w:sz w:val="21"/>
              </w:rPr>
              <w:t>(1)</w:t>
            </w:r>
          </w:p>
        </w:tc>
      </w:tr>
    </w:tbl>
    <w:p w14:paraId="668F8F39">
      <w:pPr>
        <w:spacing w:before="0" w:after="0"/>
        <w:ind w:firstLine="420"/>
        <w:jc w:val="both"/>
      </w:pPr>
      <w:r>
        <w:rPr>
          <w:rFonts w:hint="eastAsia" w:ascii="Times New Roman" w:hAnsi="Times New Roman" w:eastAsia="宋体" w:cs="Times New Roman"/>
          <w:b w:val="0"/>
          <w:i w:val="0"/>
          <w:sz w:val="21"/>
        </w:rPr>
        <w:t>式中：</w:t>
      </w:r>
      <m:oMath>
        <m:sSub>
          <m:sSubPr/>
          <m:e>
            <m:r>
              <m:rPr>
                <m:sty m:val="bi"/>
              </m:rPr>
              <m:t>K</m:t>
            </m:r>
          </m:e>
          <m:sub>
            <m:r>
              <m:rPr/>
              <m:t>l</m:t>
            </m:r>
          </m:sub>
        </m:sSub>
      </m:oMath>
      <w:r>
        <w:rPr>
          <w:rFonts w:hint="eastAsia" w:ascii="Times New Roman" w:hAnsi="Times New Roman" w:eastAsia="宋体" w:cs="Times New Roman"/>
          <w:b w:val="0"/>
          <w:i w:val="0"/>
          <w:sz w:val="21"/>
        </w:rPr>
        <w:t>和</w:t>
      </w:r>
      <m:oMath>
        <m:sSub>
          <m:sSubPr/>
          <m:e>
            <m:r>
              <m:rPr>
                <m:sty m:val="bi"/>
              </m:rPr>
              <m:t>C</m:t>
            </m:r>
          </m:e>
          <m:sub>
            <m:r>
              <m:rPr/>
              <m:t>l</m:t>
            </m:r>
          </m:sub>
        </m:sSub>
      </m:oMath>
      <w:r>
        <w:rPr>
          <w:rFonts w:hint="eastAsia" w:ascii="Times New Roman" w:hAnsi="Times New Roman" w:eastAsia="宋体" w:cs="Times New Roman"/>
          <w:b w:val="0"/>
          <w:i w:val="0"/>
          <w:sz w:val="21"/>
        </w:rPr>
        <w:t>分别为边界节点的刚度矩阵和阻尼矩阵；</w:t>
      </w:r>
      <m:oMath>
        <m:sSubSup>
          <m:sSubSupPr/>
          <m:e>
            <m:r>
              <m:rPr>
                <m:sty m:val="bi"/>
              </m:rPr>
              <m:t>u</m:t>
            </m:r>
          </m:e>
          <m:sub>
            <m:r>
              <m:rPr/>
              <m:t>l</m:t>
            </m:r>
          </m:sub>
          <m:sup>
            <m:r>
              <m:rPr>
                <m:sty m:val="p"/>
              </m:rPr>
              <m:t>ff</m:t>
            </m:r>
          </m:sup>
        </m:sSubSup>
      </m:oMath>
      <w:r>
        <w:rPr>
          <w:rFonts w:hint="eastAsia" w:ascii="Times New Roman" w:hAnsi="Times New Roman" w:eastAsia="宋体" w:cs="Times New Roman"/>
          <w:b w:val="0"/>
          <w:i w:val="0"/>
          <w:sz w:val="21"/>
        </w:rPr>
        <w:t>、</w:t>
      </w:r>
      <m:oMath>
        <m:sSubSup>
          <m:sSubSupPr/>
          <m:e>
            <m:acc>
              <m:accPr>
                <m:chr m:val="̇"/>
              </m:accPr>
              <m:e>
                <m:r>
                  <m:rPr>
                    <m:sty m:val="bi"/>
                  </m:rPr>
                  <m:t>u</m:t>
                </m:r>
              </m:e>
            </m:acc>
          </m:e>
          <m:sub>
            <m:r>
              <m:rPr/>
              <m:t>l</m:t>
            </m:r>
          </m:sub>
          <m:sup>
            <m:r>
              <m:rPr>
                <m:sty m:val="p"/>
              </m:rPr>
              <m:t>ff</m:t>
            </m:r>
          </m:sup>
        </m:sSubSup>
      </m:oMath>
      <w:r>
        <w:rPr>
          <w:rFonts w:hint="eastAsia" w:ascii="Times New Roman" w:hAnsi="Times New Roman" w:eastAsia="宋体" w:cs="Times New Roman"/>
          <w:b w:val="0"/>
          <w:i w:val="0"/>
          <w:sz w:val="21"/>
        </w:rPr>
        <w:t>和</w:t>
      </w:r>
      <m:oMath>
        <m:sSubSup>
          <m:sSubSupPr/>
          <m:e>
            <m:r>
              <m:rPr>
                <m:sty m:val="bi"/>
              </m:rPr>
              <m:t>σ</m:t>
            </m:r>
          </m:e>
          <m:sub>
            <m:r>
              <m:rPr/>
              <m:t>l</m:t>
            </m:r>
          </m:sub>
          <m:sup>
            <m:r>
              <m:rPr>
                <m:sty m:val="p"/>
              </m:rPr>
              <m:t>ff</m:t>
            </m:r>
          </m:sup>
        </m:sSubSup>
      </m:oMath>
      <w:r>
        <w:rPr>
          <w:rFonts w:hint="eastAsia" w:ascii="Times New Roman" w:hAnsi="Times New Roman" w:eastAsia="宋体" w:cs="Times New Roman"/>
          <w:b w:val="0"/>
          <w:i w:val="0"/>
          <w:sz w:val="21"/>
        </w:rPr>
        <w:t>分别为自由场位移、速度和应力；</w:t>
      </w:r>
      <m:oMath>
        <m:sSub>
          <m:sSubPr/>
          <m:e>
            <m:r>
              <m:rPr>
                <m:sty m:val="bi"/>
              </m:rPr>
              <m:t>n</m:t>
            </m:r>
          </m:e>
          <m:sub>
            <m:r>
              <m:rPr/>
              <m:t>l</m:t>
            </m:r>
          </m:sub>
        </m:sSub>
      </m:oMath>
      <w:r>
        <w:rPr>
          <w:rFonts w:hint="eastAsia" w:ascii="Times New Roman" w:hAnsi="Times New Roman" w:eastAsia="宋体" w:cs="Times New Roman"/>
          <w:b w:val="0"/>
          <w:i w:val="0"/>
          <w:sz w:val="21"/>
        </w:rPr>
        <w:t>和</w:t>
      </w:r>
      <m:oMath>
        <m:sSub>
          <m:sSubPr/>
          <m:e>
            <m:r>
              <m:rPr/>
              <m:t>A</m:t>
            </m:r>
          </m:e>
          <m:sub>
            <m:r>
              <m:rPr/>
              <m:t>l</m:t>
            </m:r>
          </m:sub>
        </m:sSub>
      </m:oMath>
      <w:r>
        <w:rPr>
          <w:rFonts w:hint="eastAsia" w:ascii="Times New Roman" w:hAnsi="Times New Roman" w:eastAsia="宋体" w:cs="Times New Roman"/>
          <w:b w:val="0"/>
          <w:i w:val="0"/>
          <w:sz w:val="21"/>
        </w:rPr>
        <w:t>分别为外法向和节点代表长度。三条截断边界均采用与相应工况材料剖面一致的左侧上平台一维自由场，并根据各节点的真实坐标计算等效荷载。上述自由场用于计算边界等效荷载，并直接参与有限元模型求解。</w:t>
      </w:r>
    </w:p>
    <w:p w14:paraId="46354820">
      <w:pPr>
        <w:spacing w:before="0" w:after="0"/>
        <w:ind w:firstLine="420"/>
        <w:jc w:val="both"/>
      </w:pPr>
      <w:r>
        <w:rPr>
          <w:rFonts w:hint="eastAsia" w:ascii="Times New Roman" w:hAnsi="Times New Roman" w:eastAsia="宋体" w:cs="Times New Roman"/>
          <w:b w:val="0"/>
          <w:i w:val="0"/>
          <w:sz w:val="21"/>
        </w:rPr>
        <w:t>模型主体采用CPE4R单元，覆盖层基准单元尺寸为4 m，基岩深部逐级放宽。最软覆盖层在10 Hz时的最短剪切波长为60 m，标准网格约包含15个单元/波长。输入采用峰值0.1g的宽频多正弦信号G1b，有效持时为8.191 s，随后附加6 s尾段；固定时间步长为0.001 s，分析频带取0.5～10 Hz。G1b在该频带内的谱幅有效性结合复频响提取在3.1节说明。地表响应首先在有限元原生节点处输出，随后确定性插值至161个公共</w:t>
      </w:r>
      <m:oMath>
        <m:r>
          <m:rPr/>
          <m:t>s</m:t>
        </m:r>
      </m:oMath>
      <w:r>
        <w:rPr>
          <w:rFonts w:hint="eastAsia" w:ascii="Times New Roman" w:hAnsi="Times New Roman" w:eastAsia="宋体" w:cs="Times New Roman"/>
          <w:b w:val="0"/>
          <w:i w:val="0"/>
          <w:sz w:val="21"/>
        </w:rPr>
        <w:t>坐标，用于不同坡角和参数组合之间的逐位置比较。</w:t>
      </w:r>
    </w:p>
    <w:p w14:paraId="51CAAEEE">
      <w:pPr>
        <w:spacing w:before="156" w:after="40"/>
        <w:ind w:firstLine="0"/>
        <w:jc w:val="left"/>
      </w:pPr>
      <w:r>
        <w:rPr>
          <w:rFonts w:hint="eastAsia" w:ascii="Times New Roman" w:hAnsi="Times New Roman" w:eastAsia="宋体" w:cs="Times New Roman"/>
          <w:b/>
          <w:i w:val="0"/>
          <w:sz w:val="24"/>
        </w:rPr>
        <w:t>2.2 数值结果校核</w:t>
      </w:r>
    </w:p>
    <w:p w14:paraId="2204604B">
      <w:pPr>
        <w:spacing w:before="0" w:after="0"/>
        <w:ind w:firstLine="420"/>
        <w:jc w:val="both"/>
      </w:pPr>
      <w:r>
        <w:rPr>
          <w:rFonts w:hint="eastAsia" w:ascii="Times New Roman" w:hAnsi="Times New Roman" w:eastAsia="宋体" w:cs="Times New Roman"/>
          <w:b w:val="0"/>
          <w:i w:val="0"/>
          <w:sz w:val="21"/>
        </w:rPr>
        <w:t>以参数域角点工况P061（</w:t>
      </w:r>
      <m:oMath>
        <m:r>
          <m:rPr/>
          <m:t>i</m:t>
        </m:r>
        <m:r>
          <m:rPr>
            <m:sty m:val="p"/>
          </m:rPr>
          <m:t>=</m:t>
        </m:r>
        <m:sSup>
          <m:sSupPr/>
          <m:e>
            <m:r>
              <m:rPr/>
              <m:t>60</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）为基准，设置4个单因素对比工况：V001将标准分级网格加密为全局1 m均匀网格，V002将尾段由6 s延长至12 s，V003将左右侧向净空由</w:t>
      </w:r>
      <m:oMath>
        <m:r>
          <m:rPr/>
          <m:t>1h</m:t>
        </m:r>
      </m:oMath>
      <w:r>
        <w:rPr>
          <w:rFonts w:hint="eastAsia" w:ascii="Times New Roman" w:hAnsi="Times New Roman" w:eastAsia="宋体" w:cs="Times New Roman"/>
          <w:b w:val="0"/>
          <w:i w:val="0"/>
          <w:sz w:val="21"/>
        </w:rPr>
        <w:t>扩大至</w:t>
      </w:r>
      <m:oMath>
        <m:r>
          <m:rPr/>
          <m:t>2h</m:t>
        </m:r>
      </m:oMath>
      <w:r>
        <w:rPr>
          <w:rFonts w:hint="eastAsia" w:ascii="Times New Roman" w:hAnsi="Times New Roman" w:eastAsia="宋体" w:cs="Times New Roman"/>
          <w:b w:val="0"/>
          <w:i w:val="0"/>
          <w:sz w:val="21"/>
        </w:rPr>
        <w:t>，V004将坡脚以下基底由</w:t>
      </w:r>
      <m:oMath>
        <m:r>
          <m:rPr/>
          <m:t>3h</m:t>
        </m:r>
      </m:oMath>
      <w:r>
        <w:rPr>
          <w:rFonts w:hint="eastAsia" w:ascii="Times New Roman" w:hAnsi="Times New Roman" w:eastAsia="宋体" w:cs="Times New Roman"/>
          <w:b w:val="0"/>
          <w:i w:val="0"/>
          <w:sz w:val="21"/>
        </w:rPr>
        <w:t>加深至</w:t>
      </w:r>
      <m:oMath>
        <m:r>
          <m:rPr/>
          <m:t>6h</m:t>
        </m:r>
      </m:oMath>
      <w:r>
        <w:rPr>
          <w:rFonts w:hint="eastAsia" w:ascii="Times New Roman" w:hAnsi="Times New Roman" w:eastAsia="宋体" w:cs="Times New Roman"/>
          <w:b w:val="0"/>
          <w:i w:val="0"/>
          <w:sz w:val="21"/>
        </w:rPr>
        <w:t>。除指定变量外，其余建模、输入和后处理设置保持一致，对比结果列于表1。</w:t>
      </w:r>
    </w:p>
    <w:p w14:paraId="76729911">
      <w:pPr>
        <w:spacing w:before="0" w:after="0"/>
        <w:ind w:firstLine="420"/>
        <w:jc w:val="both"/>
      </w:pPr>
      <w:r>
        <w:rPr>
          <w:rFonts w:hint="eastAsia" w:ascii="Times New Roman" w:hAnsi="Times New Roman" w:eastAsia="宋体" w:cs="Times New Roman"/>
          <w:b w:val="0"/>
          <w:i w:val="0"/>
          <w:sz w:val="21"/>
        </w:rPr>
        <w:t>表1 P061数值设置敏感性结果</w:t>
      </w:r>
    </w:p>
    <w:p w14:paraId="5222188C">
      <w:pPr>
        <w:spacing w:before="0" w:after="0"/>
        <w:ind w:firstLine="420"/>
        <w:jc w:val="both"/>
      </w:pPr>
      <w:r>
        <w:rPr>
          <w:rFonts w:hint="eastAsia" w:ascii="Times New Roman" w:hAnsi="Times New Roman" w:eastAsia="宋体" w:cs="Times New Roman"/>
          <w:b w:val="0"/>
          <w:i w:val="0"/>
          <w:sz w:val="21"/>
        </w:rPr>
        <w:t>Table 1 Numerical-setting sensitivity results for P061</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84"/>
        <w:gridCol w:w="669"/>
        <w:gridCol w:w="436"/>
        <w:gridCol w:w="696"/>
        <w:gridCol w:w="777"/>
        <w:gridCol w:w="664"/>
        <w:gridCol w:w="996"/>
      </w:tblGrid>
      <w:tr w14:paraId="171073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4" w:type="dxa"/>
            <w:tcBorders>
              <w:bottom w:val="single" w:color="auto" w:sz="6" w:space="0"/>
            </w:tcBorders>
            <w:vAlign w:val="center"/>
          </w:tcPr>
          <w:p w14:paraId="4927B4E2">
            <w:pPr>
              <w:spacing w:before="30" w:after="30"/>
              <w:ind w:firstLine="0"/>
              <w:jc w:val="center"/>
            </w:pPr>
            <w:r>
              <w:rPr>
                <w:rFonts w:hint="eastAsia" w:ascii="Times New Roman" w:hAnsi="Times New Roman" w:eastAsia="宋体" w:cs="Times New Roman"/>
                <w:b/>
                <w:i w:val="0"/>
                <w:sz w:val="16"/>
              </w:rPr>
              <w:t>工况</w:t>
            </w:r>
          </w:p>
        </w:tc>
        <w:tc>
          <w:tcPr>
            <w:tcW w:w="669" w:type="dxa"/>
            <w:tcBorders>
              <w:bottom w:val="single" w:color="auto" w:sz="6" w:space="0"/>
            </w:tcBorders>
            <w:vAlign w:val="center"/>
          </w:tcPr>
          <w:p w14:paraId="3A5CA8F5">
            <w:pPr>
              <w:spacing w:before="30" w:after="30"/>
              <w:ind w:firstLine="0"/>
              <w:jc w:val="center"/>
            </w:pPr>
            <w:r>
              <w:rPr>
                <w:rFonts w:hint="eastAsia" w:ascii="Times New Roman" w:hAnsi="Times New Roman" w:eastAsia="宋体" w:cs="Times New Roman"/>
                <w:b/>
                <w:i w:val="0"/>
                <w:sz w:val="16"/>
              </w:rPr>
              <w:t>单因素变化</w:t>
            </w:r>
          </w:p>
        </w:tc>
        <w:tc>
          <w:tcPr>
            <w:tcW w:w="436" w:type="dxa"/>
            <w:tcBorders>
              <w:bottom w:val="single" w:color="auto" w:sz="6" w:space="0"/>
            </w:tcBorders>
            <w:vAlign w:val="center"/>
          </w:tcPr>
          <w:p w14:paraId="4D138BAA">
            <w:pPr>
              <w:spacing w:before="30" w:after="30"/>
              <w:ind w:firstLine="0"/>
              <w:jc w:val="center"/>
            </w:pPr>
            <w:r>
              <w:rPr>
                <w:rFonts w:hint="eastAsia" w:ascii="Times New Roman" w:hAnsi="Times New Roman" w:eastAsia="宋体" w:cs="Times New Roman"/>
                <w:b/>
                <w:i w:val="0"/>
                <w:sz w:val="16"/>
              </w:rPr>
              <w:t>坡顶主峰频率误差/Hz</w:t>
            </w:r>
          </w:p>
        </w:tc>
        <w:tc>
          <w:tcPr>
            <w:tcW w:w="696" w:type="dxa"/>
            <w:tcBorders>
              <w:bottom w:val="single" w:color="auto" w:sz="6" w:space="0"/>
            </w:tcBorders>
            <w:vAlign w:val="center"/>
          </w:tcPr>
          <w:p w14:paraId="70C89C7B">
            <w:pPr>
              <w:spacing w:before="30" w:after="30"/>
              <w:ind w:firstLine="0"/>
              <w:jc w:val="center"/>
            </w:pPr>
            <w:r>
              <w:rPr>
                <w:rFonts w:hint="eastAsia" w:ascii="Times New Roman" w:hAnsi="Times New Roman" w:eastAsia="宋体" w:cs="Times New Roman"/>
                <w:b/>
                <w:i w:val="0"/>
                <w:sz w:val="16"/>
              </w:rPr>
              <w:t>坡面中部峰值变化/%</w:t>
            </w:r>
          </w:p>
        </w:tc>
        <w:tc>
          <w:tcPr>
            <w:tcW w:w="777" w:type="dxa"/>
            <w:tcBorders>
              <w:bottom w:val="single" w:color="auto" w:sz="6" w:space="0"/>
            </w:tcBorders>
            <w:vAlign w:val="center"/>
          </w:tcPr>
          <w:p w14:paraId="4ACBEB01">
            <w:pPr>
              <w:spacing w:before="30" w:after="30"/>
              <w:ind w:firstLine="0"/>
              <w:jc w:val="center"/>
            </w:pPr>
            <w:r>
              <w:rPr>
                <w:rFonts w:hint="eastAsia" w:ascii="Times New Roman" w:hAnsi="Times New Roman" w:eastAsia="宋体" w:cs="Times New Roman"/>
                <w:b/>
                <w:i w:val="0"/>
                <w:sz w:val="16"/>
              </w:rPr>
              <w:t>全场</w:t>
            </w:r>
            <m:oMath>
              <m:r>
                <m:rPr>
                  <m:sty m:val="p"/>
                </m:rPr>
                <m:t>ln|</m:t>
              </m:r>
              <m:sSub>
                <m:sSubPr/>
                <m:e>
                  <m:r>
                    <m:rPr/>
                    <m:t>G</m:t>
                  </m:r>
                </m:e>
                <m:sub>
                  <m:r>
                    <m:rPr/>
                    <m:t>h</m:t>
                  </m:r>
                </m:sub>
              </m:sSub>
              <m:r>
                <m:rPr>
                  <m:sty m:val="p"/>
                </m:rPr>
                <m:t>|</m:t>
              </m:r>
            </m:oMath>
            <w:r>
              <w:rPr>
                <w:rFonts w:hint="eastAsia" w:ascii="Times New Roman" w:hAnsi="Times New Roman" w:eastAsia="宋体" w:cs="Times New Roman"/>
                <w:b/>
                <w:i w:val="0"/>
                <w:sz w:val="16"/>
              </w:rPr>
              <w:t xml:space="preserve"> RMSE</w:t>
            </w:r>
          </w:p>
        </w:tc>
        <w:tc>
          <w:tcPr>
            <w:tcW w:w="664" w:type="dxa"/>
            <w:tcBorders>
              <w:bottom w:val="single" w:color="auto" w:sz="6" w:space="0"/>
            </w:tcBorders>
            <w:vAlign w:val="center"/>
          </w:tcPr>
          <w:p w14:paraId="6287A1B0">
            <w:pPr>
              <w:spacing w:before="30" w:after="30"/>
              <w:ind w:firstLine="0"/>
              <w:jc w:val="center"/>
            </w:pPr>
            <w:r>
              <w:rPr>
                <w:rFonts w:hint="eastAsia" w:ascii="Times New Roman" w:hAnsi="Times New Roman" w:eastAsia="宋体" w:cs="Times New Roman"/>
                <w:b/>
                <w:i w:val="0"/>
                <w:sz w:val="16"/>
              </w:rPr>
              <w:t>加权复场误差</w:t>
            </w:r>
          </w:p>
        </w:tc>
        <w:tc>
          <w:tcPr>
            <w:tcW w:w="996" w:type="dxa"/>
            <w:tcBorders>
              <w:bottom w:val="single" w:color="auto" w:sz="6" w:space="0"/>
            </w:tcBorders>
            <w:vAlign w:val="center"/>
          </w:tcPr>
          <w:p w14:paraId="5E649CCD">
            <w:pPr>
              <w:spacing w:before="30" w:after="30"/>
              <w:ind w:firstLine="0"/>
              <w:jc w:val="center"/>
            </w:pPr>
            <w:r>
              <w:rPr>
                <w:rFonts w:hint="eastAsia" w:ascii="Times New Roman" w:hAnsi="Times New Roman" w:eastAsia="宋体" w:cs="Times New Roman"/>
                <w:b/>
                <w:i w:val="0"/>
                <w:sz w:val="16"/>
              </w:rPr>
              <w:t>圆周相位RMSE/(°)</w:t>
            </w:r>
          </w:p>
        </w:tc>
      </w:tr>
      <w:tr w14:paraId="65A93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4" w:type="dxa"/>
            <w:vAlign w:val="center"/>
          </w:tcPr>
          <w:p w14:paraId="029B5778">
            <w:pPr>
              <w:spacing w:before="30" w:after="30"/>
              <w:ind w:firstLine="0"/>
              <w:jc w:val="center"/>
            </w:pPr>
            <w:r>
              <w:rPr>
                <w:rFonts w:hint="eastAsia" w:ascii="Times New Roman" w:hAnsi="Times New Roman" w:eastAsia="宋体" w:cs="Times New Roman"/>
                <w:b w:val="0"/>
                <w:i w:val="0"/>
                <w:sz w:val="16"/>
              </w:rPr>
              <w:t>V001</w:t>
            </w:r>
          </w:p>
        </w:tc>
        <w:tc>
          <w:tcPr>
            <w:tcW w:w="669" w:type="dxa"/>
            <w:vAlign w:val="center"/>
          </w:tcPr>
          <w:p w14:paraId="5419B251">
            <w:pPr>
              <w:spacing w:before="30" w:after="30"/>
              <w:ind w:firstLine="0"/>
              <w:jc w:val="center"/>
            </w:pPr>
            <w:r>
              <w:rPr>
                <w:rFonts w:hint="eastAsia" w:ascii="Times New Roman" w:hAnsi="Times New Roman" w:eastAsia="宋体" w:cs="Times New Roman"/>
                <w:b w:val="0"/>
                <w:i w:val="0"/>
                <w:sz w:val="16"/>
              </w:rPr>
              <w:t>标准分级网格改为全局均匀1 m</w:t>
            </w:r>
          </w:p>
        </w:tc>
        <w:tc>
          <w:tcPr>
            <w:tcW w:w="436" w:type="dxa"/>
            <w:vAlign w:val="center"/>
          </w:tcPr>
          <w:p w14:paraId="596A0598">
            <w:pPr>
              <w:spacing w:before="30" w:after="30"/>
              <w:ind w:firstLine="0"/>
              <w:jc w:val="center"/>
            </w:pPr>
            <w:r>
              <w:rPr>
                <w:rFonts w:hint="eastAsia" w:ascii="Times New Roman" w:hAnsi="Times New Roman" w:eastAsia="宋体" w:cs="Times New Roman"/>
                <w:b w:val="0"/>
                <w:i w:val="0"/>
                <w:sz w:val="16"/>
              </w:rPr>
              <w:t>0.0</w:t>
            </w:r>
          </w:p>
        </w:tc>
        <w:tc>
          <w:tcPr>
            <w:tcW w:w="696" w:type="dxa"/>
            <w:vAlign w:val="center"/>
          </w:tcPr>
          <w:p w14:paraId="12B7EC6E">
            <w:pPr>
              <w:spacing w:before="30" w:after="30"/>
              <w:ind w:firstLine="0"/>
              <w:jc w:val="center"/>
            </w:pPr>
            <w:r>
              <w:rPr>
                <w:rFonts w:hint="eastAsia" w:ascii="Times New Roman" w:hAnsi="Times New Roman" w:eastAsia="宋体" w:cs="Times New Roman"/>
                <w:b w:val="0"/>
                <w:i w:val="0"/>
                <w:sz w:val="16"/>
              </w:rPr>
              <w:t>+0.572</w:t>
            </w:r>
          </w:p>
        </w:tc>
        <w:tc>
          <w:tcPr>
            <w:tcW w:w="777" w:type="dxa"/>
            <w:vAlign w:val="center"/>
          </w:tcPr>
          <w:p w14:paraId="76B48234">
            <w:pPr>
              <w:spacing w:before="30" w:after="30"/>
              <w:ind w:firstLine="0"/>
              <w:jc w:val="center"/>
            </w:pPr>
            <w:r>
              <w:rPr>
                <w:rFonts w:hint="eastAsia" w:ascii="Times New Roman" w:hAnsi="Times New Roman" w:eastAsia="宋体" w:cs="Times New Roman"/>
                <w:b w:val="0"/>
                <w:i w:val="0"/>
                <w:sz w:val="16"/>
              </w:rPr>
              <w:t>0.0227</w:t>
            </w:r>
          </w:p>
        </w:tc>
        <w:tc>
          <w:tcPr>
            <w:tcW w:w="664" w:type="dxa"/>
            <w:vAlign w:val="center"/>
          </w:tcPr>
          <w:p w14:paraId="4788B168">
            <w:pPr>
              <w:spacing w:before="30" w:after="30"/>
              <w:ind w:firstLine="0"/>
              <w:jc w:val="center"/>
            </w:pPr>
            <w:r>
              <w:rPr>
                <w:rFonts w:hint="eastAsia" w:ascii="Times New Roman" w:hAnsi="Times New Roman" w:eastAsia="宋体" w:cs="Times New Roman"/>
                <w:b w:val="0"/>
                <w:i w:val="0"/>
                <w:sz w:val="16"/>
              </w:rPr>
              <w:t>0.0510</w:t>
            </w:r>
          </w:p>
        </w:tc>
        <w:tc>
          <w:tcPr>
            <w:tcW w:w="996" w:type="dxa"/>
            <w:vAlign w:val="center"/>
          </w:tcPr>
          <w:p w14:paraId="4AB583AC">
            <w:pPr>
              <w:spacing w:before="30" w:after="30"/>
              <w:ind w:firstLine="0"/>
              <w:jc w:val="center"/>
            </w:pPr>
            <w:r>
              <w:rPr>
                <w:rFonts w:hint="eastAsia" w:ascii="Times New Roman" w:hAnsi="Times New Roman" w:eastAsia="宋体" w:cs="Times New Roman"/>
                <w:b w:val="0"/>
                <w:i w:val="0"/>
                <w:sz w:val="16"/>
              </w:rPr>
              <w:t>2.958</w:t>
            </w:r>
          </w:p>
        </w:tc>
      </w:tr>
      <w:tr w14:paraId="62E5D8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4" w:type="dxa"/>
            <w:vAlign w:val="center"/>
          </w:tcPr>
          <w:p w14:paraId="1E4A56AF">
            <w:pPr>
              <w:spacing w:before="30" w:after="30"/>
              <w:ind w:firstLine="0"/>
              <w:jc w:val="center"/>
            </w:pPr>
            <w:r>
              <w:rPr>
                <w:rFonts w:hint="eastAsia" w:ascii="Times New Roman" w:hAnsi="Times New Roman" w:eastAsia="宋体" w:cs="Times New Roman"/>
                <w:b w:val="0"/>
                <w:i w:val="0"/>
                <w:sz w:val="16"/>
              </w:rPr>
              <w:t>V002</w:t>
            </w:r>
          </w:p>
        </w:tc>
        <w:tc>
          <w:tcPr>
            <w:tcW w:w="669" w:type="dxa"/>
            <w:vAlign w:val="center"/>
          </w:tcPr>
          <w:p w14:paraId="11252511">
            <w:pPr>
              <w:spacing w:before="30" w:after="30"/>
              <w:ind w:firstLine="0"/>
              <w:jc w:val="center"/>
            </w:pPr>
            <w:r>
              <w:rPr>
                <w:rFonts w:hint="eastAsia" w:ascii="Times New Roman" w:hAnsi="Times New Roman" w:eastAsia="宋体" w:cs="Times New Roman"/>
                <w:b w:val="0"/>
                <w:i w:val="0"/>
                <w:sz w:val="16"/>
              </w:rPr>
              <w:t>静默尾段6 s延长至12 s</w:t>
            </w:r>
          </w:p>
        </w:tc>
        <w:tc>
          <w:tcPr>
            <w:tcW w:w="436" w:type="dxa"/>
            <w:vAlign w:val="center"/>
          </w:tcPr>
          <w:p w14:paraId="63B5B49C">
            <w:pPr>
              <w:spacing w:before="30" w:after="30"/>
              <w:ind w:firstLine="0"/>
              <w:jc w:val="center"/>
            </w:pPr>
            <w:r>
              <w:rPr>
                <w:rFonts w:hint="eastAsia" w:ascii="Times New Roman" w:hAnsi="Times New Roman" w:eastAsia="宋体" w:cs="Times New Roman"/>
                <w:b w:val="0"/>
                <w:i w:val="0"/>
                <w:sz w:val="16"/>
              </w:rPr>
              <w:t>0.0</w:t>
            </w:r>
          </w:p>
        </w:tc>
        <w:tc>
          <w:tcPr>
            <w:tcW w:w="696" w:type="dxa"/>
            <w:vAlign w:val="center"/>
          </w:tcPr>
          <w:p w14:paraId="61A15BFB">
            <w:pPr>
              <w:spacing w:before="30" w:after="30"/>
              <w:ind w:firstLine="0"/>
              <w:jc w:val="center"/>
            </w:pPr>
            <w:r>
              <w:rPr>
                <w:rFonts w:hint="eastAsia" w:ascii="Times New Roman" w:hAnsi="Times New Roman" w:eastAsia="宋体" w:cs="Times New Roman"/>
                <w:b w:val="0"/>
                <w:i w:val="0"/>
                <w:sz w:val="16"/>
              </w:rPr>
              <w:t>+0.001</w:t>
            </w:r>
          </w:p>
        </w:tc>
        <w:tc>
          <w:tcPr>
            <w:tcW w:w="777" w:type="dxa"/>
            <w:vAlign w:val="center"/>
          </w:tcPr>
          <w:p w14:paraId="2E1DCEA9">
            <w:pPr>
              <w:spacing w:before="30" w:after="30"/>
              <w:ind w:firstLine="0"/>
              <w:jc w:val="center"/>
            </w:pPr>
            <w:r>
              <w:rPr>
                <w:rFonts w:hint="eastAsia" w:ascii="Times New Roman" w:hAnsi="Times New Roman" w:eastAsia="宋体" w:cs="Times New Roman"/>
                <w:b w:val="0"/>
                <w:i w:val="0"/>
                <w:sz w:val="16"/>
              </w:rPr>
              <w:t>0.000102</w:t>
            </w:r>
          </w:p>
        </w:tc>
        <w:tc>
          <w:tcPr>
            <w:tcW w:w="664" w:type="dxa"/>
            <w:vAlign w:val="center"/>
          </w:tcPr>
          <w:p w14:paraId="0713C4B5">
            <w:pPr>
              <w:spacing w:before="30" w:after="30"/>
              <w:ind w:firstLine="0"/>
              <w:jc w:val="center"/>
            </w:pPr>
            <w:r>
              <w:rPr>
                <w:rFonts w:hint="eastAsia" w:ascii="Times New Roman" w:hAnsi="Times New Roman" w:eastAsia="宋体" w:cs="Times New Roman"/>
                <w:b w:val="0"/>
                <w:i w:val="0"/>
                <w:sz w:val="16"/>
              </w:rPr>
              <w:t>0.000119</w:t>
            </w:r>
          </w:p>
        </w:tc>
        <w:tc>
          <w:tcPr>
            <w:tcW w:w="996" w:type="dxa"/>
            <w:vAlign w:val="center"/>
          </w:tcPr>
          <w:p w14:paraId="50E64855">
            <w:pPr>
              <w:spacing w:before="30" w:after="30"/>
              <w:ind w:firstLine="0"/>
              <w:jc w:val="center"/>
            </w:pPr>
            <w:r>
              <w:rPr>
                <w:rFonts w:hint="eastAsia" w:ascii="Times New Roman" w:hAnsi="Times New Roman" w:eastAsia="宋体" w:cs="Times New Roman"/>
                <w:b w:val="0"/>
                <w:i w:val="0"/>
                <w:sz w:val="16"/>
              </w:rPr>
              <w:t>0.006</w:t>
            </w:r>
          </w:p>
        </w:tc>
      </w:tr>
      <w:tr w14:paraId="362B7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4" w:type="dxa"/>
            <w:vAlign w:val="center"/>
          </w:tcPr>
          <w:p w14:paraId="5BCB33FE">
            <w:pPr>
              <w:spacing w:before="30" w:after="30"/>
              <w:ind w:firstLine="0"/>
              <w:jc w:val="center"/>
            </w:pPr>
            <w:r>
              <w:rPr>
                <w:rFonts w:hint="eastAsia" w:ascii="Times New Roman" w:hAnsi="Times New Roman" w:eastAsia="宋体" w:cs="Times New Roman"/>
                <w:b w:val="0"/>
                <w:i w:val="0"/>
                <w:sz w:val="16"/>
              </w:rPr>
              <w:t>V003</w:t>
            </w:r>
          </w:p>
        </w:tc>
        <w:tc>
          <w:tcPr>
            <w:tcW w:w="669" w:type="dxa"/>
            <w:vAlign w:val="center"/>
          </w:tcPr>
          <w:p w14:paraId="3FA36D63">
            <w:pPr>
              <w:spacing w:before="30" w:after="30"/>
              <w:ind w:firstLine="0"/>
              <w:jc w:val="center"/>
            </w:pPr>
            <w:r>
              <w:rPr>
                <w:rFonts w:hint="eastAsia" w:ascii="Times New Roman" w:hAnsi="Times New Roman" w:eastAsia="宋体" w:cs="Times New Roman"/>
                <w:b w:val="0"/>
                <w:i w:val="0"/>
                <w:sz w:val="16"/>
              </w:rPr>
              <w:t>左右侧向净空</w:t>
            </w:r>
            <m:oMath>
              <m:r>
                <m:rPr/>
                <m:t>1h</m:t>
              </m:r>
            </m:oMath>
            <w:r>
              <w:rPr>
                <w:rFonts w:hint="eastAsia" w:ascii="Times New Roman" w:hAnsi="Times New Roman" w:eastAsia="宋体" w:cs="Times New Roman"/>
                <w:b w:val="0"/>
                <w:i w:val="0"/>
                <w:sz w:val="16"/>
              </w:rPr>
              <w:t>扩大至</w:t>
            </w:r>
            <m:oMath>
              <m:r>
                <m:rPr/>
                <m:t>2h</m:t>
              </m:r>
            </m:oMath>
          </w:p>
        </w:tc>
        <w:tc>
          <w:tcPr>
            <w:tcW w:w="436" w:type="dxa"/>
            <w:vAlign w:val="center"/>
          </w:tcPr>
          <w:p w14:paraId="5356E8B9">
            <w:pPr>
              <w:spacing w:before="30" w:after="30"/>
              <w:ind w:firstLine="0"/>
              <w:jc w:val="center"/>
            </w:pPr>
            <w:r>
              <w:rPr>
                <w:rFonts w:hint="eastAsia" w:ascii="Times New Roman" w:hAnsi="Times New Roman" w:eastAsia="宋体" w:cs="Times New Roman"/>
                <w:b w:val="0"/>
                <w:i w:val="0"/>
                <w:sz w:val="16"/>
              </w:rPr>
              <w:t>0.1</w:t>
            </w:r>
          </w:p>
        </w:tc>
        <w:tc>
          <w:tcPr>
            <w:tcW w:w="696" w:type="dxa"/>
            <w:vAlign w:val="center"/>
          </w:tcPr>
          <w:p w14:paraId="4D9397F2">
            <w:pPr>
              <w:spacing w:before="30" w:after="30"/>
              <w:ind w:firstLine="0"/>
              <w:jc w:val="center"/>
            </w:pPr>
            <w:r>
              <w:rPr>
                <w:rFonts w:hint="eastAsia" w:ascii="Times New Roman" w:hAnsi="Times New Roman" w:eastAsia="宋体" w:cs="Times New Roman"/>
                <w:b w:val="0"/>
                <w:i w:val="0"/>
                <w:sz w:val="16"/>
              </w:rPr>
              <w:t>+1.508</w:t>
            </w:r>
          </w:p>
        </w:tc>
        <w:tc>
          <w:tcPr>
            <w:tcW w:w="777" w:type="dxa"/>
            <w:vAlign w:val="center"/>
          </w:tcPr>
          <w:p w14:paraId="76E0BAB4">
            <w:pPr>
              <w:spacing w:before="30" w:after="30"/>
              <w:ind w:firstLine="0"/>
              <w:jc w:val="center"/>
            </w:pPr>
            <w:r>
              <w:rPr>
                <w:rFonts w:hint="eastAsia" w:ascii="Times New Roman" w:hAnsi="Times New Roman" w:eastAsia="宋体" w:cs="Times New Roman"/>
                <w:b w:val="0"/>
                <w:i w:val="0"/>
                <w:sz w:val="16"/>
              </w:rPr>
              <w:t>0.1824</w:t>
            </w:r>
          </w:p>
        </w:tc>
        <w:tc>
          <w:tcPr>
            <w:tcW w:w="664" w:type="dxa"/>
            <w:vAlign w:val="center"/>
          </w:tcPr>
          <w:p w14:paraId="1290AFA7">
            <w:pPr>
              <w:spacing w:before="30" w:after="30"/>
              <w:ind w:firstLine="0"/>
              <w:jc w:val="center"/>
            </w:pPr>
            <w:r>
              <w:rPr>
                <w:rFonts w:hint="eastAsia" w:ascii="Times New Roman" w:hAnsi="Times New Roman" w:eastAsia="宋体" w:cs="Times New Roman"/>
                <w:b w:val="0"/>
                <w:i w:val="0"/>
                <w:sz w:val="16"/>
              </w:rPr>
              <w:t>0.2605</w:t>
            </w:r>
          </w:p>
        </w:tc>
        <w:tc>
          <w:tcPr>
            <w:tcW w:w="996" w:type="dxa"/>
            <w:vAlign w:val="center"/>
          </w:tcPr>
          <w:p w14:paraId="3CB1B43F">
            <w:pPr>
              <w:spacing w:before="30" w:after="30"/>
              <w:ind w:firstLine="0"/>
              <w:jc w:val="center"/>
            </w:pPr>
            <w:r>
              <w:rPr>
                <w:rFonts w:hint="eastAsia" w:ascii="Times New Roman" w:hAnsi="Times New Roman" w:eastAsia="宋体" w:cs="Times New Roman"/>
                <w:b w:val="0"/>
                <w:i w:val="0"/>
                <w:sz w:val="16"/>
              </w:rPr>
              <w:t>10.792</w:t>
            </w:r>
          </w:p>
        </w:tc>
      </w:tr>
      <w:tr w14:paraId="6FE6D9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84" w:type="dxa"/>
            <w:vAlign w:val="center"/>
          </w:tcPr>
          <w:p w14:paraId="57236956">
            <w:pPr>
              <w:spacing w:before="30" w:after="30"/>
              <w:ind w:firstLine="0"/>
              <w:jc w:val="center"/>
            </w:pPr>
            <w:r>
              <w:rPr>
                <w:rFonts w:hint="eastAsia" w:ascii="Times New Roman" w:hAnsi="Times New Roman" w:eastAsia="宋体" w:cs="Times New Roman"/>
                <w:b w:val="0"/>
                <w:i w:val="0"/>
                <w:sz w:val="16"/>
              </w:rPr>
              <w:t>V004</w:t>
            </w:r>
          </w:p>
        </w:tc>
        <w:tc>
          <w:tcPr>
            <w:tcW w:w="669" w:type="dxa"/>
            <w:vAlign w:val="center"/>
          </w:tcPr>
          <w:p w14:paraId="0A49DFD1">
            <w:pPr>
              <w:spacing w:before="30" w:after="30"/>
              <w:ind w:firstLine="0"/>
              <w:jc w:val="center"/>
            </w:pPr>
            <w:r>
              <w:rPr>
                <w:rFonts w:hint="eastAsia" w:ascii="Times New Roman" w:hAnsi="Times New Roman" w:eastAsia="宋体" w:cs="Times New Roman"/>
                <w:b w:val="0"/>
                <w:i w:val="0"/>
                <w:sz w:val="16"/>
              </w:rPr>
              <w:t>基底深度</w:t>
            </w:r>
            <m:oMath>
              <m:r>
                <m:rPr/>
                <m:t>3h</m:t>
              </m:r>
            </m:oMath>
            <w:r>
              <w:rPr>
                <w:rFonts w:hint="eastAsia" w:ascii="Times New Roman" w:hAnsi="Times New Roman" w:eastAsia="宋体" w:cs="Times New Roman"/>
                <w:b w:val="0"/>
                <w:i w:val="0"/>
                <w:sz w:val="16"/>
              </w:rPr>
              <w:t>加深至</w:t>
            </w:r>
            <m:oMath>
              <m:r>
                <m:rPr/>
                <m:t>6h</m:t>
              </m:r>
            </m:oMath>
          </w:p>
        </w:tc>
        <w:tc>
          <w:tcPr>
            <w:tcW w:w="436" w:type="dxa"/>
            <w:vAlign w:val="center"/>
          </w:tcPr>
          <w:p w14:paraId="1C2AF4CE">
            <w:pPr>
              <w:spacing w:before="30" w:after="30"/>
              <w:ind w:firstLine="0"/>
              <w:jc w:val="center"/>
            </w:pPr>
            <w:r>
              <w:rPr>
                <w:rFonts w:hint="eastAsia" w:ascii="Times New Roman" w:hAnsi="Times New Roman" w:eastAsia="宋体" w:cs="Times New Roman"/>
                <w:b w:val="0"/>
                <w:i w:val="0"/>
                <w:sz w:val="16"/>
              </w:rPr>
              <w:t>0.0</w:t>
            </w:r>
          </w:p>
        </w:tc>
        <w:tc>
          <w:tcPr>
            <w:tcW w:w="696" w:type="dxa"/>
            <w:vAlign w:val="center"/>
          </w:tcPr>
          <w:p w14:paraId="53E80E32">
            <w:pPr>
              <w:spacing w:before="30" w:after="30"/>
              <w:ind w:firstLine="0"/>
              <w:jc w:val="center"/>
            </w:pPr>
            <w:r>
              <w:rPr>
                <w:rFonts w:hint="eastAsia" w:ascii="Times New Roman" w:hAnsi="Times New Roman" w:eastAsia="宋体" w:cs="Times New Roman"/>
                <w:b w:val="0"/>
                <w:i w:val="0"/>
                <w:sz w:val="16"/>
              </w:rPr>
              <w:t>+0.891</w:t>
            </w:r>
          </w:p>
        </w:tc>
        <w:tc>
          <w:tcPr>
            <w:tcW w:w="777" w:type="dxa"/>
            <w:vAlign w:val="center"/>
          </w:tcPr>
          <w:p w14:paraId="21FA153A">
            <w:pPr>
              <w:spacing w:before="30" w:after="30"/>
              <w:ind w:firstLine="0"/>
              <w:jc w:val="center"/>
            </w:pPr>
            <w:r>
              <w:rPr>
                <w:rFonts w:hint="eastAsia" w:ascii="Times New Roman" w:hAnsi="Times New Roman" w:eastAsia="宋体" w:cs="Times New Roman"/>
                <w:b w:val="0"/>
                <w:i w:val="0"/>
                <w:sz w:val="16"/>
              </w:rPr>
              <w:t>0.0324</w:t>
            </w:r>
          </w:p>
        </w:tc>
        <w:tc>
          <w:tcPr>
            <w:tcW w:w="664" w:type="dxa"/>
            <w:vAlign w:val="center"/>
          </w:tcPr>
          <w:p w14:paraId="78B04350">
            <w:pPr>
              <w:spacing w:before="30" w:after="30"/>
              <w:ind w:firstLine="0"/>
              <w:jc w:val="center"/>
            </w:pPr>
            <w:r>
              <w:rPr>
                <w:rFonts w:hint="eastAsia" w:ascii="Times New Roman" w:hAnsi="Times New Roman" w:eastAsia="宋体" w:cs="Times New Roman"/>
                <w:b w:val="0"/>
                <w:i w:val="0"/>
                <w:sz w:val="16"/>
              </w:rPr>
              <w:t>0.0490</w:t>
            </w:r>
          </w:p>
        </w:tc>
        <w:tc>
          <w:tcPr>
            <w:tcW w:w="996" w:type="dxa"/>
            <w:vAlign w:val="center"/>
          </w:tcPr>
          <w:p w14:paraId="731428EC">
            <w:pPr>
              <w:spacing w:before="30" w:after="30"/>
              <w:ind w:firstLine="0"/>
              <w:jc w:val="center"/>
            </w:pPr>
            <w:r>
              <w:rPr>
                <w:rFonts w:hint="eastAsia" w:ascii="Times New Roman" w:hAnsi="Times New Roman" w:eastAsia="宋体" w:cs="Times New Roman"/>
                <w:b w:val="0"/>
                <w:i w:val="0"/>
                <w:sz w:val="16"/>
              </w:rPr>
              <w:t>2.408</w:t>
            </w:r>
          </w:p>
        </w:tc>
      </w:tr>
    </w:tbl>
    <w:p w14:paraId="26E9321C">
      <w:pPr>
        <w:spacing w:before="0" w:after="0"/>
        <w:ind w:firstLine="420"/>
        <w:jc w:val="both"/>
      </w:pPr>
      <w:r>
        <w:rPr>
          <w:rFonts w:hint="eastAsia" w:ascii="Times New Roman" w:hAnsi="Times New Roman" w:eastAsia="宋体" w:cs="Times New Roman"/>
          <w:b w:val="0"/>
          <w:i w:val="0"/>
          <w:sz w:val="21"/>
        </w:rPr>
        <w:t>注：坡顶主峰频率误差和坡面中部峰值变化分别以0.2 Hz和5%为参考；V003的复场与相位指标扣除了水平坐标平移产生的0.0129 s理论传播时差，峰频和峰值指标未作修正。</w:t>
      </w:r>
    </w:p>
    <w:p w14:paraId="3BD2F941">
      <w:pPr>
        <w:spacing w:before="0" w:after="0"/>
        <w:ind w:firstLine="420"/>
        <w:jc w:val="both"/>
      </w:pPr>
      <w:r>
        <w:rPr>
          <w:rFonts w:hint="eastAsia" w:ascii="Times New Roman" w:hAnsi="Times New Roman" w:eastAsia="宋体" w:cs="Times New Roman"/>
          <w:b w:val="0"/>
          <w:i w:val="0"/>
          <w:sz w:val="21"/>
        </w:rPr>
        <w:t>表1显示，4个扰动工况的坡顶主峰频率误差均不超过0.1 Hz，坡面中部</w:t>
      </w:r>
      <m:oMath>
        <m:r>
          <m:rPr/>
          <m:t>s</m:t>
        </m:r>
        <m:r>
          <m:rPr>
            <m:sty m:val="p"/>
          </m:rPr>
          <m:t>=</m:t>
        </m:r>
        <m:r>
          <m:rPr/>
          <m:t>0.5</m:t>
        </m:r>
      </m:oMath>
      <w:r>
        <w:rPr>
          <w:rFonts w:hint="eastAsia" w:ascii="Times New Roman" w:hAnsi="Times New Roman" w:eastAsia="宋体" w:cs="Times New Roman"/>
          <w:b w:val="0"/>
          <w:i w:val="0"/>
          <w:sz w:val="21"/>
        </w:rPr>
        <w:t>处的峰值变化不超过1.51%；其中网格加密和尾段延长后的结果与标准工况最为接近。计算域变化对完整复场和局部极值的影响相对较大：V003的加权复场误差为0.2605，圆周相位RMSE为10.792°，差异主要集中于远平台；V004的坡顶局部峰值由2.015降至1.868，变化约7.3%。因此，这组对比仅说明标准设置下坡顶峰频和坡面中部峰值等代表性指标较为稳定，不能据此认为完整频率—空间复场已经收敛，也不能替代其余参数组合的计算域检查。</w:t>
      </w:r>
    </w:p>
    <w:p w14:paraId="6C12EEE8">
      <w:pPr>
        <w:spacing w:before="0" w:after="0"/>
        <w:ind w:firstLine="420"/>
        <w:jc w:val="both"/>
      </w:pPr>
      <w:r>
        <w:rPr>
          <w:rFonts w:hint="eastAsia" w:ascii="Times New Roman" w:hAnsi="Times New Roman" w:eastAsia="宋体" w:cs="Times New Roman"/>
          <w:b w:val="0"/>
          <w:i w:val="0"/>
          <w:sz w:val="21"/>
        </w:rPr>
        <w:t>另采用SPECFEM2D</w:t>
      </w:r>
      <w:r>
        <w:rPr>
          <w:rFonts w:hint="eastAsia" w:ascii="Times New Roman" w:hAnsi="Times New Roman" w:eastAsia="宋体" w:cs="Times New Roman"/>
          <w:b w:val="0"/>
          <w:i w:val="0"/>
          <w:sz w:val="21"/>
          <w:vertAlign w:val="superscript"/>
        </w:rPr>
        <w:t>[34]</w:t>
      </w:r>
      <w:r>
        <w:rPr>
          <w:rFonts w:hint="eastAsia" w:ascii="Times New Roman" w:hAnsi="Times New Roman" w:eastAsia="宋体" w:cs="Times New Roman"/>
          <w:b w:val="0"/>
          <w:i w:val="0"/>
          <w:sz w:val="21"/>
        </w:rPr>
        <w:t>计算60°均质坡H004和同坡角软厚成层坡P061，输入统一采用4 Hz Ricker脉冲。图2给出了Abaqus与SPECFEM2D计算的地表水平、竖向PGA空间曲线，归一化均方根误差（NRMSE）和峰位差见表2。</w:t>
      </w:r>
    </w:p>
    <w:p w14:paraId="5254977E">
      <w:pPr>
        <w:spacing w:before="80" w:after="40"/>
        <w:ind w:firstLine="0"/>
        <w:jc w:val="center"/>
      </w:pPr>
      <w:r>
        <w:drawing>
          <wp:inline distT="0" distB="0" distL="114300" distR="114300">
            <wp:extent cx="2880360" cy="2193290"/>
            <wp:effectExtent l="0" t="0" r="15240" b="16510"/>
            <wp:docPr id="2" name="Picture 2" descr="C:/Users/12462/Documents/Code/AbqScripts/docs/论文材料/小论文中文初稿/images/fig02_Abaqus与SPECFEM2D跨软件验证.pngfig02_Abaqus与SPECFEM2D跨软件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12462/Documents/Code/AbqScripts/docs/论文材料/小论文中文初稿/images/fig02_Abaqus与SPECFEM2D跨软件验证.pngfig02_Abaqus与SPECFEM2D跨软件验证"/>
                    <pic:cNvPicPr>
                      <a:picLocks noChangeAspect="1"/>
                    </pic:cNvPicPr>
                  </pic:nvPicPr>
                  <pic:blipFill>
                    <a:blip r:embed="rId7"/>
                    <a:srcRect t="11" b="11"/>
                    <a:stretch>
                      <a:fillRect/>
                    </a:stretch>
                  </pic:blipFill>
                  <pic:spPr>
                    <a:xfrm>
                      <a:off x="0" y="0"/>
                      <a:ext cx="2880360" cy="2193385"/>
                    </a:xfrm>
                    <a:prstGeom prst="rect">
                      <a:avLst/>
                    </a:prstGeom>
                  </pic:spPr>
                </pic:pic>
              </a:graphicData>
            </a:graphic>
          </wp:inline>
        </w:drawing>
      </w:r>
    </w:p>
    <w:p w14:paraId="5E3F4B12">
      <w:pPr>
        <w:spacing w:before="0" w:after="0"/>
        <w:ind w:firstLine="420"/>
        <w:jc w:val="both"/>
      </w:pPr>
      <w:r>
        <w:rPr>
          <w:rFonts w:hint="eastAsia" w:ascii="Times New Roman" w:hAnsi="Times New Roman" w:eastAsia="宋体" w:cs="Times New Roman"/>
          <w:b w:val="0"/>
          <w:i w:val="0"/>
          <w:sz w:val="21"/>
        </w:rPr>
        <w:t>图2 Abaqus与SPECFEM2D地表PGA对比</w:t>
      </w:r>
    </w:p>
    <w:p w14:paraId="56FEEE14">
      <w:pPr>
        <w:spacing w:before="0" w:after="0"/>
        <w:ind w:firstLine="420"/>
        <w:jc w:val="both"/>
      </w:pPr>
      <w:r>
        <w:rPr>
          <w:rFonts w:hint="eastAsia" w:ascii="Times New Roman" w:hAnsi="Times New Roman" w:eastAsia="宋体" w:cs="Times New Roman"/>
          <w:b w:val="0"/>
          <w:i w:val="0"/>
          <w:sz w:val="21"/>
        </w:rPr>
        <w:t>Fig. 2 Cross-software comparison of surface PGA</w:t>
      </w:r>
    </w:p>
    <w:p w14:paraId="1255FAE6">
      <w:pPr>
        <w:spacing w:before="0" w:after="0"/>
        <w:ind w:firstLine="420"/>
        <w:jc w:val="both"/>
      </w:pPr>
      <w:r>
        <w:rPr>
          <w:rFonts w:hint="eastAsia" w:ascii="Times New Roman" w:hAnsi="Times New Roman" w:eastAsia="宋体" w:cs="Times New Roman"/>
          <w:b w:val="0"/>
          <w:i w:val="0"/>
          <w:sz w:val="21"/>
        </w:rPr>
        <w:t>表2 跨软件比较结果</w:t>
      </w:r>
    </w:p>
    <w:p w14:paraId="1B72D2DA">
      <w:pPr>
        <w:spacing w:before="0" w:after="0"/>
        <w:ind w:firstLine="420"/>
        <w:jc w:val="both"/>
      </w:pPr>
      <w:r>
        <w:rPr>
          <w:rFonts w:hint="eastAsia" w:ascii="Times New Roman" w:hAnsi="Times New Roman" w:eastAsia="宋体" w:cs="Times New Roman"/>
          <w:b w:val="0"/>
          <w:i w:val="0"/>
          <w:sz w:val="21"/>
        </w:rPr>
        <w:t>Table 2 Cross-software comparison</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8"/>
        <w:gridCol w:w="1247"/>
        <w:gridCol w:w="1247"/>
        <w:gridCol w:w="1270"/>
      </w:tblGrid>
      <w:tr w14:paraId="276D59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6" w:space="0"/>
            </w:tcBorders>
            <w:vAlign w:val="center"/>
          </w:tcPr>
          <w:p w14:paraId="1BCC798A">
            <w:pPr>
              <w:spacing w:before="30" w:after="30"/>
              <w:ind w:firstLine="0"/>
              <w:jc w:val="center"/>
            </w:pPr>
            <w:r>
              <w:rPr>
                <w:rFonts w:hint="eastAsia" w:ascii="Times New Roman" w:hAnsi="Times New Roman" w:eastAsia="宋体" w:cs="Times New Roman"/>
                <w:b/>
                <w:i w:val="0"/>
                <w:sz w:val="18"/>
              </w:rPr>
              <w:t>比较</w:t>
            </w:r>
          </w:p>
        </w:tc>
        <w:tc>
          <w:tcPr>
            <w:tcW w:w="2409" w:type="dxa"/>
            <w:tcBorders>
              <w:bottom w:val="single" w:color="auto" w:sz="6" w:space="0"/>
            </w:tcBorders>
            <w:vAlign w:val="center"/>
          </w:tcPr>
          <w:p w14:paraId="46D9D2E3">
            <w:pPr>
              <w:spacing w:before="30" w:after="30"/>
              <w:ind w:firstLine="0"/>
              <w:jc w:val="center"/>
            </w:pPr>
            <w:r>
              <w:rPr>
                <w:rFonts w:hint="eastAsia" w:ascii="Times New Roman" w:hAnsi="Times New Roman" w:eastAsia="宋体" w:cs="Times New Roman"/>
                <w:b/>
                <w:i w:val="0"/>
                <w:sz w:val="18"/>
              </w:rPr>
              <w:t>水平NRMSE</w:t>
            </w:r>
          </w:p>
        </w:tc>
        <w:tc>
          <w:tcPr>
            <w:tcW w:w="2409" w:type="dxa"/>
            <w:tcBorders>
              <w:bottom w:val="single" w:color="auto" w:sz="6" w:space="0"/>
            </w:tcBorders>
            <w:vAlign w:val="center"/>
          </w:tcPr>
          <w:p w14:paraId="01618978">
            <w:pPr>
              <w:spacing w:before="30" w:after="30"/>
              <w:ind w:firstLine="0"/>
              <w:jc w:val="center"/>
            </w:pPr>
            <w:r>
              <w:rPr>
                <w:rFonts w:hint="eastAsia" w:ascii="Times New Roman" w:hAnsi="Times New Roman" w:eastAsia="宋体" w:cs="Times New Roman"/>
                <w:b/>
                <w:i w:val="0"/>
                <w:sz w:val="18"/>
              </w:rPr>
              <w:t>竖向NRMSE</w:t>
            </w:r>
          </w:p>
        </w:tc>
        <w:tc>
          <w:tcPr>
            <w:tcW w:w="2409" w:type="dxa"/>
            <w:tcBorders>
              <w:bottom w:val="single" w:color="auto" w:sz="6" w:space="0"/>
            </w:tcBorders>
            <w:vAlign w:val="center"/>
          </w:tcPr>
          <w:p w14:paraId="2C3904C8">
            <w:pPr>
              <w:spacing w:before="30" w:after="30"/>
              <w:ind w:firstLine="0"/>
              <w:jc w:val="center"/>
            </w:pPr>
            <w:r>
              <w:rPr>
                <w:rFonts w:hint="eastAsia" w:ascii="Times New Roman" w:hAnsi="Times New Roman" w:eastAsia="宋体" w:cs="Times New Roman"/>
                <w:b/>
                <w:i w:val="0"/>
                <w:sz w:val="18"/>
              </w:rPr>
              <w:t>水平/竖向峰位差</w:t>
            </w:r>
          </w:p>
        </w:tc>
      </w:tr>
      <w:tr w14:paraId="5D2842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45AC6D65">
            <w:pPr>
              <w:spacing w:before="30" w:after="30"/>
              <w:ind w:firstLine="0"/>
              <w:jc w:val="center"/>
            </w:pPr>
            <w:r>
              <w:rPr>
                <w:rFonts w:hint="eastAsia" w:ascii="Times New Roman" w:hAnsi="Times New Roman" w:eastAsia="宋体" w:cs="Times New Roman"/>
                <w:b w:val="0"/>
                <w:i w:val="0"/>
                <w:sz w:val="18"/>
              </w:rPr>
              <w:t>H004标准网格</w:t>
            </w:r>
          </w:p>
        </w:tc>
        <w:tc>
          <w:tcPr>
            <w:tcW w:w="2409" w:type="dxa"/>
            <w:vAlign w:val="center"/>
          </w:tcPr>
          <w:p w14:paraId="4B76B613">
            <w:pPr>
              <w:spacing w:before="30" w:after="30"/>
              <w:ind w:firstLine="0"/>
              <w:jc w:val="center"/>
            </w:pPr>
            <w:r>
              <w:rPr>
                <w:rFonts w:hint="eastAsia" w:ascii="Times New Roman" w:hAnsi="Times New Roman" w:eastAsia="宋体" w:cs="Times New Roman"/>
                <w:b w:val="0"/>
                <w:i w:val="0"/>
                <w:sz w:val="18"/>
              </w:rPr>
              <w:t>5.63%</w:t>
            </w:r>
          </w:p>
        </w:tc>
        <w:tc>
          <w:tcPr>
            <w:tcW w:w="2409" w:type="dxa"/>
            <w:vAlign w:val="center"/>
          </w:tcPr>
          <w:p w14:paraId="22D3C57B">
            <w:pPr>
              <w:spacing w:before="30" w:after="30"/>
              <w:ind w:firstLine="0"/>
              <w:jc w:val="center"/>
            </w:pPr>
            <w:r>
              <w:rPr>
                <w:rFonts w:hint="eastAsia" w:ascii="Times New Roman" w:hAnsi="Times New Roman" w:eastAsia="宋体" w:cs="Times New Roman"/>
                <w:b w:val="0"/>
                <w:i w:val="0"/>
                <w:sz w:val="18"/>
              </w:rPr>
              <w:t>7.27%</w:t>
            </w:r>
          </w:p>
        </w:tc>
        <w:tc>
          <w:tcPr>
            <w:tcW w:w="2409" w:type="dxa"/>
            <w:vAlign w:val="center"/>
          </w:tcPr>
          <w:p w14:paraId="02367835">
            <w:pPr>
              <w:spacing w:before="30" w:after="30"/>
              <w:ind w:firstLine="0"/>
              <w:jc w:val="center"/>
            </w:pPr>
            <w:r>
              <w:rPr>
                <w:rFonts w:hint="eastAsia" w:ascii="Times New Roman" w:hAnsi="Times New Roman" w:eastAsia="宋体" w:cs="Times New Roman"/>
                <w:b w:val="0"/>
                <w:i w:val="0"/>
                <w:sz w:val="18"/>
              </w:rPr>
              <w:t>0.02/0.07</w:t>
            </w:r>
          </w:p>
        </w:tc>
      </w:tr>
      <w:tr w14:paraId="62C684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59E83ECE">
            <w:pPr>
              <w:spacing w:before="30" w:after="30"/>
              <w:ind w:firstLine="0"/>
              <w:jc w:val="center"/>
            </w:pPr>
            <w:r>
              <w:rPr>
                <w:rFonts w:hint="eastAsia" w:ascii="Times New Roman" w:hAnsi="Times New Roman" w:eastAsia="宋体" w:cs="Times New Roman"/>
                <w:b w:val="0"/>
                <w:i w:val="0"/>
                <w:sz w:val="18"/>
              </w:rPr>
              <w:t>P061标准网格</w:t>
            </w:r>
          </w:p>
        </w:tc>
        <w:tc>
          <w:tcPr>
            <w:tcW w:w="2409" w:type="dxa"/>
            <w:vAlign w:val="center"/>
          </w:tcPr>
          <w:p w14:paraId="33C0FD5C">
            <w:pPr>
              <w:spacing w:before="30" w:after="30"/>
              <w:ind w:firstLine="0"/>
              <w:jc w:val="center"/>
            </w:pPr>
            <w:r>
              <w:rPr>
                <w:rFonts w:hint="eastAsia" w:ascii="Times New Roman" w:hAnsi="Times New Roman" w:eastAsia="宋体" w:cs="Times New Roman"/>
                <w:b w:val="0"/>
                <w:i w:val="0"/>
                <w:sz w:val="18"/>
              </w:rPr>
              <w:t>3.62%</w:t>
            </w:r>
          </w:p>
        </w:tc>
        <w:tc>
          <w:tcPr>
            <w:tcW w:w="2409" w:type="dxa"/>
            <w:vAlign w:val="center"/>
          </w:tcPr>
          <w:p w14:paraId="74EA7346">
            <w:pPr>
              <w:spacing w:before="30" w:after="30"/>
              <w:ind w:firstLine="0"/>
              <w:jc w:val="center"/>
            </w:pPr>
            <w:r>
              <w:rPr>
                <w:rFonts w:hint="eastAsia" w:ascii="Times New Roman" w:hAnsi="Times New Roman" w:eastAsia="宋体" w:cs="Times New Roman"/>
                <w:b w:val="0"/>
                <w:i w:val="0"/>
                <w:sz w:val="18"/>
              </w:rPr>
              <w:t>10.17%</w:t>
            </w:r>
          </w:p>
        </w:tc>
        <w:tc>
          <w:tcPr>
            <w:tcW w:w="2409" w:type="dxa"/>
            <w:vAlign w:val="center"/>
          </w:tcPr>
          <w:p w14:paraId="03690551">
            <w:pPr>
              <w:spacing w:before="30" w:after="30"/>
              <w:ind w:firstLine="0"/>
              <w:jc w:val="center"/>
            </w:pPr>
            <w:r>
              <w:rPr>
                <w:rFonts w:hint="eastAsia" w:ascii="Times New Roman" w:hAnsi="Times New Roman" w:eastAsia="宋体" w:cs="Times New Roman"/>
                <w:b w:val="0"/>
                <w:i w:val="0"/>
                <w:sz w:val="18"/>
              </w:rPr>
              <w:t>0.06/0.05</w:t>
            </w:r>
          </w:p>
        </w:tc>
      </w:tr>
      <w:tr w14:paraId="71B2FC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27D8D487">
            <w:pPr>
              <w:spacing w:before="30" w:after="30"/>
              <w:ind w:firstLine="0"/>
              <w:jc w:val="center"/>
            </w:pPr>
            <w:r>
              <w:rPr>
                <w:rFonts w:hint="eastAsia" w:ascii="Times New Roman" w:hAnsi="Times New Roman" w:eastAsia="宋体" w:cs="Times New Roman"/>
                <w:b w:val="0"/>
                <w:i w:val="0"/>
                <w:sz w:val="18"/>
              </w:rPr>
              <w:t>P061加密谱元网格</w:t>
            </w:r>
          </w:p>
        </w:tc>
        <w:tc>
          <w:tcPr>
            <w:tcW w:w="2409" w:type="dxa"/>
            <w:vAlign w:val="center"/>
          </w:tcPr>
          <w:p w14:paraId="4305C8B7">
            <w:pPr>
              <w:spacing w:before="30" w:after="30"/>
              <w:ind w:firstLine="0"/>
              <w:jc w:val="center"/>
            </w:pPr>
            <w:r>
              <w:rPr>
                <w:rFonts w:hint="eastAsia" w:ascii="Times New Roman" w:hAnsi="Times New Roman" w:eastAsia="宋体" w:cs="Times New Roman"/>
                <w:b w:val="0"/>
                <w:i w:val="0"/>
                <w:sz w:val="18"/>
              </w:rPr>
              <w:t>4.85%</w:t>
            </w:r>
          </w:p>
        </w:tc>
        <w:tc>
          <w:tcPr>
            <w:tcW w:w="2409" w:type="dxa"/>
            <w:vAlign w:val="center"/>
          </w:tcPr>
          <w:p w14:paraId="2CA95097">
            <w:pPr>
              <w:spacing w:before="30" w:after="30"/>
              <w:ind w:firstLine="0"/>
              <w:jc w:val="center"/>
            </w:pPr>
            <w:r>
              <w:rPr>
                <w:rFonts w:hint="eastAsia" w:ascii="Times New Roman" w:hAnsi="Times New Roman" w:eastAsia="宋体" w:cs="Times New Roman"/>
                <w:b w:val="0"/>
                <w:i w:val="0"/>
                <w:sz w:val="18"/>
              </w:rPr>
              <w:t>11.75%</w:t>
            </w:r>
          </w:p>
        </w:tc>
        <w:tc>
          <w:tcPr>
            <w:tcW w:w="2409" w:type="dxa"/>
            <w:vAlign w:val="center"/>
          </w:tcPr>
          <w:p w14:paraId="305822A0">
            <w:pPr>
              <w:spacing w:before="30" w:after="30"/>
              <w:ind w:firstLine="0"/>
              <w:jc w:val="center"/>
            </w:pPr>
            <w:r>
              <w:rPr>
                <w:rFonts w:hint="eastAsia" w:ascii="Times New Roman" w:hAnsi="Times New Roman" w:eastAsia="宋体" w:cs="Times New Roman"/>
                <w:b w:val="0"/>
                <w:i w:val="0"/>
                <w:sz w:val="18"/>
              </w:rPr>
              <w:t>0.03/0.04</w:t>
            </w:r>
          </w:p>
        </w:tc>
      </w:tr>
    </w:tbl>
    <w:p w14:paraId="32BCEDF5">
      <w:pPr>
        <w:spacing w:before="0" w:after="0"/>
        <w:ind w:firstLine="420"/>
        <w:jc w:val="both"/>
      </w:pPr>
      <w:r>
        <w:rPr>
          <w:rFonts w:hint="eastAsia" w:ascii="Times New Roman" w:hAnsi="Times New Roman" w:eastAsia="宋体" w:cs="Times New Roman"/>
          <w:b w:val="0"/>
          <w:i w:val="0"/>
          <w:sz w:val="21"/>
        </w:rPr>
        <w:t>由图2可见，两种方法得到的PGA沿地表变化趋势及主要峰位基本一致。表2显示，3组水平NRMSE均低于10%，竖向NRMSE均低于15%，水平和竖向峰位差均不超过0.10。P061采用加密谱元网格后与Abaqus的差异未进一步减小，说明剩余偏差还可能与时间推进、阻尼和吸收边界的实现方式有关。上述比较仅表明H004和P061在Ricker波有效频带内的PGA主要分布特征基本一致，尚未覆盖其余参数组合和完整复频响。</w:t>
      </w:r>
    </w:p>
    <w:p w14:paraId="5367C919">
      <w:pPr>
        <w:spacing w:before="312" w:after="60"/>
        <w:ind w:firstLine="0"/>
        <w:jc w:val="left"/>
      </w:pPr>
      <w:r>
        <w:rPr>
          <w:rFonts w:hint="eastAsia" w:ascii="Times New Roman" w:hAnsi="Times New Roman" w:eastAsia="宋体" w:cs="Times New Roman"/>
          <w:b/>
          <w:i w:val="0"/>
          <w:sz w:val="28"/>
        </w:rPr>
        <w:t>3 复频响函数与参数影响规律</w:t>
      </w:r>
    </w:p>
    <w:p w14:paraId="52ECA1BE">
      <w:pPr>
        <w:spacing w:before="156" w:after="40"/>
        <w:ind w:firstLine="0"/>
        <w:jc w:val="left"/>
      </w:pPr>
      <w:r>
        <w:rPr>
          <w:rFonts w:hint="eastAsia" w:ascii="Times New Roman" w:hAnsi="Times New Roman" w:eastAsia="宋体" w:cs="Times New Roman"/>
          <w:b/>
          <w:i w:val="0"/>
          <w:sz w:val="24"/>
        </w:rPr>
        <w:t>3.1 复频响定义与总体特征</w:t>
      </w:r>
    </w:p>
    <w:p w14:paraId="6B93551D">
      <w:pPr>
        <w:spacing w:before="0" w:after="0"/>
        <w:ind w:firstLine="420"/>
        <w:jc w:val="both"/>
      </w:pPr>
      <w:r>
        <w:rPr>
          <w:rFonts w:hint="eastAsia" w:ascii="Times New Roman" w:hAnsi="Times New Roman" w:eastAsia="宋体" w:cs="Times New Roman"/>
          <w:b w:val="0"/>
          <w:i w:val="0"/>
          <w:sz w:val="21"/>
        </w:rPr>
        <w:t>为了同时描述地表响应的幅值和相位，将宽频输入与输出进行傅里叶变换，并以左侧上平台一维自由场作为全地表统一参考。该参考只用于二维结果的后处理归一化，不改变有限元模型求解。地表水平复频响函数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BE4B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21A8B18E">
            <w:pPr>
              <w:spacing w:before="60" w:after="60"/>
              <w:jc w:val="center"/>
            </w:pPr>
            <m:oMathPara>
              <m:oMath>
                <m:sSub>
                  <m:sSubPr/>
                  <m:e>
                    <m:r>
                      <m:rPr/>
                      <m:t>G</m:t>
                    </m:r>
                  </m:e>
                  <m:sub>
                    <m:r>
                      <m:rPr/>
                      <m:t>h</m:t>
                    </m:r>
                  </m:sub>
                </m:sSub>
                <m:r>
                  <m:rPr>
                    <m:sty m:val="p"/>
                  </m:rPr>
                  <m:t>(</m:t>
                </m:r>
                <m:r>
                  <m:rPr/>
                  <m:t>f</m:t>
                </m:r>
                <m:r>
                  <m:rPr>
                    <m:sty m:val="p"/>
                  </m:rPr>
                  <m:t>,</m:t>
                </m:r>
                <m:r>
                  <m:rPr/>
                  <m:t>s</m:t>
                </m:r>
                <m:r>
                  <m:rPr>
                    <m:sty m:val="p"/>
                  </m:rPr>
                  <m:t>)=</m:t>
                </m:r>
                <m:f>
                  <m:fPr/>
                  <m:num>
                    <m:sSubSup>
                      <m:sSubSupPr/>
                      <m:e>
                        <m:acc>
                          <m:accPr/>
                          <m:e>
                            <m:r>
                              <m:rPr/>
                              <m:t>a</m:t>
                            </m:r>
                          </m:e>
                        </m:acc>
                      </m:e>
                      <m:sub>
                        <m:r>
                          <m:rPr/>
                          <m:t>h</m:t>
                        </m:r>
                      </m:sub>
                      <m:sup>
                        <m:r>
                          <m:rPr>
                            <m:sty m:val="p"/>
                          </m:rPr>
                          <m:t>2D</m:t>
                        </m:r>
                      </m:sup>
                    </m:sSubSup>
                    <m:r>
                      <m:rPr>
                        <m:sty m:val="p"/>
                      </m:rPr>
                      <m:t>(</m:t>
                    </m:r>
                    <m:r>
                      <m:rPr/>
                      <m:t>f</m:t>
                    </m:r>
                    <m:r>
                      <m:rPr>
                        <m:sty m:val="p"/>
                      </m:rPr>
                      <m:t>,</m:t>
                    </m:r>
                    <m:r>
                      <m:rPr/>
                      <m:t>s</m:t>
                    </m:r>
                    <m:r>
                      <m:rPr>
                        <m:sty m:val="p"/>
                      </m:rPr>
                      <m:t>)</m:t>
                    </m:r>
                  </m:num>
                  <m:den>
                    <m:sSubSup>
                      <m:sSubSupPr/>
                      <m:e>
                        <m:acc>
                          <m:accPr/>
                          <m:e>
                            <m:r>
                              <m:rPr/>
                              <m:t>a</m:t>
                            </m:r>
                          </m:e>
                        </m:acc>
                      </m:e>
                      <m:sub>
                        <m:r>
                          <m:rPr/>
                          <m:t>h</m:t>
                        </m:r>
                        <m:r>
                          <m:rPr>
                            <m:sty m:val="p"/>
                          </m:rPr>
                          <m:t>,left</m:t>
                        </m:r>
                      </m:sub>
                      <m:sup>
                        <m:r>
                          <m:rPr>
                            <m:sty m:val="p"/>
                          </m:rPr>
                          <m:t>1D</m:t>
                        </m:r>
                      </m:sup>
                    </m:sSubSup>
                    <m:r>
                      <m:rPr>
                        <m:sty m:val="p"/>
                      </m:rPr>
                      <m:t>(</m:t>
                    </m:r>
                    <m:r>
                      <m:rPr/>
                      <m:t>f</m:t>
                    </m:r>
                    <m:r>
                      <m:rPr>
                        <m:sty m:val="p"/>
                      </m:rPr>
                      <m:t>)</m:t>
                    </m:r>
                  </m:den>
                </m:f>
                <m:r>
                  <m:rPr>
                    <m:sty m:val="p"/>
                  </m:rPr>
                  <m:t>,</m:t>
                </m:r>
                <m:r>
                  <m:rPr/>
                  <m:t>  </m:t>
                </m:r>
                <m:sSub>
                  <m:sSubPr/>
                  <m:e>
                    <m:r>
                      <m:rPr/>
                      <m:t>A</m:t>
                    </m:r>
                  </m:e>
                  <m:sub>
                    <m:r>
                      <m:rPr/>
                      <m:t>h</m:t>
                    </m:r>
                  </m:sub>
                </m:sSub>
                <m:r>
                  <m:rPr>
                    <m:sty m:val="p"/>
                  </m:rPr>
                  <m:t>=|</m:t>
                </m:r>
                <m:sSub>
                  <m:sSubPr/>
                  <m:e>
                    <m:r>
                      <m:rPr/>
                      <m:t>G</m:t>
                    </m:r>
                  </m:e>
                  <m:sub>
                    <m:r>
                      <m:rPr/>
                      <m:t>h</m:t>
                    </m:r>
                  </m:sub>
                </m:sSub>
                <m:r>
                  <m:rPr>
                    <m:sty m:val="p"/>
                  </m:rPr>
                  <m:t>|,</m:t>
                </m:r>
                <m:r>
                  <m:rPr/>
                  <m:t> </m:t>
                </m:r>
                <m:sSub>
                  <m:sSubPr/>
                  <m:e>
                    <m:r>
                      <m:rPr>
                        <m:sty m:val="p"/>
                      </m:rPr>
                      <m:t>Φ</m:t>
                    </m:r>
                  </m:e>
                  <m:sub>
                    <m:r>
                      <m:rPr/>
                      <m:t>h</m:t>
                    </m:r>
                  </m:sub>
                </m:sSub>
                <m:r>
                  <m:rPr>
                    <m:sty m:val="p"/>
                  </m:rPr>
                  <m:t>=</m:t>
                </m:r>
                <m:sSub>
                  <m:sSubPr/>
                  <m:e>
                    <m:r>
                      <m:rPr>
                        <m:sty m:val="p"/>
                      </m:rPr>
                      <m:t>unwrap</m:t>
                    </m:r>
                  </m:e>
                  <m:sub>
                    <m:r>
                      <m:rPr/>
                      <m:t>f</m:t>
                    </m:r>
                  </m:sub>
                </m:sSub>
                <m:r>
                  <m:rPr>
                    <m:sty m:val="p"/>
                  </m:rPr>
                  <m:t>[arg</m:t>
                </m:r>
                <m:sSub>
                  <m:sSubPr/>
                  <m:e>
                    <m:r>
                      <m:rPr/>
                      <m:t>G</m:t>
                    </m:r>
                  </m:e>
                  <m:sub>
                    <m:r>
                      <m:rPr/>
                      <m:t>h</m:t>
                    </m:r>
                  </m:sub>
                </m:sSub>
                <m:r>
                  <m:rPr>
                    <m:sty m:val="p"/>
                  </m:rPr>
                  <m:t>].</m:t>
                </m:r>
              </m:oMath>
            </m:oMathPara>
          </w:p>
        </w:tc>
        <w:tc>
          <w:tcPr>
            <w:tcW w:w="4819" w:type="dxa"/>
          </w:tcPr>
          <w:p w14:paraId="19DBFE44">
            <w:pPr>
              <w:spacing w:before="60" w:after="60"/>
              <w:jc w:val="right"/>
            </w:pPr>
            <w:r>
              <w:rPr>
                <w:rFonts w:hint="eastAsia" w:ascii="Times New Roman" w:hAnsi="Times New Roman" w:eastAsia="Times New Roman" w:cs="Times New Roman"/>
                <w:b w:val="0"/>
                <w:i w:val="0"/>
                <w:sz w:val="21"/>
              </w:rPr>
              <w:t>(2)</w:t>
            </w:r>
          </w:p>
        </w:tc>
      </w:tr>
    </w:tbl>
    <w:p w14:paraId="5129B369">
      <w:pPr>
        <w:spacing w:before="0" w:after="0"/>
        <w:ind w:firstLine="420"/>
        <w:jc w:val="both"/>
      </w:pPr>
      <w:r>
        <w:rPr>
          <w:rFonts w:hint="eastAsia" w:ascii="Times New Roman" w:hAnsi="Times New Roman" w:eastAsia="宋体" w:cs="Times New Roman"/>
          <w:b w:val="0"/>
          <w:i w:val="0"/>
          <w:sz w:val="21"/>
        </w:rPr>
        <w:t>式中：</w:t>
      </w:r>
      <m:oMath>
        <m:sSubSup>
          <m:sSubSupPr/>
          <m:e>
            <m:acc>
              <m:accPr/>
              <m:e>
                <m:r>
                  <m:rPr/>
                  <m:t>a</m:t>
                </m:r>
              </m:e>
            </m:acc>
          </m:e>
          <m:sub>
            <m:r>
              <m:rPr/>
              <m:t>h</m:t>
            </m:r>
          </m:sub>
          <m:sup>
            <m:r>
              <m:rPr>
                <m:sty m:val="p"/>
              </m:rPr>
              <m:t>2D</m:t>
            </m:r>
          </m:sup>
        </m:sSubSup>
      </m:oMath>
      <w:r>
        <w:rPr>
          <w:rFonts w:hint="eastAsia" w:ascii="Times New Roman" w:hAnsi="Times New Roman" w:eastAsia="宋体" w:cs="Times New Roman"/>
          <w:b w:val="0"/>
          <w:i w:val="0"/>
          <w:sz w:val="21"/>
        </w:rPr>
        <w:t>和</w:t>
      </w:r>
      <m:oMath>
        <m:sSubSup>
          <m:sSubSupPr/>
          <m:e>
            <m:acc>
              <m:accPr/>
              <m:e>
                <m:r>
                  <m:rPr/>
                  <m:t>a</m:t>
                </m:r>
              </m:e>
            </m:acc>
          </m:e>
          <m:sub>
            <m:r>
              <m:rPr/>
              <m:t>h</m:t>
            </m:r>
            <m:r>
              <m:rPr>
                <m:sty m:val="p"/>
              </m:rPr>
              <m:t>,left</m:t>
            </m:r>
          </m:sub>
          <m:sup>
            <m:r>
              <m:rPr>
                <m:sty m:val="p"/>
              </m:rPr>
              <m:t>1D</m:t>
            </m:r>
          </m:sup>
        </m:sSubSup>
      </m:oMath>
      <w:r>
        <w:rPr>
          <w:rFonts w:hint="eastAsia" w:ascii="Times New Roman" w:hAnsi="Times New Roman" w:eastAsia="宋体" w:cs="Times New Roman"/>
          <w:b w:val="0"/>
          <w:i w:val="0"/>
          <w:sz w:val="21"/>
        </w:rPr>
        <w:t>分别为二维地表水平加速度复谱和左侧一维自由场复谱；</w:t>
      </w:r>
      <m:oMath>
        <m:sSub>
          <m:sSubPr/>
          <m:e>
            <m:r>
              <m:rPr/>
              <m:t>A</m:t>
            </m:r>
          </m:e>
          <m:sub>
            <m:r>
              <m:rPr/>
              <m:t>h</m:t>
            </m:r>
          </m:sub>
        </m:sSub>
      </m:oMath>
      <w:r>
        <w:rPr>
          <w:rFonts w:hint="eastAsia" w:ascii="Times New Roman" w:hAnsi="Times New Roman" w:eastAsia="宋体" w:cs="Times New Roman"/>
          <w:b w:val="0"/>
          <w:i w:val="0"/>
          <w:sz w:val="21"/>
        </w:rPr>
        <w:t>和</w:t>
      </w:r>
      <m:oMath>
        <m:sSub>
          <m:sSubPr/>
          <m:e>
            <m:r>
              <m:rPr>
                <m:sty m:val="p"/>
              </m:rPr>
              <m:t>Φ</m:t>
            </m:r>
          </m:e>
          <m:sub>
            <m:r>
              <m:rPr/>
              <m:t>h</m:t>
            </m:r>
          </m:sub>
        </m:sSub>
      </m:oMath>
      <w:r>
        <w:rPr>
          <w:rFonts w:hint="eastAsia" w:ascii="Times New Roman" w:hAnsi="Times New Roman" w:eastAsia="宋体" w:cs="Times New Roman"/>
          <w:b w:val="0"/>
          <w:i w:val="0"/>
          <w:sz w:val="21"/>
        </w:rPr>
        <w:t>分别为复频响幅值和沿频率展开的相位。群时延按</w:t>
      </w:r>
      <m:oMath>
        <m:sSub>
          <m:sSubPr/>
          <m:e>
            <m:r>
              <m:rPr/>
              <m:t>τ</m:t>
            </m:r>
          </m:e>
          <m:sub>
            <m:r>
              <m:rPr/>
              <m:t>g</m:t>
            </m:r>
          </m:sub>
        </m:sSub>
        <m:r>
          <m:rPr>
            <m:sty m:val="p"/>
          </m:rPr>
          <m:t>=−(</m:t>
        </m:r>
        <m:r>
          <m:rPr/>
          <m:t>2π</m:t>
        </m:r>
        <m:sSup>
          <m:sSupPr/>
          <m:e>
            <m:r>
              <m:rPr>
                <m:sty m:val="p"/>
              </m:rPr>
              <m:t>)</m:t>
            </m:r>
          </m:e>
          <m:sup>
            <m:r>
              <m:rPr>
                <m:sty m:val="p"/>
              </m:rPr>
              <m:t>−</m:t>
            </m:r>
            <m:r>
              <m:rPr/>
              <m:t>1</m:t>
            </m:r>
          </m:sup>
        </m:sSup>
        <m:r>
          <m:rPr>
            <m:sty m:val="p"/>
          </m:rPr>
          <m:t>∂</m:t>
        </m:r>
        <m:sSub>
          <m:sSubPr/>
          <m:e>
            <m:r>
              <m:rPr>
                <m:sty m:val="p"/>
              </m:rPr>
              <m:t>Φ</m:t>
            </m:r>
          </m:e>
          <m:sub>
            <m:r>
              <m:rPr/>
              <m:t>h</m:t>
            </m:r>
          </m:sub>
        </m:sSub>
        <m:r>
          <m:rPr>
            <m:sty m:val="p"/>
          </m:rPr>
          <m:t>/∂</m:t>
        </m:r>
        <m:r>
          <m:rPr/>
          <m:t>f</m:t>
        </m:r>
      </m:oMath>
      <w:r>
        <w:rPr>
          <w:rFonts w:hint="eastAsia" w:ascii="Times New Roman" w:hAnsi="Times New Roman" w:eastAsia="宋体" w:cs="Times New Roman"/>
          <w:b w:val="0"/>
          <w:i w:val="0"/>
          <w:sz w:val="21"/>
        </w:rPr>
        <w:t>计算。有效频点要求参考谱幅不低于候选频带峰值的5%，并将结果统一到96个频点和161个地表点。图3给出了从输入时程、复谱到</w:t>
      </w:r>
      <m:oMath>
        <m:sSub>
          <m:sSubPr/>
          <m:e>
            <m:r>
              <m:rPr/>
              <m:t>G</m:t>
            </m:r>
          </m:e>
          <m:sub>
            <m:r>
              <m:rPr/>
              <m:t>h</m:t>
            </m:r>
          </m:sub>
        </m:sSub>
      </m:oMath>
      <w:r>
        <w:rPr>
          <w:rFonts w:hint="eastAsia" w:ascii="Times New Roman" w:hAnsi="Times New Roman" w:eastAsia="宋体" w:cs="Times New Roman"/>
          <w:b w:val="0"/>
          <w:i w:val="0"/>
          <w:sz w:val="21"/>
        </w:rPr>
        <w:t>的提取过程。</w:t>
      </w:r>
    </w:p>
    <w:p w14:paraId="6871FA3A">
      <w:pPr>
        <w:spacing w:before="0" w:after="0"/>
        <w:ind w:firstLine="420"/>
        <w:jc w:val="both"/>
      </w:pPr>
      <w:r>
        <w:rPr>
          <w:rFonts w:hint="eastAsia" w:ascii="Times New Roman" w:hAnsi="Times New Roman" w:eastAsia="宋体" w:cs="Times New Roman"/>
          <w:b w:val="0"/>
          <w:i w:val="0"/>
          <w:sz w:val="21"/>
        </w:rPr>
        <w:t>G1b在0.5～10 Hz内的归一化谱幅中位数为0.921，5%分位数为0.533，在分析频带内未出现连续的近零谱谷。因此，该频带可用于复数相除及相位分析。计算时先检查频点有效性，再进行复数相除、相位展开和群时延求导，以减小分母弱谱点对结果的影响。</w:t>
      </w:r>
    </w:p>
    <w:p w14:paraId="63B65CA9">
      <w:pPr>
        <w:spacing w:before="80" w:after="40"/>
        <w:ind w:firstLine="0"/>
        <w:jc w:val="center"/>
      </w:pPr>
      <w:r>
        <w:drawing>
          <wp:inline distT="0" distB="0" distL="114300" distR="114300">
            <wp:extent cx="2880360" cy="1451610"/>
            <wp:effectExtent l="0" t="0" r="15240" b="15240"/>
            <wp:docPr id="3" name="Picture 3" descr="C:/Users/12462/Documents/Code/AbqScripts/docs/论文材料/小论文中文初稿/images/fig03_宽频系统识别与复频响提取.pngfig03_宽频系统识别与复频响提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12462/Documents/Code/AbqScripts/docs/论文材料/小论文中文初稿/images/fig03_宽频系统识别与复频响提取.pngfig03_宽频系统识别与复频响提取"/>
                    <pic:cNvPicPr>
                      <a:picLocks noChangeAspect="1"/>
                    </pic:cNvPicPr>
                  </pic:nvPicPr>
                  <pic:blipFill>
                    <a:blip r:embed="rId8"/>
                    <a:srcRect t="22" b="22"/>
                    <a:stretch>
                      <a:fillRect/>
                    </a:stretch>
                  </pic:blipFill>
                  <pic:spPr>
                    <a:xfrm>
                      <a:off x="0" y="0"/>
                      <a:ext cx="2880360" cy="1451943"/>
                    </a:xfrm>
                    <a:prstGeom prst="rect">
                      <a:avLst/>
                    </a:prstGeom>
                  </pic:spPr>
                </pic:pic>
              </a:graphicData>
            </a:graphic>
          </wp:inline>
        </w:drawing>
      </w:r>
    </w:p>
    <w:p w14:paraId="7E34694C">
      <w:pPr>
        <w:spacing w:before="0" w:after="0"/>
        <w:ind w:firstLine="420"/>
        <w:jc w:val="both"/>
      </w:pPr>
      <w:r>
        <w:rPr>
          <w:rFonts w:hint="eastAsia" w:ascii="Times New Roman" w:hAnsi="Times New Roman" w:eastAsia="宋体" w:cs="Times New Roman"/>
          <w:b w:val="0"/>
          <w:i w:val="0"/>
          <w:sz w:val="21"/>
        </w:rPr>
        <w:t>图3 P061宽频系统识别与复频响提取</w:t>
      </w:r>
    </w:p>
    <w:p w14:paraId="44FBB521">
      <w:pPr>
        <w:spacing w:before="0" w:after="0"/>
        <w:ind w:firstLine="420"/>
        <w:jc w:val="both"/>
      </w:pPr>
      <w:r>
        <w:rPr>
          <w:rFonts w:hint="eastAsia" w:ascii="Times New Roman" w:hAnsi="Times New Roman" w:eastAsia="宋体" w:cs="Times New Roman"/>
          <w:b w:val="0"/>
          <w:i w:val="0"/>
          <w:sz w:val="21"/>
        </w:rPr>
        <w:t>Fig. 3 Broadband identification of the complex FRF</w:t>
      </w:r>
    </w:p>
    <w:p w14:paraId="2EC8E079">
      <w:pPr>
        <w:spacing w:before="0" w:after="0"/>
        <w:ind w:firstLine="420"/>
        <w:jc w:val="both"/>
      </w:pPr>
      <w:r>
        <w:rPr>
          <w:rFonts w:hint="eastAsia" w:ascii="Times New Roman" w:hAnsi="Times New Roman" w:eastAsia="宋体" w:cs="Times New Roman"/>
          <w:b w:val="0"/>
          <w:i w:val="0"/>
          <w:sz w:val="21"/>
        </w:rPr>
        <w:t>从图3可以看出，P061坡顶二维响应和左侧一维自由场相对基岩输入的传递函数峰值分别位于1.2 Hz和1.1 Hz，而二者逐频相除后，</w:t>
      </w:r>
      <m:oMath>
        <m:sSub>
          <m:sSubPr/>
          <m:e>
            <m:r>
              <m:rPr/>
              <m:t>G</m:t>
            </m:r>
          </m:e>
          <m:sub>
            <m:r>
              <m:rPr/>
              <m:t>h</m:t>
            </m:r>
          </m:sub>
        </m:sSub>
      </m:oMath>
      <w:r>
        <w:rPr>
          <w:rFonts w:hint="eastAsia" w:ascii="Times New Roman" w:hAnsi="Times New Roman" w:eastAsia="宋体" w:cs="Times New Roman"/>
          <w:b w:val="0"/>
          <w:i w:val="0"/>
          <w:sz w:val="21"/>
        </w:rPr>
        <w:t>在1.9 Hz达到峰值2.015。三个峰值对应的频率并不相同，说明二维地形响应并非在一维场地放大基础上乘以常数。</w:t>
      </w:r>
    </w:p>
    <w:p w14:paraId="60B56B0A">
      <w:pPr>
        <w:spacing w:before="0" w:after="0"/>
        <w:ind w:firstLine="420"/>
        <w:jc w:val="both"/>
      </w:pPr>
      <w:r>
        <w:rPr>
          <w:rFonts w:hint="eastAsia" w:ascii="Times New Roman" w:hAnsi="Times New Roman" w:eastAsia="宋体" w:cs="Times New Roman"/>
          <w:b w:val="0"/>
          <w:i w:val="0"/>
          <w:sz w:val="21"/>
        </w:rPr>
        <w:t>若直接用二维与一维时程峰值4.796和3.275 m/s²相除，所得比值仅为1.464，明显小于复频响峰值2.015。时程峰值由不同频率分量在不同时刻叠加形成，因而不能代替相同频点上的复数谱比。复频响保留的幅值和相位关系是后续分析与时程重构的基础。</w:t>
      </w:r>
    </w:p>
    <w:p w14:paraId="7E4A6A86">
      <w:pPr>
        <w:spacing w:before="0" w:after="0"/>
        <w:ind w:firstLine="420"/>
        <w:jc w:val="both"/>
      </w:pPr>
      <w:r>
        <w:rPr>
          <w:rFonts w:hint="eastAsia" w:ascii="Times New Roman" w:hAnsi="Times New Roman" w:eastAsia="宋体" w:cs="Times New Roman"/>
          <w:b w:val="0"/>
          <w:i w:val="0"/>
          <w:sz w:val="21"/>
        </w:rPr>
        <w:t>图4比较了分段自由场和统一左侧自由场两种归一化结果。采用分段自由场时，分母在坡脚</w:t>
      </w:r>
      <m:oMath>
        <m:r>
          <m:rPr/>
          <m:t>s</m:t>
        </m:r>
        <m:r>
          <m:rPr>
            <m:sty m:val="p"/>
          </m:rPr>
          <m:t>=</m:t>
        </m:r>
        <m:r>
          <m:rPr/>
          <m:t>1</m:t>
        </m:r>
      </m:oMath>
      <w:r>
        <w:rPr>
          <w:rFonts w:hint="eastAsia" w:ascii="Times New Roman" w:hAnsi="Times New Roman" w:eastAsia="宋体" w:cs="Times New Roman"/>
          <w:b w:val="0"/>
          <w:i w:val="0"/>
          <w:sz w:val="21"/>
        </w:rPr>
        <w:t>处切换，复频响场中出现与该位置重合的规则分界。坡脚邻点复数跳变量定义为坡脚点与其左邻点复数差模的2倍除以两点幅值之和。统一采用左侧自由场后，H004和P061的跳变量中位数分别由25.9%降至4.7%和由71.0%降至8.6%，表明原规则突变主要由参考场切换引起。</w:t>
      </w:r>
    </w:p>
    <w:p w14:paraId="2D2EB46C">
      <w:pPr>
        <w:spacing w:before="0" w:after="0"/>
        <w:ind w:firstLine="420"/>
        <w:jc w:val="both"/>
      </w:pPr>
      <w:r>
        <w:rPr>
          <w:rFonts w:hint="eastAsia" w:ascii="Times New Roman" w:hAnsi="Times New Roman" w:eastAsia="宋体" w:cs="Times New Roman"/>
          <w:b w:val="0"/>
          <w:i w:val="0"/>
          <w:sz w:val="21"/>
        </w:rPr>
        <w:t>H004和P061跳变量的90%分位数也分别由46.8%和99.9%降至9.6%和13.5%。以P061在5 Hz、</w:t>
      </w:r>
      <m:oMath>
        <m:r>
          <m:rPr/>
          <m:t>s</m:t>
        </m:r>
        <m:r>
          <m:rPr>
            <m:sty m:val="p"/>
          </m:rPr>
          <m:t>=</m:t>
        </m:r>
        <m:r>
          <m:rPr/>
          <m:t>2</m:t>
        </m:r>
      </m:oMath>
      <w:r>
        <w:rPr>
          <w:rFonts w:hint="eastAsia" w:ascii="Times New Roman" w:hAnsi="Times New Roman" w:eastAsia="宋体" w:cs="Times New Roman"/>
          <w:b w:val="0"/>
          <w:i w:val="0"/>
          <w:sz w:val="21"/>
        </w:rPr>
        <w:t>处为例，统一参考后幅值由1.257变为1.496，变化19.0%，反映下平台相对于同一参考场的重新标定。该处理不改变二维有限元时程，统一后仍保留的坡脚局部梯度可能来自几何散射和成层干涉。</w:t>
      </w:r>
    </w:p>
    <w:p w14:paraId="3C18887A">
      <w:pPr>
        <w:spacing w:before="80" w:after="40"/>
        <w:ind w:firstLine="0"/>
        <w:jc w:val="center"/>
      </w:pPr>
      <w:r>
        <w:drawing>
          <wp:inline distT="0" distB="0" distL="114300" distR="114300">
            <wp:extent cx="2880360" cy="2000885"/>
            <wp:effectExtent l="0" t="0" r="15240" b="18415"/>
            <wp:docPr id="4" name="Picture 4" descr="C:/Users/12462/Documents/Code/AbqScripts/docs/论文材料/小论文中文初稿/images/fig04_统一左侧一维自由场参考修正.pngfig04_统一左侧一维自由场参考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12462/Documents/Code/AbqScripts/docs/论文材料/小论文中文初稿/images/fig04_统一左侧一维自由场参考修正.pngfig04_统一左侧一维自由场参考修正"/>
                    <pic:cNvPicPr>
                      <a:picLocks noChangeAspect="1"/>
                    </pic:cNvPicPr>
                  </pic:nvPicPr>
                  <pic:blipFill>
                    <a:blip r:embed="rId9"/>
                    <a:srcRect t="11" b="11"/>
                    <a:stretch>
                      <a:fillRect/>
                    </a:stretch>
                  </pic:blipFill>
                  <pic:spPr>
                    <a:xfrm>
                      <a:off x="0" y="0"/>
                      <a:ext cx="2880360" cy="2001186"/>
                    </a:xfrm>
                    <a:prstGeom prst="rect">
                      <a:avLst/>
                    </a:prstGeom>
                  </pic:spPr>
                </pic:pic>
              </a:graphicData>
            </a:graphic>
          </wp:inline>
        </w:drawing>
      </w:r>
    </w:p>
    <w:p w14:paraId="33FE4383">
      <w:pPr>
        <w:spacing w:before="0" w:after="0"/>
        <w:ind w:firstLine="420"/>
        <w:jc w:val="both"/>
      </w:pPr>
      <w:r>
        <w:rPr>
          <w:rFonts w:hint="eastAsia" w:ascii="Times New Roman" w:hAnsi="Times New Roman" w:eastAsia="宋体" w:cs="Times New Roman"/>
          <w:b w:val="0"/>
          <w:i w:val="0"/>
          <w:sz w:val="21"/>
        </w:rPr>
        <w:t>图4 同侧分母与统一左侧分母的真实数据比较</w:t>
      </w:r>
    </w:p>
    <w:p w14:paraId="7F797E7C">
      <w:pPr>
        <w:spacing w:before="0" w:after="0"/>
        <w:ind w:firstLine="420"/>
        <w:jc w:val="both"/>
      </w:pPr>
      <w:r>
        <w:rPr>
          <w:rFonts w:hint="eastAsia" w:ascii="Times New Roman" w:hAnsi="Times New Roman" w:eastAsia="宋体" w:cs="Times New Roman"/>
          <w:b w:val="0"/>
          <w:i w:val="0"/>
          <w:sz w:val="21"/>
        </w:rPr>
        <w:t>Fig. 4 Comparison of segmented and single-left references</w:t>
      </w:r>
    </w:p>
    <w:p w14:paraId="066623D7">
      <w:pPr>
        <w:spacing w:before="0" w:after="0"/>
        <w:ind w:firstLine="420"/>
        <w:jc w:val="both"/>
      </w:pPr>
      <w:r>
        <w:rPr>
          <w:rFonts w:hint="eastAsia" w:ascii="Times New Roman" w:hAnsi="Times New Roman" w:eastAsia="宋体" w:cs="Times New Roman"/>
          <w:b w:val="0"/>
          <w:i w:val="0"/>
          <w:sz w:val="21"/>
        </w:rPr>
        <w:t>为了比较不同地表区段和频带的响应，将上平台A段、坡面B段和下平台C段分别定义为</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21"/>
        </w:rPr>
        <w:t>、</w:t>
      </w:r>
      <m:oMath>
        <m:r>
          <m:rPr/>
          <m:t>0</m:t>
        </m:r>
        <m:r>
          <m:rPr>
            <m:sty m:val="p"/>
          </m:rPr>
          <m:t>&lt;</m:t>
        </m:r>
        <m:r>
          <m:rPr/>
          <m:t>s</m:t>
        </m:r>
        <m:r>
          <m:rPr>
            <m:sty m:val="p"/>
          </m:rPr>
          <m:t>≤</m:t>
        </m:r>
        <m:r>
          <m:rPr/>
          <m:t>1</m:t>
        </m:r>
      </m:oMath>
      <w:r>
        <w:rPr>
          <w:rFonts w:hint="eastAsia" w:ascii="Times New Roman" w:hAnsi="Times New Roman" w:eastAsia="宋体" w:cs="Times New Roman"/>
          <w:b w:val="0"/>
          <w:i w:val="0"/>
          <w:sz w:val="21"/>
        </w:rPr>
        <w:t>和</w:t>
      </w:r>
      <m:oMath>
        <m:r>
          <m:rPr/>
          <m:t>1</m:t>
        </m:r>
        <m:r>
          <m:rPr>
            <m:sty m:val="p"/>
          </m:rPr>
          <m:t>&lt;</m:t>
        </m:r>
        <m:r>
          <m:rPr/>
          <m:t>s</m:t>
        </m:r>
        <m:r>
          <m:rPr>
            <m:sty m:val="p"/>
          </m:rPr>
          <m:t>≤</m:t>
        </m:r>
        <m:r>
          <m:rPr/>
          <m:t>4</m:t>
        </m:r>
      </m:oMath>
      <w:r>
        <w:rPr>
          <w:rFonts w:hint="eastAsia" w:ascii="Times New Roman" w:hAnsi="Times New Roman" w:eastAsia="宋体" w:cs="Times New Roman"/>
          <w:b w:val="0"/>
          <w:i w:val="0"/>
          <w:sz w:val="21"/>
        </w:rPr>
        <w:t>，低、中、高频分别取</w:t>
      </w:r>
      <m:oMath>
        <m:r>
          <m:rPr>
            <m:sty m:val="p"/>
          </m:rPr>
          <m:t>[</m:t>
        </m:r>
        <m:r>
          <m:rPr/>
          <m:t>0.5</m:t>
        </m:r>
        <m:r>
          <m:rPr>
            <m:sty m:val="p"/>
          </m:rPr>
          <m:t>,</m:t>
        </m:r>
        <m:r>
          <m:rPr/>
          <m:t>3</m:t>
        </m:r>
        <m:r>
          <m:rPr>
            <m:sty m:val="p"/>
          </m:rPr>
          <m:t>)</m:t>
        </m:r>
      </m:oMath>
      <w:r>
        <w:rPr>
          <w:rFonts w:hint="eastAsia" w:ascii="Times New Roman" w:hAnsi="Times New Roman" w:eastAsia="宋体" w:cs="Times New Roman"/>
          <w:b w:val="0"/>
          <w:i w:val="0"/>
          <w:sz w:val="21"/>
        </w:rPr>
        <w:t>、</w:t>
      </w:r>
      <m:oMath>
        <m:r>
          <m:rPr>
            <m:sty m:val="p"/>
          </m:rPr>
          <m:t>[</m:t>
        </m:r>
        <m:r>
          <m:rPr/>
          <m:t>3</m:t>
        </m:r>
        <m:r>
          <m:rPr>
            <m:sty m:val="p"/>
          </m:rPr>
          <m:t>,</m:t>
        </m:r>
        <m:r>
          <m:rPr/>
          <m:t>6</m:t>
        </m:r>
        <m:r>
          <m:rPr>
            <m:sty m:val="p"/>
          </m:rPr>
          <m:t>)</m:t>
        </m:r>
      </m:oMath>
      <w:r>
        <w:rPr>
          <w:rFonts w:hint="eastAsia" w:ascii="Times New Roman" w:hAnsi="Times New Roman" w:eastAsia="宋体" w:cs="Times New Roman"/>
          <w:b w:val="0"/>
          <w:i w:val="0"/>
          <w:sz w:val="21"/>
        </w:rPr>
        <w:t>和</w:t>
      </w:r>
      <m:oMath>
        <m:r>
          <m:rPr>
            <m:sty m:val="p"/>
          </m:rPr>
          <m:t>[</m:t>
        </m:r>
        <m:r>
          <m:rPr/>
          <m:t>6</m:t>
        </m:r>
        <m:r>
          <m:rPr>
            <m:sty m:val="p"/>
          </m:rPr>
          <m:t>,</m:t>
        </m:r>
        <m:r>
          <m:rPr/>
          <m:t>10</m:t>
        </m:r>
        <m:r>
          <m:rPr>
            <m:sty m:val="p"/>
          </m:rPr>
          <m:t>]</m:t>
        </m:r>
      </m:oMath>
      <w:r>
        <w:rPr>
          <w:rFonts w:hint="eastAsia" w:ascii="Times New Roman" w:hAnsi="Times New Roman" w:eastAsia="宋体" w:cs="Times New Roman"/>
          <w:b w:val="0"/>
          <w:i w:val="0"/>
          <w:sz w:val="21"/>
        </w:rPr>
        <w:t xml:space="preserve"> Hz。主要复频响指标及其含义列于表3。</w:t>
      </w:r>
    </w:p>
    <w:p w14:paraId="461D13BA">
      <w:pPr>
        <w:spacing w:before="0" w:after="0"/>
        <w:ind w:firstLine="420"/>
        <w:jc w:val="both"/>
      </w:pPr>
      <w:r>
        <w:rPr>
          <w:rFonts w:hint="eastAsia" w:ascii="Times New Roman" w:hAnsi="Times New Roman" w:eastAsia="宋体" w:cs="Times New Roman"/>
          <w:b w:val="0"/>
          <w:i w:val="0"/>
          <w:sz w:val="21"/>
        </w:rPr>
        <w:t>表3 复频响主要指标</w:t>
      </w:r>
    </w:p>
    <w:p w14:paraId="18313540">
      <w:pPr>
        <w:spacing w:before="0" w:after="0"/>
        <w:ind w:firstLine="420"/>
        <w:jc w:val="both"/>
      </w:pPr>
      <w:r>
        <w:rPr>
          <w:rFonts w:hint="eastAsia" w:ascii="Times New Roman" w:hAnsi="Times New Roman" w:eastAsia="宋体" w:cs="Times New Roman"/>
          <w:b w:val="0"/>
          <w:i w:val="0"/>
          <w:sz w:val="21"/>
        </w:rPr>
        <w:t>Table 3 Main complex-FRF descriptors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5"/>
        <w:gridCol w:w="1682"/>
        <w:gridCol w:w="1525"/>
      </w:tblGrid>
      <w:tr w14:paraId="33F92F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auto" w:sz="6" w:space="0"/>
            </w:tcBorders>
            <w:vAlign w:val="center"/>
          </w:tcPr>
          <w:p w14:paraId="6D51DDE3">
            <w:pPr>
              <w:spacing w:before="30" w:after="30"/>
              <w:ind w:firstLine="0"/>
              <w:jc w:val="center"/>
            </w:pPr>
            <w:r>
              <w:rPr>
                <w:rFonts w:hint="eastAsia" w:ascii="Times New Roman" w:hAnsi="Times New Roman" w:eastAsia="宋体" w:cs="Times New Roman"/>
                <w:b/>
                <w:i w:val="0"/>
                <w:sz w:val="18"/>
              </w:rPr>
              <w:t>指标</w:t>
            </w:r>
          </w:p>
        </w:tc>
        <w:tc>
          <w:tcPr>
            <w:tcW w:w="3213" w:type="dxa"/>
            <w:tcBorders>
              <w:bottom w:val="single" w:color="auto" w:sz="6" w:space="0"/>
            </w:tcBorders>
            <w:vAlign w:val="center"/>
          </w:tcPr>
          <w:p w14:paraId="31F2E287">
            <w:pPr>
              <w:spacing w:before="30" w:after="30"/>
              <w:ind w:firstLine="0"/>
              <w:jc w:val="center"/>
            </w:pPr>
            <w:r>
              <w:rPr>
                <w:rFonts w:hint="eastAsia" w:ascii="Times New Roman" w:hAnsi="Times New Roman" w:eastAsia="宋体" w:cs="Times New Roman"/>
                <w:b/>
                <w:i w:val="0"/>
                <w:sz w:val="18"/>
              </w:rPr>
              <w:t>含义</w:t>
            </w:r>
          </w:p>
        </w:tc>
        <w:tc>
          <w:tcPr>
            <w:tcW w:w="3213" w:type="dxa"/>
            <w:tcBorders>
              <w:bottom w:val="single" w:color="auto" w:sz="6" w:space="0"/>
            </w:tcBorders>
            <w:vAlign w:val="center"/>
          </w:tcPr>
          <w:p w14:paraId="79B936F3">
            <w:pPr>
              <w:spacing w:before="30" w:after="30"/>
              <w:ind w:firstLine="0"/>
              <w:jc w:val="center"/>
            </w:pPr>
            <w:r>
              <w:rPr>
                <w:rFonts w:hint="eastAsia" w:ascii="Times New Roman" w:hAnsi="Times New Roman" w:eastAsia="宋体" w:cs="Times New Roman"/>
                <w:b/>
                <w:i w:val="0"/>
                <w:sz w:val="18"/>
              </w:rPr>
              <w:t>限制</w:t>
            </w:r>
          </w:p>
        </w:tc>
      </w:tr>
      <w:tr w14:paraId="1DF0C6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68C2C82">
            <w:pPr>
              <w:spacing w:before="30" w:after="30"/>
              <w:ind w:firstLine="0"/>
              <w:jc w:val="center"/>
            </w:pPr>
            <m:oMathPara>
              <m:oMath>
                <m:sSub>
                  <m:sSubPr/>
                  <m:e>
                    <m:r>
                      <m:rPr/>
                      <m:t>A</m:t>
                    </m:r>
                  </m:e>
                  <m:sub>
                    <m:r>
                      <m:rPr/>
                      <m:t>h</m:t>
                    </m:r>
                  </m:sub>
                </m:sSub>
              </m:oMath>
            </m:oMathPara>
          </w:p>
        </w:tc>
        <w:tc>
          <w:tcPr>
            <w:tcW w:w="3213" w:type="dxa"/>
            <w:vAlign w:val="center"/>
          </w:tcPr>
          <w:p w14:paraId="13D0B8D8">
            <w:pPr>
              <w:spacing w:before="30" w:after="30"/>
              <w:ind w:firstLine="0"/>
              <w:jc w:val="center"/>
            </w:pPr>
            <w:r>
              <w:rPr>
                <w:rFonts w:hint="eastAsia" w:ascii="Times New Roman" w:hAnsi="Times New Roman" w:eastAsia="宋体" w:cs="Times New Roman"/>
                <w:b w:val="0"/>
                <w:i w:val="0"/>
                <w:sz w:val="18"/>
              </w:rPr>
              <w:t>相对幅值</w:t>
            </w:r>
          </w:p>
        </w:tc>
        <w:tc>
          <w:tcPr>
            <w:tcW w:w="3213" w:type="dxa"/>
            <w:vAlign w:val="center"/>
          </w:tcPr>
          <w:p w14:paraId="40469ABA">
            <w:pPr>
              <w:spacing w:before="30" w:after="30"/>
              <w:ind w:firstLine="0"/>
              <w:jc w:val="center"/>
            </w:pPr>
            <w:r>
              <w:rPr>
                <w:rFonts w:hint="eastAsia" w:ascii="Times New Roman" w:hAnsi="Times New Roman" w:eastAsia="宋体" w:cs="Times New Roman"/>
                <w:b w:val="0"/>
                <w:i w:val="0"/>
                <w:sz w:val="18"/>
              </w:rPr>
              <w:t>不含到时信息</w:t>
            </w:r>
          </w:p>
        </w:tc>
      </w:tr>
      <w:tr w14:paraId="72C5E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645C58C">
            <w:pPr>
              <w:spacing w:before="30" w:after="30"/>
              <w:ind w:firstLine="0"/>
              <w:jc w:val="center"/>
            </w:pPr>
            <m:oMathPara>
              <m:oMath>
                <m:sSub>
                  <m:sSubPr/>
                  <m:e>
                    <m:r>
                      <m:rPr>
                        <m:sty m:val="p"/>
                      </m:rPr>
                      <m:t>Φ</m:t>
                    </m:r>
                  </m:e>
                  <m:sub>
                    <m:r>
                      <m:rPr/>
                      <m:t>h</m:t>
                    </m:r>
                  </m:sub>
                </m:sSub>
              </m:oMath>
            </m:oMathPara>
          </w:p>
        </w:tc>
        <w:tc>
          <w:tcPr>
            <w:tcW w:w="3213" w:type="dxa"/>
            <w:vAlign w:val="center"/>
          </w:tcPr>
          <w:p w14:paraId="0376F0B6">
            <w:pPr>
              <w:spacing w:before="30" w:after="30"/>
              <w:ind w:firstLine="0"/>
              <w:jc w:val="center"/>
            </w:pPr>
            <w:r>
              <w:rPr>
                <w:rFonts w:hint="eastAsia" w:ascii="Times New Roman" w:hAnsi="Times New Roman" w:eastAsia="宋体" w:cs="Times New Roman"/>
                <w:b w:val="0"/>
                <w:i w:val="0"/>
                <w:sz w:val="18"/>
              </w:rPr>
              <w:t>展开相位</w:t>
            </w:r>
          </w:p>
        </w:tc>
        <w:tc>
          <w:tcPr>
            <w:tcW w:w="3213" w:type="dxa"/>
            <w:vAlign w:val="center"/>
          </w:tcPr>
          <w:p w14:paraId="2BC96167">
            <w:pPr>
              <w:spacing w:before="30" w:after="30"/>
              <w:ind w:firstLine="0"/>
              <w:jc w:val="center"/>
            </w:pPr>
            <w:r>
              <w:rPr>
                <w:rFonts w:hint="eastAsia" w:ascii="Times New Roman" w:hAnsi="Times New Roman" w:eastAsia="宋体" w:cs="Times New Roman"/>
                <w:b w:val="0"/>
                <w:i w:val="0"/>
                <w:sz w:val="18"/>
              </w:rPr>
              <w:t>不跨无效频带拼接</w:t>
            </w:r>
          </w:p>
        </w:tc>
      </w:tr>
      <w:tr w14:paraId="70E9DA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C96302F">
            <w:pPr>
              <w:spacing w:before="30" w:after="30"/>
              <w:ind w:firstLine="0"/>
              <w:jc w:val="center"/>
            </w:pPr>
            <m:oMathPara>
              <m:oMath>
                <m:sSub>
                  <m:sSubPr/>
                  <m:e>
                    <m:r>
                      <m:rPr/>
                      <m:t>τ</m:t>
                    </m:r>
                  </m:e>
                  <m:sub>
                    <m:r>
                      <m:rPr/>
                      <m:t>g</m:t>
                    </m:r>
                  </m:sub>
                </m:sSub>
              </m:oMath>
            </m:oMathPara>
          </w:p>
        </w:tc>
        <w:tc>
          <w:tcPr>
            <w:tcW w:w="3213" w:type="dxa"/>
            <w:vAlign w:val="center"/>
          </w:tcPr>
          <w:p w14:paraId="3A483CC2">
            <w:pPr>
              <w:spacing w:before="30" w:after="30"/>
              <w:ind w:firstLine="0"/>
              <w:jc w:val="center"/>
            </w:pPr>
            <w:r>
              <w:rPr>
                <w:rFonts w:hint="eastAsia" w:ascii="Times New Roman" w:hAnsi="Times New Roman" w:eastAsia="宋体" w:cs="Times New Roman"/>
                <w:b w:val="0"/>
                <w:i w:val="0"/>
                <w:sz w:val="18"/>
              </w:rPr>
              <w:t>相位频率导数</w:t>
            </w:r>
          </w:p>
        </w:tc>
        <w:tc>
          <w:tcPr>
            <w:tcW w:w="3213" w:type="dxa"/>
            <w:vAlign w:val="center"/>
          </w:tcPr>
          <w:p w14:paraId="00B61A02">
            <w:pPr>
              <w:spacing w:before="30" w:after="30"/>
              <w:ind w:firstLine="0"/>
              <w:jc w:val="center"/>
            </w:pPr>
            <w:r>
              <w:rPr>
                <w:rFonts w:hint="eastAsia" w:ascii="Times New Roman" w:hAnsi="Times New Roman" w:eastAsia="宋体" w:cs="Times New Roman"/>
                <w:b w:val="0"/>
                <w:i w:val="0"/>
                <w:sz w:val="18"/>
              </w:rPr>
              <w:t>谱谷附近慎用</w:t>
            </w:r>
          </w:p>
        </w:tc>
      </w:tr>
      <w:tr w14:paraId="42FB29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A035716">
            <w:pPr>
              <w:spacing w:before="30" w:after="30"/>
              <w:ind w:firstLine="0"/>
              <w:jc w:val="center"/>
            </w:pPr>
            <w:r>
              <w:rPr>
                <w:rFonts w:hint="eastAsia" w:ascii="Times New Roman" w:hAnsi="Times New Roman" w:eastAsia="宋体" w:cs="Times New Roman"/>
                <w:b w:val="0"/>
                <w:i w:val="0"/>
                <w:sz w:val="18"/>
              </w:rPr>
              <w:t>全场峰值</w:t>
            </w:r>
          </w:p>
        </w:tc>
        <w:tc>
          <w:tcPr>
            <w:tcW w:w="3213" w:type="dxa"/>
            <w:vAlign w:val="center"/>
          </w:tcPr>
          <w:p w14:paraId="23EB35D6">
            <w:pPr>
              <w:spacing w:before="30" w:after="30"/>
              <w:ind w:firstLine="0"/>
              <w:jc w:val="center"/>
            </w:pPr>
            <w:r>
              <w:rPr>
                <w:rFonts w:hint="eastAsia" w:ascii="Times New Roman" w:hAnsi="Times New Roman" w:eastAsia="宋体" w:cs="Times New Roman"/>
                <w:b w:val="0"/>
                <w:i w:val="0"/>
                <w:sz w:val="18"/>
              </w:rPr>
              <w:t>最大幅值及峰频、峰位</w:t>
            </w:r>
          </w:p>
        </w:tc>
        <w:tc>
          <w:tcPr>
            <w:tcW w:w="3213" w:type="dxa"/>
            <w:vAlign w:val="center"/>
          </w:tcPr>
          <w:p w14:paraId="0D296C3F">
            <w:pPr>
              <w:spacing w:before="30" w:after="30"/>
              <w:ind w:firstLine="0"/>
              <w:jc w:val="center"/>
            </w:pPr>
            <w:r>
              <w:rPr>
                <w:rFonts w:hint="eastAsia" w:ascii="Times New Roman" w:hAnsi="Times New Roman" w:eastAsia="宋体" w:cs="Times New Roman"/>
                <w:b w:val="0"/>
                <w:i w:val="0"/>
                <w:sz w:val="18"/>
              </w:rPr>
              <w:t>10 Hz峰标作上界峰</w:t>
            </w:r>
          </w:p>
        </w:tc>
      </w:tr>
      <w:tr w14:paraId="33F91C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45B8200">
            <w:pPr>
              <w:spacing w:before="30" w:after="30"/>
              <w:ind w:firstLine="0"/>
              <w:jc w:val="center"/>
            </w:pPr>
            <w:r>
              <w:rPr>
                <w:rFonts w:hint="eastAsia" w:ascii="Times New Roman" w:hAnsi="Times New Roman" w:eastAsia="宋体" w:cs="Times New Roman"/>
                <w:b w:val="0"/>
                <w:i w:val="0"/>
                <w:sz w:val="18"/>
              </w:rPr>
              <w:t>分区、分带统计</w:t>
            </w:r>
          </w:p>
        </w:tc>
        <w:tc>
          <w:tcPr>
            <w:tcW w:w="3213" w:type="dxa"/>
            <w:vAlign w:val="center"/>
          </w:tcPr>
          <w:p w14:paraId="0E4D251D">
            <w:pPr>
              <w:spacing w:before="30" w:after="30"/>
              <w:ind w:firstLine="0"/>
              <w:jc w:val="center"/>
            </w:pPr>
            <w:r>
              <w:rPr>
                <w:rFonts w:hint="eastAsia" w:ascii="Times New Roman" w:hAnsi="Times New Roman" w:eastAsia="宋体" w:cs="Times New Roman"/>
                <w:b w:val="0"/>
                <w:i w:val="0"/>
                <w:sz w:val="18"/>
              </w:rPr>
              <w:t>A/B/C段与低中高频</w:t>
            </w:r>
          </w:p>
        </w:tc>
        <w:tc>
          <w:tcPr>
            <w:tcW w:w="3213" w:type="dxa"/>
            <w:vAlign w:val="center"/>
          </w:tcPr>
          <w:p w14:paraId="0CA94C1D">
            <w:pPr>
              <w:spacing w:before="30" w:after="30"/>
              <w:ind w:firstLine="0"/>
              <w:jc w:val="center"/>
            </w:pPr>
            <w:r>
              <w:rPr>
                <w:rFonts w:hint="eastAsia" w:ascii="Times New Roman" w:hAnsi="Times New Roman" w:eastAsia="宋体" w:cs="Times New Roman"/>
                <w:b w:val="0"/>
                <w:i w:val="0"/>
                <w:sz w:val="18"/>
              </w:rPr>
              <w:t>网格点不作独立样本</w:t>
            </w:r>
          </w:p>
        </w:tc>
      </w:tr>
    </w:tbl>
    <w:p w14:paraId="74809D25">
      <w:pPr>
        <w:spacing w:before="0" w:after="0"/>
        <w:ind w:firstLine="420"/>
        <w:jc w:val="both"/>
      </w:pPr>
      <w:r>
        <w:rPr>
          <w:rFonts w:hint="eastAsia" w:ascii="Times New Roman" w:hAnsi="Times New Roman" w:eastAsia="宋体" w:cs="Times New Roman"/>
          <w:b w:val="0"/>
          <w:i w:val="0"/>
          <w:sz w:val="21"/>
        </w:rPr>
        <w:t>图5给出了均质坡H004和成层坡P061的幅值、相位与群时延场。H004的全场峰值为1.638，位于3.2 Hz、</w:t>
      </w:r>
      <m:oMath>
        <m:r>
          <m:rPr/>
          <m:t>s</m:t>
        </m:r>
        <m:r>
          <m:rPr>
            <m:sty m:val="p"/>
          </m:rPr>
          <m:t>=</m:t>
        </m:r>
        <m:r>
          <m:rPr/>
          <m:t>0</m:t>
        </m:r>
      </m:oMath>
      <w:r>
        <w:rPr>
          <w:rFonts w:hint="eastAsia" w:ascii="Times New Roman" w:hAnsi="Times New Roman" w:eastAsia="宋体" w:cs="Times New Roman"/>
          <w:b w:val="0"/>
          <w:i w:val="0"/>
          <w:sz w:val="21"/>
        </w:rPr>
        <w:t>；P061的峰值增至4.012，位于4.0 Hz、</w:t>
      </w:r>
      <m:oMath>
        <m:r>
          <m:rPr/>
          <m:t>s</m:t>
        </m:r>
        <m:r>
          <m:rPr>
            <m:sty m:val="p"/>
          </m:rPr>
          <m:t>=</m:t>
        </m:r>
        <m:r>
          <m:rPr/>
          <m:t>3.2</m:t>
        </m:r>
      </m:oMath>
      <w:r>
        <w:rPr>
          <w:rFonts w:hint="eastAsia" w:ascii="Times New Roman" w:hAnsi="Times New Roman" w:eastAsia="宋体" w:cs="Times New Roman"/>
          <w:b w:val="0"/>
          <w:i w:val="0"/>
          <w:sz w:val="21"/>
        </w:rPr>
        <w:t>，群时延1%～99%宽度由0.174 s增至0.853 s。与均质坡相比，成层坡形成了更多连续的幅值条带和更大的相位变化范围，说明覆盖层传播与地形散射共同改变了频率—空间响应。</w:t>
      </w:r>
    </w:p>
    <w:p w14:paraId="32BA320D">
      <w:pPr>
        <w:spacing w:before="0" w:after="0"/>
        <w:ind w:firstLine="420"/>
        <w:jc w:val="both"/>
      </w:pPr>
      <w:r>
        <w:rPr>
          <w:rFonts w:hint="eastAsia" w:ascii="Times New Roman" w:hAnsi="Times New Roman" w:eastAsia="宋体" w:cs="Times New Roman"/>
          <w:b w:val="0"/>
          <w:i w:val="0"/>
          <w:sz w:val="21"/>
        </w:rPr>
        <w:t>图6比较了1、3、5、7和9 Hz下的地表空间分布。H004在各频率下的空间最大值均位于坡顶，控制位置较为稳定；P061的控制位置依次位于</w:t>
      </w:r>
      <m:oMath>
        <m:r>
          <m:rPr/>
          <m:t>s</m:t>
        </m:r>
        <m:r>
          <m:rPr>
            <m:sty m:val="p"/>
          </m:rPr>
          <m:t>=</m:t>
        </m:r>
        <m:r>
          <m:rPr/>
          <m:t>0</m:t>
        </m:r>
      </m:oMath>
      <w:r>
        <w:rPr>
          <w:rFonts w:hint="eastAsia" w:ascii="Times New Roman" w:hAnsi="Times New Roman" w:eastAsia="宋体" w:cs="Times New Roman"/>
          <w:b w:val="0"/>
          <w:i w:val="0"/>
          <w:sz w:val="21"/>
        </w:rPr>
        <w:t>、</w:t>
      </w:r>
      <m:oMath>
        <m:r>
          <m:rPr>
            <m:sty m:val="p"/>
          </m:rPr>
          <m:t>−</m:t>
        </m:r>
        <m:r>
          <m:rPr/>
          <m:t>3.40</m:t>
        </m:r>
      </m:oMath>
      <w:r>
        <w:rPr>
          <w:rFonts w:hint="eastAsia" w:ascii="Times New Roman" w:hAnsi="Times New Roman" w:eastAsia="宋体" w:cs="Times New Roman"/>
          <w:b w:val="0"/>
          <w:i w:val="0"/>
          <w:sz w:val="21"/>
        </w:rPr>
        <w:t>、1.65、</w:t>
      </w:r>
      <m:oMath>
        <m:r>
          <m:rPr>
            <m:sty m:val="p"/>
          </m:rPr>
          <m:t>−</m:t>
        </m:r>
        <m:r>
          <m:rPr/>
          <m:t>0.65</m:t>
        </m:r>
      </m:oMath>
      <w:r>
        <w:rPr>
          <w:rFonts w:hint="eastAsia" w:ascii="Times New Roman" w:hAnsi="Times New Roman" w:eastAsia="宋体" w:cs="Times New Roman"/>
          <w:b w:val="0"/>
          <w:i w:val="0"/>
          <w:sz w:val="21"/>
        </w:rPr>
        <w:t>和1.20，在上平台、坡顶邻域和下平台之间发生换位。与此同时，P061的全地表相位跨度由1 Hz时的41.4°增至9 Hz时的575.0°，明显大于H004的24.3°～161.2°。</w:t>
      </w:r>
    </w:p>
    <w:p w14:paraId="63FE9C5A">
      <w:pPr>
        <w:spacing w:before="0" w:after="0"/>
        <w:ind w:firstLine="420"/>
        <w:jc w:val="both"/>
      </w:pPr>
      <w:r>
        <w:rPr>
          <w:rFonts w:hint="eastAsia" w:ascii="Times New Roman" w:hAnsi="Times New Roman" w:eastAsia="宋体" w:cs="Times New Roman"/>
          <w:b w:val="0"/>
          <w:i w:val="0"/>
          <w:sz w:val="21"/>
        </w:rPr>
        <w:t>图7给出了P061不同地表位置的复频响谱。上平台、坡顶、坡面中部、坡脚和下平台的局部峰频分别约为4.5、1.9、6.5、</w:t>
      </w:r>
      <m:oMath>
        <m:r>
          <m:rPr>
            <m:sty m:val="p"/>
          </m:rPr>
          <m:t>≥</m:t>
        </m:r>
        <m:r>
          <m:rPr/>
          <m:t>10</m:t>
        </m:r>
      </m:oMath>
      <w:r>
        <w:rPr>
          <w:rFonts w:hint="eastAsia" w:ascii="Times New Roman" w:hAnsi="Times New Roman" w:eastAsia="宋体" w:cs="Times New Roman"/>
          <w:b w:val="0"/>
          <w:i w:val="0"/>
          <w:sz w:val="21"/>
        </w:rPr>
        <w:t>和3.8 Hz，其中下平台</w:t>
      </w:r>
      <m:oMath>
        <m:r>
          <m:rPr/>
          <m:t>s</m:t>
        </m:r>
        <m:r>
          <m:rPr>
            <m:sty m:val="p"/>
          </m:rPr>
          <m:t>=</m:t>
        </m:r>
        <m:r>
          <m:rPr/>
          <m:t>2</m:t>
        </m:r>
      </m:oMath>
      <w:r>
        <w:rPr>
          <w:rFonts w:hint="eastAsia" w:ascii="Times New Roman" w:hAnsi="Times New Roman" w:eastAsia="宋体" w:cs="Times New Roman"/>
          <w:b w:val="0"/>
          <w:i w:val="0"/>
          <w:sz w:val="21"/>
        </w:rPr>
        <w:t>处的峰值2.310比坡顶高14.6%。坡脚在10 Hz处尚未出现峰后回落，因此该值按频带上界峰处理。下平台最负群时延出现在1.1 Hz，接近覆盖层一维基频，而幅值峰位于3.8 Hz，表明一维特征频率与二维幅值峰频并不完全对应。</w:t>
      </w:r>
    </w:p>
    <w:p w14:paraId="37F629BA">
      <w:pPr>
        <w:spacing w:before="80" w:after="40"/>
        <w:ind w:firstLine="0"/>
        <w:jc w:val="center"/>
      </w:pPr>
      <w:r>
        <w:drawing>
          <wp:inline distT="0" distB="0" distL="114300" distR="114300">
            <wp:extent cx="2880360" cy="1635125"/>
            <wp:effectExtent l="0" t="0" r="15240" b="3175"/>
            <wp:docPr id="5" name="Picture 5" descr="C:/Users/12462/Documents/Code/AbqScripts/docs/论文材料/小论文中文初稿/images/fig05_代表工况复频响联合场.pngfig05_代表工况复频响联合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12462/Documents/Code/AbqScripts/docs/论文材料/小论文中文初稿/images/fig05_代表工况复频响联合场.pngfig05_代表工况复频响联合场"/>
                    <pic:cNvPicPr>
                      <a:picLocks noChangeAspect="1"/>
                    </pic:cNvPicPr>
                  </pic:nvPicPr>
                  <pic:blipFill>
                    <a:blip r:embed="rId10"/>
                    <a:srcRect t="11" b="11"/>
                    <a:stretch>
                      <a:fillRect/>
                    </a:stretch>
                  </pic:blipFill>
                  <pic:spPr>
                    <a:xfrm>
                      <a:off x="0" y="0"/>
                      <a:ext cx="2880360" cy="1635296"/>
                    </a:xfrm>
                    <a:prstGeom prst="rect">
                      <a:avLst/>
                    </a:prstGeom>
                  </pic:spPr>
                </pic:pic>
              </a:graphicData>
            </a:graphic>
          </wp:inline>
        </w:drawing>
      </w:r>
    </w:p>
    <w:p w14:paraId="4EB68F71">
      <w:pPr>
        <w:spacing w:before="0" w:after="0"/>
        <w:ind w:firstLine="420"/>
        <w:jc w:val="both"/>
      </w:pPr>
      <w:r>
        <w:rPr>
          <w:rFonts w:hint="eastAsia" w:ascii="Times New Roman" w:hAnsi="Times New Roman" w:eastAsia="宋体" w:cs="Times New Roman"/>
          <w:b w:val="0"/>
          <w:i w:val="0"/>
          <w:sz w:val="21"/>
        </w:rPr>
        <w:t>图5 H004与P061的幅值、相位和群时延场</w:t>
      </w:r>
    </w:p>
    <w:p w14:paraId="56B60497">
      <w:pPr>
        <w:spacing w:before="0" w:after="0"/>
        <w:ind w:firstLine="420"/>
        <w:jc w:val="both"/>
      </w:pPr>
      <w:r>
        <w:rPr>
          <w:rFonts w:hint="eastAsia" w:ascii="Times New Roman" w:hAnsi="Times New Roman" w:eastAsia="宋体" w:cs="Times New Roman"/>
          <w:b w:val="0"/>
          <w:i w:val="0"/>
          <w:sz w:val="21"/>
        </w:rPr>
        <w:t>Fig. 5 Joint complex-FRF fields of H004 and P061</w:t>
      </w:r>
    </w:p>
    <w:p w14:paraId="37B0E18F">
      <w:pPr>
        <w:spacing w:before="80" w:after="40"/>
        <w:ind w:firstLine="0"/>
        <w:jc w:val="center"/>
      </w:pPr>
      <w:r>
        <w:drawing>
          <wp:inline distT="0" distB="0" distL="114300" distR="114300">
            <wp:extent cx="2880360" cy="1746885"/>
            <wp:effectExtent l="0" t="0" r="15240" b="5715"/>
            <wp:docPr id="6" name="Picture 6" descr="C:/Users/12462/Documents/Code/AbqScripts/docs/论文材料/小论文中文初稿/images/fig06_固定频率地表空间响应.pngfig06_固定频率地表空间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12462/Documents/Code/AbqScripts/docs/论文材料/小论文中文初稿/images/fig06_固定频率地表空间响应.pngfig06_固定频率地表空间响应"/>
                    <pic:cNvPicPr>
                      <a:picLocks noChangeAspect="1"/>
                    </pic:cNvPicPr>
                  </pic:nvPicPr>
                  <pic:blipFill>
                    <a:blip r:embed="rId11"/>
                    <a:srcRect t="22" b="22"/>
                    <a:stretch>
                      <a:fillRect/>
                    </a:stretch>
                  </pic:blipFill>
                  <pic:spPr>
                    <a:xfrm>
                      <a:off x="0" y="0"/>
                      <a:ext cx="2880360" cy="1747481"/>
                    </a:xfrm>
                    <a:prstGeom prst="rect">
                      <a:avLst/>
                    </a:prstGeom>
                  </pic:spPr>
                </pic:pic>
              </a:graphicData>
            </a:graphic>
          </wp:inline>
        </w:drawing>
      </w:r>
      <w:bookmarkStart w:id="0" w:name="_GoBack"/>
      <w:bookmarkEnd w:id="0"/>
    </w:p>
    <w:p w14:paraId="2AC13977">
      <w:pPr>
        <w:spacing w:before="0" w:after="0"/>
        <w:ind w:firstLine="420"/>
        <w:jc w:val="both"/>
      </w:pPr>
      <w:r>
        <w:rPr>
          <w:rFonts w:hint="eastAsia" w:ascii="Times New Roman" w:hAnsi="Times New Roman" w:eastAsia="宋体" w:cs="Times New Roman"/>
          <w:b w:val="0"/>
          <w:i w:val="0"/>
          <w:sz w:val="21"/>
        </w:rPr>
        <w:t>图6 H004与P061固定频率地表响应</w:t>
      </w:r>
    </w:p>
    <w:p w14:paraId="676DB12B">
      <w:pPr>
        <w:spacing w:before="0" w:after="0"/>
        <w:ind w:firstLine="420"/>
        <w:jc w:val="both"/>
      </w:pPr>
      <w:r>
        <w:rPr>
          <w:rFonts w:hint="eastAsia" w:ascii="Times New Roman" w:hAnsi="Times New Roman" w:eastAsia="宋体" w:cs="Times New Roman"/>
          <w:b w:val="0"/>
          <w:i w:val="0"/>
          <w:sz w:val="21"/>
        </w:rPr>
        <w:t>Fig. 6 Surface responses at selected frequencies</w:t>
      </w:r>
    </w:p>
    <w:p w14:paraId="6C86B0A9">
      <w:pPr>
        <w:spacing w:before="80" w:after="40"/>
        <w:ind w:firstLine="0"/>
        <w:jc w:val="center"/>
      </w:pPr>
      <w:r>
        <w:drawing>
          <wp:inline distT="0" distB="0" distL="114300" distR="114300">
            <wp:extent cx="2880360" cy="962025"/>
            <wp:effectExtent l="0" t="0" r="152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880360" cy="962129"/>
                    </a:xfrm>
                    <a:prstGeom prst="rect">
                      <a:avLst/>
                    </a:prstGeom>
                  </pic:spPr>
                </pic:pic>
              </a:graphicData>
            </a:graphic>
          </wp:inline>
        </w:drawing>
      </w:r>
    </w:p>
    <w:p w14:paraId="414A44C1">
      <w:pPr>
        <w:spacing w:before="0" w:after="0"/>
        <w:ind w:firstLine="420"/>
        <w:jc w:val="both"/>
      </w:pPr>
      <w:r>
        <w:rPr>
          <w:rFonts w:hint="eastAsia" w:ascii="Times New Roman" w:hAnsi="Times New Roman" w:eastAsia="宋体" w:cs="Times New Roman"/>
          <w:b w:val="0"/>
          <w:i w:val="0"/>
          <w:sz w:val="21"/>
        </w:rPr>
        <w:t>图7 P061代表位置复频响谱</w:t>
      </w:r>
    </w:p>
    <w:p w14:paraId="7C7ACC48">
      <w:pPr>
        <w:spacing w:before="0" w:after="0"/>
        <w:ind w:firstLine="420"/>
        <w:jc w:val="both"/>
      </w:pPr>
      <w:r>
        <w:rPr>
          <w:rFonts w:hint="eastAsia" w:ascii="Times New Roman" w:hAnsi="Times New Roman" w:eastAsia="宋体" w:cs="Times New Roman"/>
          <w:b w:val="0"/>
          <w:i w:val="0"/>
          <w:sz w:val="21"/>
        </w:rPr>
        <w:t>Fig. 7 Complex-FRF spectra at selected locations</w:t>
      </w:r>
    </w:p>
    <w:p w14:paraId="294160BE">
      <w:pPr>
        <w:spacing w:before="156" w:after="40"/>
        <w:ind w:firstLine="0"/>
        <w:jc w:val="left"/>
      </w:pPr>
      <w:r>
        <w:rPr>
          <w:rFonts w:hint="eastAsia" w:ascii="Times New Roman" w:hAnsi="Times New Roman" w:eastAsia="宋体" w:cs="Times New Roman"/>
          <w:b/>
          <w:i w:val="0"/>
          <w:sz w:val="24"/>
        </w:rPr>
        <w:t>3.2 参数作用与覆盖层修正</w:t>
      </w:r>
    </w:p>
    <w:p w14:paraId="5A64DAA2">
      <w:pPr>
        <w:spacing w:before="0" w:after="0"/>
        <w:ind w:firstLine="420"/>
        <w:jc w:val="both"/>
      </w:pPr>
      <w:r>
        <w:rPr>
          <w:rFonts w:hint="eastAsia" w:ascii="Times New Roman" w:hAnsi="Times New Roman" w:eastAsia="宋体" w:cs="Times New Roman"/>
          <w:b w:val="0"/>
          <w:i w:val="0"/>
          <w:sz w:val="21"/>
        </w:rPr>
        <w:t>图8给出了均质坡以及固定</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时成层坡的坡角效应。均质坡峰值随坡角增大由1.269升至1.638，但主峰频率依次为2.2、9.9、8.1和3.2 Hz，控制位置也在坡顶邻域与下平台之间变化。加入覆盖层后，4种坡角的峰值分别为1.734、1.898、1.669和1.651，30°坡达到最大值。由此可见，坡角增大使均质坡峰值总体升高，而成层坡的变化还受到覆盖层干涉和主峰换位影响。</w:t>
      </w:r>
    </w:p>
    <w:p w14:paraId="251F60AF">
      <w:pPr>
        <w:spacing w:before="0" w:after="0"/>
        <w:ind w:firstLine="420"/>
        <w:jc w:val="both"/>
      </w:pPr>
      <w:r>
        <w:rPr>
          <w:rFonts w:hint="eastAsia" w:ascii="Times New Roman" w:hAnsi="Times New Roman" w:eastAsia="宋体" w:cs="Times New Roman"/>
          <w:b w:val="0"/>
          <w:i w:val="0"/>
          <w:sz w:val="21"/>
        </w:rPr>
        <w:t>图9比较了固定</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时的覆盖层厚度效应。随着</w:t>
      </w:r>
      <m:oMath>
        <m:r>
          <m:rPr/>
          <m:t>d</m:t>
        </m:r>
        <m:r>
          <m:rPr>
            <m:sty m:val="p"/>
          </m:rPr>
          <m:t>/</m:t>
        </m:r>
        <m:r>
          <m:rPr/>
          <m:t>h</m:t>
        </m:r>
      </m:oMath>
      <w:r>
        <w:rPr>
          <w:rFonts w:hint="eastAsia" w:ascii="Times New Roman" w:hAnsi="Times New Roman" w:eastAsia="宋体" w:cs="Times New Roman"/>
          <w:b w:val="0"/>
          <w:i w:val="0"/>
          <w:sz w:val="21"/>
        </w:rPr>
        <w:t>由0.20增至1.40，峰值依次为1.861、2.148、1.958和3.904，主峰频率依次为9.3、4.3、8.8和4.0 Hz，均呈非单调变化。在全部64个成层工况中，</w:t>
      </w:r>
      <m:oMath>
        <m:r>
          <m:rPr/>
          <m:t>d</m:t>
        </m:r>
        <m:r>
          <m:rPr>
            <m:sty m:val="p"/>
          </m:rPr>
          <m:t>/</m:t>
        </m:r>
        <m:r>
          <m:rPr/>
          <m:t>h</m:t>
        </m:r>
        <m:r>
          <m:rPr>
            <m:sty m:val="p"/>
          </m:rPr>
          <m:t>=</m:t>
        </m:r>
        <m:r>
          <m:rPr/>
          <m:t>0.20</m:t>
        </m:r>
      </m:oMath>
      <w:r>
        <w:rPr>
          <w:rFonts w:hint="eastAsia" w:ascii="Times New Roman" w:hAnsi="Times New Roman" w:eastAsia="宋体" w:cs="Times New Roman"/>
          <w:b w:val="0"/>
          <w:i w:val="0"/>
          <w:sz w:val="21"/>
        </w:rPr>
        <w:t>和0.60的32个工况均由上平台控制，</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时有3个工况转至坡面，</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时有15/16个工况由下平台控制。最厚层的峰值增大主要来自下平台形成新的控制峰，16条厚度序列中有9条表现为非单调变化。</w:t>
      </w:r>
    </w:p>
    <w:p w14:paraId="2B56058D">
      <w:pPr>
        <w:spacing w:before="0" w:after="0"/>
        <w:ind w:firstLine="420"/>
        <w:jc w:val="both"/>
      </w:pPr>
      <w:r>
        <w:rPr>
          <w:rFonts w:hint="eastAsia" w:ascii="Times New Roman" w:hAnsi="Times New Roman" w:eastAsia="宋体" w:cs="Times New Roman"/>
          <w:b w:val="0"/>
          <w:i w:val="0"/>
          <w:sz w:val="21"/>
        </w:rPr>
        <w:t>图10给出了固定</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时的波速比效应。4个工况的控制位置均在坡顶，峰值随</w:t>
      </w:r>
      <m:oMath>
        <m:sSub>
          <m:sSubPr/>
          <m:e>
            <m:r>
              <m:rPr/>
              <m:t>r</m:t>
            </m:r>
          </m:e>
          <m:sub>
            <m:r>
              <m:rPr/>
              <m:t>v</m:t>
            </m:r>
          </m:sub>
        </m:sSub>
      </m:oMath>
      <w:r>
        <w:rPr>
          <w:rFonts w:hint="eastAsia" w:ascii="Times New Roman" w:hAnsi="Times New Roman" w:eastAsia="宋体" w:cs="Times New Roman"/>
          <w:b w:val="0"/>
          <w:i w:val="0"/>
          <w:sz w:val="21"/>
        </w:rPr>
        <w:t>增大总体由2.148降至1.572。对全部参数组合统计，16条波速比序列中有13条峰值单调降低，另3条出现局部反转；相应主峰频率仅有5条单调升高。波速比提高总体上削弱软覆盖层强峰，但主峰频率仍随坡角和厚度组合发生变化。</w:t>
      </w:r>
    </w:p>
    <w:p w14:paraId="20B54387">
      <w:pPr>
        <w:spacing w:before="80" w:after="40"/>
        <w:ind w:firstLine="0"/>
        <w:jc w:val="center"/>
      </w:pPr>
      <w:r>
        <w:drawing>
          <wp:inline distT="0" distB="0" distL="114300" distR="114300">
            <wp:extent cx="2880360" cy="1777365"/>
            <wp:effectExtent l="0" t="0" r="1524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880360" cy="1777656"/>
                    </a:xfrm>
                    <a:prstGeom prst="rect">
                      <a:avLst/>
                    </a:prstGeom>
                  </pic:spPr>
                </pic:pic>
              </a:graphicData>
            </a:graphic>
          </wp:inline>
        </w:drawing>
      </w:r>
    </w:p>
    <w:p w14:paraId="22064430">
      <w:pPr>
        <w:spacing w:before="0" w:after="0"/>
        <w:ind w:firstLine="420"/>
        <w:jc w:val="both"/>
      </w:pPr>
      <w:r>
        <w:rPr>
          <w:rFonts w:hint="eastAsia" w:ascii="Times New Roman" w:hAnsi="Times New Roman" w:eastAsia="宋体" w:cs="Times New Roman"/>
          <w:b w:val="0"/>
          <w:i w:val="0"/>
          <w:sz w:val="21"/>
        </w:rPr>
        <w:t>图8 均质坡及</w:t>
      </w:r>
      <m:oMath>
        <m:r>
          <m:rPr/>
          <m:t>d</m:t>
        </m:r>
        <m:r>
          <m:rPr>
            <m:sty m:val="p"/>
          </m:rPr>
          <m:t>/</m:t>
        </m:r>
        <m:r>
          <m:rPr/>
          <m:t>h</m:t>
        </m:r>
        <m:r>
          <m:rPr>
            <m:sty m:val="p"/>
          </m:rPr>
          <m:t>=</m:t>
        </m:r>
        <m:r>
          <m:rPr/>
          <m:t>1.00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0.45</m:t>
        </m:r>
      </m:oMath>
      <w:r>
        <w:rPr>
          <w:rFonts w:hint="eastAsia" w:ascii="Times New Roman" w:hAnsi="Times New Roman" w:eastAsia="宋体" w:cs="Times New Roman"/>
          <w:b w:val="0"/>
          <w:i w:val="0"/>
          <w:sz w:val="21"/>
        </w:rPr>
        <w:t>成层坡的坡角效应</w:t>
      </w:r>
    </w:p>
    <w:p w14:paraId="37C00107">
      <w:pPr>
        <w:spacing w:before="0" w:after="0"/>
        <w:ind w:firstLine="420"/>
        <w:jc w:val="both"/>
      </w:pPr>
      <w:r>
        <w:rPr>
          <w:rFonts w:hint="eastAsia" w:ascii="Times New Roman" w:hAnsi="Times New Roman" w:eastAsia="宋体" w:cs="Times New Roman"/>
          <w:b w:val="0"/>
          <w:i w:val="0"/>
          <w:sz w:val="21"/>
        </w:rPr>
        <w:t>Fig. 8 Effect of slope angle</w:t>
      </w:r>
    </w:p>
    <w:p w14:paraId="1B8C5BAE">
      <w:pPr>
        <w:spacing w:before="80" w:after="40"/>
        <w:ind w:firstLine="0"/>
        <w:jc w:val="center"/>
      </w:pPr>
      <w:r>
        <w:drawing>
          <wp:inline distT="0" distB="0" distL="114300" distR="114300">
            <wp:extent cx="2880360" cy="1621790"/>
            <wp:effectExtent l="0" t="0" r="1524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80360" cy="1622061"/>
                    </a:xfrm>
                    <a:prstGeom prst="rect">
                      <a:avLst/>
                    </a:prstGeom>
                  </pic:spPr>
                </pic:pic>
              </a:graphicData>
            </a:graphic>
          </wp:inline>
        </w:drawing>
      </w:r>
    </w:p>
    <w:p w14:paraId="3F82B843">
      <w:pPr>
        <w:spacing w:before="0" w:after="0"/>
        <w:ind w:firstLine="420"/>
        <w:jc w:val="both"/>
      </w:pPr>
      <w:r>
        <w:rPr>
          <w:rFonts w:hint="eastAsia" w:ascii="Times New Roman" w:hAnsi="Times New Roman" w:eastAsia="宋体" w:cs="Times New Roman"/>
          <w:b w:val="0"/>
          <w:i w:val="0"/>
          <w:sz w:val="21"/>
        </w:rPr>
        <w:t xml:space="preserve">图9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时的厚度比效应</w:t>
      </w:r>
    </w:p>
    <w:p w14:paraId="46B39790">
      <w:pPr>
        <w:spacing w:before="0" w:after="0"/>
        <w:ind w:firstLine="420"/>
        <w:jc w:val="both"/>
      </w:pPr>
      <w:r>
        <w:rPr>
          <w:rFonts w:hint="eastAsia" w:ascii="Times New Roman" w:hAnsi="Times New Roman" w:eastAsia="宋体" w:cs="Times New Roman"/>
          <w:b w:val="0"/>
          <w:i w:val="0"/>
          <w:sz w:val="21"/>
        </w:rPr>
        <w:t>Fig. 9 Effect of cover-layer thickness ratio</w:t>
      </w:r>
    </w:p>
    <w:p w14:paraId="53A31419">
      <w:pPr>
        <w:spacing w:before="80" w:after="40"/>
        <w:ind w:firstLine="0"/>
        <w:jc w:val="center"/>
      </w:pPr>
      <w:r>
        <w:drawing>
          <wp:inline distT="0" distB="0" distL="114300" distR="114300">
            <wp:extent cx="2880360" cy="1614170"/>
            <wp:effectExtent l="0" t="0" r="152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880360" cy="1614793"/>
                    </a:xfrm>
                    <a:prstGeom prst="rect">
                      <a:avLst/>
                    </a:prstGeom>
                  </pic:spPr>
                </pic:pic>
              </a:graphicData>
            </a:graphic>
          </wp:inline>
        </w:drawing>
      </w:r>
    </w:p>
    <w:p w14:paraId="5ADA99F1">
      <w:pPr>
        <w:spacing w:before="0" w:after="0"/>
        <w:ind w:firstLine="420"/>
        <w:jc w:val="both"/>
      </w:pPr>
      <w:r>
        <w:rPr>
          <w:rFonts w:hint="eastAsia" w:ascii="Times New Roman" w:hAnsi="Times New Roman" w:eastAsia="宋体" w:cs="Times New Roman"/>
          <w:b w:val="0"/>
          <w:i w:val="0"/>
          <w:sz w:val="21"/>
        </w:rPr>
        <w:t xml:space="preserve">图10 </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时的波速比效应</w:t>
      </w:r>
    </w:p>
    <w:p w14:paraId="74A28298">
      <w:pPr>
        <w:spacing w:before="0" w:after="0"/>
        <w:ind w:firstLine="420"/>
        <w:jc w:val="both"/>
      </w:pPr>
      <w:r>
        <w:rPr>
          <w:rFonts w:hint="eastAsia" w:ascii="Times New Roman" w:hAnsi="Times New Roman" w:eastAsia="宋体" w:cs="Times New Roman"/>
          <w:b w:val="0"/>
          <w:i w:val="0"/>
          <w:sz w:val="21"/>
        </w:rPr>
        <w:t>Fig. 10 Effect of velocity ratio</w:t>
      </w:r>
    </w:p>
    <w:p w14:paraId="6088ABB2">
      <w:pPr>
        <w:spacing w:before="0" w:after="0"/>
        <w:ind w:firstLine="420"/>
        <w:jc w:val="both"/>
      </w:pPr>
      <w:r>
        <w:rPr>
          <w:rFonts w:hint="eastAsia" w:ascii="Times New Roman" w:hAnsi="Times New Roman" w:eastAsia="宋体" w:cs="Times New Roman"/>
          <w:b w:val="0"/>
          <w:i w:val="0"/>
          <w:sz w:val="21"/>
        </w:rPr>
        <w:t>图11和表4进一步给出了64个成层工况在不同参数水平下的峰值幅值和主峰频率分布。</w:t>
      </w:r>
    </w:p>
    <w:p w14:paraId="4630C639">
      <w:pPr>
        <w:spacing w:before="80" w:after="40"/>
        <w:ind w:firstLine="0"/>
        <w:jc w:val="center"/>
      </w:pPr>
      <w:r>
        <w:drawing>
          <wp:inline distT="0" distB="0" distL="114300" distR="114300">
            <wp:extent cx="2880360" cy="1597660"/>
            <wp:effectExtent l="0" t="0" r="152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880360" cy="1598204"/>
                    </a:xfrm>
                    <a:prstGeom prst="rect">
                      <a:avLst/>
                    </a:prstGeom>
                  </pic:spPr>
                </pic:pic>
              </a:graphicData>
            </a:graphic>
          </wp:inline>
        </w:drawing>
      </w:r>
    </w:p>
    <w:p w14:paraId="6CBA6246">
      <w:pPr>
        <w:spacing w:before="0" w:after="0"/>
        <w:ind w:firstLine="420"/>
        <w:jc w:val="both"/>
      </w:pPr>
      <w:r>
        <w:rPr>
          <w:rFonts w:hint="eastAsia" w:ascii="Times New Roman" w:hAnsi="Times New Roman" w:eastAsia="宋体" w:cs="Times New Roman"/>
          <w:b w:val="0"/>
          <w:i w:val="0"/>
          <w:sz w:val="21"/>
        </w:rPr>
        <w:t>图11 三参数水平下的峰值幅值与峰频分布</w:t>
      </w:r>
    </w:p>
    <w:p w14:paraId="4DCAE4FC">
      <w:pPr>
        <w:spacing w:before="0" w:after="0"/>
        <w:ind w:firstLine="420"/>
        <w:jc w:val="both"/>
      </w:pPr>
      <w:r>
        <w:rPr>
          <w:rFonts w:hint="eastAsia" w:ascii="Times New Roman" w:hAnsi="Times New Roman" w:eastAsia="宋体" w:cs="Times New Roman"/>
          <w:b w:val="0"/>
          <w:i w:val="0"/>
          <w:sz w:val="21"/>
        </w:rPr>
        <w:t>Fig. 11 Marginal effects of the three parameters</w:t>
      </w:r>
    </w:p>
    <w:p w14:paraId="1903DF03">
      <w:pPr>
        <w:spacing w:before="0" w:after="0"/>
        <w:ind w:firstLine="420"/>
        <w:jc w:val="both"/>
      </w:pPr>
      <w:r>
        <w:rPr>
          <w:rFonts w:hint="eastAsia" w:ascii="Times New Roman" w:hAnsi="Times New Roman" w:eastAsia="宋体" w:cs="Times New Roman"/>
          <w:b w:val="0"/>
          <w:i w:val="0"/>
          <w:sz w:val="21"/>
        </w:rPr>
        <w:t>表4 三参数边际中位数</w:t>
      </w:r>
    </w:p>
    <w:p w14:paraId="518C25FB">
      <w:pPr>
        <w:spacing w:before="0" w:after="0"/>
        <w:ind w:firstLine="420"/>
        <w:jc w:val="both"/>
      </w:pPr>
      <w:r>
        <w:rPr>
          <w:rFonts w:hint="eastAsia" w:ascii="Times New Roman" w:hAnsi="Times New Roman" w:eastAsia="宋体" w:cs="Times New Roman"/>
          <w:b w:val="0"/>
          <w:i w:val="0"/>
          <w:sz w:val="21"/>
        </w:rPr>
        <w:t>Table 4 Marginal medians of peak response</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2"/>
        <w:gridCol w:w="1601"/>
        <w:gridCol w:w="1319"/>
      </w:tblGrid>
      <w:tr w14:paraId="011164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auto" w:sz="6" w:space="0"/>
            </w:tcBorders>
            <w:vAlign w:val="center"/>
          </w:tcPr>
          <w:p w14:paraId="56A2B909">
            <w:pPr>
              <w:spacing w:before="30" w:after="30"/>
              <w:ind w:firstLine="0"/>
              <w:jc w:val="center"/>
            </w:pPr>
            <w:r>
              <w:rPr>
                <w:rFonts w:hint="eastAsia" w:ascii="Times New Roman" w:hAnsi="Times New Roman" w:eastAsia="宋体" w:cs="Times New Roman"/>
                <w:b/>
                <w:i w:val="0"/>
                <w:sz w:val="18"/>
              </w:rPr>
              <w:t>参数水平</w:t>
            </w:r>
          </w:p>
        </w:tc>
        <w:tc>
          <w:tcPr>
            <w:tcW w:w="3213" w:type="dxa"/>
            <w:tcBorders>
              <w:bottom w:val="single" w:color="auto" w:sz="6" w:space="0"/>
            </w:tcBorders>
            <w:vAlign w:val="center"/>
          </w:tcPr>
          <w:p w14:paraId="3913E8C9">
            <w:pPr>
              <w:spacing w:before="30" w:after="30"/>
              <w:ind w:firstLine="0"/>
              <w:jc w:val="center"/>
            </w:pPr>
            <w:r>
              <w:rPr>
                <w:rFonts w:hint="eastAsia" w:ascii="Times New Roman" w:hAnsi="Times New Roman" w:eastAsia="宋体" w:cs="Times New Roman"/>
                <w:b/>
                <w:i w:val="0"/>
                <w:sz w:val="18"/>
              </w:rPr>
              <w:t>峰值幅值中位数</w:t>
            </w:r>
          </w:p>
        </w:tc>
        <w:tc>
          <w:tcPr>
            <w:tcW w:w="3213" w:type="dxa"/>
            <w:tcBorders>
              <w:bottom w:val="single" w:color="auto" w:sz="6" w:space="0"/>
            </w:tcBorders>
            <w:vAlign w:val="center"/>
          </w:tcPr>
          <w:p w14:paraId="2A835628">
            <w:pPr>
              <w:spacing w:before="30" w:after="30"/>
              <w:ind w:firstLine="0"/>
              <w:jc w:val="center"/>
            </w:pPr>
            <w:r>
              <w:rPr>
                <w:rFonts w:hint="eastAsia" w:ascii="Times New Roman" w:hAnsi="Times New Roman" w:eastAsia="宋体" w:cs="Times New Roman"/>
                <w:b/>
                <w:i w:val="0"/>
                <w:sz w:val="18"/>
              </w:rPr>
              <w:t>峰频中位数/Hz</w:t>
            </w:r>
          </w:p>
        </w:tc>
      </w:tr>
      <w:tr w14:paraId="2D274D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4CBDDADD">
            <w:pPr>
              <w:spacing w:before="30" w:after="30"/>
              <w:ind w:firstLine="0"/>
              <w:jc w:val="center"/>
            </w:pPr>
            <m:oMathPara>
              <m:oMath>
                <m:r>
                  <m:rPr/>
                  <m:t>i</m:t>
                </m:r>
                <m:r>
                  <m:rPr>
                    <m:sty m:val="p"/>
                  </m:rPr>
                  <m:t>=</m:t>
                </m:r>
                <m:sSup>
                  <m:sSupPr/>
                  <m:e>
                    <m:r>
                      <m:rPr/>
                      <m:t>15</m:t>
                    </m:r>
                  </m:e>
                  <m:sup>
                    <m:r>
                      <m:rPr>
                        <m:sty m:val="p"/>
                      </m:rPr>
                      <m:t>∘</m:t>
                    </m:r>
                  </m:sup>
                </m:sSup>
                <m:r>
                  <m:rPr>
                    <m:sty m:val="p"/>
                  </m:rPr>
                  <m:t>/</m:t>
                </m:r>
                <m:sSup>
                  <m:sSupPr/>
                  <m:e>
                    <m:r>
                      <m:rPr/>
                      <m:t>30</m:t>
                    </m:r>
                  </m:e>
                  <m:sup>
                    <m:r>
                      <m:rPr>
                        <m:sty m:val="p"/>
                      </m:rPr>
                      <m:t>∘</m:t>
                    </m:r>
                  </m:sup>
                </m:sSup>
                <m:r>
                  <m:rPr>
                    <m:sty m:val="p"/>
                  </m:rPr>
                  <m:t>/</m:t>
                </m:r>
                <m:sSup>
                  <m:sSupPr/>
                  <m:e>
                    <m:r>
                      <m:rPr/>
                      <m:t>45</m:t>
                    </m:r>
                  </m:e>
                  <m:sup>
                    <m:r>
                      <m:rPr>
                        <m:sty m:val="p"/>
                      </m:rPr>
                      <m:t>∘</m:t>
                    </m:r>
                  </m:sup>
                </m:sSup>
                <m:r>
                  <m:rPr>
                    <m:sty m:val="p"/>
                  </m:rPr>
                  <m:t>/</m:t>
                </m:r>
                <m:sSup>
                  <m:sSupPr/>
                  <m:e>
                    <m:r>
                      <m:rPr/>
                      <m:t>60</m:t>
                    </m:r>
                  </m:e>
                  <m:sup>
                    <m:r>
                      <m:rPr>
                        <m:sty m:val="p"/>
                      </m:rPr>
                      <m:t>∘</m:t>
                    </m:r>
                  </m:sup>
                </m:sSup>
              </m:oMath>
            </m:oMathPara>
          </w:p>
        </w:tc>
        <w:tc>
          <w:tcPr>
            <w:tcW w:w="3213" w:type="dxa"/>
            <w:vAlign w:val="center"/>
          </w:tcPr>
          <w:p w14:paraId="29CFC7EC">
            <w:pPr>
              <w:spacing w:before="30" w:after="30"/>
              <w:ind w:firstLine="0"/>
              <w:jc w:val="center"/>
            </w:pPr>
            <w:r>
              <w:rPr>
                <w:rFonts w:hint="eastAsia" w:ascii="Times New Roman" w:hAnsi="Times New Roman" w:eastAsia="宋体" w:cs="Times New Roman"/>
                <w:b w:val="0"/>
                <w:i w:val="0"/>
                <w:sz w:val="18"/>
              </w:rPr>
              <w:t>1.665/1.694/1.688/1.718</w:t>
            </w:r>
          </w:p>
        </w:tc>
        <w:tc>
          <w:tcPr>
            <w:tcW w:w="3213" w:type="dxa"/>
            <w:vAlign w:val="center"/>
          </w:tcPr>
          <w:p w14:paraId="5ED2570B">
            <w:pPr>
              <w:spacing w:before="30" w:after="30"/>
              <w:ind w:firstLine="0"/>
              <w:jc w:val="center"/>
            </w:pPr>
            <w:r>
              <w:rPr>
                <w:rFonts w:hint="eastAsia" w:ascii="Times New Roman" w:hAnsi="Times New Roman" w:eastAsia="宋体" w:cs="Times New Roman"/>
                <w:b w:val="0"/>
                <w:i w:val="0"/>
                <w:sz w:val="18"/>
              </w:rPr>
              <w:t>6.40/8.85/6.85/4.35</w:t>
            </w:r>
          </w:p>
        </w:tc>
      </w:tr>
      <w:tr w14:paraId="2A5DF8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798D9AE2">
            <w:pPr>
              <w:spacing w:before="30" w:after="30"/>
              <w:ind w:firstLine="0"/>
              <w:jc w:val="center"/>
            </w:pPr>
            <m:oMathPara>
              <m:oMath>
                <m:r>
                  <m:rPr/>
                  <m:t>d</m:t>
                </m:r>
                <m:r>
                  <m:rPr>
                    <m:sty m:val="p"/>
                  </m:rPr>
                  <m:t>/</m:t>
                </m:r>
                <m:r>
                  <m:rPr/>
                  <m:t>h</m:t>
                </m:r>
                <m:r>
                  <m:rPr>
                    <m:sty m:val="p"/>
                  </m:rPr>
                  <m:t>=</m:t>
                </m:r>
                <m:r>
                  <m:rPr/>
                  <m:t>0.20</m:t>
                </m:r>
                <m:r>
                  <m:rPr>
                    <m:sty m:val="p"/>
                  </m:rPr>
                  <m:t>/</m:t>
                </m:r>
                <m:r>
                  <m:rPr/>
                  <m:t>0.60</m:t>
                </m:r>
                <m:r>
                  <m:rPr>
                    <m:sty m:val="p"/>
                  </m:rPr>
                  <m:t>/</m:t>
                </m:r>
                <m:r>
                  <m:rPr/>
                  <m:t>1.00</m:t>
                </m:r>
                <m:r>
                  <m:rPr>
                    <m:sty m:val="p"/>
                  </m:rPr>
                  <m:t>/</m:t>
                </m:r>
                <m:r>
                  <m:rPr/>
                  <m:t>1.40</m:t>
                </m:r>
              </m:oMath>
            </m:oMathPara>
          </w:p>
        </w:tc>
        <w:tc>
          <w:tcPr>
            <w:tcW w:w="3213" w:type="dxa"/>
            <w:vAlign w:val="center"/>
          </w:tcPr>
          <w:p w14:paraId="763938DD">
            <w:pPr>
              <w:spacing w:before="30" w:after="30"/>
              <w:ind w:firstLine="0"/>
              <w:jc w:val="center"/>
            </w:pPr>
            <w:r>
              <w:rPr>
                <w:rFonts w:hint="eastAsia" w:ascii="Times New Roman" w:hAnsi="Times New Roman" w:eastAsia="宋体" w:cs="Times New Roman"/>
                <w:b w:val="0"/>
                <w:i w:val="0"/>
                <w:sz w:val="18"/>
              </w:rPr>
              <w:t>1.517/1.754/1.647/2.245</w:t>
            </w:r>
          </w:p>
        </w:tc>
        <w:tc>
          <w:tcPr>
            <w:tcW w:w="3213" w:type="dxa"/>
            <w:vAlign w:val="center"/>
          </w:tcPr>
          <w:p w14:paraId="13AE0DD1">
            <w:pPr>
              <w:spacing w:before="30" w:after="30"/>
              <w:ind w:firstLine="0"/>
              <w:jc w:val="center"/>
            </w:pPr>
            <w:r>
              <w:rPr>
                <w:rFonts w:hint="eastAsia" w:ascii="Times New Roman" w:hAnsi="Times New Roman" w:eastAsia="宋体" w:cs="Times New Roman"/>
                <w:b w:val="0"/>
                <w:i w:val="0"/>
                <w:sz w:val="18"/>
              </w:rPr>
              <w:t>5.30/7.30/7.45/6.70</w:t>
            </w:r>
          </w:p>
        </w:tc>
      </w:tr>
      <w:tr w14:paraId="266802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528087EB">
            <w:pPr>
              <w:spacing w:before="30" w:after="30"/>
              <w:ind w:firstLine="0"/>
              <w:jc w:val="center"/>
            </w:pPr>
            <m:oMathPara>
              <m:oMath>
                <m:sSub>
                  <m:sSubPr/>
                  <m:e>
                    <m:r>
                      <m:rPr/>
                      <m:t>r</m:t>
                    </m:r>
                  </m:e>
                  <m:sub>
                    <m:r>
                      <m:rPr/>
                      <m:t>v</m:t>
                    </m:r>
                  </m:sub>
                </m:sSub>
                <m:r>
                  <m:rPr>
                    <m:sty m:val="p"/>
                  </m:rPr>
                  <m:t>=</m:t>
                </m:r>
                <m:r>
                  <m:rPr/>
                  <m:t>0.30</m:t>
                </m:r>
                <m:r>
                  <m:rPr>
                    <m:sty m:val="p"/>
                  </m:rPr>
                  <m:t>/</m:t>
                </m:r>
                <m:r>
                  <m:rPr/>
                  <m:t>0.45</m:t>
                </m:r>
                <m:r>
                  <m:rPr>
                    <m:sty m:val="p"/>
                  </m:rPr>
                  <m:t>/</m:t>
                </m:r>
                <m:r>
                  <m:rPr/>
                  <m:t>0.60</m:t>
                </m:r>
                <m:r>
                  <m:rPr>
                    <m:sty m:val="p"/>
                  </m:rPr>
                  <m:t>/</m:t>
                </m:r>
                <m:r>
                  <m:rPr/>
                  <m:t>0.75</m:t>
                </m:r>
              </m:oMath>
            </m:oMathPara>
          </w:p>
        </w:tc>
        <w:tc>
          <w:tcPr>
            <w:tcW w:w="3213" w:type="dxa"/>
            <w:vAlign w:val="center"/>
          </w:tcPr>
          <w:p w14:paraId="2BBA38D4">
            <w:pPr>
              <w:spacing w:before="30" w:after="30"/>
              <w:ind w:firstLine="0"/>
              <w:jc w:val="center"/>
            </w:pPr>
            <w:r>
              <w:rPr>
                <w:rFonts w:hint="eastAsia" w:ascii="Times New Roman" w:hAnsi="Times New Roman" w:eastAsia="宋体" w:cs="Times New Roman"/>
                <w:b w:val="0"/>
                <w:i w:val="0"/>
                <w:sz w:val="18"/>
              </w:rPr>
              <w:t>2.152/1.767/1.628/1.541</w:t>
            </w:r>
          </w:p>
        </w:tc>
        <w:tc>
          <w:tcPr>
            <w:tcW w:w="3213" w:type="dxa"/>
            <w:vAlign w:val="center"/>
          </w:tcPr>
          <w:p w14:paraId="4F0DF649">
            <w:pPr>
              <w:spacing w:before="30" w:after="30"/>
              <w:ind w:firstLine="0"/>
              <w:jc w:val="center"/>
            </w:pPr>
            <w:r>
              <w:rPr>
                <w:rFonts w:hint="eastAsia" w:ascii="Times New Roman" w:hAnsi="Times New Roman" w:eastAsia="宋体" w:cs="Times New Roman"/>
                <w:b w:val="0"/>
                <w:i w:val="0"/>
                <w:sz w:val="18"/>
              </w:rPr>
              <w:t>4.75/6.50/7.75/7.05</w:t>
            </w:r>
          </w:p>
        </w:tc>
      </w:tr>
    </w:tbl>
    <w:p w14:paraId="5975A517">
      <w:pPr>
        <w:spacing w:before="0" w:after="0"/>
        <w:ind w:firstLine="420"/>
        <w:jc w:val="both"/>
      </w:pPr>
      <w:r>
        <w:rPr>
          <w:rFonts w:hint="eastAsia" w:ascii="Times New Roman" w:hAnsi="Times New Roman" w:eastAsia="宋体" w:cs="Times New Roman"/>
          <w:b w:val="0"/>
          <w:i w:val="0"/>
          <w:sz w:val="21"/>
        </w:rPr>
        <w:t>由图11和表4可见，4种坡角下的峰值中位数仅相差3.15%，说明坡角对一般工况峰值的影响相对较小，但各坡角组的最大值仍由3.539增至4.012。厚度比增大时，峰值中位数呈先升高、后降低、再升高的变化；波速比由0.30增至0.75时，峰值中位数由2.152降至1.541，降低28.39%，其变化方向最为稳定。各参数水平下主峰频率的分布范围均有较大重叠，表明峰频还受到参数组合和候选峰换位的共同影响。</w:t>
      </w:r>
    </w:p>
    <w:p w14:paraId="4A797CA3">
      <w:pPr>
        <w:spacing w:before="0" w:after="0"/>
        <w:ind w:firstLine="420"/>
        <w:jc w:val="both"/>
      </w:pPr>
      <w:r>
        <w:rPr>
          <w:rFonts w:hint="eastAsia" w:ascii="Times New Roman" w:hAnsi="Times New Roman" w:eastAsia="宋体" w:cs="Times New Roman"/>
          <w:b w:val="0"/>
          <w:i w:val="0"/>
          <w:sz w:val="21"/>
        </w:rPr>
        <w:t>图12显示，64个工况的峰值范围为1.249～4.012。峰值超过3.0的P013、P029、P045和P061均满足</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，其主峰集中在4.0～4.1 Hz，峰位位于下平台</w:t>
      </w:r>
      <m:oMath>
        <m:r>
          <m:rPr/>
          <m:t>s</m:t>
        </m:r>
        <m:r>
          <m:rPr>
            <m:sty m:val="p"/>
          </m:rPr>
          <m:t>=</m:t>
        </m:r>
        <m:r>
          <m:rPr/>
          <m:t>3.15</m:t>
        </m:r>
        <m:r>
          <m:rPr>
            <m:sty m:val="p"/>
          </m:rPr>
          <m:t>∼</m:t>
        </m:r>
        <m:r>
          <m:rPr/>
          <m:t>3.25</m:t>
        </m:r>
      </m:oMath>
      <w:r>
        <w:rPr>
          <w:rFonts w:hint="eastAsia" w:ascii="Times New Roman" w:hAnsi="Times New Roman" w:eastAsia="宋体" w:cs="Times New Roman"/>
          <w:b w:val="0"/>
          <w:i w:val="0"/>
          <w:sz w:val="21"/>
        </w:rPr>
        <w:t>。在这一软厚组合中，坡角增大使峰值由3.539升至4.012；当厚度减小或波速比提高后，控制峰则可能返回坡顶或转至其他频带。</w:t>
      </w:r>
    </w:p>
    <w:p w14:paraId="14DFA065">
      <w:pPr>
        <w:spacing w:before="0" w:after="0"/>
        <w:ind w:firstLine="420"/>
        <w:jc w:val="both"/>
      </w:pPr>
      <w:r>
        <w:rPr>
          <w:rFonts w:hint="eastAsia" w:ascii="Times New Roman" w:hAnsi="Times New Roman" w:eastAsia="宋体" w:cs="Times New Roman"/>
          <w:b w:val="0"/>
          <w:i w:val="0"/>
          <w:sz w:val="21"/>
        </w:rPr>
        <w:t>图13给出了不同空间区段和频带内的参数效应。厚度对坡面低、中、高频响应的最大跨度分别为1.14、1.30和1.74倍，对下平台则为1.33、1.96和2.02倍，而上平台各频带均不超过1.10倍。最厚覆盖层主要增强下平台的中、高频响应，低频区域中位数并未同步增大。坡角和波速比在不同频带也可表现出相反的变化方向，因此仅采用全场最大值难以反映各地表区段的典型响应。代表性参数序列列于表5。</w:t>
      </w:r>
    </w:p>
    <w:p w14:paraId="65DD08F9">
      <w:pPr>
        <w:spacing w:before="80" w:after="40"/>
        <w:ind w:firstLine="0"/>
        <w:jc w:val="center"/>
      </w:pPr>
      <w:r>
        <w:drawing>
          <wp:inline distT="0" distB="0" distL="114300" distR="114300">
            <wp:extent cx="2880360" cy="1510030"/>
            <wp:effectExtent l="0" t="0" r="1524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2880360" cy="1510519"/>
                    </a:xfrm>
                    <a:prstGeom prst="rect">
                      <a:avLst/>
                    </a:prstGeom>
                  </pic:spPr>
                </pic:pic>
              </a:graphicData>
            </a:graphic>
          </wp:inline>
        </w:drawing>
      </w:r>
    </w:p>
    <w:p w14:paraId="6D399E76">
      <w:pPr>
        <w:spacing w:before="0" w:after="0"/>
        <w:ind w:firstLine="420"/>
        <w:jc w:val="both"/>
      </w:pPr>
      <w:r>
        <w:rPr>
          <w:rFonts w:hint="eastAsia" w:ascii="Times New Roman" w:hAnsi="Times New Roman" w:eastAsia="宋体" w:cs="Times New Roman"/>
          <w:b w:val="0"/>
          <w:i w:val="0"/>
          <w:sz w:val="21"/>
        </w:rPr>
        <w:t>图12 四种坡角的厚度比—波速比响应矩阵</w:t>
      </w:r>
    </w:p>
    <w:p w14:paraId="02151C66">
      <w:pPr>
        <w:spacing w:before="0" w:after="0"/>
        <w:ind w:firstLine="420"/>
        <w:jc w:val="both"/>
      </w:pPr>
      <w:r>
        <w:rPr>
          <w:rFonts w:hint="eastAsia" w:ascii="Times New Roman" w:hAnsi="Times New Roman" w:eastAsia="宋体" w:cs="Times New Roman"/>
          <w:b w:val="0"/>
          <w:i w:val="0"/>
          <w:sz w:val="21"/>
        </w:rPr>
        <w:t>Fig. 12 Thickness–velocity response matrices</w:t>
      </w:r>
    </w:p>
    <w:p w14:paraId="6CE677B4">
      <w:pPr>
        <w:spacing w:before="80" w:after="40"/>
        <w:ind w:firstLine="0"/>
        <w:jc w:val="center"/>
      </w:pPr>
      <w:r>
        <w:drawing>
          <wp:inline distT="0" distB="0" distL="114300" distR="114300">
            <wp:extent cx="2880360" cy="1016000"/>
            <wp:effectExtent l="0" t="0" r="1524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880360" cy="1016161"/>
                    </a:xfrm>
                    <a:prstGeom prst="rect">
                      <a:avLst/>
                    </a:prstGeom>
                  </pic:spPr>
                </pic:pic>
              </a:graphicData>
            </a:graphic>
          </wp:inline>
        </w:drawing>
      </w:r>
    </w:p>
    <w:p w14:paraId="79A1E02C">
      <w:pPr>
        <w:spacing w:before="0" w:after="0"/>
        <w:ind w:firstLine="420"/>
        <w:jc w:val="both"/>
      </w:pPr>
      <w:r>
        <w:rPr>
          <w:rFonts w:hint="eastAsia" w:ascii="Times New Roman" w:hAnsi="Times New Roman" w:eastAsia="宋体" w:cs="Times New Roman"/>
          <w:b w:val="0"/>
          <w:i w:val="0"/>
          <w:sz w:val="21"/>
        </w:rPr>
        <w:t>图13 分空间区段、分频带的参数效应</w:t>
      </w:r>
    </w:p>
    <w:p w14:paraId="2CDB1A4C">
      <w:pPr>
        <w:spacing w:before="0" w:after="0"/>
        <w:ind w:firstLine="420"/>
        <w:jc w:val="both"/>
      </w:pPr>
      <w:r>
        <w:rPr>
          <w:rFonts w:hint="eastAsia" w:ascii="Times New Roman" w:hAnsi="Times New Roman" w:eastAsia="宋体" w:cs="Times New Roman"/>
          <w:b w:val="0"/>
          <w:i w:val="0"/>
          <w:sz w:val="21"/>
        </w:rPr>
        <w:t>Fig. 13 Parameter effects by segment and frequency band</w:t>
      </w:r>
    </w:p>
    <w:p w14:paraId="2C39C374">
      <w:pPr>
        <w:spacing w:before="0" w:after="0"/>
        <w:ind w:firstLine="420"/>
        <w:jc w:val="both"/>
      </w:pPr>
      <w:r>
        <w:rPr>
          <w:rFonts w:hint="eastAsia" w:ascii="Times New Roman" w:hAnsi="Times New Roman" w:eastAsia="宋体" w:cs="Times New Roman"/>
          <w:b w:val="0"/>
          <w:i w:val="0"/>
          <w:sz w:val="21"/>
        </w:rPr>
        <w:t>表5 代表性参数序列</w:t>
      </w:r>
    </w:p>
    <w:p w14:paraId="5D880B24">
      <w:pPr>
        <w:spacing w:before="0" w:after="0"/>
        <w:ind w:firstLine="420"/>
        <w:jc w:val="both"/>
      </w:pPr>
      <w:r>
        <w:rPr>
          <w:rFonts w:hint="eastAsia" w:ascii="Times New Roman" w:hAnsi="Times New Roman" w:eastAsia="宋体" w:cs="Times New Roman"/>
          <w:b w:val="0"/>
          <w:i w:val="0"/>
          <w:sz w:val="21"/>
        </w:rPr>
        <w:t>Table 5 Representative parameter sequences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7"/>
        <w:gridCol w:w="2042"/>
        <w:gridCol w:w="1434"/>
        <w:gridCol w:w="369"/>
      </w:tblGrid>
      <w:tr w14:paraId="7B07FB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6" w:space="0"/>
            </w:tcBorders>
            <w:vAlign w:val="center"/>
          </w:tcPr>
          <w:p w14:paraId="5240EBBE">
            <w:pPr>
              <w:spacing w:before="30" w:after="30"/>
              <w:ind w:firstLine="0"/>
              <w:jc w:val="center"/>
            </w:pPr>
            <w:r>
              <w:rPr>
                <w:rFonts w:hint="eastAsia" w:ascii="Times New Roman" w:hAnsi="Times New Roman" w:eastAsia="宋体" w:cs="Times New Roman"/>
                <w:b/>
                <w:i w:val="0"/>
                <w:sz w:val="18"/>
              </w:rPr>
              <w:t>比较</w:t>
            </w:r>
          </w:p>
        </w:tc>
        <w:tc>
          <w:tcPr>
            <w:tcW w:w="2409" w:type="dxa"/>
            <w:tcBorders>
              <w:bottom w:val="single" w:color="auto" w:sz="6" w:space="0"/>
            </w:tcBorders>
            <w:vAlign w:val="center"/>
          </w:tcPr>
          <w:p w14:paraId="53C4014E">
            <w:pPr>
              <w:spacing w:before="30" w:after="30"/>
              <w:ind w:firstLine="0"/>
              <w:jc w:val="center"/>
            </w:pPr>
            <w:r>
              <w:rPr>
                <w:rFonts w:hint="eastAsia" w:ascii="Times New Roman" w:hAnsi="Times New Roman" w:eastAsia="宋体" w:cs="Times New Roman"/>
                <w:b/>
                <w:i w:val="0"/>
                <w:sz w:val="18"/>
              </w:rPr>
              <w:t>峰值幅值</w:t>
            </w:r>
          </w:p>
        </w:tc>
        <w:tc>
          <w:tcPr>
            <w:tcW w:w="2409" w:type="dxa"/>
            <w:tcBorders>
              <w:bottom w:val="single" w:color="auto" w:sz="6" w:space="0"/>
            </w:tcBorders>
            <w:vAlign w:val="center"/>
          </w:tcPr>
          <w:p w14:paraId="50E20F52">
            <w:pPr>
              <w:spacing w:before="30" w:after="30"/>
              <w:ind w:firstLine="0"/>
              <w:jc w:val="center"/>
            </w:pPr>
            <w:r>
              <w:rPr>
                <w:rFonts w:hint="eastAsia" w:ascii="Times New Roman" w:hAnsi="Times New Roman" w:eastAsia="宋体" w:cs="Times New Roman"/>
                <w:b/>
                <w:i w:val="0"/>
                <w:sz w:val="18"/>
              </w:rPr>
              <w:t>主峰频率/Hz</w:t>
            </w:r>
          </w:p>
        </w:tc>
        <w:tc>
          <w:tcPr>
            <w:tcW w:w="2409" w:type="dxa"/>
            <w:tcBorders>
              <w:bottom w:val="single" w:color="auto" w:sz="6" w:space="0"/>
            </w:tcBorders>
            <w:vAlign w:val="center"/>
          </w:tcPr>
          <w:p w14:paraId="10EC7A7A">
            <w:pPr>
              <w:spacing w:before="30" w:after="30"/>
              <w:ind w:firstLine="0"/>
              <w:jc w:val="center"/>
            </w:pPr>
            <w:r>
              <w:rPr>
                <w:rFonts w:hint="eastAsia" w:ascii="Times New Roman" w:hAnsi="Times New Roman" w:eastAsia="宋体" w:cs="Times New Roman"/>
                <w:b/>
                <w:i w:val="0"/>
                <w:sz w:val="18"/>
              </w:rPr>
              <w:t>主要特征</w:t>
            </w:r>
          </w:p>
        </w:tc>
      </w:tr>
      <w:tr w14:paraId="0B3F30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7C9F9D7D">
            <w:pPr>
              <w:spacing w:before="30" w:after="30"/>
              <w:ind w:firstLine="0"/>
              <w:jc w:val="center"/>
            </w:pPr>
            <w:r>
              <w:rPr>
                <w:rFonts w:hint="eastAsia" w:ascii="Times New Roman" w:hAnsi="Times New Roman" w:eastAsia="宋体" w:cs="Times New Roman"/>
                <w:b w:val="0"/>
                <w:i w:val="0"/>
                <w:sz w:val="18"/>
              </w:rPr>
              <w:t>均质坡角15°→60°</w:t>
            </w:r>
          </w:p>
        </w:tc>
        <w:tc>
          <w:tcPr>
            <w:tcW w:w="2409" w:type="dxa"/>
            <w:vAlign w:val="center"/>
          </w:tcPr>
          <w:p w14:paraId="7851984E">
            <w:pPr>
              <w:spacing w:before="30" w:after="30"/>
              <w:ind w:firstLine="0"/>
              <w:jc w:val="center"/>
            </w:pPr>
            <w:r>
              <w:rPr>
                <w:rFonts w:hint="eastAsia" w:ascii="Times New Roman" w:hAnsi="Times New Roman" w:eastAsia="宋体" w:cs="Times New Roman"/>
                <w:b w:val="0"/>
                <w:i w:val="0"/>
                <w:sz w:val="18"/>
              </w:rPr>
              <w:t>1.269→1.638</w:t>
            </w:r>
          </w:p>
        </w:tc>
        <w:tc>
          <w:tcPr>
            <w:tcW w:w="2409" w:type="dxa"/>
            <w:vAlign w:val="center"/>
          </w:tcPr>
          <w:p w14:paraId="22E73D6B">
            <w:pPr>
              <w:spacing w:before="30" w:after="30"/>
              <w:ind w:firstLine="0"/>
              <w:jc w:val="center"/>
            </w:pPr>
            <w:r>
              <w:rPr>
                <w:rFonts w:hint="eastAsia" w:ascii="Times New Roman" w:hAnsi="Times New Roman" w:eastAsia="宋体" w:cs="Times New Roman"/>
                <w:b w:val="0"/>
                <w:i w:val="0"/>
                <w:sz w:val="18"/>
              </w:rPr>
              <w:t>2.2→9.9→8.1→3.2</w:t>
            </w:r>
          </w:p>
        </w:tc>
        <w:tc>
          <w:tcPr>
            <w:tcW w:w="2409" w:type="dxa"/>
            <w:vAlign w:val="center"/>
          </w:tcPr>
          <w:p w14:paraId="3197F71D">
            <w:pPr>
              <w:spacing w:before="30" w:after="30"/>
              <w:ind w:firstLine="0"/>
              <w:jc w:val="center"/>
            </w:pPr>
            <w:r>
              <w:rPr>
                <w:rFonts w:hint="eastAsia" w:ascii="Times New Roman" w:hAnsi="Times New Roman" w:eastAsia="宋体" w:cs="Times New Roman"/>
                <w:b w:val="0"/>
                <w:i w:val="0"/>
                <w:sz w:val="18"/>
              </w:rPr>
              <w:t>峰位换位</w:t>
            </w:r>
          </w:p>
        </w:tc>
      </w:tr>
      <w:tr w14:paraId="46A366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29980782">
            <w:pPr>
              <w:spacing w:before="30" w:after="30"/>
              <w:ind w:firstLine="0"/>
              <w:jc w:val="center"/>
            </w:pPr>
            <w:r>
              <w:rPr>
                <w:rFonts w:hint="eastAsia" w:ascii="Times New Roman" w:hAnsi="Times New Roman" w:eastAsia="宋体" w:cs="Times New Roman"/>
                <w:b w:val="0"/>
                <w:i w:val="0"/>
                <w:sz w:val="18"/>
              </w:rPr>
              <w:t>成层坡角序列</w:t>
            </w:r>
          </w:p>
        </w:tc>
        <w:tc>
          <w:tcPr>
            <w:tcW w:w="2409" w:type="dxa"/>
            <w:vAlign w:val="center"/>
          </w:tcPr>
          <w:p w14:paraId="320A9D75">
            <w:pPr>
              <w:spacing w:before="30" w:after="30"/>
              <w:ind w:firstLine="0"/>
              <w:jc w:val="center"/>
            </w:pPr>
            <w:r>
              <w:rPr>
                <w:rFonts w:hint="eastAsia" w:ascii="Times New Roman" w:hAnsi="Times New Roman" w:eastAsia="宋体" w:cs="Times New Roman"/>
                <w:b w:val="0"/>
                <w:i w:val="0"/>
                <w:sz w:val="18"/>
              </w:rPr>
              <w:t>1.734→1.898→1.669→1.651</w:t>
            </w:r>
          </w:p>
        </w:tc>
        <w:tc>
          <w:tcPr>
            <w:tcW w:w="2409" w:type="dxa"/>
            <w:vAlign w:val="center"/>
          </w:tcPr>
          <w:p w14:paraId="425E2922">
            <w:pPr>
              <w:spacing w:before="30" w:after="30"/>
              <w:ind w:firstLine="0"/>
              <w:jc w:val="center"/>
            </w:pPr>
            <w:r>
              <w:rPr>
                <w:rFonts w:hint="eastAsia" w:ascii="Times New Roman" w:hAnsi="Times New Roman" w:eastAsia="宋体" w:cs="Times New Roman"/>
                <w:b w:val="0"/>
                <w:i w:val="0"/>
                <w:sz w:val="18"/>
              </w:rPr>
              <w:t>9.3→8.8→9.3→2.1</w:t>
            </w:r>
          </w:p>
        </w:tc>
        <w:tc>
          <w:tcPr>
            <w:tcW w:w="2409" w:type="dxa"/>
            <w:vAlign w:val="center"/>
          </w:tcPr>
          <w:p w14:paraId="5632659A">
            <w:pPr>
              <w:spacing w:before="30" w:after="30"/>
              <w:ind w:firstLine="0"/>
              <w:jc w:val="center"/>
            </w:pPr>
            <w:r>
              <w:rPr>
                <w:rFonts w:hint="eastAsia" w:ascii="Times New Roman" w:hAnsi="Times New Roman" w:eastAsia="宋体" w:cs="Times New Roman"/>
                <w:b w:val="0"/>
                <w:i w:val="0"/>
                <w:sz w:val="18"/>
              </w:rPr>
              <w:t>非单调</w:t>
            </w:r>
          </w:p>
        </w:tc>
      </w:tr>
      <w:tr w14:paraId="01F202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33734F73">
            <w:pPr>
              <w:spacing w:before="30" w:after="30"/>
              <w:ind w:firstLine="0"/>
              <w:jc w:val="center"/>
            </w:pPr>
            <w:r>
              <w:rPr>
                <w:rFonts w:hint="eastAsia" w:ascii="Times New Roman" w:hAnsi="Times New Roman" w:eastAsia="宋体" w:cs="Times New Roman"/>
                <w:b w:val="0"/>
                <w:i w:val="0"/>
                <w:sz w:val="18"/>
              </w:rPr>
              <w:t>厚度比序列</w:t>
            </w:r>
          </w:p>
        </w:tc>
        <w:tc>
          <w:tcPr>
            <w:tcW w:w="2409" w:type="dxa"/>
            <w:vAlign w:val="center"/>
          </w:tcPr>
          <w:p w14:paraId="39E7DF1C">
            <w:pPr>
              <w:spacing w:before="30" w:after="30"/>
              <w:ind w:firstLine="0"/>
              <w:jc w:val="center"/>
            </w:pPr>
            <w:r>
              <w:rPr>
                <w:rFonts w:hint="eastAsia" w:ascii="Times New Roman" w:hAnsi="Times New Roman" w:eastAsia="宋体" w:cs="Times New Roman"/>
                <w:b w:val="0"/>
                <w:i w:val="0"/>
                <w:sz w:val="18"/>
              </w:rPr>
              <w:t>1.861→2.148→1.958→3.904</w:t>
            </w:r>
          </w:p>
        </w:tc>
        <w:tc>
          <w:tcPr>
            <w:tcW w:w="2409" w:type="dxa"/>
            <w:vAlign w:val="center"/>
          </w:tcPr>
          <w:p w14:paraId="31F72505">
            <w:pPr>
              <w:spacing w:before="30" w:after="30"/>
              <w:ind w:firstLine="0"/>
              <w:jc w:val="center"/>
            </w:pPr>
            <w:r>
              <w:rPr>
                <w:rFonts w:hint="eastAsia" w:ascii="Times New Roman" w:hAnsi="Times New Roman" w:eastAsia="宋体" w:cs="Times New Roman"/>
                <w:b w:val="0"/>
                <w:i w:val="0"/>
                <w:sz w:val="18"/>
              </w:rPr>
              <w:t>9.3→4.3→8.8→4.0</w:t>
            </w:r>
          </w:p>
        </w:tc>
        <w:tc>
          <w:tcPr>
            <w:tcW w:w="2409" w:type="dxa"/>
            <w:vAlign w:val="center"/>
          </w:tcPr>
          <w:p w14:paraId="33BB800F">
            <w:pPr>
              <w:spacing w:before="30" w:after="30"/>
              <w:ind w:firstLine="0"/>
              <w:jc w:val="center"/>
            </w:pPr>
            <w:r>
              <w:rPr>
                <w:rFonts w:hint="eastAsia" w:ascii="Times New Roman" w:hAnsi="Times New Roman" w:eastAsia="宋体" w:cs="Times New Roman"/>
                <w:b w:val="0"/>
                <w:i w:val="0"/>
                <w:sz w:val="18"/>
              </w:rPr>
              <w:t>最厚层转至下平台</w:t>
            </w:r>
          </w:p>
        </w:tc>
      </w:tr>
      <w:tr w14:paraId="2E9F3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5D3CA4F3">
            <w:pPr>
              <w:spacing w:before="30" w:after="30"/>
              <w:ind w:firstLine="0"/>
              <w:jc w:val="center"/>
            </w:pPr>
            <w:r>
              <w:rPr>
                <w:rFonts w:hint="eastAsia" w:ascii="Times New Roman" w:hAnsi="Times New Roman" w:eastAsia="宋体" w:cs="Times New Roman"/>
                <w:b w:val="0"/>
                <w:i w:val="0"/>
                <w:sz w:val="18"/>
              </w:rPr>
              <w:t>波速比序列</w:t>
            </w:r>
          </w:p>
        </w:tc>
        <w:tc>
          <w:tcPr>
            <w:tcW w:w="2409" w:type="dxa"/>
            <w:vAlign w:val="center"/>
          </w:tcPr>
          <w:p w14:paraId="564A6DC2">
            <w:pPr>
              <w:spacing w:before="30" w:after="30"/>
              <w:ind w:firstLine="0"/>
              <w:jc w:val="center"/>
            </w:pPr>
            <w:r>
              <w:rPr>
                <w:rFonts w:hint="eastAsia" w:ascii="Times New Roman" w:hAnsi="Times New Roman" w:eastAsia="宋体" w:cs="Times New Roman"/>
                <w:b w:val="0"/>
                <w:i w:val="0"/>
                <w:sz w:val="18"/>
              </w:rPr>
              <w:t>2.148→1.572</w:t>
            </w:r>
          </w:p>
        </w:tc>
        <w:tc>
          <w:tcPr>
            <w:tcW w:w="2409" w:type="dxa"/>
            <w:vAlign w:val="center"/>
          </w:tcPr>
          <w:p w14:paraId="149CDCAB">
            <w:pPr>
              <w:spacing w:before="30" w:after="30"/>
              <w:ind w:firstLine="0"/>
              <w:jc w:val="center"/>
            </w:pPr>
            <w:r>
              <w:rPr>
                <w:rFonts w:hint="eastAsia" w:ascii="Times New Roman" w:hAnsi="Times New Roman" w:eastAsia="宋体" w:cs="Times New Roman"/>
                <w:b w:val="0"/>
                <w:i w:val="0"/>
                <w:sz w:val="18"/>
              </w:rPr>
              <w:t>4.3→8.2</w:t>
            </w:r>
          </w:p>
        </w:tc>
        <w:tc>
          <w:tcPr>
            <w:tcW w:w="2409" w:type="dxa"/>
            <w:vAlign w:val="center"/>
          </w:tcPr>
          <w:p w14:paraId="402AC35E">
            <w:pPr>
              <w:spacing w:before="30" w:after="30"/>
              <w:ind w:firstLine="0"/>
              <w:jc w:val="center"/>
            </w:pPr>
            <w:r>
              <w:rPr>
                <w:rFonts w:hint="eastAsia" w:ascii="Times New Roman" w:hAnsi="Times New Roman" w:eastAsia="宋体" w:cs="Times New Roman"/>
                <w:b w:val="0"/>
                <w:i w:val="0"/>
                <w:sz w:val="18"/>
              </w:rPr>
              <w:t>峰值总体降低</w:t>
            </w:r>
          </w:p>
        </w:tc>
      </w:tr>
    </w:tbl>
    <w:p w14:paraId="620C8D9D">
      <w:pPr>
        <w:spacing w:before="0" w:after="0"/>
        <w:ind w:firstLine="420"/>
        <w:jc w:val="both"/>
      </w:pPr>
      <w:r>
        <w:rPr>
          <w:rFonts w:hint="eastAsia" w:ascii="Times New Roman" w:hAnsi="Times New Roman" w:eastAsia="宋体" w:cs="Times New Roman"/>
          <w:b w:val="0"/>
          <w:i w:val="0"/>
          <w:sz w:val="21"/>
        </w:rPr>
        <w:t>图14给出了三参数对峰值幅值和主峰频率的相对贡献。峰值幅值差异主要来自</w:t>
      </w:r>
      <m:oMath>
        <m:sSub>
          <m:sSubPr/>
          <m:e>
            <m:r>
              <m:rPr/>
              <m:t>r</m:t>
            </m:r>
          </m:e>
          <m:sub>
            <m:r>
              <m:rPr/>
              <m:t>v</m:t>
            </m:r>
          </m:sub>
        </m:sSub>
      </m:oMath>
      <w:r>
        <w:rPr>
          <w:rFonts w:hint="eastAsia" w:ascii="Times New Roman" w:hAnsi="Times New Roman" w:eastAsia="宋体" w:cs="Times New Roman"/>
          <w:b w:val="0"/>
          <w:i w:val="0"/>
          <w:sz w:val="21"/>
        </w:rPr>
        <w:t>、</w:t>
      </w:r>
      <m:oMath>
        <m:r>
          <m:rPr/>
          <m:t>d</m:t>
        </m:r>
        <m:r>
          <m:rPr>
            <m:sty m:val="p"/>
          </m:rPr>
          <m:t>/</m:t>
        </m:r>
        <m:r>
          <m:rPr/>
          <m:t>h</m:t>
        </m:r>
      </m:oMath>
      <w:r>
        <w:rPr>
          <w:rFonts w:hint="eastAsia" w:ascii="Times New Roman" w:hAnsi="Times New Roman" w:eastAsia="宋体" w:cs="Times New Roman"/>
          <w:b w:val="0"/>
          <w:i w:val="0"/>
          <w:sz w:val="21"/>
        </w:rPr>
        <w:t>及二者交互，贡献率分别为39.65%、34.21%和21.72%；主峰频率的二阶交互贡献合计为66.19%。例如，固定</w:t>
      </w:r>
      <m:oMath>
        <m:r>
          <m:rPr/>
          <m:t>i</m:t>
        </m:r>
        <m:r>
          <m:rPr>
            <m:sty m:val="p"/>
          </m:rPr>
          <m:t>=</m:t>
        </m:r>
        <m:sSup>
          <m:sSupPr/>
          <m:e>
            <m:r>
              <m:rPr/>
              <m:t>15</m:t>
            </m:r>
          </m:e>
          <m:sup>
            <m:r>
              <m:rPr>
                <m:sty m:val="p"/>
              </m:rPr>
              <m:t>∘</m:t>
            </m:r>
          </m:sup>
        </m:sSup>
      </m:oMath>
      <w:r>
        <w:rPr>
          <w:rFonts w:hint="eastAsia" w:ascii="Times New Roman" w:hAnsi="Times New Roman" w:eastAsia="宋体" w:cs="Times New Roman"/>
          <w:b w:val="0"/>
          <w:i w:val="0"/>
          <w:sz w:val="21"/>
        </w:rPr>
        <w:t>、</w:t>
      </w:r>
      <m:oMath>
        <m:sSub>
          <m:sSubPr/>
          <m:e>
            <m:r>
              <m:rPr/>
              <m:t>r</m:t>
            </m:r>
          </m:e>
          <m:sub>
            <m:r>
              <m:rPr/>
              <m:t>v</m:t>
            </m:r>
          </m:sub>
        </m:sSub>
        <m:r>
          <m:rPr>
            <m:sty m:val="p"/>
          </m:rPr>
          <m:t>=</m:t>
        </m:r>
        <m:r>
          <m:rPr/>
          <m:t>0.75</m:t>
        </m:r>
      </m:oMath>
      <w:r>
        <w:rPr>
          <w:rFonts w:hint="eastAsia" w:ascii="Times New Roman" w:hAnsi="Times New Roman" w:eastAsia="宋体" w:cs="Times New Roman"/>
          <w:b w:val="0"/>
          <w:i w:val="0"/>
          <w:sz w:val="21"/>
        </w:rPr>
        <w:t>时，主峰频率随厚度变化依次为2.1、9.4、6.1和9.4 Hz，最大跨度为7.3 Hz，说明主峰变化主要表现为不同候选峰的强弱换位，而非单一峰连续移动。</w:t>
      </w:r>
    </w:p>
    <w:p w14:paraId="7C8D208A">
      <w:pPr>
        <w:spacing w:before="0" w:after="0"/>
        <w:ind w:firstLine="420"/>
        <w:jc w:val="both"/>
      </w:pPr>
      <w:r>
        <w:rPr>
          <w:rFonts w:hint="eastAsia" w:ascii="Times New Roman" w:hAnsi="Times New Roman" w:eastAsia="宋体" w:cs="Times New Roman"/>
          <w:b w:val="0"/>
          <w:i w:val="0"/>
          <w:sz w:val="21"/>
        </w:rPr>
        <w:t>主峰频率由离散频率点中的最大值确定，对相邻候选峰的强弱交换较为敏感。P001、P017、P018和P027的最大值均位于10 Hz，本文将其记为“</w:t>
      </w:r>
      <m:oMath>
        <m:r>
          <m:rPr>
            <m:sty m:val="p"/>
          </m:rPr>
          <m:t>≥</m:t>
        </m:r>
        <m:r>
          <m:rPr/>
          <m:t>10</m:t>
        </m:r>
      </m:oMath>
      <w:r>
        <w:rPr>
          <w:rFonts w:hint="eastAsia" w:ascii="Times New Roman" w:hAnsi="Times New Roman" w:eastAsia="宋体" w:cs="Times New Roman"/>
          <w:b w:val="0"/>
          <w:i w:val="0"/>
          <w:sz w:val="21"/>
        </w:rPr>
        <w:t xml:space="preserve"> Hz”边界峰，不作频带外推。上述贡献率用于描述当前全因子参数域内的相对变异，不表示随机样本意义上的显著性。</w:t>
      </w:r>
    </w:p>
    <w:p w14:paraId="564E237B">
      <w:pPr>
        <w:spacing w:before="80" w:after="40"/>
        <w:ind w:firstLine="0"/>
        <w:jc w:val="center"/>
      </w:pPr>
      <w:r>
        <w:drawing>
          <wp:inline distT="0" distB="0" distL="114300" distR="114300">
            <wp:extent cx="2880360" cy="1647190"/>
            <wp:effectExtent l="0" t="0" r="1524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880360" cy="1647506"/>
                    </a:xfrm>
                    <a:prstGeom prst="rect">
                      <a:avLst/>
                    </a:prstGeom>
                  </pic:spPr>
                </pic:pic>
              </a:graphicData>
            </a:graphic>
          </wp:inline>
        </w:drawing>
      </w:r>
    </w:p>
    <w:p w14:paraId="2795E034">
      <w:pPr>
        <w:spacing w:before="0" w:after="0"/>
        <w:ind w:firstLine="420"/>
        <w:jc w:val="both"/>
      </w:pPr>
      <w:r>
        <w:rPr>
          <w:rFonts w:hint="eastAsia" w:ascii="Times New Roman" w:hAnsi="Times New Roman" w:eastAsia="宋体" w:cs="Times New Roman"/>
          <w:b w:val="0"/>
          <w:i w:val="0"/>
          <w:sz w:val="21"/>
        </w:rPr>
        <w:t>图14 参数交互贡献与分区主峰迁移</w:t>
      </w:r>
    </w:p>
    <w:p w14:paraId="661F9586">
      <w:pPr>
        <w:spacing w:before="0" w:after="0"/>
        <w:ind w:firstLine="420"/>
        <w:jc w:val="both"/>
      </w:pPr>
      <w:r>
        <w:rPr>
          <w:rFonts w:hint="eastAsia" w:ascii="Times New Roman" w:hAnsi="Times New Roman" w:eastAsia="宋体" w:cs="Times New Roman"/>
          <w:b w:val="0"/>
          <w:i w:val="0"/>
          <w:sz w:val="21"/>
        </w:rPr>
        <w:t>Fig. 14 Parameter interactions and peak migration</w:t>
      </w:r>
    </w:p>
    <w:p w14:paraId="5570C267">
      <w:pPr>
        <w:spacing w:before="0" w:after="0"/>
        <w:ind w:firstLine="420"/>
        <w:jc w:val="both"/>
      </w:pPr>
      <w:r>
        <w:rPr>
          <w:rFonts w:hint="eastAsia" w:ascii="Times New Roman" w:hAnsi="Times New Roman" w:eastAsia="宋体" w:cs="Times New Roman"/>
          <w:b w:val="0"/>
          <w:i w:val="0"/>
          <w:sz w:val="21"/>
        </w:rPr>
        <w:t>以同坡角均质坡为基准，覆盖层复数修正及特征频率定义为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3E84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69C3C044">
            <w:pPr>
              <w:spacing w:before="60" w:after="60"/>
              <w:jc w:val="center"/>
            </w:pPr>
            <m:oMathPara>
              <m:oMath>
                <m:sSub>
                  <m:sSubPr/>
                  <m:e>
                    <m:r>
                      <m:rPr/>
                      <m:t>C</m:t>
                    </m:r>
                  </m:e>
                  <m:sub>
                    <m:r>
                      <m:rPr/>
                      <m:t>G</m:t>
                    </m:r>
                  </m:sub>
                </m:sSub>
                <m:r>
                  <m:rPr>
                    <m:sty m:val="p"/>
                  </m:rPr>
                  <m:t>=</m:t>
                </m:r>
                <m:f>
                  <m:fPr/>
                  <m:num>
                    <m:sSubSup>
                      <m:sSubSupPr/>
                      <m:e>
                        <m:r>
                          <m:rPr/>
                          <m:t>G</m:t>
                        </m:r>
                      </m:e>
                      <m:sub>
                        <m:r>
                          <m:rPr/>
                          <m:t>h</m:t>
                        </m:r>
                      </m:sub>
                      <m:sup>
                        <m:r>
                          <m:rPr>
                            <m:sty m:val="p"/>
                          </m:rPr>
                          <m:t>layer</m:t>
                        </m:r>
                      </m:sup>
                    </m:sSubSup>
                  </m:num>
                  <m:den>
                    <m:sSubSup>
                      <m:sSubSupPr/>
                      <m:e>
                        <m:r>
                          <m:rPr/>
                          <m:t>G</m:t>
                        </m:r>
                      </m:e>
                      <m:sub>
                        <m:r>
                          <m:rPr/>
                          <m:t>h</m:t>
                        </m:r>
                      </m:sub>
                      <m:sup>
                        <m:r>
                          <m:rPr>
                            <m:sty m:val="p"/>
                          </m:rPr>
                          <m:t>homo</m:t>
                        </m:r>
                      </m:sup>
                    </m:sSubSup>
                  </m:den>
                </m:f>
                <m:r>
                  <m:rPr>
                    <m:sty m:val="p"/>
                  </m:rPr>
                  <m:t>=</m:t>
                </m:r>
                <m:sSub>
                  <m:sSubPr/>
                  <m:e>
                    <m:r>
                      <m:rPr/>
                      <m:t>C</m:t>
                    </m:r>
                  </m:e>
                  <m:sub>
                    <m:r>
                      <m:rPr/>
                      <m:t>A</m:t>
                    </m:r>
                  </m:sub>
                </m:sSub>
                <m:sSup>
                  <m:sSupPr/>
                  <m:e>
                    <m:r>
                      <m:rPr/>
                      <m:t>e</m:t>
                    </m:r>
                  </m:e>
                  <m:sup>
                    <m:r>
                      <m:rPr>
                        <m:sty m:val="p"/>
                      </m:rPr>
                      <m:t>i</m:t>
                    </m:r>
                    <m:sSub>
                      <m:sSubPr/>
                      <m:e>
                        <m:r>
                          <m:rPr>
                            <m:sty m:val="p"/>
                          </m:rPr>
                          <m:t>Δ</m:t>
                        </m:r>
                      </m:e>
                      <m:sub>
                        <m:r>
                          <m:rPr>
                            <m:sty m:val="p"/>
                          </m:rPr>
                          <m:t>Φ</m:t>
                        </m:r>
                      </m:sub>
                    </m:sSub>
                  </m:sup>
                </m:sSup>
                <m:r>
                  <m:rPr>
                    <m:sty m:val="p"/>
                  </m:rPr>
                  <m:t>,</m:t>
                </m:r>
                <m:r>
                  <m:rPr/>
                  <m:t> </m:t>
                </m:r>
                <m:sSub>
                  <m:sSubPr/>
                  <m:e>
                    <m:r>
                      <m:rPr/>
                      <m:t>C</m:t>
                    </m:r>
                  </m:e>
                  <m:sub>
                    <m:r>
                      <m:rPr/>
                      <m:t>A</m:t>
                    </m:r>
                  </m:sub>
                </m:sSub>
                <m:r>
                  <m:rPr>
                    <m:sty m:val="p"/>
                  </m:rPr>
                  <m:t>=|</m:t>
                </m:r>
                <m:sSub>
                  <m:sSubPr/>
                  <m:e>
                    <m:r>
                      <m:rPr/>
                      <m:t>C</m:t>
                    </m:r>
                  </m:e>
                  <m:sub>
                    <m:r>
                      <m:rPr/>
                      <m:t>G</m:t>
                    </m:r>
                  </m:sub>
                </m:sSub>
                <m:r>
                  <m:rPr>
                    <m:sty m:val="p"/>
                  </m:rPr>
                  <m:t>|,</m:t>
                </m:r>
                <m:r>
                  <m:rPr/>
                  <m:t> </m:t>
                </m:r>
                <m:sSub>
                  <m:sSubPr/>
                  <m:e>
                    <m:r>
                      <m:rPr>
                        <m:sty m:val="p"/>
                      </m:rPr>
                      <m:t>Δ</m:t>
                    </m:r>
                  </m:e>
                  <m:sub>
                    <m:r>
                      <m:rPr>
                        <m:sty m:val="p"/>
                      </m:rPr>
                      <m:t>Φ</m:t>
                    </m:r>
                  </m:sub>
                </m:sSub>
                <m:r>
                  <m:rPr>
                    <m:sty m:val="p"/>
                  </m:rPr>
                  <m:t>=arg</m:t>
                </m:r>
                <m:sSub>
                  <m:sSubPr/>
                  <m:e>
                    <m:r>
                      <m:rPr/>
                      <m:t>C</m:t>
                    </m:r>
                  </m:e>
                  <m:sub>
                    <m:r>
                      <m:rPr/>
                      <m:t>G</m:t>
                    </m:r>
                  </m:sub>
                </m:sSub>
                <m:r>
                  <m:rPr>
                    <m:sty m:val="p"/>
                  </m:rPr>
                  <m:t>,</m:t>
                </m:r>
                <m:r>
                  <m:rPr/>
                  <m:t>  </m:t>
                </m:r>
                <m:sSub>
                  <m:sSubPr/>
                  <m:e>
                    <m:r>
                      <m:rPr>
                        <m:sty m:val="p"/>
                      </m:rPr>
                      <m:t>Δ</m:t>
                    </m:r>
                  </m:e>
                  <m:sub>
                    <m:r>
                      <m:rPr/>
                      <m:t>A</m:t>
                    </m:r>
                  </m:sub>
                </m:sSub>
                <m:r>
                  <m:rPr>
                    <m:sty m:val="p"/>
                  </m:rPr>
                  <m:t>=ln</m:t>
                </m:r>
                <m:sSub>
                  <m:sSubPr/>
                  <m:e>
                    <m:r>
                      <m:rPr/>
                      <m:t>C</m:t>
                    </m:r>
                  </m:e>
                  <m:sub>
                    <m:r>
                      <m:rPr/>
                      <m:t>A</m:t>
                    </m:r>
                  </m:sub>
                </m:sSub>
                <m:r>
                  <m:rPr>
                    <m:sty m:val="p"/>
                  </m:rPr>
                  <m:t>,</m:t>
                </m:r>
                <m:r>
                  <m:rPr/>
                  <m:t> </m:t>
                </m:r>
                <m:sSub>
                  <m:sSubPr/>
                  <m:e>
                    <m:r>
                      <m:rPr>
                        <m:sty m:val="p"/>
                      </m:rPr>
                      <m:t>Δ</m:t>
                    </m:r>
                  </m:e>
                  <m:sub>
                    <m:r>
                      <m:rPr/>
                      <m:t>τ</m:t>
                    </m:r>
                  </m:sub>
                </m:sSub>
                <m:r>
                  <m:rPr>
                    <m:sty m:val="p"/>
                  </m:rPr>
                  <m:t>=−</m:t>
                </m:r>
                <m:f>
                  <m:fPr/>
                  <m:num>
                    <m:r>
                      <m:rPr/>
                      <m:t>1</m:t>
                    </m:r>
                  </m:num>
                  <m:den>
                    <m:r>
                      <m:rPr/>
                      <m:t>2π</m:t>
                    </m:r>
                  </m:den>
                </m:f>
                <m:f>
                  <m:fPr/>
                  <m:num>
                    <m:r>
                      <m:rPr>
                        <m:sty m:val="p"/>
                      </m:rPr>
                      <m:t>∂</m:t>
                    </m:r>
                    <m:sSub>
                      <m:sSubPr/>
                      <m:e>
                        <m:r>
                          <m:rPr>
                            <m:sty m:val="p"/>
                          </m:rPr>
                          <m:t>Δ</m:t>
                        </m:r>
                      </m:e>
                      <m:sub>
                        <m:r>
                          <m:rPr>
                            <m:sty m:val="p"/>
                          </m:rPr>
                          <m:t>Φ</m:t>
                        </m:r>
                      </m:sub>
                    </m:sSub>
                  </m:num>
                  <m:den>
                    <m:r>
                      <m:rPr>
                        <m:sty m:val="p"/>
                      </m:rPr>
                      <m:t>∂</m:t>
                    </m:r>
                    <m:r>
                      <m:rPr/>
                      <m:t>f</m:t>
                    </m:r>
                  </m:den>
                </m:f>
                <m:r>
                  <m:rPr>
                    <m:sty m:val="p"/>
                  </m:rPr>
                  <m:t>,</m:t>
                </m:r>
                <m:r>
                  <m:rPr/>
                  <m:t>  χ</m:t>
                </m:r>
                <m:r>
                  <m:rPr>
                    <m:sty m:val="p"/>
                  </m:rPr>
                  <m:t>=</m:t>
                </m:r>
                <m:f>
                  <m:fPr/>
                  <m:num>
                    <m:sSub>
                      <m:sSubPr/>
                      <m:e>
                        <m:r>
                          <m:rPr/>
                          <m:t>r</m:t>
                        </m:r>
                      </m:e>
                      <m:sub>
                        <m:r>
                          <m:rPr/>
                          <m:t>v</m:t>
                        </m:r>
                      </m:sub>
                    </m:sSub>
                  </m:num>
                  <m:den>
                    <m:r>
                      <m:rPr/>
                      <m:t>4</m:t>
                    </m:r>
                    <m:r>
                      <m:rPr>
                        <m:sty m:val="p"/>
                      </m:rPr>
                      <m:t>(</m:t>
                    </m:r>
                    <m:r>
                      <m:rPr/>
                      <m:t>d</m:t>
                    </m:r>
                    <m:r>
                      <m:rPr>
                        <m:sty m:val="p"/>
                      </m:rPr>
                      <m:t>/</m:t>
                    </m:r>
                    <m:r>
                      <m:rPr/>
                      <m:t>h</m:t>
                    </m:r>
                    <m:r>
                      <m:rPr>
                        <m:sty m:val="p"/>
                      </m:rPr>
                      <m:t>)</m:t>
                    </m:r>
                  </m:den>
                </m:f>
                <m:r>
                  <m:rPr>
                    <m:sty m:val="p"/>
                  </m:rPr>
                  <m:t>.</m:t>
                </m:r>
              </m:oMath>
            </m:oMathPara>
          </w:p>
        </w:tc>
        <w:tc>
          <w:tcPr>
            <w:tcW w:w="4819" w:type="dxa"/>
          </w:tcPr>
          <w:p w14:paraId="316C012D">
            <w:pPr>
              <w:spacing w:before="60" w:after="60"/>
              <w:jc w:val="right"/>
            </w:pPr>
            <w:r>
              <w:rPr>
                <w:rFonts w:hint="eastAsia" w:ascii="Times New Roman" w:hAnsi="Times New Roman" w:eastAsia="Times New Roman" w:cs="Times New Roman"/>
                <w:b w:val="0"/>
                <w:i w:val="0"/>
                <w:sz w:val="21"/>
              </w:rPr>
              <w:t>(3)</w:t>
            </w:r>
          </w:p>
        </w:tc>
      </w:tr>
    </w:tbl>
    <w:p w14:paraId="7C929F4D">
      <w:pPr>
        <w:spacing w:before="0" w:after="0"/>
        <w:ind w:firstLine="420"/>
        <w:jc w:val="both"/>
      </w:pPr>
      <w:r>
        <w:rPr>
          <w:rFonts w:hint="eastAsia" w:ascii="Times New Roman" w:hAnsi="Times New Roman" w:eastAsia="宋体" w:cs="Times New Roman"/>
          <w:b w:val="0"/>
          <w:i w:val="0"/>
          <w:sz w:val="21"/>
        </w:rPr>
        <w:t>图15给出了覆盖层复数修正与特征频率</w:t>
      </w:r>
      <m:oMath>
        <m:r>
          <m:rPr/>
          <m:t>χ</m:t>
        </m:r>
      </m:oMath>
      <w:r>
        <w:rPr>
          <w:rFonts w:hint="eastAsia" w:ascii="Times New Roman" w:hAnsi="Times New Roman" w:eastAsia="宋体" w:cs="Times New Roman"/>
          <w:b w:val="0"/>
          <w:i w:val="0"/>
          <w:sz w:val="21"/>
        </w:rPr>
        <w:t>的关系。64个工况中，</w:t>
      </w:r>
      <m:oMath>
        <m:r>
          <m:rPr/>
          <m:t>χ</m:t>
        </m:r>
      </m:oMath>
      <w:r>
        <w:rPr>
          <w:rFonts w:hint="eastAsia" w:ascii="Times New Roman" w:hAnsi="Times New Roman" w:eastAsia="宋体" w:cs="Times New Roman"/>
          <w:b w:val="0"/>
          <w:i w:val="0"/>
          <w:sz w:val="21"/>
        </w:rPr>
        <w:t>与中位绝对相位修正和中位绝对群时延修正的Spearman相关系数分别为−0.940和−0.922，而与净幅值修正幅度</w:t>
      </w:r>
      <m:oMath>
        <m:r>
          <m:rPr>
            <m:sty m:val="p"/>
          </m:rPr>
          <m:t>|median(</m:t>
        </m:r>
        <m:sSub>
          <m:sSubPr/>
          <m:e>
            <m:r>
              <m:rPr>
                <m:sty m:val="p"/>
              </m:rPr>
              <m:t>Δ</m:t>
            </m:r>
          </m:e>
          <m:sub>
            <m:r>
              <m:rPr/>
              <m:t>A</m:t>
            </m:r>
          </m:sub>
        </m:sSub>
        <m:r>
          <m:rPr>
            <m:sty m:val="p"/>
          </m:rPr>
          <m:t>)|</m:t>
        </m:r>
      </m:oMath>
      <w:r>
        <w:rPr>
          <w:rFonts w:hint="eastAsia" w:ascii="Times New Roman" w:hAnsi="Times New Roman" w:eastAsia="宋体" w:cs="Times New Roman"/>
          <w:b w:val="0"/>
          <w:i w:val="0"/>
          <w:sz w:val="21"/>
        </w:rPr>
        <w:t>的相关系数仅为−0.300。相位修正与群时延修正的跨工况排序较为一致，二者的Spearman相关系数为0.983。由此可见，</w:t>
      </w:r>
      <m:oMath>
        <m:r>
          <m:rPr/>
          <m:t>χ</m:t>
        </m:r>
      </m:oMath>
      <w:r>
        <w:rPr>
          <w:rFonts w:hint="eastAsia" w:ascii="Times New Roman" w:hAnsi="Times New Roman" w:eastAsia="宋体" w:cs="Times New Roman"/>
          <w:b w:val="0"/>
          <w:i w:val="0"/>
          <w:sz w:val="21"/>
        </w:rPr>
        <w:t>对相位和时延修正具有较好的排序作用，但对幅值净增强或净削弱的表征较弱。</w:t>
      </w:r>
    </w:p>
    <w:p w14:paraId="0D2952EB">
      <w:pPr>
        <w:spacing w:before="0" w:after="0"/>
        <w:ind w:firstLine="420"/>
        <w:jc w:val="both"/>
      </w:pPr>
      <w:r>
        <w:rPr>
          <w:rFonts w:hint="eastAsia" w:ascii="Times New Roman" w:hAnsi="Times New Roman" w:eastAsia="宋体" w:cs="Times New Roman"/>
          <w:b w:val="0"/>
          <w:i w:val="0"/>
          <w:sz w:val="21"/>
        </w:rPr>
        <w:t>以参数域中部工况P039（</w:t>
      </w:r>
      <m:oMath>
        <m:r>
          <m:rPr/>
          <m:t>i</m:t>
        </m:r>
        <m:r>
          <m:rPr>
            <m:sty m:val="p"/>
          </m:rPr>
          <m:t>=</m:t>
        </m:r>
        <m:sSup>
          <m:sSupPr/>
          <m:e>
            <m:r>
              <m:rPr/>
              <m:t>45</m:t>
            </m:r>
          </m:e>
          <m:sup>
            <m:r>
              <m:rPr>
                <m:sty m:val="p"/>
              </m:rPr>
              <m:t>∘</m:t>
            </m:r>
          </m:sup>
        </m:sSup>
      </m:oMath>
      <w:r>
        <w:rPr>
          <w:rFonts w:hint="eastAsia" w:ascii="Times New Roman" w:hAnsi="Times New Roman" w:eastAsia="宋体" w:cs="Times New Roman"/>
          <w:b w:val="0"/>
          <w:i w:val="0"/>
          <w:sz w:val="21"/>
        </w:rPr>
        <w:t>、</w:t>
      </w:r>
      <m:oMath>
        <m:r>
          <m:rPr/>
          <m:t>d</m:t>
        </m:r>
        <m:r>
          <m:rPr>
            <m:sty m:val="p"/>
          </m:rPr>
          <m:t>/</m:t>
        </m:r>
        <m:r>
          <m:rPr/>
          <m:t>h</m:t>
        </m:r>
        <m:r>
          <m:rPr>
            <m:sty m:val="p"/>
          </m:rPr>
          <m:t>=</m:t>
        </m:r>
        <m:r>
          <m:rPr/>
          <m:t>0.60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0.60</m:t>
        </m:r>
      </m:oMath>
      <w:r>
        <w:rPr>
          <w:rFonts w:hint="eastAsia" w:ascii="Times New Roman" w:hAnsi="Times New Roman" w:eastAsia="宋体" w:cs="Times New Roman"/>
          <w:b w:val="0"/>
          <w:i w:val="0"/>
          <w:sz w:val="21"/>
        </w:rPr>
        <w:t>）为例，最强局部负修正</w:t>
      </w:r>
      <m:oMath>
        <m:sSub>
          <m:sSubPr/>
          <m:e>
            <m:r>
              <m:rPr>
                <m:sty m:val="p"/>
              </m:rPr>
              <m:t>Δ</m:t>
            </m:r>
          </m:e>
          <m:sub>
            <m:r>
              <m:rPr/>
              <m:t>A</m:t>
            </m:r>
          </m:sub>
        </m:sSub>
        <m:r>
          <m:rPr>
            <m:sty m:val="p"/>
          </m:rPr>
          <m:t>=−</m:t>
        </m:r>
        <m:r>
          <m:rPr/>
          <m:t>1.627</m:t>
        </m:r>
      </m:oMath>
      <w:r>
        <w:rPr>
          <w:rFonts w:hint="eastAsia" w:ascii="Times New Roman" w:hAnsi="Times New Roman" w:eastAsia="宋体" w:cs="Times New Roman"/>
          <w:b w:val="0"/>
          <w:i w:val="0"/>
          <w:sz w:val="21"/>
        </w:rPr>
        <w:t>，对应幅值比约0.197，而其全场中位修正仅为−0.0783。64个工况中有53个的全场中位</w:t>
      </w:r>
      <m:oMath>
        <m:sSub>
          <m:sSubPr/>
          <m:e>
            <m:r>
              <m:rPr>
                <m:sty m:val="p"/>
              </m:rPr>
              <m:t>Δ</m:t>
            </m:r>
          </m:e>
          <m:sub>
            <m:r>
              <m:rPr/>
              <m:t>A</m:t>
            </m:r>
          </m:sub>
        </m:sSub>
      </m:oMath>
      <w:r>
        <w:rPr>
          <w:rFonts w:hint="eastAsia" w:ascii="Times New Roman" w:hAnsi="Times New Roman" w:eastAsia="宋体" w:cs="Times New Roman"/>
          <w:b w:val="0"/>
          <w:i w:val="0"/>
          <w:sz w:val="21"/>
        </w:rPr>
        <w:t>为负、11个为正，说明多数工况的典型频率—空间网格表现为轻微净削弱，但局部仍可产生明显增强或削弱。相同</w:t>
      </w:r>
      <m:oMath>
        <m:r>
          <m:rPr/>
          <m:t>χ</m:t>
        </m:r>
      </m:oMath>
      <w:r>
        <w:rPr>
          <w:rFonts w:hint="eastAsia" w:ascii="Times New Roman" w:hAnsi="Times New Roman" w:eastAsia="宋体" w:cs="Times New Roman"/>
          <w:b w:val="0"/>
          <w:i w:val="0"/>
          <w:sz w:val="21"/>
        </w:rPr>
        <w:t>可由不同的厚度比和波速比组合得到，且式（3）未包含坡角和阻抗差，因此具体幅值、频带和位置仍需由完整复频响场确定。</w:t>
      </w:r>
    </w:p>
    <w:p w14:paraId="1D65A6D0">
      <w:pPr>
        <w:spacing w:before="0" w:after="0"/>
        <w:ind w:firstLine="420"/>
        <w:jc w:val="both"/>
      </w:pPr>
      <w:r>
        <w:rPr>
          <w:rFonts w:hint="eastAsia" w:ascii="Times New Roman" w:hAnsi="Times New Roman" w:eastAsia="宋体" w:cs="Times New Roman"/>
          <w:b w:val="0"/>
          <w:i w:val="0"/>
          <w:sz w:val="21"/>
        </w:rPr>
        <w:t>综合图8～图15可知，坡角主要改变均质地形的放大基线并影响极端响应，覆盖层厚度与强响应向下平台转移有关，波速比则主要控制软厚覆盖层强峰的幅值。波速比提高时多数工况的峰值降低，而坡角和厚度对主峰频率的影响随参数组合而变化。因此，成层坡地震响应应同时结合频带和地表区段进行评价。</w:t>
      </w:r>
    </w:p>
    <w:p w14:paraId="3A3D4410">
      <w:pPr>
        <w:spacing w:before="80" w:after="40"/>
        <w:ind w:firstLine="0"/>
        <w:jc w:val="center"/>
      </w:pPr>
      <w:r>
        <w:drawing>
          <wp:inline distT="0" distB="0" distL="114300" distR="114300">
            <wp:extent cx="2880360" cy="1637665"/>
            <wp:effectExtent l="0" t="0" r="152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2880360" cy="1638286"/>
                    </a:xfrm>
                    <a:prstGeom prst="rect">
                      <a:avLst/>
                    </a:prstGeom>
                  </pic:spPr>
                </pic:pic>
              </a:graphicData>
            </a:graphic>
          </wp:inline>
        </w:drawing>
      </w:r>
    </w:p>
    <w:p w14:paraId="24091519">
      <w:pPr>
        <w:spacing w:before="0" w:after="0"/>
        <w:ind w:firstLine="420"/>
        <w:jc w:val="both"/>
      </w:pPr>
      <w:r>
        <w:rPr>
          <w:rFonts w:hint="eastAsia" w:ascii="Times New Roman" w:hAnsi="Times New Roman" w:eastAsia="宋体" w:cs="Times New Roman"/>
          <w:b w:val="0"/>
          <w:i w:val="0"/>
          <w:sz w:val="21"/>
        </w:rPr>
        <w:t>图15 覆盖层复数修正及其与特征频率的关系</w:t>
      </w:r>
    </w:p>
    <w:p w14:paraId="6C2834F6">
      <w:pPr>
        <w:spacing w:before="0" w:after="0"/>
        <w:ind w:firstLine="420"/>
        <w:jc w:val="both"/>
      </w:pPr>
      <w:r>
        <w:rPr>
          <w:rFonts w:hint="eastAsia" w:ascii="Times New Roman" w:hAnsi="Times New Roman" w:eastAsia="宋体" w:cs="Times New Roman"/>
          <w:b w:val="0"/>
          <w:i w:val="0"/>
          <w:sz w:val="21"/>
        </w:rPr>
        <w:t>Fig. 15 Complex correction versus characteristic frequency</w:t>
      </w:r>
    </w:p>
    <w:p w14:paraId="0A1850B8">
      <w:pPr>
        <w:spacing w:before="312" w:after="60"/>
        <w:ind w:firstLine="0"/>
        <w:jc w:val="left"/>
      </w:pPr>
      <w:r>
        <w:rPr>
          <w:rFonts w:hint="eastAsia" w:ascii="Times New Roman" w:hAnsi="Times New Roman" w:eastAsia="宋体" w:cs="Times New Roman"/>
          <w:b/>
          <w:i w:val="0"/>
          <w:sz w:val="28"/>
        </w:rPr>
        <w:t>4 机器学习代理模型的构建与验证</w:t>
      </w:r>
    </w:p>
    <w:p w14:paraId="398DC4FA">
      <w:pPr>
        <w:spacing w:before="156" w:after="40"/>
        <w:ind w:firstLine="0"/>
        <w:jc w:val="left"/>
      </w:pPr>
      <w:r>
        <w:rPr>
          <w:rFonts w:hint="eastAsia" w:ascii="Times New Roman" w:hAnsi="Times New Roman" w:eastAsia="宋体" w:cs="Times New Roman"/>
          <w:b/>
          <w:i w:val="0"/>
          <w:sz w:val="24"/>
        </w:rPr>
        <w:t>4.1 样本与代理方法</w:t>
      </w:r>
    </w:p>
    <w:p w14:paraId="52BA4943">
      <w:pPr>
        <w:spacing w:before="0" w:after="0"/>
        <w:ind w:firstLine="420"/>
        <w:jc w:val="both"/>
      </w:pPr>
      <w:r>
        <w:rPr>
          <w:rFonts w:hint="eastAsia" w:ascii="Times New Roman" w:hAnsi="Times New Roman" w:eastAsia="宋体" w:cs="Times New Roman"/>
          <w:b w:val="0"/>
          <w:i w:val="0"/>
          <w:sz w:val="21"/>
        </w:rPr>
        <w:t>代理模型以坡角、厚度比和波速比</w:t>
      </w:r>
      <m:oMath>
        <m:r>
          <m:rPr>
            <m:sty m:val="p"/>
          </m:rPr>
          <m:t>[</m:t>
        </m:r>
        <m:r>
          <m:rPr/>
          <m:t>i</m:t>
        </m:r>
        <m:r>
          <m:rPr>
            <m:sty m:val="p"/>
          </m:rPr>
          <m:t>,</m:t>
        </m:r>
        <m:r>
          <m:rPr/>
          <m:t>d</m:t>
        </m:r>
        <m:r>
          <m:rPr>
            <m:sty m:val="p"/>
          </m:rPr>
          <m:t>/</m:t>
        </m:r>
        <m:r>
          <m:rPr/>
          <m:t>h</m:t>
        </m:r>
        <m:r>
          <m:rPr>
            <m:sty m:val="p"/>
          </m:rPr>
          <m:t>,</m:t>
        </m:r>
        <m:sSub>
          <m:sSubPr/>
          <m:e>
            <m:r>
              <m:rPr/>
              <m:t>r</m:t>
            </m:r>
          </m:e>
          <m:sub>
            <m:r>
              <m:rPr/>
              <m:t>v</m:t>
            </m:r>
          </m:sub>
        </m:sSub>
        <m:r>
          <m:rPr>
            <m:sty m:val="p"/>
          </m:rPr>
          <m:t>]</m:t>
        </m:r>
      </m:oMath>
      <w:r>
        <w:rPr>
          <w:rFonts w:hint="eastAsia" w:ascii="Times New Roman" w:hAnsi="Times New Roman" w:eastAsia="宋体" w:cs="Times New Roman"/>
          <w:b w:val="0"/>
          <w:i w:val="0"/>
          <w:sz w:val="21"/>
        </w:rPr>
        <w:t>为输入，以96×161复频响场的实部和虚部为输出。64个P组工况用于五折选模和最终拟合，12个B组中间参数工况用于检验训练网格之间的插值，10个C组组合用于真实地震波闭环，均质坡H组不进入代理，各样本池的用途见表6。</w:t>
      </w:r>
    </w:p>
    <w:p w14:paraId="058E335A">
      <w:pPr>
        <w:spacing w:before="0" w:after="0"/>
        <w:ind w:firstLine="420"/>
        <w:jc w:val="both"/>
      </w:pPr>
      <w:r>
        <w:rPr>
          <w:rFonts w:hint="eastAsia" w:ascii="Times New Roman" w:hAnsi="Times New Roman" w:eastAsia="宋体" w:cs="Times New Roman"/>
          <w:b w:val="0"/>
          <w:i w:val="0"/>
          <w:sz w:val="21"/>
        </w:rPr>
        <w:t>训练集和验证集按完整物理工况划分，同一工况的频率点和空间点不拆分到不同数据集。每一折的缺失值处理、标准化和本征正交分解（POD）均只利用该折训练工况拟合；完成模型选择后，再用全部P组工况拟合最终模型，B组和C组始终不参与训练和调参。</w:t>
      </w:r>
    </w:p>
    <w:p w14:paraId="739A2F56">
      <w:pPr>
        <w:spacing w:before="0" w:after="0"/>
        <w:ind w:firstLine="420"/>
        <w:jc w:val="both"/>
      </w:pPr>
      <w:r>
        <w:rPr>
          <w:rFonts w:hint="eastAsia" w:ascii="Times New Roman" w:hAnsi="Times New Roman" w:eastAsia="宋体" w:cs="Times New Roman"/>
          <w:b w:val="0"/>
          <w:i w:val="0"/>
          <w:sz w:val="21"/>
        </w:rPr>
        <w:t>表6 代理样本池</w:t>
      </w:r>
    </w:p>
    <w:p w14:paraId="0F5C633B">
      <w:pPr>
        <w:spacing w:before="0" w:after="0"/>
        <w:ind w:firstLine="420"/>
        <w:jc w:val="both"/>
      </w:pPr>
      <w:r>
        <w:rPr>
          <w:rFonts w:hint="eastAsia" w:ascii="Times New Roman" w:hAnsi="Times New Roman" w:eastAsia="宋体" w:cs="Times New Roman"/>
          <w:b w:val="0"/>
          <w:i w:val="0"/>
          <w:sz w:val="21"/>
        </w:rPr>
        <w:t>Table 6 Surrogate sample pools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2"/>
        <w:gridCol w:w="1573"/>
        <w:gridCol w:w="1677"/>
      </w:tblGrid>
      <w:tr w14:paraId="27D248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tcBorders>
              <w:bottom w:val="single" w:color="auto" w:sz="6" w:space="0"/>
            </w:tcBorders>
            <w:vAlign w:val="center"/>
          </w:tcPr>
          <w:p w14:paraId="306C2B35">
            <w:pPr>
              <w:spacing w:before="30" w:after="30"/>
              <w:ind w:firstLine="0"/>
              <w:jc w:val="center"/>
            </w:pPr>
            <w:r>
              <w:rPr>
                <w:rFonts w:hint="eastAsia" w:ascii="Times New Roman" w:hAnsi="Times New Roman" w:eastAsia="宋体" w:cs="Times New Roman"/>
                <w:b/>
                <w:i w:val="0"/>
                <w:sz w:val="18"/>
              </w:rPr>
              <w:t>样本池</w:t>
            </w:r>
          </w:p>
        </w:tc>
        <w:tc>
          <w:tcPr>
            <w:tcW w:w="3213" w:type="dxa"/>
            <w:tcBorders>
              <w:bottom w:val="single" w:color="auto" w:sz="6" w:space="0"/>
            </w:tcBorders>
            <w:vAlign w:val="center"/>
          </w:tcPr>
          <w:p w14:paraId="2BF7F61D">
            <w:pPr>
              <w:spacing w:before="30" w:after="30"/>
              <w:ind w:firstLine="0"/>
              <w:jc w:val="center"/>
            </w:pPr>
            <w:r>
              <w:rPr>
                <w:rFonts w:hint="eastAsia" w:ascii="Times New Roman" w:hAnsi="Times New Roman" w:eastAsia="宋体" w:cs="Times New Roman"/>
                <w:b/>
                <w:i w:val="0"/>
                <w:sz w:val="18"/>
              </w:rPr>
              <w:t>数量</w:t>
            </w:r>
          </w:p>
        </w:tc>
        <w:tc>
          <w:tcPr>
            <w:tcW w:w="3213" w:type="dxa"/>
            <w:tcBorders>
              <w:bottom w:val="single" w:color="auto" w:sz="6" w:space="0"/>
            </w:tcBorders>
            <w:vAlign w:val="center"/>
          </w:tcPr>
          <w:p w14:paraId="4B44BB93">
            <w:pPr>
              <w:spacing w:before="30" w:after="30"/>
              <w:ind w:firstLine="0"/>
              <w:jc w:val="center"/>
            </w:pPr>
            <w:r>
              <w:rPr>
                <w:rFonts w:hint="eastAsia" w:ascii="Times New Roman" w:hAnsi="Times New Roman" w:eastAsia="宋体" w:cs="Times New Roman"/>
                <w:b/>
                <w:i w:val="0"/>
                <w:sz w:val="18"/>
              </w:rPr>
              <w:t>用途</w:t>
            </w:r>
          </w:p>
        </w:tc>
      </w:tr>
      <w:tr w14:paraId="3C7FB1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18345EEB">
            <w:pPr>
              <w:spacing w:before="30" w:after="30"/>
              <w:ind w:firstLine="0"/>
              <w:jc w:val="center"/>
            </w:pPr>
            <w:r>
              <w:rPr>
                <w:rFonts w:hint="eastAsia" w:ascii="Times New Roman" w:hAnsi="Times New Roman" w:eastAsia="宋体" w:cs="Times New Roman"/>
                <w:b w:val="0"/>
                <w:i w:val="0"/>
                <w:sz w:val="18"/>
              </w:rPr>
              <w:t>P</w:t>
            </w:r>
          </w:p>
        </w:tc>
        <w:tc>
          <w:tcPr>
            <w:tcW w:w="3213" w:type="dxa"/>
            <w:vAlign w:val="center"/>
          </w:tcPr>
          <w:p w14:paraId="5B1C947C">
            <w:pPr>
              <w:spacing w:before="30" w:after="30"/>
              <w:ind w:firstLine="0"/>
              <w:jc w:val="center"/>
            </w:pPr>
            <w:r>
              <w:rPr>
                <w:rFonts w:hint="eastAsia" w:ascii="Times New Roman" w:hAnsi="Times New Roman" w:eastAsia="宋体" w:cs="Times New Roman"/>
                <w:b w:val="0"/>
                <w:i w:val="0"/>
                <w:sz w:val="18"/>
              </w:rPr>
              <w:t>64</w:t>
            </w:r>
          </w:p>
        </w:tc>
        <w:tc>
          <w:tcPr>
            <w:tcW w:w="3213" w:type="dxa"/>
            <w:vAlign w:val="center"/>
          </w:tcPr>
          <w:p w14:paraId="7B041C56">
            <w:pPr>
              <w:spacing w:before="30" w:after="30"/>
              <w:ind w:firstLine="0"/>
              <w:jc w:val="center"/>
            </w:pPr>
            <w:r>
              <w:rPr>
                <w:rFonts w:hint="eastAsia" w:ascii="Times New Roman" w:hAnsi="Times New Roman" w:eastAsia="宋体" w:cs="Times New Roman"/>
                <w:b w:val="0"/>
                <w:i w:val="0"/>
                <w:sz w:val="18"/>
              </w:rPr>
              <w:t>五折选模与最终拟合</w:t>
            </w:r>
          </w:p>
        </w:tc>
      </w:tr>
      <w:tr w14:paraId="464ABA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2880D064">
            <w:pPr>
              <w:spacing w:before="30" w:after="30"/>
              <w:ind w:firstLine="0"/>
              <w:jc w:val="center"/>
            </w:pPr>
            <w:r>
              <w:rPr>
                <w:rFonts w:hint="eastAsia" w:ascii="Times New Roman" w:hAnsi="Times New Roman" w:eastAsia="宋体" w:cs="Times New Roman"/>
                <w:b w:val="0"/>
                <w:i w:val="0"/>
                <w:sz w:val="18"/>
              </w:rPr>
              <w:t>B</w:t>
            </w:r>
          </w:p>
        </w:tc>
        <w:tc>
          <w:tcPr>
            <w:tcW w:w="3213" w:type="dxa"/>
            <w:vAlign w:val="center"/>
          </w:tcPr>
          <w:p w14:paraId="1E6912C2">
            <w:pPr>
              <w:spacing w:before="30" w:after="30"/>
              <w:ind w:firstLine="0"/>
              <w:jc w:val="center"/>
            </w:pPr>
            <w:r>
              <w:rPr>
                <w:rFonts w:hint="eastAsia" w:ascii="Times New Roman" w:hAnsi="Times New Roman" w:eastAsia="宋体" w:cs="Times New Roman"/>
                <w:b w:val="0"/>
                <w:i w:val="0"/>
                <w:sz w:val="18"/>
              </w:rPr>
              <w:t>12</w:t>
            </w:r>
          </w:p>
        </w:tc>
        <w:tc>
          <w:tcPr>
            <w:tcW w:w="3213" w:type="dxa"/>
            <w:vAlign w:val="center"/>
          </w:tcPr>
          <w:p w14:paraId="0A2A3AD7">
            <w:pPr>
              <w:spacing w:before="30" w:after="30"/>
              <w:ind w:firstLine="0"/>
              <w:jc w:val="center"/>
            </w:pPr>
            <w:r>
              <w:rPr>
                <w:rFonts w:hint="eastAsia" w:ascii="Times New Roman" w:hAnsi="Times New Roman" w:eastAsia="宋体" w:cs="Times New Roman"/>
                <w:b w:val="0"/>
                <w:i w:val="0"/>
                <w:sz w:val="18"/>
              </w:rPr>
              <w:t>训练外域内组合评价</w:t>
            </w:r>
          </w:p>
        </w:tc>
      </w:tr>
      <w:tr w14:paraId="783622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4D02D04E">
            <w:pPr>
              <w:spacing w:before="30" w:after="30"/>
              <w:ind w:firstLine="0"/>
              <w:jc w:val="center"/>
            </w:pPr>
            <w:r>
              <w:rPr>
                <w:rFonts w:hint="eastAsia" w:ascii="Times New Roman" w:hAnsi="Times New Roman" w:eastAsia="宋体" w:cs="Times New Roman"/>
                <w:b w:val="0"/>
                <w:i w:val="0"/>
                <w:sz w:val="18"/>
              </w:rPr>
              <w:t>C</w:t>
            </w:r>
          </w:p>
        </w:tc>
        <w:tc>
          <w:tcPr>
            <w:tcW w:w="3213" w:type="dxa"/>
            <w:vAlign w:val="center"/>
          </w:tcPr>
          <w:p w14:paraId="22E27B0E">
            <w:pPr>
              <w:spacing w:before="30" w:after="30"/>
              <w:ind w:firstLine="0"/>
              <w:jc w:val="center"/>
            </w:pPr>
            <w:r>
              <w:rPr>
                <w:rFonts w:hint="eastAsia" w:ascii="Times New Roman" w:hAnsi="Times New Roman" w:eastAsia="宋体" w:cs="Times New Roman"/>
                <w:b w:val="0"/>
                <w:i w:val="0"/>
                <w:sz w:val="18"/>
              </w:rPr>
              <w:t>10</w:t>
            </w:r>
          </w:p>
        </w:tc>
        <w:tc>
          <w:tcPr>
            <w:tcW w:w="3213" w:type="dxa"/>
            <w:vAlign w:val="center"/>
          </w:tcPr>
          <w:p w14:paraId="4C98C463">
            <w:pPr>
              <w:spacing w:before="30" w:after="30"/>
              <w:ind w:firstLine="0"/>
              <w:jc w:val="center"/>
            </w:pPr>
            <w:r>
              <w:rPr>
                <w:rFonts w:hint="eastAsia" w:ascii="Times New Roman" w:hAnsi="Times New Roman" w:eastAsia="宋体" w:cs="Times New Roman"/>
                <w:b w:val="0"/>
                <w:i w:val="0"/>
                <w:sz w:val="18"/>
              </w:rPr>
              <w:t>真实波闭环</w:t>
            </w:r>
          </w:p>
        </w:tc>
      </w:tr>
      <w:tr w14:paraId="283D42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213" w:type="dxa"/>
            <w:vAlign w:val="center"/>
          </w:tcPr>
          <w:p w14:paraId="0732364E">
            <w:pPr>
              <w:spacing w:before="30" w:after="30"/>
              <w:ind w:firstLine="0"/>
              <w:jc w:val="center"/>
            </w:pPr>
            <w:r>
              <w:rPr>
                <w:rFonts w:hint="eastAsia" w:ascii="Times New Roman" w:hAnsi="Times New Roman" w:eastAsia="宋体" w:cs="Times New Roman"/>
                <w:b w:val="0"/>
                <w:i w:val="0"/>
                <w:sz w:val="18"/>
              </w:rPr>
              <w:t>H</w:t>
            </w:r>
          </w:p>
        </w:tc>
        <w:tc>
          <w:tcPr>
            <w:tcW w:w="3213" w:type="dxa"/>
            <w:vAlign w:val="center"/>
          </w:tcPr>
          <w:p w14:paraId="6DEEA13E">
            <w:pPr>
              <w:spacing w:before="30" w:after="30"/>
              <w:ind w:firstLine="0"/>
              <w:jc w:val="center"/>
            </w:pPr>
            <w:r>
              <w:rPr>
                <w:rFonts w:hint="eastAsia" w:ascii="Times New Roman" w:hAnsi="Times New Roman" w:eastAsia="宋体" w:cs="Times New Roman"/>
                <w:b w:val="0"/>
                <w:i w:val="0"/>
                <w:sz w:val="18"/>
              </w:rPr>
              <w:t>4</w:t>
            </w:r>
          </w:p>
        </w:tc>
        <w:tc>
          <w:tcPr>
            <w:tcW w:w="3213" w:type="dxa"/>
            <w:vAlign w:val="center"/>
          </w:tcPr>
          <w:p w14:paraId="0ED0A700">
            <w:pPr>
              <w:spacing w:before="30" w:after="30"/>
              <w:ind w:firstLine="0"/>
              <w:jc w:val="center"/>
            </w:pPr>
            <w:r>
              <w:rPr>
                <w:rFonts w:hint="eastAsia" w:ascii="Times New Roman" w:hAnsi="Times New Roman" w:eastAsia="宋体" w:cs="Times New Roman"/>
                <w:b w:val="0"/>
                <w:i w:val="0"/>
                <w:sz w:val="18"/>
              </w:rPr>
              <w:t>均质参照，不进代理</w:t>
            </w:r>
          </w:p>
        </w:tc>
      </w:tr>
    </w:tbl>
    <w:p w14:paraId="0B353032">
      <w:pPr>
        <w:spacing w:before="0" w:after="0"/>
        <w:ind w:firstLine="420"/>
        <w:jc w:val="both"/>
      </w:pPr>
      <w:r>
        <w:rPr>
          <w:rFonts w:hint="eastAsia" w:ascii="Times New Roman" w:hAnsi="Times New Roman" w:eastAsia="宋体" w:cs="Times New Roman"/>
          <w:b w:val="0"/>
          <w:i w:val="0"/>
          <w:sz w:val="21"/>
        </w:rPr>
        <w:t>复频响采用实部—虚部表示，以避免相位主值在</w:t>
      </w:r>
      <m:oMath>
        <m:r>
          <m:rPr>
            <m:sty m:val="p"/>
          </m:rPr>
          <m:t>±</m:t>
        </m:r>
        <m:r>
          <m:rPr/>
          <m:t>π</m:t>
        </m:r>
      </m:oMath>
      <w:r>
        <w:rPr>
          <w:rFonts w:hint="eastAsia" w:ascii="Times New Roman" w:hAnsi="Times New Roman" w:eastAsia="宋体" w:cs="Times New Roman"/>
          <w:b w:val="0"/>
          <w:i w:val="0"/>
          <w:sz w:val="21"/>
        </w:rPr>
        <w:t>处产生近</w:t>
      </w:r>
      <m:oMath>
        <m:r>
          <m:rPr/>
          <m:t>2π</m:t>
        </m:r>
      </m:oMath>
      <w:r>
        <w:rPr>
          <w:rFonts w:hint="eastAsia" w:ascii="Times New Roman" w:hAnsi="Times New Roman" w:eastAsia="宋体" w:cs="Times New Roman"/>
          <w:b w:val="0"/>
          <w:i w:val="0"/>
          <w:sz w:val="21"/>
        </w:rPr>
        <w:t>的数值跳变。标准化后的输出矩阵先经POD压缩，再分别采用最近邻、岭回归和高斯过程回归（GPR）预测模态系数。图16给出了参数样本分布、POD累计能量及前三阶模态，主要模型配置列于表7。</w:t>
      </w:r>
    </w:p>
    <w:p w14:paraId="4EA6C093">
      <w:pPr>
        <w:spacing w:before="0" w:after="0"/>
        <w:ind w:firstLine="420"/>
        <w:jc w:val="both"/>
      </w:pPr>
      <w:r>
        <w:rPr>
          <w:rFonts w:hint="eastAsia" w:ascii="Times New Roman" w:hAnsi="Times New Roman" w:eastAsia="宋体" w:cs="Times New Roman"/>
          <w:b w:val="0"/>
          <w:i w:val="0"/>
          <w:sz w:val="21"/>
        </w:rPr>
        <w:t>由图16可见，POD取12、24和36阶时的累计能量分别为86.139%、97.087%和99.5066%。本文以12阶作为主模型，并用24阶和36阶检验截断敏感性；B组和C组均采用固定的12阶模型。POD模态反映频率和空间响应随参数共同变化的统计结构，不与单一物理振型逐一对应。</w:t>
      </w:r>
    </w:p>
    <w:p w14:paraId="1DB60085">
      <w:pPr>
        <w:spacing w:before="80" w:after="40"/>
        <w:ind w:firstLine="0"/>
        <w:jc w:val="center"/>
      </w:pPr>
      <w:r>
        <w:drawing>
          <wp:inline distT="0" distB="0" distL="114300" distR="114300">
            <wp:extent cx="2880360" cy="1822450"/>
            <wp:effectExtent l="0" t="0" r="1524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880360" cy="1822579"/>
                    </a:xfrm>
                    <a:prstGeom prst="rect">
                      <a:avLst/>
                    </a:prstGeom>
                  </pic:spPr>
                </pic:pic>
              </a:graphicData>
            </a:graphic>
          </wp:inline>
        </w:drawing>
      </w:r>
    </w:p>
    <w:p w14:paraId="20EF7C3A">
      <w:pPr>
        <w:spacing w:before="0" w:after="0"/>
        <w:ind w:firstLine="420"/>
        <w:jc w:val="both"/>
      </w:pPr>
      <w:r>
        <w:rPr>
          <w:rFonts w:hint="eastAsia" w:ascii="Times New Roman" w:hAnsi="Times New Roman" w:eastAsia="宋体" w:cs="Times New Roman"/>
          <w:b w:val="0"/>
          <w:i w:val="0"/>
          <w:sz w:val="21"/>
        </w:rPr>
        <w:t>图16 样本空间、POD累计能量与前三阶模态</w:t>
      </w:r>
    </w:p>
    <w:p w14:paraId="51B56685">
      <w:pPr>
        <w:spacing w:before="0" w:after="0"/>
        <w:ind w:firstLine="420"/>
        <w:jc w:val="both"/>
      </w:pPr>
      <w:r>
        <w:rPr>
          <w:rFonts w:hint="eastAsia" w:ascii="Times New Roman" w:hAnsi="Times New Roman" w:eastAsia="宋体" w:cs="Times New Roman"/>
          <w:b w:val="0"/>
          <w:i w:val="0"/>
          <w:sz w:val="21"/>
        </w:rPr>
        <w:t>Fig. 16 Sample space and POD modes</w:t>
      </w:r>
    </w:p>
    <w:p w14:paraId="14337CB4">
      <w:pPr>
        <w:spacing w:before="0" w:after="0"/>
        <w:ind w:firstLine="420"/>
        <w:jc w:val="both"/>
      </w:pPr>
      <w:r>
        <w:rPr>
          <w:rFonts w:hint="eastAsia" w:ascii="Times New Roman" w:hAnsi="Times New Roman" w:eastAsia="宋体" w:cs="Times New Roman"/>
          <w:b w:val="0"/>
          <w:i w:val="0"/>
          <w:sz w:val="21"/>
        </w:rPr>
        <w:t>表7 代理模型配置</w:t>
      </w:r>
    </w:p>
    <w:p w14:paraId="45F291BE">
      <w:pPr>
        <w:spacing w:before="0" w:after="0"/>
        <w:ind w:firstLine="420"/>
        <w:jc w:val="both"/>
      </w:pPr>
      <w:r>
        <w:rPr>
          <w:rFonts w:hint="eastAsia" w:ascii="Times New Roman" w:hAnsi="Times New Roman" w:eastAsia="宋体" w:cs="Times New Roman"/>
          <w:b w:val="0"/>
          <w:i w:val="0"/>
          <w:sz w:val="21"/>
        </w:rPr>
        <w:t>Table 7 Surrogate configuration</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5"/>
        <w:gridCol w:w="2617"/>
      </w:tblGrid>
      <w:tr w14:paraId="15BB94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Borders>
              <w:bottom w:val="single" w:color="auto" w:sz="6" w:space="0"/>
            </w:tcBorders>
            <w:vAlign w:val="center"/>
          </w:tcPr>
          <w:p w14:paraId="1E1C6AB5">
            <w:pPr>
              <w:spacing w:before="30" w:after="30"/>
              <w:ind w:firstLine="0"/>
              <w:jc w:val="center"/>
            </w:pPr>
            <w:r>
              <w:rPr>
                <w:rFonts w:hint="eastAsia" w:ascii="Times New Roman" w:hAnsi="Times New Roman" w:eastAsia="宋体" w:cs="Times New Roman"/>
                <w:b/>
                <w:i w:val="0"/>
                <w:sz w:val="18"/>
              </w:rPr>
              <w:t>项目</w:t>
            </w:r>
          </w:p>
        </w:tc>
        <w:tc>
          <w:tcPr>
            <w:tcW w:w="4819" w:type="dxa"/>
            <w:tcBorders>
              <w:bottom w:val="single" w:color="auto" w:sz="6" w:space="0"/>
            </w:tcBorders>
            <w:vAlign w:val="center"/>
          </w:tcPr>
          <w:p w14:paraId="42E6C517">
            <w:pPr>
              <w:spacing w:before="30" w:after="30"/>
              <w:ind w:firstLine="0"/>
              <w:jc w:val="center"/>
            </w:pPr>
            <w:r>
              <w:rPr>
                <w:rFonts w:hint="eastAsia" w:ascii="Times New Roman" w:hAnsi="Times New Roman" w:eastAsia="宋体" w:cs="Times New Roman"/>
                <w:b/>
                <w:i w:val="0"/>
                <w:sz w:val="18"/>
              </w:rPr>
              <w:t>配置</w:t>
            </w:r>
          </w:p>
        </w:tc>
      </w:tr>
      <w:tr w14:paraId="61D7B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646B9CCF">
            <w:pPr>
              <w:spacing w:before="30" w:after="30"/>
              <w:ind w:firstLine="0"/>
              <w:jc w:val="center"/>
            </w:pPr>
            <w:r>
              <w:rPr>
                <w:rFonts w:hint="eastAsia" w:ascii="Times New Roman" w:hAnsi="Times New Roman" w:eastAsia="宋体" w:cs="Times New Roman"/>
                <w:b w:val="0"/>
                <w:i w:val="0"/>
                <w:sz w:val="18"/>
              </w:rPr>
              <w:t>输入/输出</w:t>
            </w:r>
          </w:p>
        </w:tc>
        <w:tc>
          <w:tcPr>
            <w:tcW w:w="4819" w:type="dxa"/>
            <w:vAlign w:val="center"/>
          </w:tcPr>
          <w:p w14:paraId="2CF272DE">
            <w:pPr>
              <w:spacing w:before="30" w:after="30"/>
              <w:ind w:firstLine="0"/>
              <w:jc w:val="center"/>
            </w:pPr>
            <w:r>
              <w:rPr>
                <w:rFonts w:hint="eastAsia" w:ascii="Times New Roman" w:hAnsi="Times New Roman" w:eastAsia="宋体" w:cs="Times New Roman"/>
                <w:b w:val="0"/>
                <w:i w:val="0"/>
                <w:sz w:val="18"/>
              </w:rPr>
              <w:t>3参数；30 912维实向量</w:t>
            </w:r>
          </w:p>
        </w:tc>
      </w:tr>
      <w:tr w14:paraId="5C70A9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65C11FB1">
            <w:pPr>
              <w:spacing w:before="30" w:after="30"/>
              <w:ind w:firstLine="0"/>
              <w:jc w:val="center"/>
            </w:pPr>
            <w:r>
              <w:rPr>
                <w:rFonts w:hint="eastAsia" w:ascii="Times New Roman" w:hAnsi="Times New Roman" w:eastAsia="宋体" w:cs="Times New Roman"/>
                <w:b w:val="0"/>
                <w:i w:val="0"/>
                <w:sz w:val="18"/>
              </w:rPr>
              <w:t>外层验证</w:t>
            </w:r>
          </w:p>
        </w:tc>
        <w:tc>
          <w:tcPr>
            <w:tcW w:w="4819" w:type="dxa"/>
            <w:vAlign w:val="center"/>
          </w:tcPr>
          <w:p w14:paraId="3F5CEF1C">
            <w:pPr>
              <w:spacing w:before="30" w:after="30"/>
              <w:ind w:firstLine="0"/>
              <w:jc w:val="center"/>
            </w:pPr>
            <w:r>
              <w:rPr>
                <w:rFonts w:hint="eastAsia" w:ascii="Times New Roman" w:hAnsi="Times New Roman" w:eastAsia="宋体" w:cs="Times New Roman"/>
                <w:b w:val="0"/>
                <w:i w:val="0"/>
                <w:sz w:val="18"/>
              </w:rPr>
              <w:t>5折整工况划分，固定种子20260801</w:t>
            </w:r>
          </w:p>
        </w:tc>
      </w:tr>
      <w:tr w14:paraId="3A901A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39A91C91">
            <w:pPr>
              <w:spacing w:before="30" w:after="30"/>
              <w:ind w:firstLine="0"/>
              <w:jc w:val="center"/>
            </w:pPr>
            <w:r>
              <w:rPr>
                <w:rFonts w:hint="eastAsia" w:ascii="Times New Roman" w:hAnsi="Times New Roman" w:eastAsia="宋体" w:cs="Times New Roman"/>
                <w:b w:val="0"/>
                <w:i w:val="0"/>
                <w:sz w:val="18"/>
              </w:rPr>
              <w:t>POD主模型</w:t>
            </w:r>
          </w:p>
        </w:tc>
        <w:tc>
          <w:tcPr>
            <w:tcW w:w="4819" w:type="dxa"/>
            <w:vAlign w:val="center"/>
          </w:tcPr>
          <w:p w14:paraId="687F0179">
            <w:pPr>
              <w:spacing w:before="30" w:after="30"/>
              <w:ind w:firstLine="0"/>
              <w:jc w:val="center"/>
            </w:pPr>
            <w:r>
              <w:rPr>
                <w:rFonts w:hint="eastAsia" w:ascii="Times New Roman" w:hAnsi="Times New Roman" w:eastAsia="宋体" w:cs="Times New Roman"/>
                <w:b w:val="0"/>
                <w:i w:val="0"/>
                <w:sz w:val="18"/>
              </w:rPr>
              <w:t>12阶，能量86.139%</w:t>
            </w:r>
          </w:p>
        </w:tc>
      </w:tr>
      <w:tr w14:paraId="310D59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77695DBA">
            <w:pPr>
              <w:spacing w:before="30" w:after="30"/>
              <w:ind w:firstLine="0"/>
              <w:jc w:val="center"/>
            </w:pPr>
            <w:r>
              <w:rPr>
                <w:rFonts w:hint="eastAsia" w:ascii="Times New Roman" w:hAnsi="Times New Roman" w:eastAsia="宋体" w:cs="Times New Roman"/>
                <w:b w:val="0"/>
                <w:i w:val="0"/>
                <w:sz w:val="18"/>
              </w:rPr>
              <w:t>POD敏感性</w:t>
            </w:r>
          </w:p>
        </w:tc>
        <w:tc>
          <w:tcPr>
            <w:tcW w:w="4819" w:type="dxa"/>
            <w:vAlign w:val="center"/>
          </w:tcPr>
          <w:p w14:paraId="6C1C4180">
            <w:pPr>
              <w:spacing w:before="30" w:after="30"/>
              <w:ind w:firstLine="0"/>
              <w:jc w:val="center"/>
            </w:pPr>
            <w:r>
              <w:rPr>
                <w:rFonts w:hint="eastAsia" w:ascii="Times New Roman" w:hAnsi="Times New Roman" w:eastAsia="宋体" w:cs="Times New Roman"/>
                <w:b w:val="0"/>
                <w:i w:val="0"/>
                <w:sz w:val="18"/>
              </w:rPr>
              <w:t>24阶97.087%；36阶99.5066%</w:t>
            </w:r>
          </w:p>
        </w:tc>
      </w:tr>
      <w:tr w14:paraId="3DB87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11CB1FF6">
            <w:pPr>
              <w:spacing w:before="30" w:after="30"/>
              <w:ind w:firstLine="0"/>
              <w:jc w:val="center"/>
            </w:pPr>
            <w:r>
              <w:rPr>
                <w:rFonts w:hint="eastAsia" w:ascii="Times New Roman" w:hAnsi="Times New Roman" w:eastAsia="宋体" w:cs="Times New Roman"/>
                <w:b w:val="0"/>
                <w:i w:val="0"/>
                <w:sz w:val="18"/>
              </w:rPr>
              <w:t>候选回归</w:t>
            </w:r>
          </w:p>
        </w:tc>
        <w:tc>
          <w:tcPr>
            <w:tcW w:w="4819" w:type="dxa"/>
            <w:vAlign w:val="center"/>
          </w:tcPr>
          <w:p w14:paraId="0FE8D7B2">
            <w:pPr>
              <w:spacing w:before="30" w:after="30"/>
              <w:ind w:firstLine="0"/>
              <w:jc w:val="center"/>
            </w:pPr>
            <w:r>
              <w:rPr>
                <w:rFonts w:hint="eastAsia" w:ascii="Times New Roman" w:hAnsi="Times New Roman" w:eastAsia="宋体" w:cs="Times New Roman"/>
                <w:b w:val="0"/>
                <w:i w:val="0"/>
                <w:sz w:val="18"/>
              </w:rPr>
              <w:t>最近邻、POD-Ridge、POD-GPR</w:t>
            </w:r>
          </w:p>
        </w:tc>
      </w:tr>
      <w:tr w14:paraId="174C07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vAlign w:val="center"/>
          </w:tcPr>
          <w:p w14:paraId="758EB2FC">
            <w:pPr>
              <w:spacing w:before="30" w:after="30"/>
              <w:ind w:firstLine="0"/>
              <w:jc w:val="center"/>
            </w:pPr>
            <w:r>
              <w:rPr>
                <w:rFonts w:hint="eastAsia" w:ascii="Times New Roman" w:hAnsi="Times New Roman" w:eastAsia="宋体" w:cs="Times New Roman"/>
                <w:b w:val="0"/>
                <w:i w:val="0"/>
                <w:sz w:val="18"/>
              </w:rPr>
              <w:t>GPR</w:t>
            </w:r>
          </w:p>
        </w:tc>
        <w:tc>
          <w:tcPr>
            <w:tcW w:w="4819" w:type="dxa"/>
            <w:vAlign w:val="center"/>
          </w:tcPr>
          <w:p w14:paraId="4BFDF8B0">
            <w:pPr>
              <w:spacing w:before="30" w:after="30"/>
              <w:ind w:firstLine="0"/>
              <w:jc w:val="center"/>
            </w:pPr>
            <w:r>
              <w:rPr>
                <w:rFonts w:hint="eastAsia" w:ascii="Times New Roman" w:hAnsi="Times New Roman" w:eastAsia="宋体" w:cs="Times New Roman"/>
                <w:b w:val="0"/>
                <w:i w:val="0"/>
                <w:sz w:val="18"/>
              </w:rPr>
              <w:t>各向异性Matérn-5/2核+白噪声核</w:t>
            </w:r>
          </w:p>
        </w:tc>
      </w:tr>
    </w:tbl>
    <w:p w14:paraId="61FBD5A5">
      <w:pPr>
        <w:spacing w:before="0" w:after="0"/>
        <w:ind w:firstLine="420"/>
        <w:jc w:val="both"/>
      </w:pPr>
      <w:r>
        <w:rPr>
          <w:rFonts w:hint="eastAsia" w:ascii="Times New Roman" w:hAnsi="Times New Roman" w:eastAsia="宋体" w:cs="Times New Roman"/>
          <w:b w:val="0"/>
          <w:i w:val="0"/>
          <w:sz w:val="21"/>
        </w:rPr>
        <w:t>为了同时评价幅值与相位预测误差，定义共同有效掩码</w:t>
      </w:r>
      <m:oMath>
        <m:r>
          <m:rPr/>
          <m:t>M</m:t>
        </m:r>
      </m:oMath>
      <w:r>
        <w:rPr>
          <w:rFonts w:hint="eastAsia" w:ascii="Times New Roman" w:hAnsi="Times New Roman" w:eastAsia="宋体" w:cs="Times New Roman"/>
          <w:b w:val="0"/>
          <w:i w:val="0"/>
          <w:sz w:val="21"/>
        </w:rPr>
        <w:t>内、按输入频率能量</w:t>
      </w:r>
      <m:oMath>
        <m:r>
          <m:rPr/>
          <m:t>w</m:t>
        </m:r>
        <m:r>
          <m:rPr>
            <m:sty m:val="p"/>
          </m:rPr>
          <m:t>(</m:t>
        </m:r>
        <m:r>
          <m:rPr/>
          <m:t>f</m:t>
        </m:r>
        <m:r>
          <m:rPr>
            <m:sty m:val="p"/>
          </m:rPr>
          <m:t>)</m:t>
        </m:r>
      </m:oMath>
      <w:r>
        <w:rPr>
          <w:rFonts w:hint="eastAsia" w:ascii="Times New Roman" w:hAnsi="Times New Roman" w:eastAsia="宋体" w:cs="Times New Roman"/>
          <w:b w:val="0"/>
          <w:i w:val="0"/>
          <w:sz w:val="21"/>
        </w:rPr>
        <w:t>加权的复数相对误差为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3BB42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774FF53B">
            <w:pPr>
              <w:spacing w:before="60" w:after="60"/>
              <w:jc w:val="center"/>
            </w:pPr>
            <m:oMathPara>
              <m:oMath>
                <m:sSub>
                  <m:sSubPr/>
                  <m:e>
                    <m:r>
                      <m:rPr/>
                      <m:t>E</m:t>
                    </m:r>
                  </m:e>
                  <m:sub>
                    <m:r>
                      <m:rPr>
                        <m:sty m:val="p"/>
                      </m:rPr>
                      <m:t>complex,</m:t>
                    </m:r>
                    <m:r>
                      <m:rPr/>
                      <m:t>w</m:t>
                    </m:r>
                  </m:sub>
                </m:sSub>
                <m:r>
                  <m:rPr>
                    <m:sty m:val="p"/>
                  </m:rPr>
                  <m:t>=</m:t>
                </m:r>
                <m:sSup>
                  <m:sSupPr/>
                  <m:e>
                    <m:d>
                      <m:dPr>
                        <m:begChr m:val="["/>
                        <m:sepChr m:val=""/>
                        <m:endChr m:val="]"/>
                      </m:dPr>
                      <m:e>
                        <m:f>
                          <m:fPr/>
                          <m:num>
                            <m:nary>
                              <m:naryPr>
                                <m:chr m:val="∑"/>
                                <m:limLoc m:val="undOvr"/>
                                <m:supHide m:val="1"/>
                              </m:naryPr>
                              <m:sub>
                                <m:r>
                                  <m:rPr/>
                                  <m:t>f</m:t>
                                </m:r>
                                <m:r>
                                  <m:rPr>
                                    <m:sty m:val="p"/>
                                  </m:rPr>
                                  <m:t>,</m:t>
                                </m:r>
                                <m:r>
                                  <m:rPr/>
                                  <m:t>s</m:t>
                                </m:r>
                              </m:sub>
                              <m:sup>
                                <m:r>
                                  <m:rPr/>
                                  <m:t>​</m:t>
                                </m:r>
                              </m:sup>
                              <m:e>
                                <m:r>
                                  <m:rPr/>
                                  <m:t>M</m:t>
                                </m:r>
                              </m:e>
                            </m:nary>
                            <m:r>
                              <m:rPr/>
                              <m:t>w</m:t>
                            </m:r>
                            <m:r>
                              <m:rPr>
                                <m:sty m:val="p"/>
                              </m:rPr>
                              <m:t>|</m:t>
                            </m:r>
                            <m:sSubSup>
                              <m:sSubSupPr/>
                              <m:e>
                                <m:r>
                                  <m:rPr/>
                                  <m:t>G</m:t>
                                </m:r>
                              </m:e>
                              <m:sub>
                                <m:r>
                                  <m:rPr/>
                                  <m:t>h</m:t>
                                </m:r>
                              </m:sub>
                              <m:sup>
                                <m:r>
                                  <m:rPr>
                                    <m:sty m:val="p"/>
                                  </m:rPr>
                                  <m:t>pred</m:t>
                                </m:r>
                              </m:sup>
                            </m:sSubSup>
                            <m:r>
                              <m:rPr>
                                <m:sty m:val="p"/>
                              </m:rPr>
                              <m:t>−</m:t>
                            </m:r>
                            <m:sSubSup>
                              <m:sSubSupPr/>
                              <m:e>
                                <m:r>
                                  <m:rPr/>
                                  <m:t>G</m:t>
                                </m:r>
                              </m:e>
                              <m:sub>
                                <m:r>
                                  <m:rPr/>
                                  <m:t>h</m:t>
                                </m:r>
                              </m:sub>
                              <m:sup>
                                <m:r>
                                  <m:rPr>
                                    <m:sty m:val="p"/>
                                  </m:rPr>
                                  <m:t>true</m:t>
                                </m:r>
                              </m:sup>
                            </m:sSubSup>
                            <m:sSup>
                              <m:sSupPr/>
                              <m:e>
                                <m:r>
                                  <m:rPr>
                                    <m:sty m:val="p"/>
                                  </m:rPr>
                                  <m:t>|</m:t>
                                </m:r>
                              </m:e>
                              <m:sup>
                                <m:r>
                                  <m:rPr/>
                                  <m:t>2</m:t>
                                </m:r>
                              </m:sup>
                            </m:sSup>
                          </m:num>
                          <m:den>
                            <m:nary>
                              <m:naryPr>
                                <m:chr m:val="∑"/>
                                <m:limLoc m:val="undOvr"/>
                                <m:supHide m:val="1"/>
                              </m:naryPr>
                              <m:sub>
                                <m:r>
                                  <m:rPr/>
                                  <m:t>f</m:t>
                                </m:r>
                                <m:r>
                                  <m:rPr>
                                    <m:sty m:val="p"/>
                                  </m:rPr>
                                  <m:t>,</m:t>
                                </m:r>
                                <m:r>
                                  <m:rPr/>
                                  <m:t>s</m:t>
                                </m:r>
                              </m:sub>
                              <m:sup>
                                <m:r>
                                  <m:rPr/>
                                  <m:t>​</m:t>
                                </m:r>
                              </m:sup>
                              <m:e>
                                <m:r>
                                  <m:rPr/>
                                  <m:t>M</m:t>
                                </m:r>
                              </m:e>
                            </m:nary>
                            <m:r>
                              <m:rPr/>
                              <m:t>w</m:t>
                            </m:r>
                            <m:r>
                              <m:rPr>
                                <m:sty m:val="p"/>
                              </m:rPr>
                              <m:t>|</m:t>
                            </m:r>
                            <m:sSubSup>
                              <m:sSubSupPr/>
                              <m:e>
                                <m:r>
                                  <m:rPr/>
                                  <m:t>G</m:t>
                                </m:r>
                              </m:e>
                              <m:sub>
                                <m:r>
                                  <m:rPr/>
                                  <m:t>h</m:t>
                                </m:r>
                              </m:sub>
                              <m:sup>
                                <m:r>
                                  <m:rPr>
                                    <m:sty m:val="p"/>
                                  </m:rPr>
                                  <m:t>true</m:t>
                                </m:r>
                              </m:sup>
                            </m:sSubSup>
                            <m:sSup>
                              <m:sSupPr/>
                              <m:e>
                                <m:r>
                                  <m:rPr>
                                    <m:sty m:val="p"/>
                                  </m:rPr>
                                  <m:t>|</m:t>
                                </m:r>
                              </m:e>
                              <m:sup>
                                <m:r>
                                  <m:rPr/>
                                  <m:t>2</m:t>
                                </m:r>
                              </m:sup>
                            </m:sSup>
                          </m:den>
                        </m:f>
                      </m:e>
                    </m:d>
                  </m:e>
                  <m:sup>
                    <m:r>
                      <m:rPr/>
                      <m:t>1</m:t>
                    </m:r>
                    <m:r>
                      <m:rPr>
                        <m:sty m:val="p"/>
                      </m:rPr>
                      <m:t>/</m:t>
                    </m:r>
                    <m:r>
                      <m:rPr/>
                      <m:t>2</m:t>
                    </m:r>
                  </m:sup>
                </m:sSup>
                <m:r>
                  <m:rPr>
                    <m:sty m:val="p"/>
                  </m:rPr>
                  <m:t>.</m:t>
                </m:r>
              </m:oMath>
            </m:oMathPara>
          </w:p>
        </w:tc>
        <w:tc>
          <w:tcPr>
            <w:tcW w:w="4819" w:type="dxa"/>
          </w:tcPr>
          <w:p w14:paraId="0B51E6A0">
            <w:pPr>
              <w:spacing w:before="60" w:after="60"/>
              <w:jc w:val="right"/>
            </w:pPr>
            <w:r>
              <w:rPr>
                <w:rFonts w:hint="eastAsia" w:ascii="Times New Roman" w:hAnsi="Times New Roman" w:eastAsia="Times New Roman" w:cs="Times New Roman"/>
                <w:b w:val="0"/>
                <w:i w:val="0"/>
                <w:sz w:val="21"/>
              </w:rPr>
              <w:t>(4)</w:t>
            </w:r>
          </w:p>
        </w:tc>
      </w:tr>
    </w:tbl>
    <w:p w14:paraId="223F2811">
      <w:pPr>
        <w:spacing w:before="0" w:after="0"/>
        <w:ind w:firstLine="420"/>
        <w:jc w:val="both"/>
      </w:pPr>
      <w:r>
        <w:rPr>
          <w:rFonts w:hint="eastAsia" w:ascii="Times New Roman" w:hAnsi="Times New Roman" w:eastAsia="宋体" w:cs="Times New Roman"/>
          <w:b w:val="0"/>
          <w:i w:val="0"/>
          <w:sz w:val="21"/>
        </w:rPr>
        <w:t>式中：</w:t>
      </w:r>
      <m:oMath>
        <m:sSubSup>
          <m:sSubSupPr/>
          <m:e>
            <m:r>
              <m:rPr/>
              <m:t>G</m:t>
            </m:r>
          </m:e>
          <m:sub>
            <m:r>
              <m:rPr/>
              <m:t>h</m:t>
            </m:r>
          </m:sub>
          <m:sup>
            <m:r>
              <m:rPr>
                <m:sty m:val="p"/>
              </m:rPr>
              <m:t>pred</m:t>
            </m:r>
          </m:sup>
        </m:sSubSup>
      </m:oMath>
      <w:r>
        <w:rPr>
          <w:rFonts w:hint="eastAsia" w:ascii="Times New Roman" w:hAnsi="Times New Roman" w:eastAsia="宋体" w:cs="Times New Roman"/>
          <w:b w:val="0"/>
          <w:i w:val="0"/>
          <w:sz w:val="21"/>
        </w:rPr>
        <w:t>和</w:t>
      </w:r>
      <m:oMath>
        <m:sSubSup>
          <m:sSubSupPr/>
          <m:e>
            <m:r>
              <m:rPr/>
              <m:t>G</m:t>
            </m:r>
          </m:e>
          <m:sub>
            <m:r>
              <m:rPr/>
              <m:t>h</m:t>
            </m:r>
          </m:sub>
          <m:sup>
            <m:r>
              <m:rPr>
                <m:sty m:val="p"/>
              </m:rPr>
              <m:t>true</m:t>
            </m:r>
          </m:sup>
        </m:sSubSup>
      </m:oMath>
      <w:r>
        <w:rPr>
          <w:rFonts w:hint="eastAsia" w:ascii="Times New Roman" w:hAnsi="Times New Roman" w:eastAsia="宋体" w:cs="Times New Roman"/>
          <w:b w:val="0"/>
          <w:i w:val="0"/>
          <w:sz w:val="21"/>
        </w:rPr>
        <w:t>分别为代理预测和直接有限元真值；</w:t>
      </w:r>
      <m:oMath>
        <m:r>
          <m:rPr/>
          <m:t>M</m:t>
        </m:r>
      </m:oMath>
      <w:r>
        <w:rPr>
          <w:rFonts w:hint="eastAsia" w:ascii="Times New Roman" w:hAnsi="Times New Roman" w:eastAsia="宋体" w:cs="Times New Roman"/>
          <w:b w:val="0"/>
          <w:i w:val="0"/>
          <w:sz w:val="21"/>
        </w:rPr>
        <w:t>为二者共同有效的频率—空间掩码；</w:t>
      </w:r>
      <m:oMath>
        <m:r>
          <m:rPr/>
          <m:t>w</m:t>
        </m:r>
        <m:r>
          <m:rPr>
            <m:sty m:val="p"/>
          </m:rPr>
          <m:t>(</m:t>
        </m:r>
        <m:r>
          <m:rPr/>
          <m:t>f</m:t>
        </m:r>
        <m:r>
          <m:rPr>
            <m:sty m:val="p"/>
          </m:rPr>
          <m:t>)</m:t>
        </m:r>
      </m:oMath>
      <w:r>
        <w:rPr>
          <w:rFonts w:hint="eastAsia" w:ascii="Times New Roman" w:hAnsi="Times New Roman" w:eastAsia="宋体" w:cs="Times New Roman"/>
          <w:b w:val="0"/>
          <w:i w:val="0"/>
          <w:sz w:val="21"/>
        </w:rPr>
        <w:t>为输入能量归一化权重。各项误差先按完整工况计算，再统计中位数P50和90%分位数P90。最近邻、POD-Ridge和POD-GPR分别代表局部复制、线性系数映射和非线性系数映射，模型选择以全场加权复数误差为主，并同时检查峰值、峰频和峰位。</w:t>
      </w:r>
    </w:p>
    <w:p w14:paraId="4235546F">
      <w:pPr>
        <w:spacing w:before="156" w:after="40"/>
        <w:ind w:firstLine="0"/>
        <w:jc w:val="left"/>
      </w:pPr>
      <w:r>
        <w:rPr>
          <w:rFonts w:hint="eastAsia" w:ascii="Times New Roman" w:hAnsi="Times New Roman" w:eastAsia="宋体" w:cs="Times New Roman"/>
          <w:b/>
          <w:i w:val="0"/>
          <w:sz w:val="24"/>
        </w:rPr>
        <w:t>4.2 交叉验证与训练外组合</w:t>
      </w:r>
    </w:p>
    <w:p w14:paraId="3C207BC8">
      <w:pPr>
        <w:spacing w:before="0" w:after="0"/>
        <w:ind w:firstLine="420"/>
        <w:jc w:val="both"/>
      </w:pPr>
      <w:r>
        <w:rPr>
          <w:rFonts w:hint="eastAsia" w:ascii="Times New Roman" w:hAnsi="Times New Roman" w:eastAsia="宋体" w:cs="Times New Roman"/>
          <w:b w:val="0"/>
          <w:i w:val="0"/>
          <w:sz w:val="21"/>
        </w:rPr>
        <w:t>图17和表8给出了3种候选模型的五折验证结果。POD-GPR的加权复数误差中位数为0.2708，低于最近邻的0.3895和POD-Ridge的0.4271，较最近邻降低30.5%；其相位RMSE中位数也由最近邻的20.60°降至13.22°。因此，后续预测采用POD-GPR模型。</w:t>
      </w:r>
    </w:p>
    <w:p w14:paraId="76C367F6">
      <w:pPr>
        <w:spacing w:before="0" w:after="0"/>
        <w:ind w:firstLine="420"/>
        <w:jc w:val="both"/>
      </w:pPr>
      <w:r>
        <w:rPr>
          <w:rFonts w:hint="eastAsia" w:ascii="Times New Roman" w:hAnsi="Times New Roman" w:eastAsia="宋体" w:cs="Times New Roman"/>
          <w:b w:val="0"/>
          <w:i w:val="0"/>
          <w:sz w:val="21"/>
        </w:rPr>
        <w:t>不同指标下3种模型的排序并不完全一致。POD-GPR的峰频误差中位数为2.25 Hz，高于最近邻的1.15 Hz，对数幅值误差P90也略高于最近邻。最近邻能够保留已有工况中的局部尖峰，而GPR对整体复数场的恢复较好，但可能改变相邻候选峰的高低次序。POD阶数由12阶增至24阶后，加权复数误差中位数由0.271降至0.247，P90由0.490降至0.489；继续增至36阶时二者仍为0.247和0.490，说明24阶以后误差基本不再降低。</w:t>
      </w:r>
    </w:p>
    <w:p w14:paraId="256D4202">
      <w:pPr>
        <w:spacing w:before="0" w:after="0"/>
        <w:ind w:firstLine="420"/>
        <w:jc w:val="both"/>
      </w:pPr>
      <w:r>
        <w:rPr>
          <w:rFonts w:hint="eastAsia" w:ascii="Times New Roman" w:hAnsi="Times New Roman" w:eastAsia="宋体" w:cs="Times New Roman"/>
          <w:b w:val="0"/>
          <w:i w:val="0"/>
          <w:sz w:val="21"/>
        </w:rPr>
        <w:t>按参数分组统计，</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、0.45、0.60和0.75时的五折复数误差中位数分别为0.409、0.326、0.191和0.171；</w:t>
      </w:r>
      <m:oMath>
        <m:r>
          <m:rPr/>
          <m:t>d</m:t>
        </m:r>
        <m:r>
          <m:rPr>
            <m:sty m:val="p"/>
          </m:rPr>
          <m:t>/</m:t>
        </m:r>
        <m:r>
          <m:rPr/>
          <m:t>h</m:t>
        </m:r>
      </m:oMath>
      <w:r>
        <w:rPr>
          <w:rFonts w:hint="eastAsia" w:ascii="Times New Roman" w:hAnsi="Times New Roman" w:eastAsia="宋体" w:cs="Times New Roman"/>
          <w:b w:val="0"/>
          <w:i w:val="0"/>
          <w:sz w:val="21"/>
        </w:rPr>
        <w:t>由0.20增至1.40时，中位误差由0.186增至0.333。代理误差随覆盖层变软、变厚总体增大，与第3章中窄带峰谷和主峰换位较明显的参数区相对应。POD-GPR适用于当前参数域内的近似预测，软厚覆盖层工况仍需重点检验；其后验方差尚未校准，不作为单个工况的置信区间。</w:t>
      </w:r>
    </w:p>
    <w:p w14:paraId="79D14F93">
      <w:pPr>
        <w:spacing w:before="80" w:after="40"/>
        <w:ind w:firstLine="0"/>
        <w:jc w:val="center"/>
      </w:pPr>
      <w:r>
        <w:drawing>
          <wp:inline distT="0" distB="0" distL="114300" distR="114300">
            <wp:extent cx="2880360" cy="1839595"/>
            <wp:effectExtent l="0" t="0" r="152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880360" cy="1839685"/>
                    </a:xfrm>
                    <a:prstGeom prst="rect">
                      <a:avLst/>
                    </a:prstGeom>
                  </pic:spPr>
                </pic:pic>
              </a:graphicData>
            </a:graphic>
          </wp:inline>
        </w:drawing>
      </w:r>
    </w:p>
    <w:p w14:paraId="5F2E104C">
      <w:pPr>
        <w:spacing w:before="0" w:after="0"/>
        <w:ind w:firstLine="420"/>
        <w:jc w:val="both"/>
      </w:pPr>
      <w:r>
        <w:rPr>
          <w:rFonts w:hint="eastAsia" w:ascii="Times New Roman" w:hAnsi="Times New Roman" w:eastAsia="宋体" w:cs="Times New Roman"/>
          <w:b w:val="0"/>
          <w:i w:val="0"/>
          <w:sz w:val="21"/>
        </w:rPr>
        <w:t>图17 候选模型五折交叉验证误差</w:t>
      </w:r>
    </w:p>
    <w:p w14:paraId="504BE2E9">
      <w:pPr>
        <w:spacing w:before="0" w:after="0"/>
        <w:ind w:firstLine="420"/>
        <w:jc w:val="both"/>
      </w:pPr>
      <w:r>
        <w:rPr>
          <w:rFonts w:hint="eastAsia" w:ascii="Times New Roman" w:hAnsi="Times New Roman" w:eastAsia="宋体" w:cs="Times New Roman"/>
          <w:b w:val="0"/>
          <w:i w:val="0"/>
          <w:sz w:val="21"/>
        </w:rPr>
        <w:t>Fig. 17 Five-fold cross-validation errors</w:t>
      </w:r>
    </w:p>
    <w:p w14:paraId="6353C715">
      <w:pPr>
        <w:spacing w:before="0" w:after="0"/>
        <w:ind w:firstLine="420"/>
        <w:jc w:val="both"/>
      </w:pPr>
      <w:r>
        <w:rPr>
          <w:rFonts w:hint="eastAsia" w:ascii="Times New Roman" w:hAnsi="Times New Roman" w:eastAsia="宋体" w:cs="Times New Roman"/>
          <w:b w:val="0"/>
          <w:i w:val="0"/>
          <w:sz w:val="21"/>
        </w:rPr>
        <w:t>表8 候选模型误差（中位数/P90）</w:t>
      </w:r>
    </w:p>
    <w:p w14:paraId="73118FF9">
      <w:pPr>
        <w:spacing w:before="0" w:after="0"/>
        <w:ind w:firstLine="420"/>
        <w:jc w:val="both"/>
      </w:pPr>
      <w:r>
        <w:rPr>
          <w:rFonts w:hint="eastAsia" w:ascii="Times New Roman" w:hAnsi="Times New Roman" w:eastAsia="宋体" w:cs="Times New Roman"/>
          <w:b w:val="0"/>
          <w:i w:val="0"/>
          <w:sz w:val="21"/>
        </w:rPr>
        <w:t>Table 8 Candidate-model errors (median/P90)</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7"/>
        <w:gridCol w:w="866"/>
        <w:gridCol w:w="866"/>
        <w:gridCol w:w="760"/>
        <w:gridCol w:w="941"/>
        <w:gridCol w:w="642"/>
      </w:tblGrid>
      <w:tr w14:paraId="7BA78A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tcBorders>
              <w:bottom w:val="single" w:color="auto" w:sz="6" w:space="0"/>
            </w:tcBorders>
            <w:vAlign w:val="center"/>
          </w:tcPr>
          <w:p w14:paraId="48B053D7">
            <w:pPr>
              <w:spacing w:before="30" w:after="30"/>
              <w:ind w:firstLine="0"/>
              <w:jc w:val="center"/>
            </w:pPr>
            <w:r>
              <w:rPr>
                <w:rFonts w:hint="eastAsia" w:ascii="Times New Roman" w:hAnsi="Times New Roman" w:eastAsia="宋体" w:cs="Times New Roman"/>
                <w:b/>
                <w:i w:val="0"/>
                <w:sz w:val="18"/>
              </w:rPr>
              <w:t>模型</w:t>
            </w:r>
          </w:p>
        </w:tc>
        <w:tc>
          <w:tcPr>
            <w:tcW w:w="1606" w:type="dxa"/>
            <w:tcBorders>
              <w:bottom w:val="single" w:color="auto" w:sz="6" w:space="0"/>
            </w:tcBorders>
            <w:vAlign w:val="center"/>
          </w:tcPr>
          <w:p w14:paraId="0E7BBAE1">
            <w:pPr>
              <w:spacing w:before="30" w:after="30"/>
              <w:ind w:firstLine="0"/>
              <w:jc w:val="center"/>
            </w:pPr>
            <w:r>
              <w:rPr>
                <w:rFonts w:hint="eastAsia" w:ascii="Times New Roman" w:hAnsi="Times New Roman" w:eastAsia="宋体" w:cs="Times New Roman"/>
                <w:b/>
                <w:i w:val="0"/>
                <w:sz w:val="18"/>
              </w:rPr>
              <w:t>加权复数误差</w:t>
            </w:r>
          </w:p>
        </w:tc>
        <w:tc>
          <w:tcPr>
            <w:tcW w:w="1606" w:type="dxa"/>
            <w:tcBorders>
              <w:bottom w:val="single" w:color="auto" w:sz="6" w:space="0"/>
            </w:tcBorders>
            <w:vAlign w:val="center"/>
          </w:tcPr>
          <w:p w14:paraId="02223E9D">
            <w:pPr>
              <w:spacing w:before="30" w:after="30"/>
              <w:ind w:firstLine="0"/>
              <w:jc w:val="center"/>
            </w:pPr>
            <w:r>
              <w:rPr>
                <w:rFonts w:hint="eastAsia" w:ascii="Times New Roman" w:hAnsi="Times New Roman" w:eastAsia="宋体" w:cs="Times New Roman"/>
                <w:b/>
                <w:i w:val="0"/>
                <w:sz w:val="18"/>
              </w:rPr>
              <w:t>对数幅值RMSE</w:t>
            </w:r>
          </w:p>
        </w:tc>
        <w:tc>
          <w:tcPr>
            <w:tcW w:w="1606" w:type="dxa"/>
            <w:tcBorders>
              <w:bottom w:val="single" w:color="auto" w:sz="6" w:space="0"/>
            </w:tcBorders>
            <w:vAlign w:val="center"/>
          </w:tcPr>
          <w:p w14:paraId="71D58A6B">
            <w:pPr>
              <w:spacing w:before="30" w:after="30"/>
              <w:ind w:firstLine="0"/>
              <w:jc w:val="center"/>
            </w:pPr>
            <w:r>
              <w:rPr>
                <w:rFonts w:hint="eastAsia" w:ascii="Times New Roman" w:hAnsi="Times New Roman" w:eastAsia="宋体" w:cs="Times New Roman"/>
                <w:b/>
                <w:i w:val="0"/>
                <w:sz w:val="18"/>
              </w:rPr>
              <w:t>相位RMSE/(°)</w:t>
            </w:r>
          </w:p>
        </w:tc>
        <w:tc>
          <w:tcPr>
            <w:tcW w:w="1606" w:type="dxa"/>
            <w:tcBorders>
              <w:bottom w:val="single" w:color="auto" w:sz="6" w:space="0"/>
            </w:tcBorders>
            <w:vAlign w:val="center"/>
          </w:tcPr>
          <w:p w14:paraId="3312B2B4">
            <w:pPr>
              <w:spacing w:before="30" w:after="30"/>
              <w:ind w:firstLine="0"/>
              <w:jc w:val="center"/>
            </w:pPr>
            <w:r>
              <w:rPr>
                <w:rFonts w:hint="eastAsia" w:ascii="Times New Roman" w:hAnsi="Times New Roman" w:eastAsia="宋体" w:cs="Times New Roman"/>
                <w:b/>
                <w:i w:val="0"/>
                <w:sz w:val="18"/>
              </w:rPr>
              <w:t>峰值误差</w:t>
            </w:r>
          </w:p>
        </w:tc>
        <w:tc>
          <w:tcPr>
            <w:tcW w:w="1606" w:type="dxa"/>
            <w:tcBorders>
              <w:bottom w:val="single" w:color="auto" w:sz="6" w:space="0"/>
            </w:tcBorders>
            <w:vAlign w:val="center"/>
          </w:tcPr>
          <w:p w14:paraId="23ABBFE9">
            <w:pPr>
              <w:spacing w:before="30" w:after="30"/>
              <w:ind w:firstLine="0"/>
              <w:jc w:val="center"/>
            </w:pPr>
            <w:r>
              <w:rPr>
                <w:rFonts w:hint="eastAsia" w:ascii="Times New Roman" w:hAnsi="Times New Roman" w:eastAsia="宋体" w:cs="Times New Roman"/>
                <w:b/>
                <w:i w:val="0"/>
                <w:sz w:val="18"/>
              </w:rPr>
              <w:t>峰频误差/Hz</w:t>
            </w:r>
          </w:p>
        </w:tc>
      </w:tr>
      <w:tr w14:paraId="781EA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6F9F2139">
            <w:pPr>
              <w:spacing w:before="30" w:after="30"/>
              <w:ind w:firstLine="0"/>
              <w:jc w:val="center"/>
            </w:pPr>
            <w:r>
              <w:rPr>
                <w:rFonts w:hint="eastAsia" w:ascii="Times New Roman" w:hAnsi="Times New Roman" w:eastAsia="宋体" w:cs="Times New Roman"/>
                <w:b w:val="0"/>
                <w:i w:val="0"/>
                <w:sz w:val="18"/>
              </w:rPr>
              <w:t>最近邻</w:t>
            </w:r>
          </w:p>
        </w:tc>
        <w:tc>
          <w:tcPr>
            <w:tcW w:w="1606" w:type="dxa"/>
            <w:vAlign w:val="center"/>
          </w:tcPr>
          <w:p w14:paraId="5BD312E9">
            <w:pPr>
              <w:spacing w:before="30" w:after="30"/>
              <w:ind w:firstLine="0"/>
              <w:jc w:val="center"/>
            </w:pPr>
            <w:r>
              <w:rPr>
                <w:rFonts w:hint="eastAsia" w:ascii="Times New Roman" w:hAnsi="Times New Roman" w:eastAsia="宋体" w:cs="Times New Roman"/>
                <w:b w:val="0"/>
                <w:i w:val="0"/>
                <w:sz w:val="18"/>
              </w:rPr>
              <w:t>0.3895/0.7675</w:t>
            </w:r>
          </w:p>
        </w:tc>
        <w:tc>
          <w:tcPr>
            <w:tcW w:w="1606" w:type="dxa"/>
            <w:vAlign w:val="center"/>
          </w:tcPr>
          <w:p w14:paraId="687C5E50">
            <w:pPr>
              <w:spacing w:before="30" w:after="30"/>
              <w:ind w:firstLine="0"/>
              <w:jc w:val="center"/>
            </w:pPr>
            <w:r>
              <w:rPr>
                <w:rFonts w:hint="eastAsia" w:ascii="Times New Roman" w:hAnsi="Times New Roman" w:eastAsia="宋体" w:cs="Times New Roman"/>
                <w:b w:val="0"/>
                <w:i w:val="0"/>
                <w:sz w:val="18"/>
              </w:rPr>
              <w:t>0.2032/0.4248</w:t>
            </w:r>
          </w:p>
        </w:tc>
        <w:tc>
          <w:tcPr>
            <w:tcW w:w="1606" w:type="dxa"/>
            <w:vAlign w:val="center"/>
          </w:tcPr>
          <w:p w14:paraId="2514E4D7">
            <w:pPr>
              <w:spacing w:before="30" w:after="30"/>
              <w:ind w:firstLine="0"/>
              <w:jc w:val="center"/>
            </w:pPr>
            <w:r>
              <w:rPr>
                <w:rFonts w:hint="eastAsia" w:ascii="Times New Roman" w:hAnsi="Times New Roman" w:eastAsia="宋体" w:cs="Times New Roman"/>
                <w:b w:val="0"/>
                <w:i w:val="0"/>
                <w:sz w:val="18"/>
              </w:rPr>
              <w:t>20.60/41.94</w:t>
            </w:r>
          </w:p>
        </w:tc>
        <w:tc>
          <w:tcPr>
            <w:tcW w:w="1606" w:type="dxa"/>
            <w:vAlign w:val="center"/>
          </w:tcPr>
          <w:p w14:paraId="30CFFC88">
            <w:pPr>
              <w:spacing w:before="30" w:after="30"/>
              <w:ind w:firstLine="0"/>
              <w:jc w:val="center"/>
            </w:pPr>
            <w:r>
              <w:rPr>
                <w:rFonts w:hint="eastAsia" w:ascii="Times New Roman" w:hAnsi="Times New Roman" w:eastAsia="宋体" w:cs="Times New Roman"/>
                <w:b w:val="0"/>
                <w:i w:val="0"/>
                <w:sz w:val="18"/>
              </w:rPr>
              <w:t>6.85%/31.96%</w:t>
            </w:r>
          </w:p>
        </w:tc>
        <w:tc>
          <w:tcPr>
            <w:tcW w:w="1606" w:type="dxa"/>
            <w:vAlign w:val="center"/>
          </w:tcPr>
          <w:p w14:paraId="04BCD88D">
            <w:pPr>
              <w:spacing w:before="30" w:after="30"/>
              <w:ind w:firstLine="0"/>
              <w:jc w:val="center"/>
            </w:pPr>
            <w:r>
              <w:rPr>
                <w:rFonts w:hint="eastAsia" w:ascii="Times New Roman" w:hAnsi="Times New Roman" w:eastAsia="宋体" w:cs="Times New Roman"/>
                <w:b w:val="0"/>
                <w:i w:val="0"/>
                <w:sz w:val="18"/>
              </w:rPr>
              <w:t>1.15/5.14</w:t>
            </w:r>
          </w:p>
        </w:tc>
      </w:tr>
      <w:tr w14:paraId="1CC4F7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077C4AA1">
            <w:pPr>
              <w:spacing w:before="30" w:after="30"/>
              <w:ind w:firstLine="0"/>
              <w:jc w:val="center"/>
            </w:pPr>
            <w:r>
              <w:rPr>
                <w:rFonts w:hint="eastAsia" w:ascii="Times New Roman" w:hAnsi="Times New Roman" w:eastAsia="宋体" w:cs="Times New Roman"/>
                <w:b w:val="0"/>
                <w:i w:val="0"/>
                <w:sz w:val="18"/>
              </w:rPr>
              <w:t>POD-Ridge</w:t>
            </w:r>
          </w:p>
        </w:tc>
        <w:tc>
          <w:tcPr>
            <w:tcW w:w="1606" w:type="dxa"/>
            <w:vAlign w:val="center"/>
          </w:tcPr>
          <w:p w14:paraId="18921C35">
            <w:pPr>
              <w:spacing w:before="30" w:after="30"/>
              <w:ind w:firstLine="0"/>
              <w:jc w:val="center"/>
            </w:pPr>
            <w:r>
              <w:rPr>
                <w:rFonts w:hint="eastAsia" w:ascii="Times New Roman" w:hAnsi="Times New Roman" w:eastAsia="宋体" w:cs="Times New Roman"/>
                <w:b w:val="0"/>
                <w:i w:val="0"/>
                <w:sz w:val="18"/>
              </w:rPr>
              <w:t>0.4271/0.7114</w:t>
            </w:r>
          </w:p>
        </w:tc>
        <w:tc>
          <w:tcPr>
            <w:tcW w:w="1606" w:type="dxa"/>
            <w:vAlign w:val="center"/>
          </w:tcPr>
          <w:p w14:paraId="4CA0C30A">
            <w:pPr>
              <w:spacing w:before="30" w:after="30"/>
              <w:ind w:firstLine="0"/>
              <w:jc w:val="center"/>
            </w:pPr>
            <w:r>
              <w:rPr>
                <w:rFonts w:hint="eastAsia" w:ascii="Times New Roman" w:hAnsi="Times New Roman" w:eastAsia="宋体" w:cs="Times New Roman"/>
                <w:b w:val="0"/>
                <w:i w:val="0"/>
                <w:sz w:val="18"/>
              </w:rPr>
              <w:t>0.3939/0.8385</w:t>
            </w:r>
          </w:p>
        </w:tc>
        <w:tc>
          <w:tcPr>
            <w:tcW w:w="1606" w:type="dxa"/>
            <w:vAlign w:val="center"/>
          </w:tcPr>
          <w:p w14:paraId="51F83741">
            <w:pPr>
              <w:spacing w:before="30" w:after="30"/>
              <w:ind w:firstLine="0"/>
              <w:jc w:val="center"/>
            </w:pPr>
            <w:r>
              <w:rPr>
                <w:rFonts w:hint="eastAsia" w:ascii="Times New Roman" w:hAnsi="Times New Roman" w:eastAsia="宋体" w:cs="Times New Roman"/>
                <w:b w:val="0"/>
                <w:i w:val="0"/>
                <w:sz w:val="18"/>
              </w:rPr>
              <w:t>29.26/59.40</w:t>
            </w:r>
          </w:p>
        </w:tc>
        <w:tc>
          <w:tcPr>
            <w:tcW w:w="1606" w:type="dxa"/>
            <w:vAlign w:val="center"/>
          </w:tcPr>
          <w:p w14:paraId="19BCCA4F">
            <w:pPr>
              <w:spacing w:before="30" w:after="30"/>
              <w:ind w:firstLine="0"/>
              <w:jc w:val="center"/>
            </w:pPr>
            <w:r>
              <w:rPr>
                <w:rFonts w:hint="eastAsia" w:ascii="Times New Roman" w:hAnsi="Times New Roman" w:eastAsia="宋体" w:cs="Times New Roman"/>
                <w:b w:val="0"/>
                <w:i w:val="0"/>
                <w:sz w:val="18"/>
              </w:rPr>
              <w:t>17.68%/40.40%</w:t>
            </w:r>
          </w:p>
        </w:tc>
        <w:tc>
          <w:tcPr>
            <w:tcW w:w="1606" w:type="dxa"/>
            <w:vAlign w:val="center"/>
          </w:tcPr>
          <w:p w14:paraId="654BA498">
            <w:pPr>
              <w:spacing w:before="30" w:after="30"/>
              <w:ind w:firstLine="0"/>
              <w:jc w:val="center"/>
            </w:pPr>
            <w:r>
              <w:rPr>
                <w:rFonts w:hint="eastAsia" w:ascii="Times New Roman" w:hAnsi="Times New Roman" w:eastAsia="宋体" w:cs="Times New Roman"/>
                <w:b w:val="0"/>
                <w:i w:val="0"/>
                <w:sz w:val="18"/>
              </w:rPr>
              <w:t>3.10/7.04</w:t>
            </w:r>
          </w:p>
        </w:tc>
      </w:tr>
      <w:tr w14:paraId="2B1B6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6" w:type="dxa"/>
            <w:vAlign w:val="center"/>
          </w:tcPr>
          <w:p w14:paraId="19593DC1">
            <w:pPr>
              <w:spacing w:before="30" w:after="30"/>
              <w:ind w:firstLine="0"/>
              <w:jc w:val="center"/>
            </w:pPr>
            <w:r>
              <w:rPr>
                <w:rFonts w:hint="eastAsia" w:ascii="Times New Roman" w:hAnsi="Times New Roman" w:eastAsia="宋体" w:cs="Times New Roman"/>
                <w:b w:val="0"/>
                <w:i w:val="0"/>
                <w:sz w:val="18"/>
              </w:rPr>
              <w:t>POD-GPR</w:t>
            </w:r>
          </w:p>
        </w:tc>
        <w:tc>
          <w:tcPr>
            <w:tcW w:w="1606" w:type="dxa"/>
            <w:vAlign w:val="center"/>
          </w:tcPr>
          <w:p w14:paraId="65C13D7E">
            <w:pPr>
              <w:spacing w:before="30" w:after="30"/>
              <w:ind w:firstLine="0"/>
              <w:jc w:val="center"/>
            </w:pPr>
            <w:r>
              <w:rPr>
                <w:rFonts w:hint="eastAsia" w:ascii="Times New Roman" w:hAnsi="Times New Roman" w:eastAsia="宋体" w:cs="Times New Roman"/>
                <w:b w:val="0"/>
                <w:i w:val="0"/>
                <w:sz w:val="18"/>
              </w:rPr>
              <w:t>0.2708/0.4903</w:t>
            </w:r>
          </w:p>
        </w:tc>
        <w:tc>
          <w:tcPr>
            <w:tcW w:w="1606" w:type="dxa"/>
            <w:vAlign w:val="center"/>
          </w:tcPr>
          <w:p w14:paraId="413987A3">
            <w:pPr>
              <w:spacing w:before="30" w:after="30"/>
              <w:ind w:firstLine="0"/>
              <w:jc w:val="center"/>
            </w:pPr>
            <w:r>
              <w:rPr>
                <w:rFonts w:hint="eastAsia" w:ascii="Times New Roman" w:hAnsi="Times New Roman" w:eastAsia="宋体" w:cs="Times New Roman"/>
                <w:b w:val="0"/>
                <w:i w:val="0"/>
                <w:sz w:val="18"/>
              </w:rPr>
              <w:t>0.1928/0.4886</w:t>
            </w:r>
          </w:p>
        </w:tc>
        <w:tc>
          <w:tcPr>
            <w:tcW w:w="1606" w:type="dxa"/>
            <w:vAlign w:val="center"/>
          </w:tcPr>
          <w:p w14:paraId="4E5FCE69">
            <w:pPr>
              <w:spacing w:before="30" w:after="30"/>
              <w:ind w:firstLine="0"/>
              <w:jc w:val="center"/>
            </w:pPr>
            <w:r>
              <w:rPr>
                <w:rFonts w:hint="eastAsia" w:ascii="Times New Roman" w:hAnsi="Times New Roman" w:eastAsia="宋体" w:cs="Times New Roman"/>
                <w:b w:val="0"/>
                <w:i w:val="0"/>
                <w:sz w:val="18"/>
              </w:rPr>
              <w:t>13.22/33.05</w:t>
            </w:r>
          </w:p>
        </w:tc>
        <w:tc>
          <w:tcPr>
            <w:tcW w:w="1606" w:type="dxa"/>
            <w:vAlign w:val="center"/>
          </w:tcPr>
          <w:p w14:paraId="7347A5C1">
            <w:pPr>
              <w:spacing w:before="30" w:after="30"/>
              <w:ind w:firstLine="0"/>
              <w:jc w:val="center"/>
            </w:pPr>
            <w:r>
              <w:rPr>
                <w:rFonts w:hint="eastAsia" w:ascii="Times New Roman" w:hAnsi="Times New Roman" w:eastAsia="宋体" w:cs="Times New Roman"/>
                <w:b w:val="0"/>
                <w:i w:val="0"/>
                <w:sz w:val="18"/>
              </w:rPr>
              <w:t>11.40%/27.87%</w:t>
            </w:r>
          </w:p>
        </w:tc>
        <w:tc>
          <w:tcPr>
            <w:tcW w:w="1606" w:type="dxa"/>
            <w:vAlign w:val="center"/>
          </w:tcPr>
          <w:p w14:paraId="64015D8B">
            <w:pPr>
              <w:spacing w:before="30" w:after="30"/>
              <w:ind w:firstLine="0"/>
              <w:jc w:val="center"/>
            </w:pPr>
            <w:r>
              <w:rPr>
                <w:rFonts w:hint="eastAsia" w:ascii="Times New Roman" w:hAnsi="Times New Roman" w:eastAsia="宋体" w:cs="Times New Roman"/>
                <w:b w:val="0"/>
                <w:i w:val="0"/>
                <w:sz w:val="18"/>
              </w:rPr>
              <w:t>2.25/6.47</w:t>
            </w:r>
          </w:p>
        </w:tc>
      </w:tr>
    </w:tbl>
    <w:p w14:paraId="109CDA63">
      <w:pPr>
        <w:spacing w:before="0" w:after="0"/>
        <w:ind w:firstLine="420"/>
        <w:jc w:val="both"/>
      </w:pPr>
      <w:r>
        <w:rPr>
          <w:rFonts w:hint="eastAsia" w:ascii="Times New Roman" w:hAnsi="Times New Roman" w:eastAsia="宋体" w:cs="Times New Roman"/>
          <w:b w:val="0"/>
          <w:i w:val="0"/>
          <w:sz w:val="21"/>
        </w:rPr>
        <w:t>图18和表9给出了POD-GPR误差随频带和地表区段的分布。低、中、高频的对数幅值误差中位数分别为0.0659、0.1716和0.2556，误差随频率升高而增大；上平台、坡面和下平台的复数误差中位数分别为0.1801、0.3325和0.3006，较大误差主要分布在坡面和下平台。</w:t>
      </w:r>
    </w:p>
    <w:p w14:paraId="42592528">
      <w:pPr>
        <w:spacing w:before="80" w:after="40"/>
        <w:ind w:firstLine="0"/>
        <w:jc w:val="center"/>
      </w:pPr>
      <w:r>
        <w:drawing>
          <wp:inline distT="0" distB="0" distL="114300" distR="114300">
            <wp:extent cx="2880360" cy="2273300"/>
            <wp:effectExtent l="0" t="0" r="1524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2880360" cy="2273691"/>
                    </a:xfrm>
                    <a:prstGeom prst="rect">
                      <a:avLst/>
                    </a:prstGeom>
                  </pic:spPr>
                </pic:pic>
              </a:graphicData>
            </a:graphic>
          </wp:inline>
        </w:drawing>
      </w:r>
    </w:p>
    <w:p w14:paraId="727AB02B">
      <w:pPr>
        <w:spacing w:before="0" w:after="0"/>
        <w:ind w:firstLine="420"/>
        <w:jc w:val="both"/>
      </w:pPr>
      <w:r>
        <w:rPr>
          <w:rFonts w:hint="eastAsia" w:ascii="Times New Roman" w:hAnsi="Times New Roman" w:eastAsia="宋体" w:cs="Times New Roman"/>
          <w:b w:val="0"/>
          <w:i w:val="0"/>
          <w:sz w:val="21"/>
        </w:rPr>
        <w:t>图18 代理误差的频带与空间分层</w:t>
      </w:r>
    </w:p>
    <w:p w14:paraId="2A64F6CD">
      <w:pPr>
        <w:spacing w:before="0" w:after="0"/>
        <w:ind w:firstLine="420"/>
        <w:jc w:val="both"/>
      </w:pPr>
      <w:r>
        <w:rPr>
          <w:rFonts w:hint="eastAsia" w:ascii="Times New Roman" w:hAnsi="Times New Roman" w:eastAsia="宋体" w:cs="Times New Roman"/>
          <w:b w:val="0"/>
          <w:i w:val="0"/>
          <w:sz w:val="21"/>
        </w:rPr>
        <w:t>Fig. 18 Errors by frequency band and surface segment</w:t>
      </w:r>
    </w:p>
    <w:p w14:paraId="047C3C23">
      <w:pPr>
        <w:spacing w:before="0" w:after="0"/>
        <w:ind w:firstLine="420"/>
        <w:jc w:val="both"/>
      </w:pPr>
      <w:r>
        <w:rPr>
          <w:rFonts w:hint="eastAsia" w:ascii="Times New Roman" w:hAnsi="Times New Roman" w:eastAsia="宋体" w:cs="Times New Roman"/>
          <w:b w:val="0"/>
          <w:i w:val="0"/>
          <w:sz w:val="21"/>
        </w:rPr>
        <w:t>表9 POD-GPR分层误差（中位数/P90）</w:t>
      </w:r>
    </w:p>
    <w:p w14:paraId="5E103791">
      <w:pPr>
        <w:spacing w:before="0" w:after="0"/>
        <w:ind w:firstLine="420"/>
        <w:jc w:val="both"/>
      </w:pPr>
      <w:r>
        <w:rPr>
          <w:rFonts w:hint="eastAsia" w:ascii="Times New Roman" w:hAnsi="Times New Roman" w:eastAsia="宋体" w:cs="Times New Roman"/>
          <w:b w:val="0"/>
          <w:i w:val="0"/>
          <w:sz w:val="21"/>
        </w:rPr>
        <w:t>Table 9 Stratified POD-GPR errors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0"/>
        <w:gridCol w:w="1222"/>
        <w:gridCol w:w="1058"/>
        <w:gridCol w:w="1222"/>
      </w:tblGrid>
      <w:tr w14:paraId="6B699E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tcBorders>
              <w:bottom w:val="single" w:color="auto" w:sz="6" w:space="0"/>
            </w:tcBorders>
            <w:vAlign w:val="center"/>
          </w:tcPr>
          <w:p w14:paraId="44016770">
            <w:pPr>
              <w:spacing w:before="30" w:after="30"/>
              <w:ind w:firstLine="0"/>
              <w:jc w:val="center"/>
            </w:pPr>
            <w:r>
              <w:rPr>
                <w:rFonts w:hint="eastAsia" w:ascii="Times New Roman" w:hAnsi="Times New Roman" w:eastAsia="宋体" w:cs="Times New Roman"/>
                <w:b/>
                <w:i w:val="0"/>
                <w:sz w:val="18"/>
              </w:rPr>
              <w:t>分层</w:t>
            </w:r>
          </w:p>
        </w:tc>
        <w:tc>
          <w:tcPr>
            <w:tcW w:w="2409" w:type="dxa"/>
            <w:tcBorders>
              <w:bottom w:val="single" w:color="auto" w:sz="6" w:space="0"/>
            </w:tcBorders>
            <w:vAlign w:val="center"/>
          </w:tcPr>
          <w:p w14:paraId="44511723">
            <w:pPr>
              <w:spacing w:before="30" w:after="30"/>
              <w:ind w:firstLine="0"/>
              <w:jc w:val="center"/>
            </w:pPr>
            <w:r>
              <w:rPr>
                <w:rFonts w:hint="eastAsia" w:ascii="Times New Roman" w:hAnsi="Times New Roman" w:eastAsia="宋体" w:cs="Times New Roman"/>
                <w:b/>
                <w:i w:val="0"/>
                <w:sz w:val="18"/>
              </w:rPr>
              <w:t>对数幅值RMSE</w:t>
            </w:r>
          </w:p>
        </w:tc>
        <w:tc>
          <w:tcPr>
            <w:tcW w:w="2409" w:type="dxa"/>
            <w:tcBorders>
              <w:bottom w:val="single" w:color="auto" w:sz="6" w:space="0"/>
            </w:tcBorders>
            <w:vAlign w:val="center"/>
          </w:tcPr>
          <w:p w14:paraId="1AE59E5E">
            <w:pPr>
              <w:spacing w:before="30" w:after="30"/>
              <w:ind w:firstLine="0"/>
              <w:jc w:val="center"/>
            </w:pPr>
            <w:r>
              <w:rPr>
                <w:rFonts w:hint="eastAsia" w:ascii="Times New Roman" w:hAnsi="Times New Roman" w:eastAsia="宋体" w:cs="Times New Roman"/>
                <w:b/>
                <w:i w:val="0"/>
                <w:sz w:val="18"/>
              </w:rPr>
              <w:t>相位RMSE/(°)</w:t>
            </w:r>
          </w:p>
        </w:tc>
        <w:tc>
          <w:tcPr>
            <w:tcW w:w="2409" w:type="dxa"/>
            <w:tcBorders>
              <w:bottom w:val="single" w:color="auto" w:sz="6" w:space="0"/>
            </w:tcBorders>
            <w:vAlign w:val="center"/>
          </w:tcPr>
          <w:p w14:paraId="31B41FC9">
            <w:pPr>
              <w:spacing w:before="30" w:after="30"/>
              <w:ind w:firstLine="0"/>
              <w:jc w:val="center"/>
            </w:pPr>
            <w:r>
              <w:rPr>
                <w:rFonts w:hint="eastAsia" w:ascii="Times New Roman" w:hAnsi="Times New Roman" w:eastAsia="宋体" w:cs="Times New Roman"/>
                <w:b/>
                <w:i w:val="0"/>
                <w:sz w:val="18"/>
              </w:rPr>
              <w:t>复数误差</w:t>
            </w:r>
          </w:p>
        </w:tc>
      </w:tr>
      <w:tr w14:paraId="7368CE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3DF90F9C">
            <w:pPr>
              <w:spacing w:before="30" w:after="30"/>
              <w:ind w:firstLine="0"/>
              <w:jc w:val="center"/>
            </w:pPr>
            <m:oMath>
              <m:r>
                <m:rPr>
                  <m:sty m:val="p"/>
                </m:rPr>
                <m:t>[</m:t>
              </m:r>
              <m:r>
                <m:rPr/>
                <m:t>0.5</m:t>
              </m:r>
              <m:r>
                <m:rPr>
                  <m:sty m:val="p"/>
                </m:rPr>
                <m:t>,</m:t>
              </m:r>
              <m:r>
                <m:rPr/>
                <m:t>3</m:t>
              </m:r>
              <m:r>
                <m:rPr>
                  <m:sty m:val="p"/>
                </m:rPr>
                <m:t>)</m:t>
              </m:r>
            </m:oMath>
            <w:r>
              <w:rPr>
                <w:rFonts w:hint="eastAsia" w:ascii="Times New Roman" w:hAnsi="Times New Roman" w:eastAsia="宋体" w:cs="Times New Roman"/>
                <w:b w:val="0"/>
                <w:i w:val="0"/>
                <w:sz w:val="18"/>
              </w:rPr>
              <w:t xml:space="preserve"> Hz</w:t>
            </w:r>
          </w:p>
        </w:tc>
        <w:tc>
          <w:tcPr>
            <w:tcW w:w="2409" w:type="dxa"/>
            <w:vAlign w:val="center"/>
          </w:tcPr>
          <w:p w14:paraId="334E72CB">
            <w:pPr>
              <w:spacing w:before="30" w:after="30"/>
              <w:ind w:firstLine="0"/>
              <w:jc w:val="center"/>
            </w:pPr>
            <w:r>
              <w:rPr>
                <w:rFonts w:hint="eastAsia" w:ascii="Times New Roman" w:hAnsi="Times New Roman" w:eastAsia="宋体" w:cs="Times New Roman"/>
                <w:b w:val="0"/>
                <w:i w:val="0"/>
                <w:sz w:val="18"/>
              </w:rPr>
              <w:t>0.0659/0.2087</w:t>
            </w:r>
          </w:p>
        </w:tc>
        <w:tc>
          <w:tcPr>
            <w:tcW w:w="2409" w:type="dxa"/>
            <w:vAlign w:val="center"/>
          </w:tcPr>
          <w:p w14:paraId="504D3536">
            <w:pPr>
              <w:spacing w:before="30" w:after="30"/>
              <w:ind w:firstLine="0"/>
              <w:jc w:val="center"/>
            </w:pPr>
            <w:r>
              <w:rPr>
                <w:rFonts w:hint="eastAsia" w:ascii="Times New Roman" w:hAnsi="Times New Roman" w:eastAsia="宋体" w:cs="Times New Roman"/>
                <w:b w:val="0"/>
                <w:i w:val="0"/>
                <w:sz w:val="18"/>
              </w:rPr>
              <w:t>4.61/14.40</w:t>
            </w:r>
          </w:p>
        </w:tc>
        <w:tc>
          <w:tcPr>
            <w:tcW w:w="2409" w:type="dxa"/>
            <w:vAlign w:val="center"/>
          </w:tcPr>
          <w:p w14:paraId="041B2830">
            <w:pPr>
              <w:spacing w:before="30" w:after="30"/>
              <w:ind w:firstLine="0"/>
              <w:jc w:val="center"/>
            </w:pPr>
            <w:r>
              <w:rPr>
                <w:rFonts w:hint="eastAsia" w:ascii="Times New Roman" w:hAnsi="Times New Roman" w:eastAsia="宋体" w:cs="Times New Roman"/>
                <w:b w:val="0"/>
                <w:i w:val="0"/>
                <w:sz w:val="18"/>
              </w:rPr>
              <w:t>—</w:t>
            </w:r>
          </w:p>
        </w:tc>
      </w:tr>
      <w:tr w14:paraId="2D2009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3DBFDBDB">
            <w:pPr>
              <w:spacing w:before="30" w:after="30"/>
              <w:ind w:firstLine="0"/>
              <w:jc w:val="center"/>
            </w:pPr>
            <m:oMath>
              <m:r>
                <m:rPr>
                  <m:sty m:val="p"/>
                </m:rPr>
                <m:t>[</m:t>
              </m:r>
              <m:r>
                <m:rPr/>
                <m:t>3</m:t>
              </m:r>
              <m:r>
                <m:rPr>
                  <m:sty m:val="p"/>
                </m:rPr>
                <m:t>,</m:t>
              </m:r>
              <m:r>
                <m:rPr/>
                <m:t>6</m:t>
              </m:r>
              <m:r>
                <m:rPr>
                  <m:sty m:val="p"/>
                </m:rPr>
                <m:t>)</m:t>
              </m:r>
            </m:oMath>
            <w:r>
              <w:rPr>
                <w:rFonts w:hint="eastAsia" w:ascii="Times New Roman" w:hAnsi="Times New Roman" w:eastAsia="宋体" w:cs="Times New Roman"/>
                <w:b w:val="0"/>
                <w:i w:val="0"/>
                <w:sz w:val="18"/>
              </w:rPr>
              <w:t xml:space="preserve"> Hz</w:t>
            </w:r>
          </w:p>
        </w:tc>
        <w:tc>
          <w:tcPr>
            <w:tcW w:w="2409" w:type="dxa"/>
            <w:vAlign w:val="center"/>
          </w:tcPr>
          <w:p w14:paraId="21FA02D8">
            <w:pPr>
              <w:spacing w:before="30" w:after="30"/>
              <w:ind w:firstLine="0"/>
              <w:jc w:val="center"/>
            </w:pPr>
            <w:r>
              <w:rPr>
                <w:rFonts w:hint="eastAsia" w:ascii="Times New Roman" w:hAnsi="Times New Roman" w:eastAsia="宋体" w:cs="Times New Roman"/>
                <w:b w:val="0"/>
                <w:i w:val="0"/>
                <w:sz w:val="18"/>
              </w:rPr>
              <w:t>0.1716/0.4032</w:t>
            </w:r>
          </w:p>
        </w:tc>
        <w:tc>
          <w:tcPr>
            <w:tcW w:w="2409" w:type="dxa"/>
            <w:vAlign w:val="center"/>
          </w:tcPr>
          <w:p w14:paraId="196566E0">
            <w:pPr>
              <w:spacing w:before="30" w:after="30"/>
              <w:ind w:firstLine="0"/>
              <w:jc w:val="center"/>
            </w:pPr>
            <w:r>
              <w:rPr>
                <w:rFonts w:hint="eastAsia" w:ascii="Times New Roman" w:hAnsi="Times New Roman" w:eastAsia="宋体" w:cs="Times New Roman"/>
                <w:b w:val="0"/>
                <w:i w:val="0"/>
                <w:sz w:val="18"/>
              </w:rPr>
              <w:t>10.72/24.73</w:t>
            </w:r>
          </w:p>
        </w:tc>
        <w:tc>
          <w:tcPr>
            <w:tcW w:w="2409" w:type="dxa"/>
            <w:vAlign w:val="center"/>
          </w:tcPr>
          <w:p w14:paraId="77BEB612">
            <w:pPr>
              <w:spacing w:before="30" w:after="30"/>
              <w:ind w:firstLine="0"/>
              <w:jc w:val="center"/>
            </w:pPr>
            <w:r>
              <w:rPr>
                <w:rFonts w:hint="eastAsia" w:ascii="Times New Roman" w:hAnsi="Times New Roman" w:eastAsia="宋体" w:cs="Times New Roman"/>
                <w:b w:val="0"/>
                <w:i w:val="0"/>
                <w:sz w:val="18"/>
              </w:rPr>
              <w:t>—</w:t>
            </w:r>
          </w:p>
        </w:tc>
      </w:tr>
      <w:tr w14:paraId="2432C2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37C3817E">
            <w:pPr>
              <w:spacing w:before="30" w:after="30"/>
              <w:ind w:firstLine="0"/>
              <w:jc w:val="center"/>
            </w:pPr>
            <m:oMath>
              <m:r>
                <m:rPr>
                  <m:sty m:val="p"/>
                </m:rPr>
                <m:t>[</m:t>
              </m:r>
              <m:r>
                <m:rPr/>
                <m:t>6</m:t>
              </m:r>
              <m:r>
                <m:rPr>
                  <m:sty m:val="p"/>
                </m:rPr>
                <m:t>,</m:t>
              </m:r>
              <m:r>
                <m:rPr/>
                <m:t>10</m:t>
              </m:r>
              <m:r>
                <m:rPr>
                  <m:sty m:val="p"/>
                </m:rPr>
                <m:t>]</m:t>
              </m:r>
            </m:oMath>
            <w:r>
              <w:rPr>
                <w:rFonts w:hint="eastAsia" w:ascii="Times New Roman" w:hAnsi="Times New Roman" w:eastAsia="宋体" w:cs="Times New Roman"/>
                <w:b w:val="0"/>
                <w:i w:val="0"/>
                <w:sz w:val="18"/>
              </w:rPr>
              <w:t xml:space="preserve"> Hz</w:t>
            </w:r>
          </w:p>
        </w:tc>
        <w:tc>
          <w:tcPr>
            <w:tcW w:w="2409" w:type="dxa"/>
            <w:vAlign w:val="center"/>
          </w:tcPr>
          <w:p w14:paraId="3098DBF4">
            <w:pPr>
              <w:spacing w:before="30" w:after="30"/>
              <w:ind w:firstLine="0"/>
              <w:jc w:val="center"/>
            </w:pPr>
            <w:r>
              <w:rPr>
                <w:rFonts w:hint="eastAsia" w:ascii="Times New Roman" w:hAnsi="Times New Roman" w:eastAsia="宋体" w:cs="Times New Roman"/>
                <w:b w:val="0"/>
                <w:i w:val="0"/>
                <w:sz w:val="18"/>
              </w:rPr>
              <w:t>0.2556/0.4911</w:t>
            </w:r>
          </w:p>
        </w:tc>
        <w:tc>
          <w:tcPr>
            <w:tcW w:w="2409" w:type="dxa"/>
            <w:vAlign w:val="center"/>
          </w:tcPr>
          <w:p w14:paraId="2CC3722D">
            <w:pPr>
              <w:spacing w:before="30" w:after="30"/>
              <w:ind w:firstLine="0"/>
              <w:jc w:val="center"/>
            </w:pPr>
            <w:r>
              <w:rPr>
                <w:rFonts w:hint="eastAsia" w:ascii="Times New Roman" w:hAnsi="Times New Roman" w:eastAsia="宋体" w:cs="Times New Roman"/>
                <w:b w:val="0"/>
                <w:i w:val="0"/>
                <w:sz w:val="18"/>
              </w:rPr>
              <w:t>14.88/44.20</w:t>
            </w:r>
          </w:p>
        </w:tc>
        <w:tc>
          <w:tcPr>
            <w:tcW w:w="2409" w:type="dxa"/>
            <w:vAlign w:val="center"/>
          </w:tcPr>
          <w:p w14:paraId="0BFB28AD">
            <w:pPr>
              <w:spacing w:before="30" w:after="30"/>
              <w:ind w:firstLine="0"/>
              <w:jc w:val="center"/>
            </w:pPr>
            <w:r>
              <w:rPr>
                <w:rFonts w:hint="eastAsia" w:ascii="Times New Roman" w:hAnsi="Times New Roman" w:eastAsia="宋体" w:cs="Times New Roman"/>
                <w:b w:val="0"/>
                <w:i w:val="0"/>
                <w:sz w:val="18"/>
              </w:rPr>
              <w:t>—</w:t>
            </w:r>
          </w:p>
        </w:tc>
      </w:tr>
      <w:tr w14:paraId="0A27E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6550DCE4">
            <w:pPr>
              <w:spacing w:before="30" w:after="30"/>
              <w:ind w:firstLine="0"/>
              <w:jc w:val="center"/>
            </w:pPr>
            <w:r>
              <w:rPr>
                <w:rFonts w:hint="eastAsia" w:ascii="Times New Roman" w:hAnsi="Times New Roman" w:eastAsia="宋体" w:cs="Times New Roman"/>
                <w:b w:val="0"/>
                <w:i w:val="0"/>
                <w:sz w:val="18"/>
              </w:rPr>
              <w:t>上平台A段（</w:t>
            </w:r>
            <m:oMath>
              <m:r>
                <m:rPr>
                  <m:sty m:val="p"/>
                </m:rPr>
                <m:t>−</m:t>
              </m:r>
              <m:r>
                <m:rPr/>
                <m:t>4</m:t>
              </m:r>
              <m:r>
                <m:rPr>
                  <m:sty m:val="p"/>
                </m:rPr>
                <m:t>≤</m:t>
              </m:r>
              <m:r>
                <m:rPr/>
                <m:t>s</m:t>
              </m:r>
              <m:r>
                <m:rPr>
                  <m:sty m:val="p"/>
                </m:rPr>
                <m:t>≤</m:t>
              </m:r>
              <m:r>
                <m:rPr/>
                <m:t>0</m:t>
              </m:r>
            </m:oMath>
            <w:r>
              <w:rPr>
                <w:rFonts w:hint="eastAsia" w:ascii="Times New Roman" w:hAnsi="Times New Roman" w:eastAsia="宋体" w:cs="Times New Roman"/>
                <w:b w:val="0"/>
                <w:i w:val="0"/>
                <w:sz w:val="18"/>
              </w:rPr>
              <w:t>）</w:t>
            </w:r>
          </w:p>
        </w:tc>
        <w:tc>
          <w:tcPr>
            <w:tcW w:w="2409" w:type="dxa"/>
            <w:vAlign w:val="center"/>
          </w:tcPr>
          <w:p w14:paraId="6CC85024">
            <w:pPr>
              <w:spacing w:before="30" w:after="30"/>
              <w:ind w:firstLine="0"/>
              <w:jc w:val="center"/>
            </w:pPr>
            <w:r>
              <w:rPr>
                <w:rFonts w:hint="eastAsia" w:ascii="Times New Roman" w:hAnsi="Times New Roman" w:eastAsia="宋体" w:cs="Times New Roman"/>
                <w:b w:val="0"/>
                <w:i w:val="0"/>
                <w:sz w:val="18"/>
              </w:rPr>
              <w:t>0.1439/0.3320</w:t>
            </w:r>
          </w:p>
        </w:tc>
        <w:tc>
          <w:tcPr>
            <w:tcW w:w="2409" w:type="dxa"/>
            <w:vAlign w:val="center"/>
          </w:tcPr>
          <w:p w14:paraId="2E01017E">
            <w:pPr>
              <w:spacing w:before="30" w:after="30"/>
              <w:ind w:firstLine="0"/>
              <w:jc w:val="center"/>
            </w:pPr>
            <w:r>
              <w:rPr>
                <w:rFonts w:hint="eastAsia" w:ascii="Times New Roman" w:hAnsi="Times New Roman" w:eastAsia="宋体" w:cs="Times New Roman"/>
                <w:b w:val="0"/>
                <w:i w:val="0"/>
                <w:sz w:val="18"/>
              </w:rPr>
              <w:t>—</w:t>
            </w:r>
          </w:p>
        </w:tc>
        <w:tc>
          <w:tcPr>
            <w:tcW w:w="2409" w:type="dxa"/>
            <w:vAlign w:val="center"/>
          </w:tcPr>
          <w:p w14:paraId="7C43E46E">
            <w:pPr>
              <w:spacing w:before="30" w:after="30"/>
              <w:ind w:firstLine="0"/>
              <w:jc w:val="center"/>
            </w:pPr>
            <w:r>
              <w:rPr>
                <w:rFonts w:hint="eastAsia" w:ascii="Times New Roman" w:hAnsi="Times New Roman" w:eastAsia="宋体" w:cs="Times New Roman"/>
                <w:b w:val="0"/>
                <w:i w:val="0"/>
                <w:sz w:val="18"/>
              </w:rPr>
              <w:t>0.1801/0.4066</w:t>
            </w:r>
          </w:p>
        </w:tc>
      </w:tr>
      <w:tr w14:paraId="5B8F0F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27A08C71">
            <w:pPr>
              <w:spacing w:before="30" w:after="30"/>
              <w:ind w:firstLine="0"/>
              <w:jc w:val="center"/>
            </w:pPr>
            <w:r>
              <w:rPr>
                <w:rFonts w:hint="eastAsia" w:ascii="Times New Roman" w:hAnsi="Times New Roman" w:eastAsia="宋体" w:cs="Times New Roman"/>
                <w:b w:val="0"/>
                <w:i w:val="0"/>
                <w:sz w:val="18"/>
              </w:rPr>
              <w:t>坡面B段（</w:t>
            </w:r>
            <m:oMath>
              <m:r>
                <m:rPr/>
                <m:t>0</m:t>
              </m:r>
              <m:r>
                <m:rPr>
                  <m:sty m:val="p"/>
                </m:rPr>
                <m:t>&lt;</m:t>
              </m:r>
              <m:r>
                <m:rPr/>
                <m:t>s</m:t>
              </m:r>
              <m:r>
                <m:rPr>
                  <m:sty m:val="p"/>
                </m:rPr>
                <m:t>≤</m:t>
              </m:r>
              <m:r>
                <m:rPr/>
                <m:t>1</m:t>
              </m:r>
            </m:oMath>
            <w:r>
              <w:rPr>
                <w:rFonts w:hint="eastAsia" w:ascii="Times New Roman" w:hAnsi="Times New Roman" w:eastAsia="宋体" w:cs="Times New Roman"/>
                <w:b w:val="0"/>
                <w:i w:val="0"/>
                <w:sz w:val="18"/>
              </w:rPr>
              <w:t>）</w:t>
            </w:r>
          </w:p>
        </w:tc>
        <w:tc>
          <w:tcPr>
            <w:tcW w:w="2409" w:type="dxa"/>
            <w:vAlign w:val="center"/>
          </w:tcPr>
          <w:p w14:paraId="129E01F0">
            <w:pPr>
              <w:spacing w:before="30" w:after="30"/>
              <w:ind w:firstLine="0"/>
              <w:jc w:val="center"/>
            </w:pPr>
            <w:r>
              <w:rPr>
                <w:rFonts w:hint="eastAsia" w:ascii="Times New Roman" w:hAnsi="Times New Roman" w:eastAsia="宋体" w:cs="Times New Roman"/>
                <w:b w:val="0"/>
                <w:i w:val="0"/>
                <w:sz w:val="18"/>
              </w:rPr>
              <w:t>0.2486/0.5115</w:t>
            </w:r>
          </w:p>
        </w:tc>
        <w:tc>
          <w:tcPr>
            <w:tcW w:w="2409" w:type="dxa"/>
            <w:vAlign w:val="center"/>
          </w:tcPr>
          <w:p w14:paraId="16A1FD15">
            <w:pPr>
              <w:spacing w:before="30" w:after="30"/>
              <w:ind w:firstLine="0"/>
              <w:jc w:val="center"/>
            </w:pPr>
            <w:r>
              <w:rPr>
                <w:rFonts w:hint="eastAsia" w:ascii="Times New Roman" w:hAnsi="Times New Roman" w:eastAsia="宋体" w:cs="Times New Roman"/>
                <w:b w:val="0"/>
                <w:i w:val="0"/>
                <w:sz w:val="18"/>
              </w:rPr>
              <w:t>—</w:t>
            </w:r>
          </w:p>
        </w:tc>
        <w:tc>
          <w:tcPr>
            <w:tcW w:w="2409" w:type="dxa"/>
            <w:vAlign w:val="center"/>
          </w:tcPr>
          <w:p w14:paraId="2B822681">
            <w:pPr>
              <w:spacing w:before="30" w:after="30"/>
              <w:ind w:firstLine="0"/>
              <w:jc w:val="center"/>
            </w:pPr>
            <w:r>
              <w:rPr>
                <w:rFonts w:hint="eastAsia" w:ascii="Times New Roman" w:hAnsi="Times New Roman" w:eastAsia="宋体" w:cs="Times New Roman"/>
                <w:b w:val="0"/>
                <w:i w:val="0"/>
                <w:sz w:val="18"/>
              </w:rPr>
              <w:t>0.3325/0.5412</w:t>
            </w:r>
          </w:p>
        </w:tc>
      </w:tr>
      <w:tr w14:paraId="471DB0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9" w:type="dxa"/>
            <w:vAlign w:val="center"/>
          </w:tcPr>
          <w:p w14:paraId="7F3D3F0B">
            <w:pPr>
              <w:spacing w:before="30" w:after="30"/>
              <w:ind w:firstLine="0"/>
              <w:jc w:val="center"/>
            </w:pPr>
            <w:r>
              <w:rPr>
                <w:rFonts w:hint="eastAsia" w:ascii="Times New Roman" w:hAnsi="Times New Roman" w:eastAsia="宋体" w:cs="Times New Roman"/>
                <w:b w:val="0"/>
                <w:i w:val="0"/>
                <w:sz w:val="18"/>
              </w:rPr>
              <w:t>下平台C段（</w:t>
            </w:r>
            <m:oMath>
              <m:r>
                <m:rPr/>
                <m:t>1</m:t>
              </m:r>
              <m:r>
                <m:rPr>
                  <m:sty m:val="p"/>
                </m:rPr>
                <m:t>&lt;</m:t>
              </m:r>
              <m:r>
                <m:rPr/>
                <m:t>s</m:t>
              </m:r>
              <m:r>
                <m:rPr>
                  <m:sty m:val="p"/>
                </m:rPr>
                <m:t>≤</m:t>
              </m:r>
              <m:r>
                <m:rPr/>
                <m:t>4</m:t>
              </m:r>
            </m:oMath>
            <w:r>
              <w:rPr>
                <w:rFonts w:hint="eastAsia" w:ascii="Times New Roman" w:hAnsi="Times New Roman" w:eastAsia="宋体" w:cs="Times New Roman"/>
                <w:b w:val="0"/>
                <w:i w:val="0"/>
                <w:sz w:val="18"/>
              </w:rPr>
              <w:t>）</w:t>
            </w:r>
          </w:p>
        </w:tc>
        <w:tc>
          <w:tcPr>
            <w:tcW w:w="2409" w:type="dxa"/>
            <w:vAlign w:val="center"/>
          </w:tcPr>
          <w:p w14:paraId="539B565C">
            <w:pPr>
              <w:spacing w:before="30" w:after="30"/>
              <w:ind w:firstLine="0"/>
              <w:jc w:val="center"/>
            </w:pPr>
            <w:r>
              <w:rPr>
                <w:rFonts w:hint="eastAsia" w:ascii="Times New Roman" w:hAnsi="Times New Roman" w:eastAsia="宋体" w:cs="Times New Roman"/>
                <w:b w:val="0"/>
                <w:i w:val="0"/>
                <w:sz w:val="18"/>
              </w:rPr>
              <w:t>0.2178/0.5088</w:t>
            </w:r>
          </w:p>
        </w:tc>
        <w:tc>
          <w:tcPr>
            <w:tcW w:w="2409" w:type="dxa"/>
            <w:vAlign w:val="center"/>
          </w:tcPr>
          <w:p w14:paraId="252B4729">
            <w:pPr>
              <w:spacing w:before="30" w:after="30"/>
              <w:ind w:firstLine="0"/>
              <w:jc w:val="center"/>
            </w:pPr>
            <w:r>
              <w:rPr>
                <w:rFonts w:hint="eastAsia" w:ascii="Times New Roman" w:hAnsi="Times New Roman" w:eastAsia="宋体" w:cs="Times New Roman"/>
                <w:b w:val="0"/>
                <w:i w:val="0"/>
                <w:sz w:val="18"/>
              </w:rPr>
              <w:t>—</w:t>
            </w:r>
          </w:p>
        </w:tc>
        <w:tc>
          <w:tcPr>
            <w:tcW w:w="2409" w:type="dxa"/>
            <w:vAlign w:val="center"/>
          </w:tcPr>
          <w:p w14:paraId="4D265655">
            <w:pPr>
              <w:spacing w:before="30" w:after="30"/>
              <w:ind w:firstLine="0"/>
              <w:jc w:val="center"/>
            </w:pPr>
            <w:r>
              <w:rPr>
                <w:rFonts w:hint="eastAsia" w:ascii="Times New Roman" w:hAnsi="Times New Roman" w:eastAsia="宋体" w:cs="Times New Roman"/>
                <w:b w:val="0"/>
                <w:i w:val="0"/>
                <w:sz w:val="18"/>
              </w:rPr>
              <w:t>0.3006/0.7594</w:t>
            </w:r>
          </w:p>
        </w:tc>
      </w:tr>
    </w:tbl>
    <w:p w14:paraId="7C1A842C">
      <w:pPr>
        <w:spacing w:before="0" w:after="0"/>
        <w:ind w:firstLine="420"/>
        <w:jc w:val="both"/>
      </w:pPr>
      <w:r>
        <w:rPr>
          <w:rFonts w:hint="eastAsia" w:ascii="Times New Roman" w:hAnsi="Times New Roman" w:eastAsia="宋体" w:cs="Times New Roman"/>
          <w:b w:val="0"/>
          <w:i w:val="0"/>
          <w:sz w:val="21"/>
        </w:rPr>
        <w:t>高频段的对数幅值和相位误差中位数分别约为低频段的3.88倍和3.23倍。空间上，坡面复数误差中位数最高；下平台的中位数略低，但P90达到0.7594，表明少数工况在下平台形成了较大误差。由此可见，代理精度随频率和空间位置存在明显差异。</w:t>
      </w:r>
    </w:p>
    <w:p w14:paraId="61ACBEAF">
      <w:pPr>
        <w:spacing w:before="0" w:after="0"/>
        <w:ind w:firstLine="420"/>
        <w:jc w:val="both"/>
      </w:pPr>
      <w:r>
        <w:rPr>
          <w:rFonts w:hint="eastAsia" w:ascii="Times New Roman" w:hAnsi="Times New Roman" w:eastAsia="宋体" w:cs="Times New Roman"/>
          <w:b w:val="0"/>
          <w:i w:val="0"/>
          <w:sz w:val="21"/>
        </w:rPr>
        <w:t>图19和表10给出了12个B组中间参数工况的预测结果。B组复数误差中位数为0.2641，P90为0.6543，其中9/12个工况未超过P组五折误差P90；B001、B011和B004超过该值，B004的误差最大，为0.7358。按波速比分组，</w:t>
      </w:r>
      <m:oMath>
        <m:sSub>
          <m:sSubPr/>
          <m:e>
            <m:r>
              <m:rPr/>
              <m:t>r</m:t>
            </m:r>
          </m:e>
          <m:sub>
            <m:r>
              <m:rPr/>
              <m:t>v</m:t>
            </m:r>
          </m:sub>
        </m:sSub>
        <m:r>
          <m:rPr>
            <m:sty m:val="p"/>
          </m:rPr>
          <m:t>=</m:t>
        </m:r>
        <m:r>
          <m:rPr/>
          <m:t>0.375</m:t>
        </m:r>
      </m:oMath>
      <w:r>
        <w:rPr>
          <w:rFonts w:hint="eastAsia" w:ascii="Times New Roman" w:hAnsi="Times New Roman" w:eastAsia="宋体" w:cs="Times New Roman"/>
          <w:b w:val="0"/>
          <w:i w:val="0"/>
          <w:sz w:val="21"/>
        </w:rPr>
        <w:t>、0.525和0.675时的误差中位数分别为0.5966、0.2641和0.1394，表明低波速比组合总体上更难预测。</w:t>
      </w:r>
    </w:p>
    <w:p w14:paraId="274C4550">
      <w:pPr>
        <w:spacing w:before="80" w:after="40"/>
        <w:ind w:firstLine="0"/>
        <w:jc w:val="center"/>
      </w:pPr>
      <w:r>
        <w:drawing>
          <wp:inline distT="0" distB="0" distL="114300" distR="114300">
            <wp:extent cx="2880360" cy="1774825"/>
            <wp:effectExtent l="0" t="0" r="15240" b="15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2880360" cy="1775449"/>
                    </a:xfrm>
                    <a:prstGeom prst="rect">
                      <a:avLst/>
                    </a:prstGeom>
                  </pic:spPr>
                </pic:pic>
              </a:graphicData>
            </a:graphic>
          </wp:inline>
        </w:drawing>
      </w:r>
    </w:p>
    <w:p w14:paraId="2B351CC1">
      <w:pPr>
        <w:spacing w:before="0" w:after="0"/>
        <w:ind w:firstLine="420"/>
        <w:jc w:val="both"/>
      </w:pPr>
      <w:r>
        <w:rPr>
          <w:rFonts w:hint="eastAsia" w:ascii="Times New Roman" w:hAnsi="Times New Roman" w:eastAsia="宋体" w:cs="Times New Roman"/>
          <w:b w:val="0"/>
          <w:i w:val="0"/>
          <w:sz w:val="21"/>
        </w:rPr>
        <w:t>图19 训练外组合误差排序与参数对照</w:t>
      </w:r>
    </w:p>
    <w:p w14:paraId="61A0D662">
      <w:pPr>
        <w:spacing w:before="0" w:after="0"/>
        <w:ind w:firstLine="420"/>
        <w:jc w:val="both"/>
      </w:pPr>
      <w:r>
        <w:rPr>
          <w:rFonts w:hint="eastAsia" w:ascii="Times New Roman" w:hAnsi="Times New Roman" w:eastAsia="宋体" w:cs="Times New Roman"/>
          <w:b w:val="0"/>
          <w:i w:val="0"/>
          <w:sz w:val="21"/>
        </w:rPr>
        <w:t>Fig. 19 Errors of training-excluded combinations</w:t>
      </w:r>
    </w:p>
    <w:p w14:paraId="12AC7F94">
      <w:pPr>
        <w:spacing w:before="0" w:after="0"/>
        <w:ind w:firstLine="420"/>
        <w:jc w:val="both"/>
      </w:pPr>
      <w:r>
        <w:rPr>
          <w:rFonts w:hint="eastAsia" w:ascii="Times New Roman" w:hAnsi="Times New Roman" w:eastAsia="宋体" w:cs="Times New Roman"/>
          <w:b w:val="0"/>
          <w:i w:val="0"/>
          <w:sz w:val="21"/>
        </w:rPr>
        <w:t>表10 训练外组合预测误差</w:t>
      </w:r>
    </w:p>
    <w:p w14:paraId="5DBE77E8">
      <w:pPr>
        <w:spacing w:before="0" w:after="0"/>
        <w:ind w:firstLine="420"/>
        <w:jc w:val="both"/>
      </w:pPr>
      <w:r>
        <w:rPr>
          <w:rFonts w:hint="eastAsia" w:ascii="Times New Roman" w:hAnsi="Times New Roman" w:eastAsia="宋体" w:cs="Times New Roman"/>
          <w:b w:val="0"/>
          <w:i w:val="0"/>
          <w:sz w:val="21"/>
        </w:rPr>
        <w:t>Table 10 Prediction errors for B cases</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5"/>
        <w:gridCol w:w="675"/>
        <w:gridCol w:w="559"/>
        <w:gridCol w:w="598"/>
        <w:gridCol w:w="675"/>
        <w:gridCol w:w="727"/>
        <w:gridCol w:w="482"/>
        <w:gridCol w:w="521"/>
      </w:tblGrid>
      <w:tr w14:paraId="1128FB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tcBorders>
              <w:bottom w:val="single" w:color="auto" w:sz="6" w:space="0"/>
            </w:tcBorders>
            <w:vAlign w:val="center"/>
          </w:tcPr>
          <w:p w14:paraId="120D9552">
            <w:pPr>
              <w:spacing w:before="30" w:after="30"/>
              <w:ind w:firstLine="0"/>
              <w:jc w:val="center"/>
            </w:pPr>
            <w:r>
              <w:rPr>
                <w:rFonts w:hint="eastAsia" w:ascii="Times New Roman" w:hAnsi="Times New Roman" w:eastAsia="宋体" w:cs="Times New Roman"/>
                <w:b/>
                <w:i w:val="0"/>
                <w:sz w:val="16"/>
              </w:rPr>
              <w:t>工况</w:t>
            </w:r>
          </w:p>
        </w:tc>
        <w:tc>
          <w:tcPr>
            <w:tcW w:w="1205" w:type="dxa"/>
            <w:tcBorders>
              <w:bottom w:val="single" w:color="auto" w:sz="6" w:space="0"/>
            </w:tcBorders>
            <w:vAlign w:val="center"/>
          </w:tcPr>
          <w:p w14:paraId="71447F18">
            <w:pPr>
              <w:spacing w:before="30" w:after="30"/>
              <w:ind w:firstLine="0"/>
              <w:jc w:val="center"/>
            </w:pPr>
            <m:oMathPara>
              <m:oMath>
                <m:r>
                  <m:rPr/>
                  <m:t>i</m:t>
                </m:r>
              </m:oMath>
            </m:oMathPara>
          </w:p>
        </w:tc>
        <w:tc>
          <w:tcPr>
            <w:tcW w:w="1205" w:type="dxa"/>
            <w:tcBorders>
              <w:bottom w:val="single" w:color="auto" w:sz="6" w:space="0"/>
            </w:tcBorders>
            <w:vAlign w:val="center"/>
          </w:tcPr>
          <w:p w14:paraId="28DE7678">
            <w:pPr>
              <w:spacing w:before="30" w:after="30"/>
              <w:ind w:firstLine="0"/>
              <w:jc w:val="center"/>
            </w:pPr>
            <m:oMathPara>
              <m:oMath>
                <m:r>
                  <m:rPr/>
                  <m:t>d</m:t>
                </m:r>
                <m:r>
                  <m:rPr>
                    <m:sty m:val="p"/>
                  </m:rPr>
                  <m:t>/</m:t>
                </m:r>
                <m:r>
                  <m:rPr/>
                  <m:t>h</m:t>
                </m:r>
              </m:oMath>
            </m:oMathPara>
          </w:p>
        </w:tc>
        <w:tc>
          <w:tcPr>
            <w:tcW w:w="1205" w:type="dxa"/>
            <w:tcBorders>
              <w:bottom w:val="single" w:color="auto" w:sz="6" w:space="0"/>
            </w:tcBorders>
            <w:vAlign w:val="center"/>
          </w:tcPr>
          <w:p w14:paraId="115FA2C6">
            <w:pPr>
              <w:spacing w:before="30" w:after="30"/>
              <w:ind w:firstLine="0"/>
              <w:jc w:val="center"/>
            </w:pPr>
            <m:oMathPara>
              <m:oMath>
                <m:sSub>
                  <m:sSubPr/>
                  <m:e>
                    <m:r>
                      <m:rPr/>
                      <m:t>r</m:t>
                    </m:r>
                  </m:e>
                  <m:sub>
                    <m:r>
                      <m:rPr/>
                      <m:t>v</m:t>
                    </m:r>
                  </m:sub>
                </m:sSub>
              </m:oMath>
            </m:oMathPara>
          </w:p>
        </w:tc>
        <w:tc>
          <w:tcPr>
            <w:tcW w:w="1205" w:type="dxa"/>
            <w:tcBorders>
              <w:bottom w:val="single" w:color="auto" w:sz="6" w:space="0"/>
            </w:tcBorders>
            <w:vAlign w:val="center"/>
          </w:tcPr>
          <w:p w14:paraId="16049B9F">
            <w:pPr>
              <w:spacing w:before="30" w:after="30"/>
              <w:ind w:firstLine="0"/>
              <w:jc w:val="center"/>
            </w:pPr>
            <w:r>
              <w:rPr>
                <w:rFonts w:hint="eastAsia" w:ascii="Times New Roman" w:hAnsi="Times New Roman" w:eastAsia="宋体" w:cs="Times New Roman"/>
                <w:b/>
                <w:i w:val="0"/>
                <w:sz w:val="16"/>
              </w:rPr>
              <w:t>复数误差</w:t>
            </w:r>
          </w:p>
        </w:tc>
        <w:tc>
          <w:tcPr>
            <w:tcW w:w="1205" w:type="dxa"/>
            <w:tcBorders>
              <w:bottom w:val="single" w:color="auto" w:sz="6" w:space="0"/>
            </w:tcBorders>
            <w:vAlign w:val="center"/>
          </w:tcPr>
          <w:p w14:paraId="7848C07D">
            <w:pPr>
              <w:spacing w:before="30" w:after="30"/>
              <w:ind w:firstLine="0"/>
              <w:jc w:val="center"/>
            </w:pPr>
            <w:r>
              <w:rPr>
                <w:rFonts w:hint="eastAsia" w:ascii="Times New Roman" w:hAnsi="Times New Roman" w:eastAsia="宋体" w:cs="Times New Roman"/>
                <w:b/>
                <w:i w:val="0"/>
                <w:sz w:val="16"/>
              </w:rPr>
              <w:t>峰值误差</w:t>
            </w:r>
          </w:p>
        </w:tc>
        <w:tc>
          <w:tcPr>
            <w:tcW w:w="1205" w:type="dxa"/>
            <w:tcBorders>
              <w:bottom w:val="single" w:color="auto" w:sz="6" w:space="0"/>
            </w:tcBorders>
            <w:vAlign w:val="center"/>
          </w:tcPr>
          <w:p w14:paraId="71802F9E">
            <w:pPr>
              <w:spacing w:before="30" w:after="30"/>
              <w:ind w:firstLine="0"/>
              <w:jc w:val="center"/>
            </w:pPr>
            <w:r>
              <w:rPr>
                <w:rFonts w:hint="eastAsia" w:ascii="Times New Roman" w:hAnsi="Times New Roman" w:eastAsia="宋体" w:cs="Times New Roman"/>
                <w:b/>
                <w:i w:val="0"/>
                <w:sz w:val="16"/>
              </w:rPr>
              <w:t>峰频误差/Hz</w:t>
            </w:r>
          </w:p>
        </w:tc>
        <w:tc>
          <w:tcPr>
            <w:tcW w:w="1205" w:type="dxa"/>
            <w:tcBorders>
              <w:bottom w:val="single" w:color="auto" w:sz="6" w:space="0"/>
            </w:tcBorders>
            <w:vAlign w:val="center"/>
          </w:tcPr>
          <w:p w14:paraId="6B430DE3">
            <w:pPr>
              <w:spacing w:before="30" w:after="30"/>
              <w:ind w:firstLine="0"/>
              <w:jc w:val="center"/>
            </w:pPr>
            <w:r>
              <w:rPr>
                <w:rFonts w:hint="eastAsia" w:ascii="Times New Roman" w:hAnsi="Times New Roman" w:eastAsia="宋体" w:cs="Times New Roman"/>
                <w:b/>
                <w:i w:val="0"/>
                <w:sz w:val="16"/>
              </w:rPr>
              <w:t>峰位误差</w:t>
            </w:r>
          </w:p>
        </w:tc>
      </w:tr>
      <w:tr w14:paraId="4004D6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5E377FAC">
            <w:pPr>
              <w:spacing w:before="30" w:after="30"/>
              <w:ind w:firstLine="0"/>
              <w:jc w:val="center"/>
            </w:pPr>
            <w:r>
              <w:rPr>
                <w:rFonts w:hint="eastAsia" w:ascii="Times New Roman" w:hAnsi="Times New Roman" w:eastAsia="宋体" w:cs="Times New Roman"/>
                <w:b w:val="0"/>
                <w:i w:val="0"/>
                <w:sz w:val="16"/>
              </w:rPr>
              <w:t>B001</w:t>
            </w:r>
          </w:p>
        </w:tc>
        <w:tc>
          <w:tcPr>
            <w:tcW w:w="1205" w:type="dxa"/>
            <w:vAlign w:val="center"/>
          </w:tcPr>
          <w:p w14:paraId="12F9E2DC">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262DE913">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467E83B1">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4BEDB24D">
            <w:pPr>
              <w:spacing w:before="30" w:after="30"/>
              <w:ind w:firstLine="0"/>
              <w:jc w:val="center"/>
            </w:pPr>
            <w:r>
              <w:rPr>
                <w:rFonts w:hint="eastAsia" w:ascii="Times New Roman" w:hAnsi="Times New Roman" w:eastAsia="宋体" w:cs="Times New Roman"/>
                <w:b w:val="0"/>
                <w:i w:val="0"/>
                <w:sz w:val="16"/>
              </w:rPr>
              <w:t>0.5245</w:t>
            </w:r>
          </w:p>
        </w:tc>
        <w:tc>
          <w:tcPr>
            <w:tcW w:w="1205" w:type="dxa"/>
            <w:vAlign w:val="center"/>
          </w:tcPr>
          <w:p w14:paraId="749CD0ED">
            <w:pPr>
              <w:spacing w:before="30" w:after="30"/>
              <w:ind w:firstLine="0"/>
              <w:jc w:val="center"/>
            </w:pPr>
            <w:r>
              <w:rPr>
                <w:rFonts w:hint="eastAsia" w:ascii="Times New Roman" w:hAnsi="Times New Roman" w:eastAsia="宋体" w:cs="Times New Roman"/>
                <w:b w:val="0"/>
                <w:i w:val="0"/>
                <w:sz w:val="16"/>
              </w:rPr>
              <w:t>30.15%</w:t>
            </w:r>
          </w:p>
        </w:tc>
        <w:tc>
          <w:tcPr>
            <w:tcW w:w="1205" w:type="dxa"/>
            <w:vAlign w:val="center"/>
          </w:tcPr>
          <w:p w14:paraId="1439B008">
            <w:pPr>
              <w:spacing w:before="30" w:after="30"/>
              <w:ind w:firstLine="0"/>
              <w:jc w:val="center"/>
            </w:pPr>
            <w:r>
              <w:rPr>
                <w:rFonts w:hint="eastAsia" w:ascii="Times New Roman" w:hAnsi="Times New Roman" w:eastAsia="宋体" w:cs="Times New Roman"/>
                <w:b w:val="0"/>
                <w:i w:val="0"/>
                <w:sz w:val="16"/>
              </w:rPr>
              <w:t>0.7</w:t>
            </w:r>
          </w:p>
        </w:tc>
        <w:tc>
          <w:tcPr>
            <w:tcW w:w="1205" w:type="dxa"/>
            <w:vAlign w:val="center"/>
          </w:tcPr>
          <w:p w14:paraId="47F62A81">
            <w:pPr>
              <w:spacing w:before="30" w:after="30"/>
              <w:ind w:firstLine="0"/>
              <w:jc w:val="center"/>
            </w:pPr>
            <w:r>
              <w:rPr>
                <w:rFonts w:hint="eastAsia" w:ascii="Times New Roman" w:hAnsi="Times New Roman" w:eastAsia="宋体" w:cs="Times New Roman"/>
                <w:b w:val="0"/>
                <w:i w:val="0"/>
                <w:sz w:val="16"/>
              </w:rPr>
              <w:t>1.35</w:t>
            </w:r>
          </w:p>
        </w:tc>
      </w:tr>
      <w:tr w14:paraId="0E53EB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2FA77AEC">
            <w:pPr>
              <w:spacing w:before="30" w:after="30"/>
              <w:ind w:firstLine="0"/>
              <w:jc w:val="center"/>
            </w:pPr>
            <w:r>
              <w:rPr>
                <w:rFonts w:hint="eastAsia" w:ascii="Times New Roman" w:hAnsi="Times New Roman" w:eastAsia="宋体" w:cs="Times New Roman"/>
                <w:b w:val="0"/>
                <w:i w:val="0"/>
                <w:sz w:val="16"/>
              </w:rPr>
              <w:t>B002</w:t>
            </w:r>
          </w:p>
        </w:tc>
        <w:tc>
          <w:tcPr>
            <w:tcW w:w="1205" w:type="dxa"/>
            <w:vAlign w:val="center"/>
          </w:tcPr>
          <w:p w14:paraId="62FBE69B">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3D9C01F0">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6CDF30CE">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2FAC39AF">
            <w:pPr>
              <w:spacing w:before="30" w:after="30"/>
              <w:ind w:firstLine="0"/>
              <w:jc w:val="center"/>
            </w:pPr>
            <w:r>
              <w:rPr>
                <w:rFonts w:hint="eastAsia" w:ascii="Times New Roman" w:hAnsi="Times New Roman" w:eastAsia="宋体" w:cs="Times New Roman"/>
                <w:b w:val="0"/>
                <w:i w:val="0"/>
                <w:sz w:val="16"/>
              </w:rPr>
              <w:t>0.1143</w:t>
            </w:r>
          </w:p>
        </w:tc>
        <w:tc>
          <w:tcPr>
            <w:tcW w:w="1205" w:type="dxa"/>
            <w:vAlign w:val="center"/>
          </w:tcPr>
          <w:p w14:paraId="15B3FC05">
            <w:pPr>
              <w:spacing w:before="30" w:after="30"/>
              <w:ind w:firstLine="0"/>
              <w:jc w:val="center"/>
            </w:pPr>
            <w:r>
              <w:rPr>
                <w:rFonts w:hint="eastAsia" w:ascii="Times New Roman" w:hAnsi="Times New Roman" w:eastAsia="宋体" w:cs="Times New Roman"/>
                <w:b w:val="0"/>
                <w:i w:val="0"/>
                <w:sz w:val="16"/>
              </w:rPr>
              <w:t>2.68%</w:t>
            </w:r>
          </w:p>
        </w:tc>
        <w:tc>
          <w:tcPr>
            <w:tcW w:w="1205" w:type="dxa"/>
            <w:vAlign w:val="center"/>
          </w:tcPr>
          <w:p w14:paraId="58C94AE7">
            <w:pPr>
              <w:spacing w:before="30" w:after="30"/>
              <w:ind w:firstLine="0"/>
              <w:jc w:val="center"/>
            </w:pPr>
            <w:r>
              <w:rPr>
                <w:rFonts w:hint="eastAsia" w:ascii="Times New Roman" w:hAnsi="Times New Roman" w:eastAsia="宋体" w:cs="Times New Roman"/>
                <w:b w:val="0"/>
                <w:i w:val="0"/>
                <w:sz w:val="16"/>
              </w:rPr>
              <w:t>2.9</w:t>
            </w:r>
          </w:p>
        </w:tc>
        <w:tc>
          <w:tcPr>
            <w:tcW w:w="1205" w:type="dxa"/>
            <w:vAlign w:val="center"/>
          </w:tcPr>
          <w:p w14:paraId="17C207AF">
            <w:pPr>
              <w:spacing w:before="30" w:after="30"/>
              <w:ind w:firstLine="0"/>
              <w:jc w:val="center"/>
            </w:pPr>
            <w:r>
              <w:rPr>
                <w:rFonts w:hint="eastAsia" w:ascii="Times New Roman" w:hAnsi="Times New Roman" w:eastAsia="宋体" w:cs="Times New Roman"/>
                <w:b w:val="0"/>
                <w:i w:val="0"/>
                <w:sz w:val="16"/>
              </w:rPr>
              <w:t>2.30</w:t>
            </w:r>
          </w:p>
        </w:tc>
      </w:tr>
      <w:tr w14:paraId="6E332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144FC73B">
            <w:pPr>
              <w:spacing w:before="30" w:after="30"/>
              <w:ind w:firstLine="0"/>
              <w:jc w:val="center"/>
            </w:pPr>
            <w:r>
              <w:rPr>
                <w:rFonts w:hint="eastAsia" w:ascii="Times New Roman" w:hAnsi="Times New Roman" w:eastAsia="宋体" w:cs="Times New Roman"/>
                <w:b w:val="0"/>
                <w:i w:val="0"/>
                <w:sz w:val="16"/>
              </w:rPr>
              <w:t>B003</w:t>
            </w:r>
          </w:p>
        </w:tc>
        <w:tc>
          <w:tcPr>
            <w:tcW w:w="1205" w:type="dxa"/>
            <w:vAlign w:val="center"/>
          </w:tcPr>
          <w:p w14:paraId="27E9F357">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52F08011">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47BD0952">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43C9A541">
            <w:pPr>
              <w:spacing w:before="30" w:after="30"/>
              <w:ind w:firstLine="0"/>
              <w:jc w:val="center"/>
            </w:pPr>
            <w:r>
              <w:rPr>
                <w:rFonts w:hint="eastAsia" w:ascii="Times New Roman" w:hAnsi="Times New Roman" w:eastAsia="宋体" w:cs="Times New Roman"/>
                <w:b w:val="0"/>
                <w:i w:val="0"/>
                <w:sz w:val="16"/>
              </w:rPr>
              <w:t>0.2745</w:t>
            </w:r>
          </w:p>
        </w:tc>
        <w:tc>
          <w:tcPr>
            <w:tcW w:w="1205" w:type="dxa"/>
            <w:vAlign w:val="center"/>
          </w:tcPr>
          <w:p w14:paraId="48D9CCC1">
            <w:pPr>
              <w:spacing w:before="30" w:after="30"/>
              <w:ind w:firstLine="0"/>
              <w:jc w:val="center"/>
            </w:pPr>
            <w:r>
              <w:rPr>
                <w:rFonts w:hint="eastAsia" w:ascii="Times New Roman" w:hAnsi="Times New Roman" w:eastAsia="宋体" w:cs="Times New Roman"/>
                <w:b w:val="0"/>
                <w:i w:val="0"/>
                <w:sz w:val="16"/>
              </w:rPr>
              <w:t>20.34%</w:t>
            </w:r>
          </w:p>
        </w:tc>
        <w:tc>
          <w:tcPr>
            <w:tcW w:w="1205" w:type="dxa"/>
            <w:vAlign w:val="center"/>
          </w:tcPr>
          <w:p w14:paraId="2648A797">
            <w:pPr>
              <w:spacing w:before="30" w:after="30"/>
              <w:ind w:firstLine="0"/>
              <w:jc w:val="center"/>
            </w:pPr>
            <w:r>
              <w:rPr>
                <w:rFonts w:hint="eastAsia" w:ascii="Times New Roman" w:hAnsi="Times New Roman" w:eastAsia="宋体" w:cs="Times New Roman"/>
                <w:b w:val="0"/>
                <w:i w:val="0"/>
                <w:sz w:val="16"/>
              </w:rPr>
              <w:t>0.6</w:t>
            </w:r>
          </w:p>
        </w:tc>
        <w:tc>
          <w:tcPr>
            <w:tcW w:w="1205" w:type="dxa"/>
            <w:vAlign w:val="center"/>
          </w:tcPr>
          <w:p w14:paraId="08E1A6A4">
            <w:pPr>
              <w:spacing w:before="30" w:after="30"/>
              <w:ind w:firstLine="0"/>
              <w:jc w:val="center"/>
            </w:pPr>
            <w:r>
              <w:rPr>
                <w:rFonts w:hint="eastAsia" w:ascii="Times New Roman" w:hAnsi="Times New Roman" w:eastAsia="宋体" w:cs="Times New Roman"/>
                <w:b w:val="0"/>
                <w:i w:val="0"/>
                <w:sz w:val="16"/>
              </w:rPr>
              <w:t>0.00</w:t>
            </w:r>
          </w:p>
        </w:tc>
      </w:tr>
      <w:tr w14:paraId="62F75C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1AAE8F69">
            <w:pPr>
              <w:spacing w:before="30" w:after="30"/>
              <w:ind w:firstLine="0"/>
              <w:jc w:val="center"/>
            </w:pPr>
            <w:r>
              <w:rPr>
                <w:rFonts w:hint="eastAsia" w:ascii="Times New Roman" w:hAnsi="Times New Roman" w:eastAsia="宋体" w:cs="Times New Roman"/>
                <w:b w:val="0"/>
                <w:i w:val="0"/>
                <w:sz w:val="16"/>
              </w:rPr>
              <w:t>B004</w:t>
            </w:r>
          </w:p>
        </w:tc>
        <w:tc>
          <w:tcPr>
            <w:tcW w:w="1205" w:type="dxa"/>
            <w:vAlign w:val="center"/>
          </w:tcPr>
          <w:p w14:paraId="498673A0">
            <w:pPr>
              <w:spacing w:before="30" w:after="30"/>
              <w:ind w:firstLine="0"/>
              <w:jc w:val="center"/>
            </w:pPr>
            <w:r>
              <w:rPr>
                <w:rFonts w:hint="eastAsia" w:ascii="Times New Roman" w:hAnsi="Times New Roman" w:eastAsia="宋体" w:cs="Times New Roman"/>
                <w:b w:val="0"/>
                <w:i w:val="0"/>
                <w:sz w:val="16"/>
              </w:rPr>
              <w:t>22.5°</w:t>
            </w:r>
          </w:p>
        </w:tc>
        <w:tc>
          <w:tcPr>
            <w:tcW w:w="1205" w:type="dxa"/>
            <w:vAlign w:val="center"/>
          </w:tcPr>
          <w:p w14:paraId="25743A5F">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0920DB96">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54BFE353">
            <w:pPr>
              <w:spacing w:before="30" w:after="30"/>
              <w:ind w:firstLine="0"/>
              <w:jc w:val="center"/>
            </w:pPr>
            <w:r>
              <w:rPr>
                <w:rFonts w:hint="eastAsia" w:ascii="Times New Roman" w:hAnsi="Times New Roman" w:eastAsia="宋体" w:cs="Times New Roman"/>
                <w:b w:val="0"/>
                <w:i w:val="0"/>
                <w:sz w:val="16"/>
              </w:rPr>
              <w:t>0.7358</w:t>
            </w:r>
          </w:p>
        </w:tc>
        <w:tc>
          <w:tcPr>
            <w:tcW w:w="1205" w:type="dxa"/>
            <w:vAlign w:val="center"/>
          </w:tcPr>
          <w:p w14:paraId="4ADCA6C7">
            <w:pPr>
              <w:spacing w:before="30" w:after="30"/>
              <w:ind w:firstLine="0"/>
              <w:jc w:val="center"/>
            </w:pPr>
            <w:r>
              <w:rPr>
                <w:rFonts w:hint="eastAsia" w:ascii="Times New Roman" w:hAnsi="Times New Roman" w:eastAsia="宋体" w:cs="Times New Roman"/>
                <w:b w:val="0"/>
                <w:i w:val="0"/>
                <w:sz w:val="16"/>
              </w:rPr>
              <w:t>55.89%</w:t>
            </w:r>
          </w:p>
        </w:tc>
        <w:tc>
          <w:tcPr>
            <w:tcW w:w="1205" w:type="dxa"/>
            <w:vAlign w:val="center"/>
          </w:tcPr>
          <w:p w14:paraId="2CF1574A">
            <w:pPr>
              <w:spacing w:before="30" w:after="30"/>
              <w:ind w:firstLine="0"/>
              <w:jc w:val="center"/>
            </w:pPr>
            <w:r>
              <w:rPr>
                <w:rFonts w:hint="eastAsia" w:ascii="Times New Roman" w:hAnsi="Times New Roman" w:eastAsia="宋体" w:cs="Times New Roman"/>
                <w:b w:val="0"/>
                <w:i w:val="0"/>
                <w:sz w:val="16"/>
              </w:rPr>
              <w:t>7.3</w:t>
            </w:r>
          </w:p>
        </w:tc>
        <w:tc>
          <w:tcPr>
            <w:tcW w:w="1205" w:type="dxa"/>
            <w:vAlign w:val="center"/>
          </w:tcPr>
          <w:p w14:paraId="22BD6096">
            <w:pPr>
              <w:spacing w:before="30" w:after="30"/>
              <w:ind w:firstLine="0"/>
              <w:jc w:val="center"/>
            </w:pPr>
            <w:r>
              <w:rPr>
                <w:rFonts w:hint="eastAsia" w:ascii="Times New Roman" w:hAnsi="Times New Roman" w:eastAsia="宋体" w:cs="Times New Roman"/>
                <w:b w:val="0"/>
                <w:i w:val="0"/>
                <w:sz w:val="16"/>
              </w:rPr>
              <w:t>2.60</w:t>
            </w:r>
          </w:p>
        </w:tc>
      </w:tr>
      <w:tr w14:paraId="559959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0F201DDC">
            <w:pPr>
              <w:spacing w:before="30" w:after="30"/>
              <w:ind w:firstLine="0"/>
              <w:jc w:val="center"/>
            </w:pPr>
            <w:r>
              <w:rPr>
                <w:rFonts w:hint="eastAsia" w:ascii="Times New Roman" w:hAnsi="Times New Roman" w:eastAsia="宋体" w:cs="Times New Roman"/>
                <w:b w:val="0"/>
                <w:i w:val="0"/>
                <w:sz w:val="16"/>
              </w:rPr>
              <w:t>B005</w:t>
            </w:r>
          </w:p>
        </w:tc>
        <w:tc>
          <w:tcPr>
            <w:tcW w:w="1205" w:type="dxa"/>
            <w:vAlign w:val="center"/>
          </w:tcPr>
          <w:p w14:paraId="407EDFAE">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4CFBEDDE">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52D541C3">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3C9C9D5C">
            <w:pPr>
              <w:spacing w:before="30" w:after="30"/>
              <w:ind w:firstLine="0"/>
              <w:jc w:val="center"/>
            </w:pPr>
            <w:r>
              <w:rPr>
                <w:rFonts w:hint="eastAsia" w:ascii="Times New Roman" w:hAnsi="Times New Roman" w:eastAsia="宋体" w:cs="Times New Roman"/>
                <w:b w:val="0"/>
                <w:i w:val="0"/>
                <w:sz w:val="16"/>
              </w:rPr>
              <w:t>0.2536</w:t>
            </w:r>
          </w:p>
        </w:tc>
        <w:tc>
          <w:tcPr>
            <w:tcW w:w="1205" w:type="dxa"/>
            <w:vAlign w:val="center"/>
          </w:tcPr>
          <w:p w14:paraId="53C77646">
            <w:pPr>
              <w:spacing w:before="30" w:after="30"/>
              <w:ind w:firstLine="0"/>
              <w:jc w:val="center"/>
            </w:pPr>
            <w:r>
              <w:rPr>
                <w:rFonts w:hint="eastAsia" w:ascii="Times New Roman" w:hAnsi="Times New Roman" w:eastAsia="宋体" w:cs="Times New Roman"/>
                <w:b w:val="0"/>
                <w:i w:val="0"/>
                <w:sz w:val="16"/>
              </w:rPr>
              <w:t>9.77%</w:t>
            </w:r>
          </w:p>
        </w:tc>
        <w:tc>
          <w:tcPr>
            <w:tcW w:w="1205" w:type="dxa"/>
            <w:vAlign w:val="center"/>
          </w:tcPr>
          <w:p w14:paraId="3AE1A588">
            <w:pPr>
              <w:spacing w:before="30" w:after="30"/>
              <w:ind w:firstLine="0"/>
              <w:jc w:val="center"/>
            </w:pPr>
            <w:r>
              <w:rPr>
                <w:rFonts w:hint="eastAsia" w:ascii="Times New Roman" w:hAnsi="Times New Roman" w:eastAsia="宋体" w:cs="Times New Roman"/>
                <w:b w:val="0"/>
                <w:i w:val="0"/>
                <w:sz w:val="16"/>
              </w:rPr>
              <w:t>3.7</w:t>
            </w:r>
          </w:p>
        </w:tc>
        <w:tc>
          <w:tcPr>
            <w:tcW w:w="1205" w:type="dxa"/>
            <w:vAlign w:val="center"/>
          </w:tcPr>
          <w:p w14:paraId="2A6F3450">
            <w:pPr>
              <w:spacing w:before="30" w:after="30"/>
              <w:ind w:firstLine="0"/>
              <w:jc w:val="center"/>
            </w:pPr>
            <w:r>
              <w:rPr>
                <w:rFonts w:hint="eastAsia" w:ascii="Times New Roman" w:hAnsi="Times New Roman" w:eastAsia="宋体" w:cs="Times New Roman"/>
                <w:b w:val="0"/>
                <w:i w:val="0"/>
                <w:sz w:val="16"/>
              </w:rPr>
              <w:t>0.00</w:t>
            </w:r>
          </w:p>
        </w:tc>
      </w:tr>
      <w:tr w14:paraId="1B9BB3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0A24E49D">
            <w:pPr>
              <w:spacing w:before="30" w:after="30"/>
              <w:ind w:firstLine="0"/>
              <w:jc w:val="center"/>
            </w:pPr>
            <w:r>
              <w:rPr>
                <w:rFonts w:hint="eastAsia" w:ascii="Times New Roman" w:hAnsi="Times New Roman" w:eastAsia="宋体" w:cs="Times New Roman"/>
                <w:b w:val="0"/>
                <w:i w:val="0"/>
                <w:sz w:val="16"/>
              </w:rPr>
              <w:t>B006</w:t>
            </w:r>
          </w:p>
        </w:tc>
        <w:tc>
          <w:tcPr>
            <w:tcW w:w="1205" w:type="dxa"/>
            <w:vAlign w:val="center"/>
          </w:tcPr>
          <w:p w14:paraId="051A400F">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6A02D953">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3DDC340D">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7DCD3407">
            <w:pPr>
              <w:spacing w:before="30" w:after="30"/>
              <w:ind w:firstLine="0"/>
              <w:jc w:val="center"/>
            </w:pPr>
            <w:r>
              <w:rPr>
                <w:rFonts w:hint="eastAsia" w:ascii="Times New Roman" w:hAnsi="Times New Roman" w:eastAsia="宋体" w:cs="Times New Roman"/>
                <w:b w:val="0"/>
                <w:i w:val="0"/>
                <w:sz w:val="16"/>
              </w:rPr>
              <w:t>0.3133</w:t>
            </w:r>
          </w:p>
        </w:tc>
        <w:tc>
          <w:tcPr>
            <w:tcW w:w="1205" w:type="dxa"/>
            <w:vAlign w:val="center"/>
          </w:tcPr>
          <w:p w14:paraId="5B5BAED0">
            <w:pPr>
              <w:spacing w:before="30" w:after="30"/>
              <w:ind w:firstLine="0"/>
              <w:jc w:val="center"/>
            </w:pPr>
            <w:r>
              <w:rPr>
                <w:rFonts w:hint="eastAsia" w:ascii="Times New Roman" w:hAnsi="Times New Roman" w:eastAsia="宋体" w:cs="Times New Roman"/>
                <w:b w:val="0"/>
                <w:i w:val="0"/>
                <w:sz w:val="16"/>
              </w:rPr>
              <w:t>17.82%</w:t>
            </w:r>
          </w:p>
        </w:tc>
        <w:tc>
          <w:tcPr>
            <w:tcW w:w="1205" w:type="dxa"/>
            <w:vAlign w:val="center"/>
          </w:tcPr>
          <w:p w14:paraId="6A252C7F">
            <w:pPr>
              <w:spacing w:before="30" w:after="30"/>
              <w:ind w:firstLine="0"/>
              <w:jc w:val="center"/>
            </w:pPr>
            <w:r>
              <w:rPr>
                <w:rFonts w:hint="eastAsia" w:ascii="Times New Roman" w:hAnsi="Times New Roman" w:eastAsia="宋体" w:cs="Times New Roman"/>
                <w:b w:val="0"/>
                <w:i w:val="0"/>
                <w:sz w:val="16"/>
              </w:rPr>
              <w:t>5.2</w:t>
            </w:r>
          </w:p>
        </w:tc>
        <w:tc>
          <w:tcPr>
            <w:tcW w:w="1205" w:type="dxa"/>
            <w:vAlign w:val="center"/>
          </w:tcPr>
          <w:p w14:paraId="56F6C9C5">
            <w:pPr>
              <w:spacing w:before="30" w:after="30"/>
              <w:ind w:firstLine="0"/>
              <w:jc w:val="center"/>
            </w:pPr>
            <w:r>
              <w:rPr>
                <w:rFonts w:hint="eastAsia" w:ascii="Times New Roman" w:hAnsi="Times New Roman" w:eastAsia="宋体" w:cs="Times New Roman"/>
                <w:b w:val="0"/>
                <w:i w:val="0"/>
                <w:sz w:val="16"/>
              </w:rPr>
              <w:t>0.25</w:t>
            </w:r>
          </w:p>
        </w:tc>
      </w:tr>
      <w:tr w14:paraId="1A80BE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6EFF6E44">
            <w:pPr>
              <w:spacing w:before="30" w:after="30"/>
              <w:ind w:firstLine="0"/>
              <w:jc w:val="center"/>
            </w:pPr>
            <w:r>
              <w:rPr>
                <w:rFonts w:hint="eastAsia" w:ascii="Times New Roman" w:hAnsi="Times New Roman" w:eastAsia="宋体" w:cs="Times New Roman"/>
                <w:b w:val="0"/>
                <w:i w:val="0"/>
                <w:sz w:val="16"/>
              </w:rPr>
              <w:t>B007</w:t>
            </w:r>
          </w:p>
        </w:tc>
        <w:tc>
          <w:tcPr>
            <w:tcW w:w="1205" w:type="dxa"/>
            <w:vAlign w:val="center"/>
          </w:tcPr>
          <w:p w14:paraId="04A3EA93">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4E230BBA">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4DE65367">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3F4A4751">
            <w:pPr>
              <w:spacing w:before="30" w:after="30"/>
              <w:ind w:firstLine="0"/>
              <w:jc w:val="center"/>
            </w:pPr>
            <w:r>
              <w:rPr>
                <w:rFonts w:hint="eastAsia" w:ascii="Times New Roman" w:hAnsi="Times New Roman" w:eastAsia="宋体" w:cs="Times New Roman"/>
                <w:b w:val="0"/>
                <w:i w:val="0"/>
                <w:sz w:val="16"/>
              </w:rPr>
              <w:t>0.1557</w:t>
            </w:r>
          </w:p>
        </w:tc>
        <w:tc>
          <w:tcPr>
            <w:tcW w:w="1205" w:type="dxa"/>
            <w:vAlign w:val="center"/>
          </w:tcPr>
          <w:p w14:paraId="41D5B8D3">
            <w:pPr>
              <w:spacing w:before="30" w:after="30"/>
              <w:ind w:firstLine="0"/>
              <w:jc w:val="center"/>
            </w:pPr>
            <w:r>
              <w:rPr>
                <w:rFonts w:hint="eastAsia" w:ascii="Times New Roman" w:hAnsi="Times New Roman" w:eastAsia="宋体" w:cs="Times New Roman"/>
                <w:b w:val="0"/>
                <w:i w:val="0"/>
                <w:sz w:val="16"/>
              </w:rPr>
              <w:t>1.82%</w:t>
            </w:r>
          </w:p>
        </w:tc>
        <w:tc>
          <w:tcPr>
            <w:tcW w:w="1205" w:type="dxa"/>
            <w:vAlign w:val="center"/>
          </w:tcPr>
          <w:p w14:paraId="5FCDF3AE">
            <w:pPr>
              <w:spacing w:before="30" w:after="30"/>
              <w:ind w:firstLine="0"/>
              <w:jc w:val="center"/>
            </w:pPr>
            <w:r>
              <w:rPr>
                <w:rFonts w:hint="eastAsia" w:ascii="Times New Roman" w:hAnsi="Times New Roman" w:eastAsia="宋体" w:cs="Times New Roman"/>
                <w:b w:val="0"/>
                <w:i w:val="0"/>
                <w:sz w:val="16"/>
              </w:rPr>
              <w:t>0.6</w:t>
            </w:r>
          </w:p>
        </w:tc>
        <w:tc>
          <w:tcPr>
            <w:tcW w:w="1205" w:type="dxa"/>
            <w:vAlign w:val="center"/>
          </w:tcPr>
          <w:p w14:paraId="4928F0B6">
            <w:pPr>
              <w:spacing w:before="30" w:after="30"/>
              <w:ind w:firstLine="0"/>
              <w:jc w:val="center"/>
            </w:pPr>
            <w:r>
              <w:rPr>
                <w:rFonts w:hint="eastAsia" w:ascii="Times New Roman" w:hAnsi="Times New Roman" w:eastAsia="宋体" w:cs="Times New Roman"/>
                <w:b w:val="0"/>
                <w:i w:val="0"/>
                <w:sz w:val="16"/>
              </w:rPr>
              <w:t>0.00</w:t>
            </w:r>
          </w:p>
        </w:tc>
      </w:tr>
      <w:tr w14:paraId="1060AD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5F30D9D1">
            <w:pPr>
              <w:spacing w:before="30" w:after="30"/>
              <w:ind w:firstLine="0"/>
              <w:jc w:val="center"/>
            </w:pPr>
            <w:r>
              <w:rPr>
                <w:rFonts w:hint="eastAsia" w:ascii="Times New Roman" w:hAnsi="Times New Roman" w:eastAsia="宋体" w:cs="Times New Roman"/>
                <w:b w:val="0"/>
                <w:i w:val="0"/>
                <w:sz w:val="16"/>
              </w:rPr>
              <w:t>B008</w:t>
            </w:r>
          </w:p>
        </w:tc>
        <w:tc>
          <w:tcPr>
            <w:tcW w:w="1205" w:type="dxa"/>
            <w:vAlign w:val="center"/>
          </w:tcPr>
          <w:p w14:paraId="1EC5FD94">
            <w:pPr>
              <w:spacing w:before="30" w:after="30"/>
              <w:ind w:firstLine="0"/>
              <w:jc w:val="center"/>
            </w:pPr>
            <w:r>
              <w:rPr>
                <w:rFonts w:hint="eastAsia" w:ascii="Times New Roman" w:hAnsi="Times New Roman" w:eastAsia="宋体" w:cs="Times New Roman"/>
                <w:b w:val="0"/>
                <w:i w:val="0"/>
                <w:sz w:val="16"/>
              </w:rPr>
              <w:t>37.5°</w:t>
            </w:r>
          </w:p>
        </w:tc>
        <w:tc>
          <w:tcPr>
            <w:tcW w:w="1205" w:type="dxa"/>
            <w:vAlign w:val="center"/>
          </w:tcPr>
          <w:p w14:paraId="1AD8DDE6">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7C0374F8">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0BD24050">
            <w:pPr>
              <w:spacing w:before="30" w:after="30"/>
              <w:ind w:firstLine="0"/>
              <w:jc w:val="center"/>
            </w:pPr>
            <w:r>
              <w:rPr>
                <w:rFonts w:hint="eastAsia" w:ascii="Times New Roman" w:hAnsi="Times New Roman" w:eastAsia="宋体" w:cs="Times New Roman"/>
                <w:b w:val="0"/>
                <w:i w:val="0"/>
                <w:sz w:val="16"/>
              </w:rPr>
              <w:t>0.3193</w:t>
            </w:r>
          </w:p>
        </w:tc>
        <w:tc>
          <w:tcPr>
            <w:tcW w:w="1205" w:type="dxa"/>
            <w:vAlign w:val="center"/>
          </w:tcPr>
          <w:p w14:paraId="7575E4A6">
            <w:pPr>
              <w:spacing w:before="30" w:after="30"/>
              <w:ind w:firstLine="0"/>
              <w:jc w:val="center"/>
            </w:pPr>
            <w:r>
              <w:rPr>
                <w:rFonts w:hint="eastAsia" w:ascii="Times New Roman" w:hAnsi="Times New Roman" w:eastAsia="宋体" w:cs="Times New Roman"/>
                <w:b w:val="0"/>
                <w:i w:val="0"/>
                <w:sz w:val="16"/>
              </w:rPr>
              <w:t>13.98%</w:t>
            </w:r>
          </w:p>
        </w:tc>
        <w:tc>
          <w:tcPr>
            <w:tcW w:w="1205" w:type="dxa"/>
            <w:vAlign w:val="center"/>
          </w:tcPr>
          <w:p w14:paraId="5C65BA7E">
            <w:pPr>
              <w:spacing w:before="30" w:after="30"/>
              <w:ind w:firstLine="0"/>
              <w:jc w:val="center"/>
            </w:pPr>
            <w:r>
              <w:rPr>
                <w:rFonts w:hint="eastAsia" w:ascii="Times New Roman" w:hAnsi="Times New Roman" w:eastAsia="宋体" w:cs="Times New Roman"/>
                <w:b w:val="0"/>
                <w:i w:val="0"/>
                <w:sz w:val="16"/>
              </w:rPr>
              <w:t>2.5</w:t>
            </w:r>
          </w:p>
        </w:tc>
        <w:tc>
          <w:tcPr>
            <w:tcW w:w="1205" w:type="dxa"/>
            <w:vAlign w:val="center"/>
          </w:tcPr>
          <w:p w14:paraId="209F61A3">
            <w:pPr>
              <w:spacing w:before="30" w:after="30"/>
              <w:ind w:firstLine="0"/>
              <w:jc w:val="center"/>
            </w:pPr>
            <w:r>
              <w:rPr>
                <w:rFonts w:hint="eastAsia" w:ascii="Times New Roman" w:hAnsi="Times New Roman" w:eastAsia="宋体" w:cs="Times New Roman"/>
                <w:b w:val="0"/>
                <w:i w:val="0"/>
                <w:sz w:val="16"/>
              </w:rPr>
              <w:t>0.40</w:t>
            </w:r>
          </w:p>
        </w:tc>
      </w:tr>
      <w:tr w14:paraId="2444A3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7866A100">
            <w:pPr>
              <w:spacing w:before="30" w:after="30"/>
              <w:ind w:firstLine="0"/>
              <w:jc w:val="center"/>
            </w:pPr>
            <w:r>
              <w:rPr>
                <w:rFonts w:hint="eastAsia" w:ascii="Times New Roman" w:hAnsi="Times New Roman" w:eastAsia="宋体" w:cs="Times New Roman"/>
                <w:b w:val="0"/>
                <w:i w:val="0"/>
                <w:sz w:val="16"/>
              </w:rPr>
              <w:t>B009</w:t>
            </w:r>
          </w:p>
        </w:tc>
        <w:tc>
          <w:tcPr>
            <w:tcW w:w="1205" w:type="dxa"/>
            <w:vAlign w:val="center"/>
          </w:tcPr>
          <w:p w14:paraId="081CC93D">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5AD887EC">
            <w:pPr>
              <w:spacing w:before="30" w:after="30"/>
              <w:ind w:firstLine="0"/>
              <w:jc w:val="center"/>
            </w:pPr>
            <w:r>
              <w:rPr>
                <w:rFonts w:hint="eastAsia" w:ascii="Times New Roman" w:hAnsi="Times New Roman" w:eastAsia="宋体" w:cs="Times New Roman"/>
                <w:b w:val="0"/>
                <w:i w:val="0"/>
                <w:sz w:val="16"/>
              </w:rPr>
              <w:t>0.40</w:t>
            </w:r>
          </w:p>
        </w:tc>
        <w:tc>
          <w:tcPr>
            <w:tcW w:w="1205" w:type="dxa"/>
            <w:vAlign w:val="center"/>
          </w:tcPr>
          <w:p w14:paraId="48CFA99E">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0157AE5E">
            <w:pPr>
              <w:spacing w:before="30" w:after="30"/>
              <w:ind w:firstLine="0"/>
              <w:jc w:val="center"/>
            </w:pPr>
            <w:r>
              <w:rPr>
                <w:rFonts w:hint="eastAsia" w:ascii="Times New Roman" w:hAnsi="Times New Roman" w:eastAsia="宋体" w:cs="Times New Roman"/>
                <w:b w:val="0"/>
                <w:i w:val="0"/>
                <w:sz w:val="16"/>
              </w:rPr>
              <w:t>0.1322</w:t>
            </w:r>
          </w:p>
        </w:tc>
        <w:tc>
          <w:tcPr>
            <w:tcW w:w="1205" w:type="dxa"/>
            <w:vAlign w:val="center"/>
          </w:tcPr>
          <w:p w14:paraId="5CCDFE7A">
            <w:pPr>
              <w:spacing w:before="30" w:after="30"/>
              <w:ind w:firstLine="0"/>
              <w:jc w:val="center"/>
            </w:pPr>
            <w:r>
              <w:rPr>
                <w:rFonts w:hint="eastAsia" w:ascii="Times New Roman" w:hAnsi="Times New Roman" w:eastAsia="宋体" w:cs="Times New Roman"/>
                <w:b w:val="0"/>
                <w:i w:val="0"/>
                <w:sz w:val="16"/>
              </w:rPr>
              <w:t>1.90%</w:t>
            </w:r>
          </w:p>
        </w:tc>
        <w:tc>
          <w:tcPr>
            <w:tcW w:w="1205" w:type="dxa"/>
            <w:vAlign w:val="center"/>
          </w:tcPr>
          <w:p w14:paraId="2F786A8F">
            <w:pPr>
              <w:spacing w:before="30" w:after="30"/>
              <w:ind w:firstLine="0"/>
              <w:jc w:val="center"/>
            </w:pPr>
            <w:r>
              <w:rPr>
                <w:rFonts w:hint="eastAsia" w:ascii="Times New Roman" w:hAnsi="Times New Roman" w:eastAsia="宋体" w:cs="Times New Roman"/>
                <w:b w:val="0"/>
                <w:i w:val="0"/>
                <w:sz w:val="16"/>
              </w:rPr>
              <w:t>7.1</w:t>
            </w:r>
          </w:p>
        </w:tc>
        <w:tc>
          <w:tcPr>
            <w:tcW w:w="1205" w:type="dxa"/>
            <w:vAlign w:val="center"/>
          </w:tcPr>
          <w:p w14:paraId="432C8BFA">
            <w:pPr>
              <w:spacing w:before="30" w:after="30"/>
              <w:ind w:firstLine="0"/>
              <w:jc w:val="center"/>
            </w:pPr>
            <w:r>
              <w:rPr>
                <w:rFonts w:hint="eastAsia" w:ascii="Times New Roman" w:hAnsi="Times New Roman" w:eastAsia="宋体" w:cs="Times New Roman"/>
                <w:b w:val="0"/>
                <w:i w:val="0"/>
                <w:sz w:val="16"/>
              </w:rPr>
              <w:t>0.00</w:t>
            </w:r>
          </w:p>
        </w:tc>
      </w:tr>
      <w:tr w14:paraId="2E59F0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253D6585">
            <w:pPr>
              <w:spacing w:before="30" w:after="30"/>
              <w:ind w:firstLine="0"/>
              <w:jc w:val="center"/>
            </w:pPr>
            <w:r>
              <w:rPr>
                <w:rFonts w:hint="eastAsia" w:ascii="Times New Roman" w:hAnsi="Times New Roman" w:eastAsia="宋体" w:cs="Times New Roman"/>
                <w:b w:val="0"/>
                <w:i w:val="0"/>
                <w:sz w:val="16"/>
              </w:rPr>
              <w:t>B010</w:t>
            </w:r>
          </w:p>
        </w:tc>
        <w:tc>
          <w:tcPr>
            <w:tcW w:w="1205" w:type="dxa"/>
            <w:vAlign w:val="center"/>
          </w:tcPr>
          <w:p w14:paraId="4A5A3771">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0A4E7C6F">
            <w:pPr>
              <w:spacing w:before="30" w:after="30"/>
              <w:ind w:firstLine="0"/>
              <w:jc w:val="center"/>
            </w:pPr>
            <w:r>
              <w:rPr>
                <w:rFonts w:hint="eastAsia" w:ascii="Times New Roman" w:hAnsi="Times New Roman" w:eastAsia="宋体" w:cs="Times New Roman"/>
                <w:b w:val="0"/>
                <w:i w:val="0"/>
                <w:sz w:val="16"/>
              </w:rPr>
              <w:t>0.80</w:t>
            </w:r>
          </w:p>
        </w:tc>
        <w:tc>
          <w:tcPr>
            <w:tcW w:w="1205" w:type="dxa"/>
            <w:vAlign w:val="center"/>
          </w:tcPr>
          <w:p w14:paraId="143851F1">
            <w:pPr>
              <w:spacing w:before="30" w:after="30"/>
              <w:ind w:firstLine="0"/>
              <w:jc w:val="center"/>
            </w:pPr>
            <w:r>
              <w:rPr>
                <w:rFonts w:hint="eastAsia" w:ascii="Times New Roman" w:hAnsi="Times New Roman" w:eastAsia="宋体" w:cs="Times New Roman"/>
                <w:b w:val="0"/>
                <w:i w:val="0"/>
                <w:sz w:val="16"/>
              </w:rPr>
              <w:t>0.525</w:t>
            </w:r>
          </w:p>
        </w:tc>
        <w:tc>
          <w:tcPr>
            <w:tcW w:w="1205" w:type="dxa"/>
            <w:vAlign w:val="center"/>
          </w:tcPr>
          <w:p w14:paraId="4818CCC0">
            <w:pPr>
              <w:spacing w:before="30" w:after="30"/>
              <w:ind w:firstLine="0"/>
              <w:jc w:val="center"/>
            </w:pPr>
            <w:r>
              <w:rPr>
                <w:rFonts w:hint="eastAsia" w:ascii="Times New Roman" w:hAnsi="Times New Roman" w:eastAsia="宋体" w:cs="Times New Roman"/>
                <w:b w:val="0"/>
                <w:i w:val="0"/>
                <w:sz w:val="16"/>
              </w:rPr>
              <w:t>0.1687</w:t>
            </w:r>
          </w:p>
        </w:tc>
        <w:tc>
          <w:tcPr>
            <w:tcW w:w="1205" w:type="dxa"/>
            <w:vAlign w:val="center"/>
          </w:tcPr>
          <w:p w14:paraId="40422D7B">
            <w:pPr>
              <w:spacing w:before="30" w:after="30"/>
              <w:ind w:firstLine="0"/>
              <w:jc w:val="center"/>
            </w:pPr>
            <w:r>
              <w:rPr>
                <w:rFonts w:hint="eastAsia" w:ascii="Times New Roman" w:hAnsi="Times New Roman" w:eastAsia="宋体" w:cs="Times New Roman"/>
                <w:b w:val="0"/>
                <w:i w:val="0"/>
                <w:sz w:val="16"/>
              </w:rPr>
              <w:t>13.82%</w:t>
            </w:r>
          </w:p>
        </w:tc>
        <w:tc>
          <w:tcPr>
            <w:tcW w:w="1205" w:type="dxa"/>
            <w:vAlign w:val="center"/>
          </w:tcPr>
          <w:p w14:paraId="142ECFC8">
            <w:pPr>
              <w:spacing w:before="30" w:after="30"/>
              <w:ind w:firstLine="0"/>
              <w:jc w:val="center"/>
            </w:pPr>
            <w:r>
              <w:rPr>
                <w:rFonts w:hint="eastAsia" w:ascii="Times New Roman" w:hAnsi="Times New Roman" w:eastAsia="宋体" w:cs="Times New Roman"/>
                <w:b w:val="0"/>
                <w:i w:val="0"/>
                <w:sz w:val="16"/>
              </w:rPr>
              <w:t>1.1</w:t>
            </w:r>
          </w:p>
        </w:tc>
        <w:tc>
          <w:tcPr>
            <w:tcW w:w="1205" w:type="dxa"/>
            <w:vAlign w:val="center"/>
          </w:tcPr>
          <w:p w14:paraId="5A622BBC">
            <w:pPr>
              <w:spacing w:before="30" w:after="30"/>
              <w:ind w:firstLine="0"/>
              <w:jc w:val="center"/>
            </w:pPr>
            <w:r>
              <w:rPr>
                <w:rFonts w:hint="eastAsia" w:ascii="Times New Roman" w:hAnsi="Times New Roman" w:eastAsia="宋体" w:cs="Times New Roman"/>
                <w:b w:val="0"/>
                <w:i w:val="0"/>
                <w:sz w:val="16"/>
              </w:rPr>
              <w:t>0.00</w:t>
            </w:r>
          </w:p>
        </w:tc>
      </w:tr>
      <w:tr w14:paraId="109F1B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36AF307C">
            <w:pPr>
              <w:spacing w:before="30" w:after="30"/>
              <w:ind w:firstLine="0"/>
              <w:jc w:val="center"/>
            </w:pPr>
            <w:r>
              <w:rPr>
                <w:rFonts w:hint="eastAsia" w:ascii="Times New Roman" w:hAnsi="Times New Roman" w:eastAsia="宋体" w:cs="Times New Roman"/>
                <w:b w:val="0"/>
                <w:i w:val="0"/>
                <w:sz w:val="16"/>
              </w:rPr>
              <w:t>B011</w:t>
            </w:r>
          </w:p>
        </w:tc>
        <w:tc>
          <w:tcPr>
            <w:tcW w:w="1205" w:type="dxa"/>
            <w:vAlign w:val="center"/>
          </w:tcPr>
          <w:p w14:paraId="0029ADBA">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153D20BE">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0876A5C8">
            <w:pPr>
              <w:spacing w:before="30" w:after="30"/>
              <w:ind w:firstLine="0"/>
              <w:jc w:val="center"/>
            </w:pPr>
            <w:r>
              <w:rPr>
                <w:rFonts w:hint="eastAsia" w:ascii="Times New Roman" w:hAnsi="Times New Roman" w:eastAsia="宋体" w:cs="Times New Roman"/>
                <w:b w:val="0"/>
                <w:i w:val="0"/>
                <w:sz w:val="16"/>
              </w:rPr>
              <w:t>0.375</w:t>
            </w:r>
          </w:p>
        </w:tc>
        <w:tc>
          <w:tcPr>
            <w:tcW w:w="1205" w:type="dxa"/>
            <w:vAlign w:val="center"/>
          </w:tcPr>
          <w:p w14:paraId="332A5BC3">
            <w:pPr>
              <w:spacing w:before="30" w:after="30"/>
              <w:ind w:firstLine="0"/>
              <w:jc w:val="center"/>
            </w:pPr>
            <w:r>
              <w:rPr>
                <w:rFonts w:hint="eastAsia" w:ascii="Times New Roman" w:hAnsi="Times New Roman" w:eastAsia="宋体" w:cs="Times New Roman"/>
                <w:b w:val="0"/>
                <w:i w:val="0"/>
                <w:sz w:val="16"/>
              </w:rPr>
              <w:t>0.6687</w:t>
            </w:r>
          </w:p>
        </w:tc>
        <w:tc>
          <w:tcPr>
            <w:tcW w:w="1205" w:type="dxa"/>
            <w:vAlign w:val="center"/>
          </w:tcPr>
          <w:p w14:paraId="6FD4F319">
            <w:pPr>
              <w:spacing w:before="30" w:after="30"/>
              <w:ind w:firstLine="0"/>
              <w:jc w:val="center"/>
            </w:pPr>
            <w:r>
              <w:rPr>
                <w:rFonts w:hint="eastAsia" w:ascii="Times New Roman" w:hAnsi="Times New Roman" w:eastAsia="宋体" w:cs="Times New Roman"/>
                <w:b w:val="0"/>
                <w:i w:val="0"/>
                <w:sz w:val="16"/>
              </w:rPr>
              <w:t>53.73%</w:t>
            </w:r>
          </w:p>
        </w:tc>
        <w:tc>
          <w:tcPr>
            <w:tcW w:w="1205" w:type="dxa"/>
            <w:vAlign w:val="center"/>
          </w:tcPr>
          <w:p w14:paraId="54828B6A">
            <w:pPr>
              <w:spacing w:before="30" w:after="30"/>
              <w:ind w:firstLine="0"/>
              <w:jc w:val="center"/>
            </w:pPr>
            <w:r>
              <w:rPr>
                <w:rFonts w:hint="eastAsia" w:ascii="Times New Roman" w:hAnsi="Times New Roman" w:eastAsia="宋体" w:cs="Times New Roman"/>
                <w:b w:val="0"/>
                <w:i w:val="0"/>
                <w:sz w:val="16"/>
              </w:rPr>
              <w:t>7.4</w:t>
            </w:r>
          </w:p>
        </w:tc>
        <w:tc>
          <w:tcPr>
            <w:tcW w:w="1205" w:type="dxa"/>
            <w:vAlign w:val="center"/>
          </w:tcPr>
          <w:p w14:paraId="41BA4142">
            <w:pPr>
              <w:spacing w:before="30" w:after="30"/>
              <w:ind w:firstLine="0"/>
              <w:jc w:val="center"/>
            </w:pPr>
            <w:r>
              <w:rPr>
                <w:rFonts w:hint="eastAsia" w:ascii="Times New Roman" w:hAnsi="Times New Roman" w:eastAsia="宋体" w:cs="Times New Roman"/>
                <w:b w:val="0"/>
                <w:i w:val="0"/>
                <w:sz w:val="16"/>
              </w:rPr>
              <w:t>1.95</w:t>
            </w:r>
          </w:p>
        </w:tc>
      </w:tr>
      <w:tr w14:paraId="15810E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5" w:type="dxa"/>
            <w:vAlign w:val="center"/>
          </w:tcPr>
          <w:p w14:paraId="313C5954">
            <w:pPr>
              <w:spacing w:before="30" w:after="30"/>
              <w:ind w:firstLine="0"/>
              <w:jc w:val="center"/>
            </w:pPr>
            <w:r>
              <w:rPr>
                <w:rFonts w:hint="eastAsia" w:ascii="Times New Roman" w:hAnsi="Times New Roman" w:eastAsia="宋体" w:cs="Times New Roman"/>
                <w:b w:val="0"/>
                <w:i w:val="0"/>
                <w:sz w:val="16"/>
              </w:rPr>
              <w:t>B012</w:t>
            </w:r>
          </w:p>
        </w:tc>
        <w:tc>
          <w:tcPr>
            <w:tcW w:w="1205" w:type="dxa"/>
            <w:vAlign w:val="center"/>
          </w:tcPr>
          <w:p w14:paraId="3BA49636">
            <w:pPr>
              <w:spacing w:before="30" w:after="30"/>
              <w:ind w:firstLine="0"/>
              <w:jc w:val="center"/>
            </w:pPr>
            <w:r>
              <w:rPr>
                <w:rFonts w:hint="eastAsia" w:ascii="Times New Roman" w:hAnsi="Times New Roman" w:eastAsia="宋体" w:cs="Times New Roman"/>
                <w:b w:val="0"/>
                <w:i w:val="0"/>
                <w:sz w:val="16"/>
              </w:rPr>
              <w:t>52.5°</w:t>
            </w:r>
          </w:p>
        </w:tc>
        <w:tc>
          <w:tcPr>
            <w:tcW w:w="1205" w:type="dxa"/>
            <w:vAlign w:val="center"/>
          </w:tcPr>
          <w:p w14:paraId="7173BED4">
            <w:pPr>
              <w:spacing w:before="30" w:after="30"/>
              <w:ind w:firstLine="0"/>
              <w:jc w:val="center"/>
            </w:pPr>
            <w:r>
              <w:rPr>
                <w:rFonts w:hint="eastAsia" w:ascii="Times New Roman" w:hAnsi="Times New Roman" w:eastAsia="宋体" w:cs="Times New Roman"/>
                <w:b w:val="0"/>
                <w:i w:val="0"/>
                <w:sz w:val="16"/>
              </w:rPr>
              <w:t>1.20</w:t>
            </w:r>
          </w:p>
        </w:tc>
        <w:tc>
          <w:tcPr>
            <w:tcW w:w="1205" w:type="dxa"/>
            <w:vAlign w:val="center"/>
          </w:tcPr>
          <w:p w14:paraId="4CEBE5F4">
            <w:pPr>
              <w:spacing w:before="30" w:after="30"/>
              <w:ind w:firstLine="0"/>
              <w:jc w:val="center"/>
            </w:pPr>
            <w:r>
              <w:rPr>
                <w:rFonts w:hint="eastAsia" w:ascii="Times New Roman" w:hAnsi="Times New Roman" w:eastAsia="宋体" w:cs="Times New Roman"/>
                <w:b w:val="0"/>
                <w:i w:val="0"/>
                <w:sz w:val="16"/>
              </w:rPr>
              <w:t>0.675</w:t>
            </w:r>
          </w:p>
        </w:tc>
        <w:tc>
          <w:tcPr>
            <w:tcW w:w="1205" w:type="dxa"/>
            <w:vAlign w:val="center"/>
          </w:tcPr>
          <w:p w14:paraId="2766870A">
            <w:pPr>
              <w:spacing w:before="30" w:after="30"/>
              <w:ind w:firstLine="0"/>
              <w:jc w:val="center"/>
            </w:pPr>
            <w:r>
              <w:rPr>
                <w:rFonts w:hint="eastAsia" w:ascii="Times New Roman" w:hAnsi="Times New Roman" w:eastAsia="宋体" w:cs="Times New Roman"/>
                <w:b w:val="0"/>
                <w:i w:val="0"/>
                <w:sz w:val="16"/>
              </w:rPr>
              <w:t>0.1466</w:t>
            </w:r>
          </w:p>
        </w:tc>
        <w:tc>
          <w:tcPr>
            <w:tcW w:w="1205" w:type="dxa"/>
            <w:vAlign w:val="center"/>
          </w:tcPr>
          <w:p w14:paraId="41CA8EDF">
            <w:pPr>
              <w:spacing w:before="30" w:after="30"/>
              <w:ind w:firstLine="0"/>
              <w:jc w:val="center"/>
            </w:pPr>
            <w:r>
              <w:rPr>
                <w:rFonts w:hint="eastAsia" w:ascii="Times New Roman" w:hAnsi="Times New Roman" w:eastAsia="宋体" w:cs="Times New Roman"/>
                <w:b w:val="0"/>
                <w:i w:val="0"/>
                <w:sz w:val="16"/>
              </w:rPr>
              <w:t>0.68%</w:t>
            </w:r>
          </w:p>
        </w:tc>
        <w:tc>
          <w:tcPr>
            <w:tcW w:w="1205" w:type="dxa"/>
            <w:vAlign w:val="center"/>
          </w:tcPr>
          <w:p w14:paraId="446F2835">
            <w:pPr>
              <w:spacing w:before="30" w:after="30"/>
              <w:ind w:firstLine="0"/>
              <w:jc w:val="center"/>
            </w:pPr>
            <w:r>
              <w:rPr>
                <w:rFonts w:hint="eastAsia" w:ascii="Times New Roman" w:hAnsi="Times New Roman" w:eastAsia="宋体" w:cs="Times New Roman"/>
                <w:b w:val="0"/>
                <w:i w:val="0"/>
                <w:sz w:val="16"/>
              </w:rPr>
              <w:t>3.0</w:t>
            </w:r>
          </w:p>
        </w:tc>
        <w:tc>
          <w:tcPr>
            <w:tcW w:w="1205" w:type="dxa"/>
            <w:vAlign w:val="center"/>
          </w:tcPr>
          <w:p w14:paraId="487333D0">
            <w:pPr>
              <w:spacing w:before="30" w:after="30"/>
              <w:ind w:firstLine="0"/>
              <w:jc w:val="center"/>
            </w:pPr>
            <w:r>
              <w:rPr>
                <w:rFonts w:hint="eastAsia" w:ascii="Times New Roman" w:hAnsi="Times New Roman" w:eastAsia="宋体" w:cs="Times New Roman"/>
                <w:b w:val="0"/>
                <w:i w:val="0"/>
                <w:sz w:val="16"/>
              </w:rPr>
              <w:t>0.00</w:t>
            </w:r>
          </w:p>
        </w:tc>
      </w:tr>
    </w:tbl>
    <w:p w14:paraId="00152229">
      <w:pPr>
        <w:spacing w:before="0" w:after="0"/>
        <w:ind w:firstLine="420"/>
        <w:jc w:val="both"/>
      </w:pPr>
      <w:r>
        <w:rPr>
          <w:rFonts w:hint="eastAsia" w:ascii="Times New Roman" w:hAnsi="Times New Roman" w:eastAsia="宋体" w:cs="Times New Roman"/>
          <w:b w:val="0"/>
          <w:i w:val="0"/>
          <w:sz w:val="21"/>
        </w:rPr>
        <w:t>图20比较了B002、B003和B004的真值、预测值及残差场。B004的较大误差主要集中在高频下平台，其C段复数误差达到0.947；B002的整体复数误差仅为0.1143，但峰位误差达到2.30，说明整体场误差较小并不保证全局峰位同时准确。B组参数仍位于P组训练范围内，以上结果反映训练参数网格之间的域内插值能力，不代表参数域外的外推精度。</w:t>
      </w:r>
    </w:p>
    <w:p w14:paraId="0200B98C">
      <w:pPr>
        <w:spacing w:before="80" w:after="40"/>
        <w:ind w:firstLine="0"/>
        <w:jc w:val="center"/>
      </w:pPr>
      <w:r>
        <w:drawing>
          <wp:inline distT="0" distB="0" distL="114300" distR="114300">
            <wp:extent cx="2880360" cy="2002790"/>
            <wp:effectExtent l="0" t="0" r="15240"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2880360" cy="2003038"/>
                    </a:xfrm>
                    <a:prstGeom prst="rect">
                      <a:avLst/>
                    </a:prstGeom>
                  </pic:spPr>
                </pic:pic>
              </a:graphicData>
            </a:graphic>
          </wp:inline>
        </w:drawing>
      </w:r>
    </w:p>
    <w:p w14:paraId="32D9E2ED">
      <w:pPr>
        <w:spacing w:before="0" w:after="0"/>
        <w:ind w:firstLine="420"/>
        <w:jc w:val="both"/>
      </w:pPr>
      <w:r>
        <w:rPr>
          <w:rFonts w:hint="eastAsia" w:ascii="Times New Roman" w:hAnsi="Times New Roman" w:eastAsia="宋体" w:cs="Times New Roman"/>
          <w:b w:val="0"/>
          <w:i w:val="0"/>
          <w:sz w:val="21"/>
        </w:rPr>
        <w:t>图20 B002、B003和B004的真值、预测与残差场</w:t>
      </w:r>
    </w:p>
    <w:p w14:paraId="28ABAB80">
      <w:pPr>
        <w:spacing w:before="0" w:after="0"/>
        <w:ind w:firstLine="420"/>
        <w:jc w:val="both"/>
      </w:pPr>
      <w:r>
        <w:rPr>
          <w:rFonts w:hint="eastAsia" w:ascii="Times New Roman" w:hAnsi="Times New Roman" w:eastAsia="宋体" w:cs="Times New Roman"/>
          <w:b w:val="0"/>
          <w:i w:val="0"/>
          <w:sz w:val="21"/>
        </w:rPr>
        <w:t>Fig. 20 Truth, prediction and residual fields for B cases</w:t>
      </w:r>
    </w:p>
    <w:p w14:paraId="18268E16">
      <w:pPr>
        <w:spacing w:before="156" w:after="40"/>
        <w:ind w:firstLine="0"/>
        <w:jc w:val="left"/>
      </w:pPr>
      <w:r>
        <w:rPr>
          <w:rFonts w:hint="eastAsia" w:ascii="Times New Roman" w:hAnsi="Times New Roman" w:eastAsia="宋体" w:cs="Times New Roman"/>
          <w:b/>
          <w:i w:val="0"/>
          <w:sz w:val="24"/>
        </w:rPr>
        <w:t>4.3 真实地震波闭环</w:t>
      </w:r>
    </w:p>
    <w:p w14:paraId="2C70FCEB">
      <w:pPr>
        <w:spacing w:before="0" w:after="0"/>
        <w:ind w:firstLine="420"/>
        <w:jc w:val="both"/>
      </w:pPr>
      <w:r>
        <w:rPr>
          <w:rFonts w:hint="eastAsia" w:ascii="Times New Roman" w:hAnsi="Times New Roman" w:eastAsia="宋体" w:cs="Times New Roman"/>
          <w:b w:val="0"/>
          <w:i w:val="0"/>
          <w:sz w:val="21"/>
        </w:rPr>
        <w:t>为了检验代理复频响重构真实地震动的能力，选取4个坡地体系和El Centro、Kobe、Chi-Chi 3条地震记录，组成10个体系—记录闭环工况。每个工况均另行进行二维直接有限元计算作为真值，不参与代理训练和调参。预测时将代理复频响与左侧一维自由场复谱逐频相乘，再经逆傅里叶变换得到地表时程。</w:t>
      </w:r>
    </w:p>
    <w:p w14:paraId="755BBEAC">
      <w:pPr>
        <w:spacing w:before="0" w:after="0"/>
        <w:ind w:firstLine="420"/>
        <w:jc w:val="both"/>
      </w:pPr>
      <w:r>
        <w:rPr>
          <w:rFonts w:hint="eastAsia" w:ascii="Times New Roman" w:hAnsi="Times New Roman" w:eastAsia="宋体" w:cs="Times New Roman"/>
          <w:b w:val="0"/>
          <w:i w:val="0"/>
          <w:sz w:val="21"/>
        </w:rPr>
        <w:t>图21给出了3条记录的一维自由场时程及能量谱。各记录均缩放至0.1g，El Centro、Kobe和Chi-Chi在6 Hz以下的能量占比分别为93.4%、90.1%和80.6%，本组闭环主要反映低频能量占优条件下的重构效果。由于时程叠加同时取决于幅值和相位，重构采用完整复数频响；预测与直接有限元结果均取0.5～10 Hz带限。</w:t>
      </w:r>
    </w:p>
    <w:p w14:paraId="09DD4ADC">
      <w:pPr>
        <w:spacing w:before="80" w:after="40"/>
        <w:ind w:firstLine="0"/>
        <w:jc w:val="center"/>
      </w:pPr>
      <w:r>
        <w:drawing>
          <wp:inline distT="0" distB="0" distL="114300" distR="114300">
            <wp:extent cx="2880360" cy="1913255"/>
            <wp:effectExtent l="0" t="0" r="1524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2880360" cy="1913590"/>
                    </a:xfrm>
                    <a:prstGeom prst="rect">
                      <a:avLst/>
                    </a:prstGeom>
                  </pic:spPr>
                </pic:pic>
              </a:graphicData>
            </a:graphic>
          </wp:inline>
        </w:drawing>
      </w:r>
    </w:p>
    <w:p w14:paraId="3208BDB3">
      <w:pPr>
        <w:spacing w:before="0" w:after="0"/>
        <w:ind w:firstLine="420"/>
        <w:jc w:val="both"/>
      </w:pPr>
      <w:r>
        <w:rPr>
          <w:rFonts w:hint="eastAsia" w:ascii="Times New Roman" w:hAnsi="Times New Roman" w:eastAsia="宋体" w:cs="Times New Roman"/>
          <w:b w:val="0"/>
          <w:i w:val="0"/>
          <w:sz w:val="21"/>
        </w:rPr>
        <w:t>图21 El Centro、Kobe和Chi-Chi记录的一维自由场时程与能量谱</w:t>
      </w:r>
    </w:p>
    <w:p w14:paraId="49254DD1">
      <w:pPr>
        <w:spacing w:before="0" w:after="0"/>
        <w:ind w:firstLine="420"/>
        <w:jc w:val="both"/>
      </w:pPr>
      <w:r>
        <w:rPr>
          <w:rFonts w:hint="eastAsia" w:ascii="Times New Roman" w:hAnsi="Times New Roman" w:eastAsia="宋体" w:cs="Times New Roman"/>
          <w:b w:val="0"/>
          <w:i w:val="0"/>
          <w:sz w:val="21"/>
        </w:rPr>
        <w:t>Fig. 21 Free-field time histories and spectra of the El Centro, Kobe and Chi-Chi records</w:t>
      </w:r>
    </w:p>
    <w:p w14:paraId="0B5EE91F">
      <w:pPr>
        <w:spacing w:before="0" w:after="0"/>
        <w:ind w:firstLine="420"/>
        <w:jc w:val="both"/>
      </w:pPr>
      <w:r>
        <w:rPr>
          <w:rFonts w:hint="eastAsia" w:ascii="Times New Roman" w:hAnsi="Times New Roman" w:eastAsia="宋体" w:cs="Times New Roman"/>
          <w:b w:val="0"/>
          <w:i w:val="0"/>
          <w:sz w:val="21"/>
        </w:rPr>
        <w:t>逐位置时程误差定义为</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888"/>
        <w:gridCol w:w="720"/>
      </w:tblGrid>
      <w:tr w14:paraId="4C97D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819" w:type="dxa"/>
          </w:tcPr>
          <w:p w14:paraId="1533A89E">
            <w:pPr>
              <w:spacing w:before="60" w:after="60"/>
              <w:jc w:val="center"/>
            </w:pPr>
            <m:oMathPara>
              <m:oMath>
                <m:sSub>
                  <m:sSubPr/>
                  <m:e>
                    <m:r>
                      <m:rPr/>
                      <m:t>E</m:t>
                    </m:r>
                  </m:e>
                  <m:sub>
                    <m:r>
                      <m:rPr/>
                      <m:t>t</m:t>
                    </m:r>
                  </m:sub>
                </m:sSub>
                <m:r>
                  <m:rPr>
                    <m:sty m:val="p"/>
                  </m:rPr>
                  <m:t>(</m:t>
                </m:r>
                <m:r>
                  <m:rPr/>
                  <m:t>s</m:t>
                </m:r>
                <m:r>
                  <m:rPr>
                    <m:sty m:val="p"/>
                  </m:rPr>
                  <m:t>)=</m:t>
                </m:r>
                <m:f>
                  <m:fPr/>
                  <m:num>
                    <m:sSub>
                      <m:sSubPr/>
                      <m:e>
                        <m:d>
                          <m:dPr>
                            <m:begChr m:val="‖"/>
                            <m:sepChr m:val=""/>
                            <m:endChr m:val="‖"/>
                          </m:dPr>
                          <m:e>
                            <m:sSubSup>
                              <m:sSubSupPr/>
                              <m:e>
                                <m:r>
                                  <m:rPr/>
                                  <m:t>a</m:t>
                                </m:r>
                              </m:e>
                              <m:sub>
                                <m:r>
                                  <m:rPr/>
                                  <m:t>h</m:t>
                                </m:r>
                              </m:sub>
                              <m:sup>
                                <m:r>
                                  <m:rPr>
                                    <m:sty m:val="p"/>
                                  </m:rPr>
                                  <m:t>pred</m:t>
                                </m:r>
                              </m:sup>
                            </m:sSubSup>
                            <m:r>
                              <m:rPr>
                                <m:sty m:val="p"/>
                              </m:rPr>
                              <m:t>(</m:t>
                            </m:r>
                            <m:r>
                              <m:rPr/>
                              <m:t>t</m:t>
                            </m:r>
                            <m:r>
                              <m:rPr>
                                <m:sty m:val="p"/>
                              </m:rPr>
                              <m:t>,</m:t>
                            </m:r>
                            <m:r>
                              <m:rPr/>
                              <m:t>s</m:t>
                            </m:r>
                            <m:r>
                              <m:rPr>
                                <m:sty m:val="p"/>
                              </m:rPr>
                              <m:t>)−</m:t>
                            </m:r>
                            <m:sSubSup>
                              <m:sSubSupPr/>
                              <m:e>
                                <m:r>
                                  <m:rPr/>
                                  <m:t>a</m:t>
                                </m:r>
                              </m:e>
                              <m:sub>
                                <m:r>
                                  <m:rPr/>
                                  <m:t>h</m:t>
                                </m:r>
                              </m:sub>
                              <m:sup>
                                <m:r>
                                  <m:rPr>
                                    <m:sty m:val="p"/>
                                  </m:rPr>
                                  <m:t>FE</m:t>
                                </m:r>
                              </m:sup>
                            </m:sSubSup>
                            <m:r>
                              <m:rPr>
                                <m:sty m:val="p"/>
                              </m:rPr>
                              <m:t>(</m:t>
                            </m:r>
                            <m:r>
                              <m:rPr/>
                              <m:t>t</m:t>
                            </m:r>
                            <m:r>
                              <m:rPr>
                                <m:sty m:val="p"/>
                              </m:rPr>
                              <m:t>,</m:t>
                            </m:r>
                            <m:r>
                              <m:rPr/>
                              <m:t>s</m:t>
                            </m:r>
                            <m:r>
                              <m:rPr>
                                <m:sty m:val="p"/>
                              </m:rPr>
                              <m:t>)</m:t>
                            </m:r>
                          </m:e>
                        </m:d>
                      </m:e>
                      <m:sub>
                        <m:r>
                          <m:rPr/>
                          <m:t>2</m:t>
                        </m:r>
                      </m:sub>
                    </m:sSub>
                  </m:num>
                  <m:den>
                    <m:sSub>
                      <m:sSubPr/>
                      <m:e>
                        <m:d>
                          <m:dPr>
                            <m:begChr m:val="‖"/>
                            <m:sepChr m:val=""/>
                            <m:endChr m:val="‖"/>
                          </m:dPr>
                          <m:e>
                            <m:sSubSup>
                              <m:sSubSupPr/>
                              <m:e>
                                <m:r>
                                  <m:rPr/>
                                  <m:t>a</m:t>
                                </m:r>
                              </m:e>
                              <m:sub>
                                <m:r>
                                  <m:rPr/>
                                  <m:t>h</m:t>
                                </m:r>
                              </m:sub>
                              <m:sup>
                                <m:r>
                                  <m:rPr>
                                    <m:sty m:val="p"/>
                                  </m:rPr>
                                  <m:t>FE</m:t>
                                </m:r>
                              </m:sup>
                            </m:sSubSup>
                            <m:r>
                              <m:rPr>
                                <m:sty m:val="p"/>
                              </m:rPr>
                              <m:t>(</m:t>
                            </m:r>
                            <m:r>
                              <m:rPr/>
                              <m:t>t</m:t>
                            </m:r>
                            <m:r>
                              <m:rPr>
                                <m:sty m:val="p"/>
                              </m:rPr>
                              <m:t>,</m:t>
                            </m:r>
                            <m:r>
                              <m:rPr/>
                              <m:t>s</m:t>
                            </m:r>
                            <m:r>
                              <m:rPr>
                                <m:sty m:val="p"/>
                              </m:rPr>
                              <m:t>)</m:t>
                            </m:r>
                          </m:e>
                        </m:d>
                      </m:e>
                      <m:sub>
                        <m:r>
                          <m:rPr/>
                          <m:t>2</m:t>
                        </m:r>
                      </m:sub>
                    </m:sSub>
                  </m:den>
                </m:f>
                <m:r>
                  <m:rPr>
                    <m:sty m:val="p"/>
                  </m:rPr>
                  <m:t>.</m:t>
                </m:r>
              </m:oMath>
            </m:oMathPara>
          </w:p>
        </w:tc>
        <w:tc>
          <w:tcPr>
            <w:tcW w:w="4819" w:type="dxa"/>
          </w:tcPr>
          <w:p w14:paraId="4D943007">
            <w:pPr>
              <w:spacing w:before="60" w:after="60"/>
              <w:jc w:val="right"/>
            </w:pPr>
            <w:r>
              <w:rPr>
                <w:rFonts w:hint="eastAsia" w:ascii="Times New Roman" w:hAnsi="Times New Roman" w:eastAsia="Times New Roman" w:cs="Times New Roman"/>
                <w:b w:val="0"/>
                <w:i w:val="0"/>
                <w:sz w:val="21"/>
              </w:rPr>
              <w:t>(5)</w:t>
            </w:r>
          </w:p>
        </w:tc>
      </w:tr>
    </w:tbl>
    <w:p w14:paraId="5C7FEC6D">
      <w:pPr>
        <w:spacing w:before="0" w:after="0"/>
        <w:ind w:firstLine="420"/>
        <w:jc w:val="both"/>
      </w:pPr>
      <w:r>
        <w:rPr>
          <w:rFonts w:hint="eastAsia" w:ascii="Times New Roman" w:hAnsi="Times New Roman" w:eastAsia="宋体" w:cs="Times New Roman"/>
          <w:b w:val="0"/>
          <w:i w:val="0"/>
          <w:sz w:val="21"/>
        </w:rPr>
        <w:t>式中：</w:t>
      </w:r>
      <m:oMath>
        <m:sSubSup>
          <m:sSubSupPr/>
          <m:e>
            <m:r>
              <m:rPr/>
              <m:t>a</m:t>
            </m:r>
          </m:e>
          <m:sub>
            <m:r>
              <m:rPr/>
              <m:t>h</m:t>
            </m:r>
          </m:sub>
          <m:sup>
            <m:r>
              <m:rPr>
                <m:sty m:val="p"/>
              </m:rPr>
              <m:t>pred</m:t>
            </m:r>
          </m:sup>
        </m:sSubSup>
      </m:oMath>
      <w:r>
        <w:rPr>
          <w:rFonts w:hint="eastAsia" w:ascii="Times New Roman" w:hAnsi="Times New Roman" w:eastAsia="宋体" w:cs="Times New Roman"/>
          <w:b w:val="0"/>
          <w:i w:val="0"/>
          <w:sz w:val="21"/>
        </w:rPr>
        <w:t>为代理重构的水平加速度，</w:t>
      </w:r>
      <m:oMath>
        <m:sSubSup>
          <m:sSubSupPr/>
          <m:e>
            <m:r>
              <m:rPr/>
              <m:t>a</m:t>
            </m:r>
          </m:e>
          <m:sub>
            <m:r>
              <m:rPr/>
              <m:t>h</m:t>
            </m:r>
          </m:sub>
          <m:sup>
            <m:r>
              <m:rPr>
                <m:sty m:val="p"/>
              </m:rPr>
              <m:t>FE</m:t>
            </m:r>
          </m:sup>
        </m:sSubSup>
      </m:oMath>
      <w:r>
        <w:rPr>
          <w:rFonts w:hint="eastAsia" w:ascii="Times New Roman" w:hAnsi="Times New Roman" w:eastAsia="宋体" w:cs="Times New Roman"/>
          <w:b w:val="0"/>
          <w:i w:val="0"/>
          <w:sz w:val="21"/>
        </w:rPr>
        <w:t>为直接有限元（FE）计算结果。反应谱误差采用5%阻尼、0.1～2.0 s的40个对数间隔周期，并在每个位置取周期中位数。表11列出了各工况161个地表位置的中位指标及10个工况的总体中位数。</w:t>
      </w:r>
    </w:p>
    <w:p w14:paraId="798E4C18">
      <w:pPr>
        <w:spacing w:before="0" w:after="0"/>
        <w:ind w:firstLine="420"/>
        <w:jc w:val="both"/>
      </w:pPr>
      <w:r>
        <w:rPr>
          <w:rFonts w:hint="eastAsia" w:ascii="Times New Roman" w:hAnsi="Times New Roman" w:eastAsia="宋体" w:cs="Times New Roman"/>
          <w:b w:val="0"/>
          <w:i w:val="0"/>
          <w:sz w:val="21"/>
        </w:rPr>
        <w:t>由表11可见，10个工况的总体中位时程NRMSE为9.75%，相关系数为0.9955，PGA误差为2.49%，峰值时刻误差为0.0015 s，5%阻尼反应谱误差为2.01%。C001、C002、C008和C010的NRMSE超过10%，其余6个工况低于10%；10个工况的相关系数均高于0.95，PGA误差均低于10%，峰时误差均低于0.02 s。NRMSE反映全持时累计误差，而PGA和峰时主要反映极值特征，因此二者的变化并不完全一致。</w:t>
      </w:r>
    </w:p>
    <w:p w14:paraId="0B657153">
      <w:pPr>
        <w:spacing w:before="0" w:after="0"/>
        <w:ind w:firstLine="420"/>
        <w:jc w:val="both"/>
      </w:pPr>
      <w:r>
        <w:rPr>
          <w:rFonts w:hint="eastAsia" w:ascii="Times New Roman" w:hAnsi="Times New Roman" w:eastAsia="宋体" w:cs="Times New Roman"/>
          <w:b w:val="0"/>
          <w:i w:val="0"/>
          <w:sz w:val="21"/>
        </w:rPr>
        <w:t>表11 真实波闭环指标（每例取161个地表位置的中位数）</w:t>
      </w:r>
    </w:p>
    <w:p w14:paraId="670CDBA0">
      <w:pPr>
        <w:spacing w:before="0" w:after="0"/>
        <w:ind w:firstLine="420"/>
        <w:jc w:val="both"/>
      </w:pPr>
      <w:r>
        <w:rPr>
          <w:rFonts w:hint="eastAsia" w:ascii="Times New Roman" w:hAnsi="Times New Roman" w:eastAsia="宋体" w:cs="Times New Roman"/>
          <w:b w:val="0"/>
          <w:i w:val="0"/>
          <w:sz w:val="21"/>
        </w:rPr>
        <w:t>Table 11 Closed-loop metrics (median over 161 surface locations in each case)</w:t>
      </w:r>
    </w:p>
    <w:tbl>
      <w:tblPr>
        <w:tblStyle w:val="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0"/>
        <w:gridCol w:w="1064"/>
        <w:gridCol w:w="756"/>
        <w:gridCol w:w="627"/>
        <w:gridCol w:w="603"/>
        <w:gridCol w:w="628"/>
        <w:gridCol w:w="604"/>
      </w:tblGrid>
      <w:tr w14:paraId="403E50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tcBorders>
              <w:bottom w:val="single" w:color="auto" w:sz="6" w:space="0"/>
            </w:tcBorders>
            <w:vAlign w:val="center"/>
          </w:tcPr>
          <w:p w14:paraId="340E93B0">
            <w:pPr>
              <w:spacing w:before="30" w:after="30"/>
              <w:ind w:firstLine="0"/>
              <w:jc w:val="center"/>
            </w:pPr>
            <w:r>
              <w:rPr>
                <w:rFonts w:hint="eastAsia" w:ascii="Times New Roman" w:hAnsi="Times New Roman" w:eastAsia="宋体" w:cs="Times New Roman"/>
                <w:b/>
                <w:i w:val="0"/>
                <w:sz w:val="16"/>
              </w:rPr>
              <w:t>工况</w:t>
            </w:r>
          </w:p>
        </w:tc>
        <w:tc>
          <w:tcPr>
            <w:tcW w:w="1377" w:type="dxa"/>
            <w:tcBorders>
              <w:bottom w:val="single" w:color="auto" w:sz="6" w:space="0"/>
            </w:tcBorders>
            <w:vAlign w:val="center"/>
          </w:tcPr>
          <w:p w14:paraId="5B05CB63">
            <w:pPr>
              <w:spacing w:before="30" w:after="30"/>
              <w:ind w:firstLine="0"/>
              <w:jc w:val="center"/>
            </w:pPr>
            <w:r>
              <w:rPr>
                <w:rFonts w:hint="eastAsia" w:ascii="Times New Roman" w:hAnsi="Times New Roman" w:eastAsia="宋体" w:cs="Times New Roman"/>
                <w:b/>
                <w:i w:val="0"/>
                <w:sz w:val="16"/>
              </w:rPr>
              <w:t>体系/记录</w:t>
            </w:r>
          </w:p>
        </w:tc>
        <w:tc>
          <w:tcPr>
            <w:tcW w:w="1377" w:type="dxa"/>
            <w:tcBorders>
              <w:bottom w:val="single" w:color="auto" w:sz="6" w:space="0"/>
            </w:tcBorders>
            <w:vAlign w:val="center"/>
          </w:tcPr>
          <w:p w14:paraId="42085F81">
            <w:pPr>
              <w:spacing w:before="30" w:after="30"/>
              <w:ind w:firstLine="0"/>
              <w:jc w:val="center"/>
            </w:pPr>
            <w:r>
              <w:rPr>
                <w:rFonts w:hint="eastAsia" w:ascii="Times New Roman" w:hAnsi="Times New Roman" w:eastAsia="宋体" w:cs="Times New Roman"/>
                <w:b/>
                <w:i w:val="0"/>
                <w:sz w:val="16"/>
              </w:rPr>
              <w:t>时程NRMSE</w:t>
            </w:r>
          </w:p>
        </w:tc>
        <w:tc>
          <w:tcPr>
            <w:tcW w:w="1377" w:type="dxa"/>
            <w:tcBorders>
              <w:bottom w:val="single" w:color="auto" w:sz="6" w:space="0"/>
            </w:tcBorders>
            <w:vAlign w:val="center"/>
          </w:tcPr>
          <w:p w14:paraId="10758DAE">
            <w:pPr>
              <w:spacing w:before="30" w:after="30"/>
              <w:ind w:firstLine="0"/>
              <w:jc w:val="center"/>
            </w:pPr>
            <w:r>
              <w:rPr>
                <w:rFonts w:hint="eastAsia" w:ascii="Times New Roman" w:hAnsi="Times New Roman" w:eastAsia="宋体" w:cs="Times New Roman"/>
                <w:b/>
                <w:i w:val="0"/>
                <w:sz w:val="16"/>
              </w:rPr>
              <w:t>相关系数</w:t>
            </w:r>
          </w:p>
        </w:tc>
        <w:tc>
          <w:tcPr>
            <w:tcW w:w="1377" w:type="dxa"/>
            <w:tcBorders>
              <w:bottom w:val="single" w:color="auto" w:sz="6" w:space="0"/>
            </w:tcBorders>
            <w:vAlign w:val="center"/>
          </w:tcPr>
          <w:p w14:paraId="1E1A78BA">
            <w:pPr>
              <w:spacing w:before="30" w:after="30"/>
              <w:ind w:firstLine="0"/>
              <w:jc w:val="center"/>
            </w:pPr>
            <w:r>
              <w:rPr>
                <w:rFonts w:hint="eastAsia" w:ascii="Times New Roman" w:hAnsi="Times New Roman" w:eastAsia="宋体" w:cs="Times New Roman"/>
                <w:b/>
                <w:i w:val="0"/>
                <w:sz w:val="16"/>
              </w:rPr>
              <w:t>PGA误差</w:t>
            </w:r>
          </w:p>
        </w:tc>
        <w:tc>
          <w:tcPr>
            <w:tcW w:w="1377" w:type="dxa"/>
            <w:tcBorders>
              <w:bottom w:val="single" w:color="auto" w:sz="6" w:space="0"/>
            </w:tcBorders>
            <w:vAlign w:val="center"/>
          </w:tcPr>
          <w:p w14:paraId="1471B11E">
            <w:pPr>
              <w:spacing w:before="30" w:after="30"/>
              <w:ind w:firstLine="0"/>
              <w:jc w:val="center"/>
            </w:pPr>
            <w:r>
              <w:rPr>
                <w:rFonts w:hint="eastAsia" w:ascii="Times New Roman" w:hAnsi="Times New Roman" w:eastAsia="宋体" w:cs="Times New Roman"/>
                <w:b/>
                <w:i w:val="0"/>
                <w:sz w:val="16"/>
              </w:rPr>
              <w:t>峰时误差/s</w:t>
            </w:r>
          </w:p>
        </w:tc>
        <w:tc>
          <w:tcPr>
            <w:tcW w:w="1377" w:type="dxa"/>
            <w:tcBorders>
              <w:bottom w:val="single" w:color="auto" w:sz="6" w:space="0"/>
            </w:tcBorders>
            <w:vAlign w:val="center"/>
          </w:tcPr>
          <w:p w14:paraId="364A2960">
            <w:pPr>
              <w:spacing w:before="30" w:after="30"/>
              <w:ind w:firstLine="0"/>
              <w:jc w:val="center"/>
            </w:pPr>
            <w:r>
              <w:rPr>
                <w:rFonts w:hint="eastAsia" w:ascii="Times New Roman" w:hAnsi="Times New Roman" w:eastAsia="宋体" w:cs="Times New Roman"/>
                <w:b/>
                <w:i w:val="0"/>
                <w:sz w:val="16"/>
              </w:rPr>
              <w:t>5%阻尼反应谱误差</w:t>
            </w:r>
          </w:p>
        </w:tc>
      </w:tr>
      <w:tr w14:paraId="7BEEF4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4DA3F19">
            <w:pPr>
              <w:spacing w:before="30" w:after="30"/>
              <w:ind w:firstLine="0"/>
              <w:jc w:val="center"/>
            </w:pPr>
            <w:r>
              <w:rPr>
                <w:rFonts w:hint="eastAsia" w:ascii="Times New Roman" w:hAnsi="Times New Roman" w:eastAsia="宋体" w:cs="Times New Roman"/>
                <w:b w:val="0"/>
                <w:i w:val="0"/>
                <w:sz w:val="16"/>
              </w:rPr>
              <w:t>C001</w:t>
            </w:r>
          </w:p>
        </w:tc>
        <w:tc>
          <w:tcPr>
            <w:tcW w:w="1377" w:type="dxa"/>
            <w:vAlign w:val="center"/>
          </w:tcPr>
          <w:p w14:paraId="670454A3">
            <w:pPr>
              <w:spacing w:before="30" w:after="30"/>
              <w:ind w:firstLine="0"/>
              <w:jc w:val="center"/>
            </w:pPr>
            <w:r>
              <w:rPr>
                <w:rFonts w:hint="eastAsia" w:ascii="Times New Roman" w:hAnsi="Times New Roman" w:eastAsia="宋体" w:cs="Times New Roman"/>
                <w:b w:val="0"/>
                <w:i w:val="0"/>
                <w:sz w:val="16"/>
              </w:rPr>
              <w:t>P007/El Centro</w:t>
            </w:r>
          </w:p>
        </w:tc>
        <w:tc>
          <w:tcPr>
            <w:tcW w:w="1377" w:type="dxa"/>
            <w:vAlign w:val="center"/>
          </w:tcPr>
          <w:p w14:paraId="58698319">
            <w:pPr>
              <w:spacing w:before="30" w:after="30"/>
              <w:ind w:firstLine="0"/>
              <w:jc w:val="center"/>
            </w:pPr>
            <w:r>
              <w:rPr>
                <w:rFonts w:hint="eastAsia" w:ascii="Times New Roman" w:hAnsi="Times New Roman" w:eastAsia="宋体" w:cs="Times New Roman"/>
                <w:b w:val="0"/>
                <w:i w:val="0"/>
                <w:sz w:val="16"/>
              </w:rPr>
              <w:t>20.73%</w:t>
            </w:r>
          </w:p>
        </w:tc>
        <w:tc>
          <w:tcPr>
            <w:tcW w:w="1377" w:type="dxa"/>
            <w:vAlign w:val="center"/>
          </w:tcPr>
          <w:p w14:paraId="5AD33D5C">
            <w:pPr>
              <w:spacing w:before="30" w:after="30"/>
              <w:ind w:firstLine="0"/>
              <w:jc w:val="center"/>
            </w:pPr>
            <w:r>
              <w:rPr>
                <w:rFonts w:hint="eastAsia" w:ascii="Times New Roman" w:hAnsi="Times New Roman" w:eastAsia="宋体" w:cs="Times New Roman"/>
                <w:b w:val="0"/>
                <w:i w:val="0"/>
                <w:sz w:val="16"/>
              </w:rPr>
              <w:t>0.9789</w:t>
            </w:r>
          </w:p>
        </w:tc>
        <w:tc>
          <w:tcPr>
            <w:tcW w:w="1377" w:type="dxa"/>
            <w:vAlign w:val="center"/>
          </w:tcPr>
          <w:p w14:paraId="159112AA">
            <w:pPr>
              <w:spacing w:before="30" w:after="30"/>
              <w:ind w:firstLine="0"/>
              <w:jc w:val="center"/>
            </w:pPr>
            <w:r>
              <w:rPr>
                <w:rFonts w:hint="eastAsia" w:ascii="Times New Roman" w:hAnsi="Times New Roman" w:eastAsia="宋体" w:cs="Times New Roman"/>
                <w:b w:val="0"/>
                <w:i w:val="0"/>
                <w:sz w:val="16"/>
              </w:rPr>
              <w:t>6.09%</w:t>
            </w:r>
          </w:p>
        </w:tc>
        <w:tc>
          <w:tcPr>
            <w:tcW w:w="1377" w:type="dxa"/>
            <w:vAlign w:val="center"/>
          </w:tcPr>
          <w:p w14:paraId="0D49A2DE">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58228EC1">
            <w:pPr>
              <w:spacing w:before="30" w:after="30"/>
              <w:ind w:firstLine="0"/>
              <w:jc w:val="center"/>
            </w:pPr>
            <w:r>
              <w:rPr>
                <w:rFonts w:hint="eastAsia" w:ascii="Times New Roman" w:hAnsi="Times New Roman" w:eastAsia="宋体" w:cs="Times New Roman"/>
                <w:b w:val="0"/>
                <w:i w:val="0"/>
                <w:sz w:val="16"/>
              </w:rPr>
              <w:t>1.86%</w:t>
            </w:r>
          </w:p>
        </w:tc>
      </w:tr>
      <w:tr w14:paraId="247763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47226E3">
            <w:pPr>
              <w:spacing w:before="30" w:after="30"/>
              <w:ind w:firstLine="0"/>
              <w:jc w:val="center"/>
            </w:pPr>
            <w:r>
              <w:rPr>
                <w:rFonts w:hint="eastAsia" w:ascii="Times New Roman" w:hAnsi="Times New Roman" w:eastAsia="宋体" w:cs="Times New Roman"/>
                <w:b w:val="0"/>
                <w:i w:val="0"/>
                <w:sz w:val="16"/>
              </w:rPr>
              <w:t>C002</w:t>
            </w:r>
          </w:p>
        </w:tc>
        <w:tc>
          <w:tcPr>
            <w:tcW w:w="1377" w:type="dxa"/>
            <w:vAlign w:val="center"/>
          </w:tcPr>
          <w:p w14:paraId="2164B205">
            <w:pPr>
              <w:spacing w:before="30" w:after="30"/>
              <w:ind w:firstLine="0"/>
              <w:jc w:val="center"/>
            </w:pPr>
            <w:r>
              <w:rPr>
                <w:rFonts w:hint="eastAsia" w:ascii="Times New Roman" w:hAnsi="Times New Roman" w:eastAsia="宋体" w:cs="Times New Roman"/>
                <w:b w:val="0"/>
                <w:i w:val="0"/>
                <w:sz w:val="16"/>
              </w:rPr>
              <w:t>P007/Kobe</w:t>
            </w:r>
          </w:p>
        </w:tc>
        <w:tc>
          <w:tcPr>
            <w:tcW w:w="1377" w:type="dxa"/>
            <w:vAlign w:val="center"/>
          </w:tcPr>
          <w:p w14:paraId="070D9A5B">
            <w:pPr>
              <w:spacing w:before="30" w:after="30"/>
              <w:ind w:firstLine="0"/>
              <w:jc w:val="center"/>
            </w:pPr>
            <w:r>
              <w:rPr>
                <w:rFonts w:hint="eastAsia" w:ascii="Times New Roman" w:hAnsi="Times New Roman" w:eastAsia="宋体" w:cs="Times New Roman"/>
                <w:b w:val="0"/>
                <w:i w:val="0"/>
                <w:sz w:val="16"/>
              </w:rPr>
              <w:t>22.47%</w:t>
            </w:r>
          </w:p>
        </w:tc>
        <w:tc>
          <w:tcPr>
            <w:tcW w:w="1377" w:type="dxa"/>
            <w:vAlign w:val="center"/>
          </w:tcPr>
          <w:p w14:paraId="6491360D">
            <w:pPr>
              <w:spacing w:before="30" w:after="30"/>
              <w:ind w:firstLine="0"/>
              <w:jc w:val="center"/>
            </w:pPr>
            <w:r>
              <w:rPr>
                <w:rFonts w:hint="eastAsia" w:ascii="Times New Roman" w:hAnsi="Times New Roman" w:eastAsia="宋体" w:cs="Times New Roman"/>
                <w:b w:val="0"/>
                <w:i w:val="0"/>
                <w:sz w:val="16"/>
              </w:rPr>
              <w:t>0.9784</w:t>
            </w:r>
          </w:p>
        </w:tc>
        <w:tc>
          <w:tcPr>
            <w:tcW w:w="1377" w:type="dxa"/>
            <w:vAlign w:val="center"/>
          </w:tcPr>
          <w:p w14:paraId="19039DF0">
            <w:pPr>
              <w:spacing w:before="30" w:after="30"/>
              <w:ind w:firstLine="0"/>
              <w:jc w:val="center"/>
            </w:pPr>
            <w:r>
              <w:rPr>
                <w:rFonts w:hint="eastAsia" w:ascii="Times New Roman" w:hAnsi="Times New Roman" w:eastAsia="宋体" w:cs="Times New Roman"/>
                <w:b w:val="0"/>
                <w:i w:val="0"/>
                <w:sz w:val="16"/>
              </w:rPr>
              <w:t>3.70%</w:t>
            </w:r>
          </w:p>
        </w:tc>
        <w:tc>
          <w:tcPr>
            <w:tcW w:w="1377" w:type="dxa"/>
            <w:vAlign w:val="center"/>
          </w:tcPr>
          <w:p w14:paraId="633C53D9">
            <w:pPr>
              <w:spacing w:before="30" w:after="30"/>
              <w:ind w:firstLine="0"/>
              <w:jc w:val="center"/>
            </w:pPr>
            <w:r>
              <w:rPr>
                <w:rFonts w:hint="eastAsia" w:ascii="Times New Roman" w:hAnsi="Times New Roman" w:eastAsia="宋体" w:cs="Times New Roman"/>
                <w:b w:val="0"/>
                <w:i w:val="0"/>
                <w:sz w:val="16"/>
              </w:rPr>
              <w:t>0.005</w:t>
            </w:r>
          </w:p>
        </w:tc>
        <w:tc>
          <w:tcPr>
            <w:tcW w:w="1377" w:type="dxa"/>
            <w:vAlign w:val="center"/>
          </w:tcPr>
          <w:p w14:paraId="47577560">
            <w:pPr>
              <w:spacing w:before="30" w:after="30"/>
              <w:ind w:firstLine="0"/>
              <w:jc w:val="center"/>
            </w:pPr>
            <w:r>
              <w:rPr>
                <w:rFonts w:hint="eastAsia" w:ascii="Times New Roman" w:hAnsi="Times New Roman" w:eastAsia="宋体" w:cs="Times New Roman"/>
                <w:b w:val="0"/>
                <w:i w:val="0"/>
                <w:sz w:val="16"/>
              </w:rPr>
              <w:t>2.43%</w:t>
            </w:r>
          </w:p>
        </w:tc>
      </w:tr>
      <w:tr w14:paraId="7037A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35619B0D">
            <w:pPr>
              <w:spacing w:before="30" w:after="30"/>
              <w:ind w:firstLine="0"/>
              <w:jc w:val="center"/>
            </w:pPr>
            <w:r>
              <w:rPr>
                <w:rFonts w:hint="eastAsia" w:ascii="Times New Roman" w:hAnsi="Times New Roman" w:eastAsia="宋体" w:cs="Times New Roman"/>
                <w:b w:val="0"/>
                <w:i w:val="0"/>
                <w:sz w:val="16"/>
              </w:rPr>
              <w:t>C003</w:t>
            </w:r>
          </w:p>
        </w:tc>
        <w:tc>
          <w:tcPr>
            <w:tcW w:w="1377" w:type="dxa"/>
            <w:vAlign w:val="center"/>
          </w:tcPr>
          <w:p w14:paraId="26C71E18">
            <w:pPr>
              <w:spacing w:before="30" w:after="30"/>
              <w:ind w:firstLine="0"/>
              <w:jc w:val="center"/>
            </w:pPr>
            <w:r>
              <w:rPr>
                <w:rFonts w:hint="eastAsia" w:ascii="Times New Roman" w:hAnsi="Times New Roman" w:eastAsia="宋体" w:cs="Times New Roman"/>
                <w:b w:val="0"/>
                <w:i w:val="0"/>
                <w:sz w:val="16"/>
              </w:rPr>
              <w:t>P039/El Centro</w:t>
            </w:r>
          </w:p>
        </w:tc>
        <w:tc>
          <w:tcPr>
            <w:tcW w:w="1377" w:type="dxa"/>
            <w:vAlign w:val="center"/>
          </w:tcPr>
          <w:p w14:paraId="5EC62F55">
            <w:pPr>
              <w:spacing w:before="30" w:after="30"/>
              <w:ind w:firstLine="0"/>
              <w:jc w:val="center"/>
            </w:pPr>
            <w:r>
              <w:rPr>
                <w:rFonts w:hint="eastAsia" w:ascii="Times New Roman" w:hAnsi="Times New Roman" w:eastAsia="宋体" w:cs="Times New Roman"/>
                <w:b w:val="0"/>
                <w:i w:val="0"/>
                <w:sz w:val="16"/>
              </w:rPr>
              <w:t>8.11%</w:t>
            </w:r>
          </w:p>
        </w:tc>
        <w:tc>
          <w:tcPr>
            <w:tcW w:w="1377" w:type="dxa"/>
            <w:vAlign w:val="center"/>
          </w:tcPr>
          <w:p w14:paraId="7D30F6DD">
            <w:pPr>
              <w:spacing w:before="30" w:after="30"/>
              <w:ind w:firstLine="0"/>
              <w:jc w:val="center"/>
            </w:pPr>
            <w:r>
              <w:rPr>
                <w:rFonts w:hint="eastAsia" w:ascii="Times New Roman" w:hAnsi="Times New Roman" w:eastAsia="宋体" w:cs="Times New Roman"/>
                <w:b w:val="0"/>
                <w:i w:val="0"/>
                <w:sz w:val="16"/>
              </w:rPr>
              <w:t>0.9967</w:t>
            </w:r>
          </w:p>
        </w:tc>
        <w:tc>
          <w:tcPr>
            <w:tcW w:w="1377" w:type="dxa"/>
            <w:vAlign w:val="center"/>
          </w:tcPr>
          <w:p w14:paraId="5075078D">
            <w:pPr>
              <w:spacing w:before="30" w:after="30"/>
              <w:ind w:firstLine="0"/>
              <w:jc w:val="center"/>
            </w:pPr>
            <w:r>
              <w:rPr>
                <w:rFonts w:hint="eastAsia" w:ascii="Times New Roman" w:hAnsi="Times New Roman" w:eastAsia="宋体" w:cs="Times New Roman"/>
                <w:b w:val="0"/>
                <w:i w:val="0"/>
                <w:sz w:val="16"/>
              </w:rPr>
              <w:t>1.43%</w:t>
            </w:r>
          </w:p>
        </w:tc>
        <w:tc>
          <w:tcPr>
            <w:tcW w:w="1377" w:type="dxa"/>
            <w:vAlign w:val="center"/>
          </w:tcPr>
          <w:p w14:paraId="53E4A78A">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005CE6BC">
            <w:pPr>
              <w:spacing w:before="30" w:after="30"/>
              <w:ind w:firstLine="0"/>
              <w:jc w:val="center"/>
            </w:pPr>
            <w:r>
              <w:rPr>
                <w:rFonts w:hint="eastAsia" w:ascii="Times New Roman" w:hAnsi="Times New Roman" w:eastAsia="宋体" w:cs="Times New Roman"/>
                <w:b w:val="0"/>
                <w:i w:val="0"/>
                <w:sz w:val="16"/>
              </w:rPr>
              <w:t>0.65%</w:t>
            </w:r>
          </w:p>
        </w:tc>
      </w:tr>
      <w:tr w14:paraId="65F40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62A894C1">
            <w:pPr>
              <w:spacing w:before="30" w:after="30"/>
              <w:ind w:firstLine="0"/>
              <w:jc w:val="center"/>
            </w:pPr>
            <w:r>
              <w:rPr>
                <w:rFonts w:hint="eastAsia" w:ascii="Times New Roman" w:hAnsi="Times New Roman" w:eastAsia="宋体" w:cs="Times New Roman"/>
                <w:b w:val="0"/>
                <w:i w:val="0"/>
                <w:sz w:val="16"/>
              </w:rPr>
              <w:t>C004</w:t>
            </w:r>
          </w:p>
        </w:tc>
        <w:tc>
          <w:tcPr>
            <w:tcW w:w="1377" w:type="dxa"/>
            <w:vAlign w:val="center"/>
          </w:tcPr>
          <w:p w14:paraId="7469959F">
            <w:pPr>
              <w:spacing w:before="30" w:after="30"/>
              <w:ind w:firstLine="0"/>
              <w:jc w:val="center"/>
            </w:pPr>
            <w:r>
              <w:rPr>
                <w:rFonts w:hint="eastAsia" w:ascii="Times New Roman" w:hAnsi="Times New Roman" w:eastAsia="宋体" w:cs="Times New Roman"/>
                <w:b w:val="0"/>
                <w:i w:val="0"/>
                <w:sz w:val="16"/>
              </w:rPr>
              <w:t>P039/Kobe</w:t>
            </w:r>
          </w:p>
        </w:tc>
        <w:tc>
          <w:tcPr>
            <w:tcW w:w="1377" w:type="dxa"/>
            <w:vAlign w:val="center"/>
          </w:tcPr>
          <w:p w14:paraId="1CFEC04E">
            <w:pPr>
              <w:spacing w:before="30" w:after="30"/>
              <w:ind w:firstLine="0"/>
              <w:jc w:val="center"/>
            </w:pPr>
            <w:r>
              <w:rPr>
                <w:rFonts w:hint="eastAsia" w:ascii="Times New Roman" w:hAnsi="Times New Roman" w:eastAsia="宋体" w:cs="Times New Roman"/>
                <w:b w:val="0"/>
                <w:i w:val="0"/>
                <w:sz w:val="16"/>
              </w:rPr>
              <w:t>9.40%</w:t>
            </w:r>
          </w:p>
        </w:tc>
        <w:tc>
          <w:tcPr>
            <w:tcW w:w="1377" w:type="dxa"/>
            <w:vAlign w:val="center"/>
          </w:tcPr>
          <w:p w14:paraId="30F11DC7">
            <w:pPr>
              <w:spacing w:before="30" w:after="30"/>
              <w:ind w:firstLine="0"/>
              <w:jc w:val="center"/>
            </w:pPr>
            <w:r>
              <w:rPr>
                <w:rFonts w:hint="eastAsia" w:ascii="Times New Roman" w:hAnsi="Times New Roman" w:eastAsia="宋体" w:cs="Times New Roman"/>
                <w:b w:val="0"/>
                <w:i w:val="0"/>
                <w:sz w:val="16"/>
              </w:rPr>
              <w:t>0.9958</w:t>
            </w:r>
          </w:p>
        </w:tc>
        <w:tc>
          <w:tcPr>
            <w:tcW w:w="1377" w:type="dxa"/>
            <w:vAlign w:val="center"/>
          </w:tcPr>
          <w:p w14:paraId="57387184">
            <w:pPr>
              <w:spacing w:before="30" w:after="30"/>
              <w:ind w:firstLine="0"/>
              <w:jc w:val="center"/>
            </w:pPr>
            <w:r>
              <w:rPr>
                <w:rFonts w:hint="eastAsia" w:ascii="Times New Roman" w:hAnsi="Times New Roman" w:eastAsia="宋体" w:cs="Times New Roman"/>
                <w:b w:val="0"/>
                <w:i w:val="0"/>
                <w:sz w:val="16"/>
              </w:rPr>
              <w:t>2.45%</w:t>
            </w:r>
          </w:p>
        </w:tc>
        <w:tc>
          <w:tcPr>
            <w:tcW w:w="1377" w:type="dxa"/>
            <w:vAlign w:val="center"/>
          </w:tcPr>
          <w:p w14:paraId="0207E18B">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118C5A90">
            <w:pPr>
              <w:spacing w:before="30" w:after="30"/>
              <w:ind w:firstLine="0"/>
              <w:jc w:val="center"/>
            </w:pPr>
            <w:r>
              <w:rPr>
                <w:rFonts w:hint="eastAsia" w:ascii="Times New Roman" w:hAnsi="Times New Roman" w:eastAsia="宋体" w:cs="Times New Roman"/>
                <w:b w:val="0"/>
                <w:i w:val="0"/>
                <w:sz w:val="16"/>
              </w:rPr>
              <w:t>0.91%</w:t>
            </w:r>
          </w:p>
        </w:tc>
      </w:tr>
      <w:tr w14:paraId="40CF79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6C0F1146">
            <w:pPr>
              <w:spacing w:before="30" w:after="30"/>
              <w:ind w:firstLine="0"/>
              <w:jc w:val="center"/>
            </w:pPr>
            <w:r>
              <w:rPr>
                <w:rFonts w:hint="eastAsia" w:ascii="Times New Roman" w:hAnsi="Times New Roman" w:eastAsia="宋体" w:cs="Times New Roman"/>
                <w:b w:val="0"/>
                <w:i w:val="0"/>
                <w:sz w:val="16"/>
              </w:rPr>
              <w:t>C005</w:t>
            </w:r>
          </w:p>
        </w:tc>
        <w:tc>
          <w:tcPr>
            <w:tcW w:w="1377" w:type="dxa"/>
            <w:vAlign w:val="center"/>
          </w:tcPr>
          <w:p w14:paraId="3AF943C4">
            <w:pPr>
              <w:spacing w:before="30" w:after="30"/>
              <w:ind w:firstLine="0"/>
              <w:jc w:val="center"/>
            </w:pPr>
            <w:r>
              <w:rPr>
                <w:rFonts w:hint="eastAsia" w:ascii="Times New Roman" w:hAnsi="Times New Roman" w:eastAsia="宋体" w:cs="Times New Roman"/>
                <w:b w:val="0"/>
                <w:i w:val="0"/>
                <w:sz w:val="16"/>
              </w:rPr>
              <w:t>P061/El Centro</w:t>
            </w:r>
          </w:p>
        </w:tc>
        <w:tc>
          <w:tcPr>
            <w:tcW w:w="1377" w:type="dxa"/>
            <w:vAlign w:val="center"/>
          </w:tcPr>
          <w:p w14:paraId="72B6D3C1">
            <w:pPr>
              <w:spacing w:before="30" w:after="30"/>
              <w:ind w:firstLine="0"/>
              <w:jc w:val="center"/>
            </w:pPr>
            <w:r>
              <w:rPr>
                <w:rFonts w:hint="eastAsia" w:ascii="Times New Roman" w:hAnsi="Times New Roman" w:eastAsia="宋体" w:cs="Times New Roman"/>
                <w:b w:val="0"/>
                <w:i w:val="0"/>
                <w:sz w:val="16"/>
              </w:rPr>
              <w:t>9.52%</w:t>
            </w:r>
          </w:p>
        </w:tc>
        <w:tc>
          <w:tcPr>
            <w:tcW w:w="1377" w:type="dxa"/>
            <w:vAlign w:val="center"/>
          </w:tcPr>
          <w:p w14:paraId="088168E4">
            <w:pPr>
              <w:spacing w:before="30" w:after="30"/>
              <w:ind w:firstLine="0"/>
              <w:jc w:val="center"/>
            </w:pPr>
            <w:r>
              <w:rPr>
                <w:rFonts w:hint="eastAsia" w:ascii="Times New Roman" w:hAnsi="Times New Roman" w:eastAsia="宋体" w:cs="Times New Roman"/>
                <w:b w:val="0"/>
                <w:i w:val="0"/>
                <w:sz w:val="16"/>
              </w:rPr>
              <w:t>0.9955</w:t>
            </w:r>
          </w:p>
        </w:tc>
        <w:tc>
          <w:tcPr>
            <w:tcW w:w="1377" w:type="dxa"/>
            <w:vAlign w:val="center"/>
          </w:tcPr>
          <w:p w14:paraId="2F14F503">
            <w:pPr>
              <w:spacing w:before="30" w:after="30"/>
              <w:ind w:firstLine="0"/>
              <w:jc w:val="center"/>
            </w:pPr>
            <w:r>
              <w:rPr>
                <w:rFonts w:hint="eastAsia" w:ascii="Times New Roman" w:hAnsi="Times New Roman" w:eastAsia="宋体" w:cs="Times New Roman"/>
                <w:b w:val="0"/>
                <w:i w:val="0"/>
                <w:sz w:val="16"/>
              </w:rPr>
              <w:t>1.26%</w:t>
            </w:r>
          </w:p>
        </w:tc>
        <w:tc>
          <w:tcPr>
            <w:tcW w:w="1377" w:type="dxa"/>
            <w:vAlign w:val="center"/>
          </w:tcPr>
          <w:p w14:paraId="219A3B44">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75001FAA">
            <w:pPr>
              <w:spacing w:before="30" w:after="30"/>
              <w:ind w:firstLine="0"/>
              <w:jc w:val="center"/>
            </w:pPr>
            <w:r>
              <w:rPr>
                <w:rFonts w:hint="eastAsia" w:ascii="Times New Roman" w:hAnsi="Times New Roman" w:eastAsia="宋体" w:cs="Times New Roman"/>
                <w:b w:val="0"/>
                <w:i w:val="0"/>
                <w:sz w:val="16"/>
              </w:rPr>
              <w:t>2.37%</w:t>
            </w:r>
          </w:p>
        </w:tc>
      </w:tr>
      <w:tr w14:paraId="764063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023B6999">
            <w:pPr>
              <w:spacing w:before="30" w:after="30"/>
              <w:ind w:firstLine="0"/>
              <w:jc w:val="center"/>
            </w:pPr>
            <w:r>
              <w:rPr>
                <w:rFonts w:hint="eastAsia" w:ascii="Times New Roman" w:hAnsi="Times New Roman" w:eastAsia="宋体" w:cs="Times New Roman"/>
                <w:b w:val="0"/>
                <w:i w:val="0"/>
                <w:sz w:val="16"/>
              </w:rPr>
              <w:t>C006</w:t>
            </w:r>
          </w:p>
        </w:tc>
        <w:tc>
          <w:tcPr>
            <w:tcW w:w="1377" w:type="dxa"/>
            <w:vAlign w:val="center"/>
          </w:tcPr>
          <w:p w14:paraId="7F85D6E5">
            <w:pPr>
              <w:spacing w:before="30" w:after="30"/>
              <w:ind w:firstLine="0"/>
              <w:jc w:val="center"/>
            </w:pPr>
            <w:r>
              <w:rPr>
                <w:rFonts w:hint="eastAsia" w:ascii="Times New Roman" w:hAnsi="Times New Roman" w:eastAsia="宋体" w:cs="Times New Roman"/>
                <w:b w:val="0"/>
                <w:i w:val="0"/>
                <w:sz w:val="16"/>
              </w:rPr>
              <w:t>P061/Kobe</w:t>
            </w:r>
          </w:p>
        </w:tc>
        <w:tc>
          <w:tcPr>
            <w:tcW w:w="1377" w:type="dxa"/>
            <w:vAlign w:val="center"/>
          </w:tcPr>
          <w:p w14:paraId="4A83D4BA">
            <w:pPr>
              <w:spacing w:before="30" w:after="30"/>
              <w:ind w:firstLine="0"/>
              <w:jc w:val="center"/>
            </w:pPr>
            <w:r>
              <w:rPr>
                <w:rFonts w:hint="eastAsia" w:ascii="Times New Roman" w:hAnsi="Times New Roman" w:eastAsia="宋体" w:cs="Times New Roman"/>
                <w:b w:val="0"/>
                <w:i w:val="0"/>
                <w:sz w:val="16"/>
              </w:rPr>
              <w:t>9.66%</w:t>
            </w:r>
          </w:p>
        </w:tc>
        <w:tc>
          <w:tcPr>
            <w:tcW w:w="1377" w:type="dxa"/>
            <w:vAlign w:val="center"/>
          </w:tcPr>
          <w:p w14:paraId="2CB32B2B">
            <w:pPr>
              <w:spacing w:before="30" w:after="30"/>
              <w:ind w:firstLine="0"/>
              <w:jc w:val="center"/>
            </w:pPr>
            <w:r>
              <w:rPr>
                <w:rFonts w:hint="eastAsia" w:ascii="Times New Roman" w:hAnsi="Times New Roman" w:eastAsia="宋体" w:cs="Times New Roman"/>
                <w:b w:val="0"/>
                <w:i w:val="0"/>
                <w:sz w:val="16"/>
              </w:rPr>
              <w:t>0.9957</w:t>
            </w:r>
          </w:p>
        </w:tc>
        <w:tc>
          <w:tcPr>
            <w:tcW w:w="1377" w:type="dxa"/>
            <w:vAlign w:val="center"/>
          </w:tcPr>
          <w:p w14:paraId="1838C671">
            <w:pPr>
              <w:spacing w:before="30" w:after="30"/>
              <w:ind w:firstLine="0"/>
              <w:jc w:val="center"/>
            </w:pPr>
            <w:r>
              <w:rPr>
                <w:rFonts w:hint="eastAsia" w:ascii="Times New Roman" w:hAnsi="Times New Roman" w:eastAsia="宋体" w:cs="Times New Roman"/>
                <w:b w:val="0"/>
                <w:i w:val="0"/>
                <w:sz w:val="16"/>
              </w:rPr>
              <w:t>3.76%</w:t>
            </w:r>
          </w:p>
        </w:tc>
        <w:tc>
          <w:tcPr>
            <w:tcW w:w="1377" w:type="dxa"/>
            <w:vAlign w:val="center"/>
          </w:tcPr>
          <w:p w14:paraId="33375BC1">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38B46270">
            <w:pPr>
              <w:spacing w:before="30" w:after="30"/>
              <w:ind w:firstLine="0"/>
              <w:jc w:val="center"/>
            </w:pPr>
            <w:r>
              <w:rPr>
                <w:rFonts w:hint="eastAsia" w:ascii="Times New Roman" w:hAnsi="Times New Roman" w:eastAsia="宋体" w:cs="Times New Roman"/>
                <w:b w:val="0"/>
                <w:i w:val="0"/>
                <w:sz w:val="16"/>
              </w:rPr>
              <w:t>2.42%</w:t>
            </w:r>
          </w:p>
        </w:tc>
      </w:tr>
      <w:tr w14:paraId="26A5C2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76F90E3C">
            <w:pPr>
              <w:spacing w:before="30" w:after="30"/>
              <w:ind w:firstLine="0"/>
              <w:jc w:val="center"/>
            </w:pPr>
            <w:r>
              <w:rPr>
                <w:rFonts w:hint="eastAsia" w:ascii="Times New Roman" w:hAnsi="Times New Roman" w:eastAsia="宋体" w:cs="Times New Roman"/>
                <w:b w:val="0"/>
                <w:i w:val="0"/>
                <w:sz w:val="16"/>
              </w:rPr>
              <w:t>C007</w:t>
            </w:r>
          </w:p>
        </w:tc>
        <w:tc>
          <w:tcPr>
            <w:tcW w:w="1377" w:type="dxa"/>
            <w:vAlign w:val="center"/>
          </w:tcPr>
          <w:p w14:paraId="19F81C55">
            <w:pPr>
              <w:spacing w:before="30" w:after="30"/>
              <w:ind w:firstLine="0"/>
              <w:jc w:val="center"/>
            </w:pPr>
            <w:r>
              <w:rPr>
                <w:rFonts w:hint="eastAsia" w:ascii="Times New Roman" w:hAnsi="Times New Roman" w:eastAsia="宋体" w:cs="Times New Roman"/>
                <w:b w:val="0"/>
                <w:i w:val="0"/>
                <w:sz w:val="16"/>
              </w:rPr>
              <w:t>B007/El Centro</w:t>
            </w:r>
          </w:p>
        </w:tc>
        <w:tc>
          <w:tcPr>
            <w:tcW w:w="1377" w:type="dxa"/>
            <w:vAlign w:val="center"/>
          </w:tcPr>
          <w:p w14:paraId="563117A4">
            <w:pPr>
              <w:spacing w:before="30" w:after="30"/>
              <w:ind w:firstLine="0"/>
              <w:jc w:val="center"/>
            </w:pPr>
            <w:r>
              <w:rPr>
                <w:rFonts w:hint="eastAsia" w:ascii="Times New Roman" w:hAnsi="Times New Roman" w:eastAsia="宋体" w:cs="Times New Roman"/>
                <w:b w:val="0"/>
                <w:i w:val="0"/>
                <w:sz w:val="16"/>
              </w:rPr>
              <w:t>9.84%</w:t>
            </w:r>
          </w:p>
        </w:tc>
        <w:tc>
          <w:tcPr>
            <w:tcW w:w="1377" w:type="dxa"/>
            <w:vAlign w:val="center"/>
          </w:tcPr>
          <w:p w14:paraId="4C5F512B">
            <w:pPr>
              <w:spacing w:before="30" w:after="30"/>
              <w:ind w:firstLine="0"/>
              <w:jc w:val="center"/>
            </w:pPr>
            <w:r>
              <w:rPr>
                <w:rFonts w:hint="eastAsia" w:ascii="Times New Roman" w:hAnsi="Times New Roman" w:eastAsia="宋体" w:cs="Times New Roman"/>
                <w:b w:val="0"/>
                <w:i w:val="0"/>
                <w:sz w:val="16"/>
              </w:rPr>
              <w:t>0.9955</w:t>
            </w:r>
          </w:p>
        </w:tc>
        <w:tc>
          <w:tcPr>
            <w:tcW w:w="1377" w:type="dxa"/>
            <w:vAlign w:val="center"/>
          </w:tcPr>
          <w:p w14:paraId="5A7F52A3">
            <w:pPr>
              <w:spacing w:before="30" w:after="30"/>
              <w:ind w:firstLine="0"/>
              <w:jc w:val="center"/>
            </w:pPr>
            <w:r>
              <w:rPr>
                <w:rFonts w:hint="eastAsia" w:ascii="Times New Roman" w:hAnsi="Times New Roman" w:eastAsia="宋体" w:cs="Times New Roman"/>
                <w:b w:val="0"/>
                <w:i w:val="0"/>
                <w:sz w:val="16"/>
              </w:rPr>
              <w:t>1.80%</w:t>
            </w:r>
          </w:p>
        </w:tc>
        <w:tc>
          <w:tcPr>
            <w:tcW w:w="1377" w:type="dxa"/>
            <w:vAlign w:val="center"/>
          </w:tcPr>
          <w:p w14:paraId="31890AC5">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74C3F86F">
            <w:pPr>
              <w:spacing w:before="30" w:after="30"/>
              <w:ind w:firstLine="0"/>
              <w:jc w:val="center"/>
            </w:pPr>
            <w:r>
              <w:rPr>
                <w:rFonts w:hint="eastAsia" w:ascii="Times New Roman" w:hAnsi="Times New Roman" w:eastAsia="宋体" w:cs="Times New Roman"/>
                <w:b w:val="0"/>
                <w:i w:val="0"/>
                <w:sz w:val="16"/>
              </w:rPr>
              <w:t>2.30%</w:t>
            </w:r>
          </w:p>
        </w:tc>
      </w:tr>
      <w:tr w14:paraId="69592B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0768920C">
            <w:pPr>
              <w:spacing w:before="30" w:after="30"/>
              <w:ind w:firstLine="0"/>
              <w:jc w:val="center"/>
            </w:pPr>
            <w:r>
              <w:rPr>
                <w:rFonts w:hint="eastAsia" w:ascii="Times New Roman" w:hAnsi="Times New Roman" w:eastAsia="宋体" w:cs="Times New Roman"/>
                <w:b w:val="0"/>
                <w:i w:val="0"/>
                <w:sz w:val="16"/>
              </w:rPr>
              <w:t>C008</w:t>
            </w:r>
          </w:p>
        </w:tc>
        <w:tc>
          <w:tcPr>
            <w:tcW w:w="1377" w:type="dxa"/>
            <w:vAlign w:val="center"/>
          </w:tcPr>
          <w:p w14:paraId="6A77CB5E">
            <w:pPr>
              <w:spacing w:before="30" w:after="30"/>
              <w:ind w:firstLine="0"/>
              <w:jc w:val="center"/>
            </w:pPr>
            <w:r>
              <w:rPr>
                <w:rFonts w:hint="eastAsia" w:ascii="Times New Roman" w:hAnsi="Times New Roman" w:eastAsia="宋体" w:cs="Times New Roman"/>
                <w:b w:val="0"/>
                <w:i w:val="0"/>
                <w:sz w:val="16"/>
              </w:rPr>
              <w:t>B007/Kobe</w:t>
            </w:r>
          </w:p>
        </w:tc>
        <w:tc>
          <w:tcPr>
            <w:tcW w:w="1377" w:type="dxa"/>
            <w:vAlign w:val="center"/>
          </w:tcPr>
          <w:p w14:paraId="233D7725">
            <w:pPr>
              <w:spacing w:before="30" w:after="30"/>
              <w:ind w:firstLine="0"/>
              <w:jc w:val="center"/>
            </w:pPr>
            <w:r>
              <w:rPr>
                <w:rFonts w:hint="eastAsia" w:ascii="Times New Roman" w:hAnsi="Times New Roman" w:eastAsia="宋体" w:cs="Times New Roman"/>
                <w:b w:val="0"/>
                <w:i w:val="0"/>
                <w:sz w:val="16"/>
              </w:rPr>
              <w:t>11.56%</w:t>
            </w:r>
          </w:p>
        </w:tc>
        <w:tc>
          <w:tcPr>
            <w:tcW w:w="1377" w:type="dxa"/>
            <w:vAlign w:val="center"/>
          </w:tcPr>
          <w:p w14:paraId="399869E1">
            <w:pPr>
              <w:spacing w:before="30" w:after="30"/>
              <w:ind w:firstLine="0"/>
              <w:jc w:val="center"/>
            </w:pPr>
            <w:r>
              <w:rPr>
                <w:rFonts w:hint="eastAsia" w:ascii="Times New Roman" w:hAnsi="Times New Roman" w:eastAsia="宋体" w:cs="Times New Roman"/>
                <w:b w:val="0"/>
                <w:i w:val="0"/>
                <w:sz w:val="16"/>
              </w:rPr>
              <w:t>0.9937</w:t>
            </w:r>
          </w:p>
        </w:tc>
        <w:tc>
          <w:tcPr>
            <w:tcW w:w="1377" w:type="dxa"/>
            <w:vAlign w:val="center"/>
          </w:tcPr>
          <w:p w14:paraId="7716F414">
            <w:pPr>
              <w:spacing w:before="30" w:after="30"/>
              <w:ind w:firstLine="0"/>
              <w:jc w:val="center"/>
            </w:pPr>
            <w:r>
              <w:rPr>
                <w:rFonts w:hint="eastAsia" w:ascii="Times New Roman" w:hAnsi="Times New Roman" w:eastAsia="宋体" w:cs="Times New Roman"/>
                <w:b w:val="0"/>
                <w:i w:val="0"/>
                <w:sz w:val="16"/>
              </w:rPr>
              <w:t>4.89%</w:t>
            </w:r>
          </w:p>
        </w:tc>
        <w:tc>
          <w:tcPr>
            <w:tcW w:w="1377" w:type="dxa"/>
            <w:vAlign w:val="center"/>
          </w:tcPr>
          <w:p w14:paraId="072817DC">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6AAEFFBD">
            <w:pPr>
              <w:spacing w:before="30" w:after="30"/>
              <w:ind w:firstLine="0"/>
              <w:jc w:val="center"/>
            </w:pPr>
            <w:r>
              <w:rPr>
                <w:rFonts w:hint="eastAsia" w:ascii="Times New Roman" w:hAnsi="Times New Roman" w:eastAsia="宋体" w:cs="Times New Roman"/>
                <w:b w:val="0"/>
                <w:i w:val="0"/>
                <w:sz w:val="16"/>
              </w:rPr>
              <w:t>1.83%</w:t>
            </w:r>
          </w:p>
        </w:tc>
      </w:tr>
      <w:tr w14:paraId="37AE72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798935E7">
            <w:pPr>
              <w:spacing w:before="30" w:after="30"/>
              <w:ind w:firstLine="0"/>
              <w:jc w:val="center"/>
            </w:pPr>
            <w:r>
              <w:rPr>
                <w:rFonts w:hint="eastAsia" w:ascii="Times New Roman" w:hAnsi="Times New Roman" w:eastAsia="宋体" w:cs="Times New Roman"/>
                <w:b w:val="0"/>
                <w:i w:val="0"/>
                <w:sz w:val="16"/>
              </w:rPr>
              <w:t>C009</w:t>
            </w:r>
          </w:p>
        </w:tc>
        <w:tc>
          <w:tcPr>
            <w:tcW w:w="1377" w:type="dxa"/>
            <w:vAlign w:val="center"/>
          </w:tcPr>
          <w:p w14:paraId="6D7059BB">
            <w:pPr>
              <w:spacing w:before="30" w:after="30"/>
              <w:ind w:firstLine="0"/>
              <w:jc w:val="center"/>
            </w:pPr>
            <w:r>
              <w:rPr>
                <w:rFonts w:hint="eastAsia" w:ascii="Times New Roman" w:hAnsi="Times New Roman" w:eastAsia="宋体" w:cs="Times New Roman"/>
                <w:b w:val="0"/>
                <w:i w:val="0"/>
                <w:sz w:val="16"/>
              </w:rPr>
              <w:t>P039/Chi-Chi</w:t>
            </w:r>
          </w:p>
        </w:tc>
        <w:tc>
          <w:tcPr>
            <w:tcW w:w="1377" w:type="dxa"/>
            <w:vAlign w:val="center"/>
          </w:tcPr>
          <w:p w14:paraId="67402314">
            <w:pPr>
              <w:spacing w:before="30" w:after="30"/>
              <w:ind w:firstLine="0"/>
              <w:jc w:val="center"/>
            </w:pPr>
            <w:r>
              <w:rPr>
                <w:rFonts w:hint="eastAsia" w:ascii="Times New Roman" w:hAnsi="Times New Roman" w:eastAsia="宋体" w:cs="Times New Roman"/>
                <w:b w:val="0"/>
                <w:i w:val="0"/>
                <w:sz w:val="16"/>
              </w:rPr>
              <w:t>8.35%</w:t>
            </w:r>
          </w:p>
        </w:tc>
        <w:tc>
          <w:tcPr>
            <w:tcW w:w="1377" w:type="dxa"/>
            <w:vAlign w:val="center"/>
          </w:tcPr>
          <w:p w14:paraId="383E8C9F">
            <w:pPr>
              <w:spacing w:before="30" w:after="30"/>
              <w:ind w:firstLine="0"/>
              <w:jc w:val="center"/>
            </w:pPr>
            <w:r>
              <w:rPr>
                <w:rFonts w:hint="eastAsia" w:ascii="Times New Roman" w:hAnsi="Times New Roman" w:eastAsia="宋体" w:cs="Times New Roman"/>
                <w:b w:val="0"/>
                <w:i w:val="0"/>
                <w:sz w:val="16"/>
              </w:rPr>
              <w:t>0.9967</w:t>
            </w:r>
          </w:p>
        </w:tc>
        <w:tc>
          <w:tcPr>
            <w:tcW w:w="1377" w:type="dxa"/>
            <w:vAlign w:val="center"/>
          </w:tcPr>
          <w:p w14:paraId="44B3C13D">
            <w:pPr>
              <w:spacing w:before="30" w:after="30"/>
              <w:ind w:firstLine="0"/>
              <w:jc w:val="center"/>
            </w:pPr>
            <w:r>
              <w:rPr>
                <w:rFonts w:hint="eastAsia" w:ascii="Times New Roman" w:hAnsi="Times New Roman" w:eastAsia="宋体" w:cs="Times New Roman"/>
                <w:b w:val="0"/>
                <w:i w:val="0"/>
                <w:sz w:val="16"/>
              </w:rPr>
              <w:t>1.16%</w:t>
            </w:r>
          </w:p>
        </w:tc>
        <w:tc>
          <w:tcPr>
            <w:tcW w:w="1377" w:type="dxa"/>
            <w:vAlign w:val="center"/>
          </w:tcPr>
          <w:p w14:paraId="41BAEFD2">
            <w:pPr>
              <w:spacing w:before="30" w:after="30"/>
              <w:ind w:firstLine="0"/>
              <w:jc w:val="center"/>
            </w:pPr>
            <w:r>
              <w:rPr>
                <w:rFonts w:hint="eastAsia" w:ascii="Times New Roman" w:hAnsi="Times New Roman" w:eastAsia="宋体" w:cs="Times New Roman"/>
                <w:b w:val="0"/>
                <w:i w:val="0"/>
                <w:sz w:val="16"/>
              </w:rPr>
              <w:t>0.001</w:t>
            </w:r>
          </w:p>
        </w:tc>
        <w:tc>
          <w:tcPr>
            <w:tcW w:w="1377" w:type="dxa"/>
            <w:vAlign w:val="center"/>
          </w:tcPr>
          <w:p w14:paraId="64348AE8">
            <w:pPr>
              <w:spacing w:before="30" w:after="30"/>
              <w:ind w:firstLine="0"/>
              <w:jc w:val="center"/>
            </w:pPr>
            <w:r>
              <w:rPr>
                <w:rFonts w:hint="eastAsia" w:ascii="Times New Roman" w:hAnsi="Times New Roman" w:eastAsia="宋体" w:cs="Times New Roman"/>
                <w:b w:val="0"/>
                <w:i w:val="0"/>
                <w:sz w:val="16"/>
              </w:rPr>
              <w:t>0.67%</w:t>
            </w:r>
          </w:p>
        </w:tc>
      </w:tr>
      <w:tr w14:paraId="770B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50DAE35F">
            <w:pPr>
              <w:spacing w:before="30" w:after="30"/>
              <w:ind w:firstLine="0"/>
              <w:jc w:val="center"/>
            </w:pPr>
            <w:r>
              <w:rPr>
                <w:rFonts w:hint="eastAsia" w:ascii="Times New Roman" w:hAnsi="Times New Roman" w:eastAsia="宋体" w:cs="Times New Roman"/>
                <w:b w:val="0"/>
                <w:i w:val="0"/>
                <w:sz w:val="16"/>
              </w:rPr>
              <w:t>C010</w:t>
            </w:r>
          </w:p>
        </w:tc>
        <w:tc>
          <w:tcPr>
            <w:tcW w:w="1377" w:type="dxa"/>
            <w:vAlign w:val="center"/>
          </w:tcPr>
          <w:p w14:paraId="039FB350">
            <w:pPr>
              <w:spacing w:before="30" w:after="30"/>
              <w:ind w:firstLine="0"/>
              <w:jc w:val="center"/>
            </w:pPr>
            <w:r>
              <w:rPr>
                <w:rFonts w:hint="eastAsia" w:ascii="Times New Roman" w:hAnsi="Times New Roman" w:eastAsia="宋体" w:cs="Times New Roman"/>
                <w:b w:val="0"/>
                <w:i w:val="0"/>
                <w:sz w:val="16"/>
              </w:rPr>
              <w:t>B007/Chi-Chi</w:t>
            </w:r>
          </w:p>
        </w:tc>
        <w:tc>
          <w:tcPr>
            <w:tcW w:w="1377" w:type="dxa"/>
            <w:vAlign w:val="center"/>
          </w:tcPr>
          <w:p w14:paraId="376FA200">
            <w:pPr>
              <w:spacing w:before="30" w:after="30"/>
              <w:ind w:firstLine="0"/>
              <w:jc w:val="center"/>
            </w:pPr>
            <w:r>
              <w:rPr>
                <w:rFonts w:hint="eastAsia" w:ascii="Times New Roman" w:hAnsi="Times New Roman" w:eastAsia="宋体" w:cs="Times New Roman"/>
                <w:b w:val="0"/>
                <w:i w:val="0"/>
                <w:sz w:val="16"/>
              </w:rPr>
              <w:t>10.98%</w:t>
            </w:r>
          </w:p>
        </w:tc>
        <w:tc>
          <w:tcPr>
            <w:tcW w:w="1377" w:type="dxa"/>
            <w:vAlign w:val="center"/>
          </w:tcPr>
          <w:p w14:paraId="79819B5D">
            <w:pPr>
              <w:spacing w:before="30" w:after="30"/>
              <w:ind w:firstLine="0"/>
              <w:jc w:val="center"/>
            </w:pPr>
            <w:r>
              <w:rPr>
                <w:rFonts w:hint="eastAsia" w:ascii="Times New Roman" w:hAnsi="Times New Roman" w:eastAsia="宋体" w:cs="Times New Roman"/>
                <w:b w:val="0"/>
                <w:i w:val="0"/>
                <w:sz w:val="16"/>
              </w:rPr>
              <w:t>0.9940</w:t>
            </w:r>
          </w:p>
        </w:tc>
        <w:tc>
          <w:tcPr>
            <w:tcW w:w="1377" w:type="dxa"/>
            <w:vAlign w:val="center"/>
          </w:tcPr>
          <w:p w14:paraId="58D5DD55">
            <w:pPr>
              <w:spacing w:before="30" w:after="30"/>
              <w:ind w:firstLine="0"/>
              <w:jc w:val="center"/>
            </w:pPr>
            <w:r>
              <w:rPr>
                <w:rFonts w:hint="eastAsia" w:ascii="Times New Roman" w:hAnsi="Times New Roman" w:eastAsia="宋体" w:cs="Times New Roman"/>
                <w:b w:val="0"/>
                <w:i w:val="0"/>
                <w:sz w:val="16"/>
              </w:rPr>
              <w:t>2.53%</w:t>
            </w:r>
          </w:p>
        </w:tc>
        <w:tc>
          <w:tcPr>
            <w:tcW w:w="1377" w:type="dxa"/>
            <w:vAlign w:val="center"/>
          </w:tcPr>
          <w:p w14:paraId="3C222554">
            <w:pPr>
              <w:spacing w:before="30" w:after="30"/>
              <w:ind w:firstLine="0"/>
              <w:jc w:val="center"/>
            </w:pPr>
            <w:r>
              <w:rPr>
                <w:rFonts w:hint="eastAsia" w:ascii="Times New Roman" w:hAnsi="Times New Roman" w:eastAsia="宋体" w:cs="Times New Roman"/>
                <w:b w:val="0"/>
                <w:i w:val="0"/>
                <w:sz w:val="16"/>
              </w:rPr>
              <w:t>0.002</w:t>
            </w:r>
          </w:p>
        </w:tc>
        <w:tc>
          <w:tcPr>
            <w:tcW w:w="1377" w:type="dxa"/>
            <w:vAlign w:val="center"/>
          </w:tcPr>
          <w:p w14:paraId="2EC1650C">
            <w:pPr>
              <w:spacing w:before="30" w:after="30"/>
              <w:ind w:firstLine="0"/>
              <w:jc w:val="center"/>
            </w:pPr>
            <w:r>
              <w:rPr>
                <w:rFonts w:hint="eastAsia" w:ascii="Times New Roman" w:hAnsi="Times New Roman" w:eastAsia="宋体" w:cs="Times New Roman"/>
                <w:b w:val="0"/>
                <w:i w:val="0"/>
                <w:sz w:val="16"/>
              </w:rPr>
              <w:t>2.16%</w:t>
            </w:r>
          </w:p>
        </w:tc>
      </w:tr>
      <w:tr w14:paraId="726303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7" w:type="dxa"/>
            <w:vAlign w:val="center"/>
          </w:tcPr>
          <w:p w14:paraId="0BFA871D">
            <w:pPr>
              <w:spacing w:before="30" w:after="30"/>
              <w:ind w:firstLine="0"/>
              <w:jc w:val="center"/>
            </w:pPr>
            <w:r>
              <w:rPr>
                <w:rFonts w:hint="eastAsia" w:ascii="Times New Roman" w:hAnsi="Times New Roman" w:eastAsia="宋体" w:cs="Times New Roman"/>
                <w:b w:val="0"/>
                <w:i w:val="0"/>
                <w:sz w:val="16"/>
              </w:rPr>
              <w:t>中位</w:t>
            </w:r>
          </w:p>
        </w:tc>
        <w:tc>
          <w:tcPr>
            <w:tcW w:w="1377" w:type="dxa"/>
            <w:vAlign w:val="center"/>
          </w:tcPr>
          <w:p w14:paraId="366E0657">
            <w:pPr>
              <w:spacing w:before="30" w:after="30"/>
              <w:ind w:firstLine="0"/>
              <w:jc w:val="center"/>
            </w:pPr>
            <w:r>
              <w:rPr>
                <w:rFonts w:hint="eastAsia" w:ascii="Times New Roman" w:hAnsi="Times New Roman" w:eastAsia="宋体" w:cs="Times New Roman"/>
                <w:b w:val="0"/>
                <w:i w:val="0"/>
                <w:sz w:val="16"/>
              </w:rPr>
              <w:t>—</w:t>
            </w:r>
          </w:p>
        </w:tc>
        <w:tc>
          <w:tcPr>
            <w:tcW w:w="1377" w:type="dxa"/>
            <w:vAlign w:val="center"/>
          </w:tcPr>
          <w:p w14:paraId="0554CBC1">
            <w:pPr>
              <w:spacing w:before="30" w:after="30"/>
              <w:ind w:firstLine="0"/>
              <w:jc w:val="center"/>
            </w:pPr>
            <w:r>
              <w:rPr>
                <w:rFonts w:hint="eastAsia" w:ascii="Times New Roman" w:hAnsi="Times New Roman" w:eastAsia="宋体" w:cs="Times New Roman"/>
                <w:b w:val="0"/>
                <w:i w:val="0"/>
                <w:sz w:val="16"/>
              </w:rPr>
              <w:t>9.75%</w:t>
            </w:r>
          </w:p>
        </w:tc>
        <w:tc>
          <w:tcPr>
            <w:tcW w:w="1377" w:type="dxa"/>
            <w:vAlign w:val="center"/>
          </w:tcPr>
          <w:p w14:paraId="6B5E0902">
            <w:pPr>
              <w:spacing w:before="30" w:after="30"/>
              <w:ind w:firstLine="0"/>
              <w:jc w:val="center"/>
            </w:pPr>
            <w:r>
              <w:rPr>
                <w:rFonts w:hint="eastAsia" w:ascii="Times New Roman" w:hAnsi="Times New Roman" w:eastAsia="宋体" w:cs="Times New Roman"/>
                <w:b w:val="0"/>
                <w:i w:val="0"/>
                <w:sz w:val="16"/>
              </w:rPr>
              <w:t>0.9955</w:t>
            </w:r>
          </w:p>
        </w:tc>
        <w:tc>
          <w:tcPr>
            <w:tcW w:w="1377" w:type="dxa"/>
            <w:vAlign w:val="center"/>
          </w:tcPr>
          <w:p w14:paraId="5D8ADAED">
            <w:pPr>
              <w:spacing w:before="30" w:after="30"/>
              <w:ind w:firstLine="0"/>
              <w:jc w:val="center"/>
            </w:pPr>
            <w:r>
              <w:rPr>
                <w:rFonts w:hint="eastAsia" w:ascii="Times New Roman" w:hAnsi="Times New Roman" w:eastAsia="宋体" w:cs="Times New Roman"/>
                <w:b w:val="0"/>
                <w:i w:val="0"/>
                <w:sz w:val="16"/>
              </w:rPr>
              <w:t>2.49%</w:t>
            </w:r>
          </w:p>
        </w:tc>
        <w:tc>
          <w:tcPr>
            <w:tcW w:w="1377" w:type="dxa"/>
            <w:vAlign w:val="center"/>
          </w:tcPr>
          <w:p w14:paraId="3FF6F401">
            <w:pPr>
              <w:spacing w:before="30" w:after="30"/>
              <w:ind w:firstLine="0"/>
              <w:jc w:val="center"/>
            </w:pPr>
            <w:r>
              <w:rPr>
                <w:rFonts w:hint="eastAsia" w:ascii="Times New Roman" w:hAnsi="Times New Roman" w:eastAsia="宋体" w:cs="Times New Roman"/>
                <w:b w:val="0"/>
                <w:i w:val="0"/>
                <w:sz w:val="16"/>
              </w:rPr>
              <w:t>0.0015</w:t>
            </w:r>
          </w:p>
        </w:tc>
        <w:tc>
          <w:tcPr>
            <w:tcW w:w="1377" w:type="dxa"/>
            <w:vAlign w:val="center"/>
          </w:tcPr>
          <w:p w14:paraId="7D214663">
            <w:pPr>
              <w:spacing w:before="30" w:after="30"/>
              <w:ind w:firstLine="0"/>
              <w:jc w:val="center"/>
            </w:pPr>
            <w:r>
              <w:rPr>
                <w:rFonts w:hint="eastAsia" w:ascii="Times New Roman" w:hAnsi="Times New Roman" w:eastAsia="宋体" w:cs="Times New Roman"/>
                <w:b w:val="0"/>
                <w:i w:val="0"/>
                <w:sz w:val="16"/>
              </w:rPr>
              <w:t>2.01%</w:t>
            </w:r>
          </w:p>
        </w:tc>
      </w:tr>
    </w:tbl>
    <w:p w14:paraId="52BF352B">
      <w:pPr>
        <w:spacing w:before="0" w:after="0"/>
        <w:ind w:firstLine="420"/>
        <w:jc w:val="both"/>
      </w:pPr>
      <w:r>
        <w:rPr>
          <w:rFonts w:hint="eastAsia" w:ascii="Times New Roman" w:hAnsi="Times New Roman" w:eastAsia="宋体" w:cs="Times New Roman"/>
          <w:b w:val="0"/>
          <w:i w:val="0"/>
          <w:sz w:val="21"/>
        </w:rPr>
        <w:t>图22比较了低、中、高误差代表工况。C003的NRMSE为8.11%，预测时程与直接有限元结果整体接近；C008的NRMSE为11.56%，误差水平介于C003和C001之间，差异主要分布于坡面和下平台；C001的NRMSE达到20.73%，但PGA误差仅为6.09%、峰时误差为0.002 s，较大误差主要来自次峰和后续波列的累积。由此可见，主要峰值及其发生时刻较为接近时，全持时波形仍可能存在较大差异。</w:t>
      </w:r>
    </w:p>
    <w:p w14:paraId="01B50C32">
      <w:pPr>
        <w:spacing w:before="0" w:after="0"/>
        <w:ind w:firstLine="420"/>
        <w:jc w:val="both"/>
      </w:pPr>
      <w:r>
        <w:rPr>
          <w:rFonts w:hint="eastAsia" w:ascii="Times New Roman" w:hAnsi="Times New Roman" w:eastAsia="宋体" w:cs="Times New Roman"/>
          <w:b w:val="0"/>
          <w:i w:val="0"/>
          <w:sz w:val="21"/>
        </w:rPr>
        <w:t>图23汇总了10个工况共1610个地表位置的误差。逐点统计中52.8%的NRMSE超过10%，最大值77.2%出现在C002坡面</w:t>
      </w:r>
      <m:oMath>
        <m:r>
          <m:rPr/>
          <m:t>s</m:t>
        </m:r>
        <m:r>
          <m:rPr>
            <m:sty m:val="p"/>
          </m:rPr>
          <m:t>=</m:t>
        </m:r>
        <m:r>
          <m:rPr/>
          <m:t>0.45</m:t>
        </m:r>
      </m:oMath>
      <w:r>
        <w:rPr>
          <w:rFonts w:hint="eastAsia" w:ascii="Times New Roman" w:hAnsi="Times New Roman" w:eastAsia="宋体" w:cs="Times New Roman"/>
          <w:b w:val="0"/>
          <w:i w:val="0"/>
          <w:sz w:val="21"/>
        </w:rPr>
        <w:t>；上平台、坡面和下平台的超阈值比例分别为29.8%、77.5%和75.7%，逐点中位数分别为8.8%、18.9%和12.3%。由于每个工况的161个位置中上平台占81点，逐工况中位数更容易受上平台较低误差影响。P061在El Centro和Kobe下的NRMSE分别为9.52%和9.66%，可能与两条记录约九成能量集中在6 Hz以下有关。这说明真实波重构误差还受到输入地震波能量分布的影响，高频能量较丰富的地震动仍需进一步验证。</w:t>
      </w:r>
    </w:p>
    <w:p w14:paraId="01329BB3">
      <w:pPr>
        <w:spacing w:before="80" w:after="40"/>
        <w:ind w:firstLine="0"/>
        <w:jc w:val="center"/>
      </w:pPr>
      <w:r>
        <w:drawing>
          <wp:inline distT="0" distB="0" distL="114300" distR="114300">
            <wp:extent cx="2880360" cy="1906270"/>
            <wp:effectExtent l="0" t="0" r="15240"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2880360" cy="1906778"/>
                    </a:xfrm>
                    <a:prstGeom prst="rect">
                      <a:avLst/>
                    </a:prstGeom>
                  </pic:spPr>
                </pic:pic>
              </a:graphicData>
            </a:graphic>
          </wp:inline>
        </w:drawing>
      </w:r>
    </w:p>
    <w:p w14:paraId="15DD7593">
      <w:pPr>
        <w:spacing w:before="0" w:after="0"/>
        <w:ind w:firstLine="420"/>
        <w:jc w:val="both"/>
      </w:pPr>
      <w:r>
        <w:rPr>
          <w:rFonts w:hint="eastAsia" w:ascii="Times New Roman" w:hAnsi="Times New Roman" w:eastAsia="宋体" w:cs="Times New Roman"/>
          <w:b w:val="0"/>
          <w:i w:val="0"/>
          <w:sz w:val="21"/>
        </w:rPr>
        <w:t>图22 闭环重构低、中、高误差代表工况</w:t>
      </w:r>
    </w:p>
    <w:p w14:paraId="06253627">
      <w:pPr>
        <w:spacing w:before="0" w:after="0"/>
        <w:ind w:firstLine="420"/>
        <w:jc w:val="both"/>
      </w:pPr>
      <w:r>
        <w:rPr>
          <w:rFonts w:hint="eastAsia" w:ascii="Times New Roman" w:hAnsi="Times New Roman" w:eastAsia="宋体" w:cs="Times New Roman"/>
          <w:b w:val="0"/>
          <w:i w:val="0"/>
          <w:sz w:val="21"/>
        </w:rPr>
        <w:t>Fig. 22 Representative closed-loop cases</w:t>
      </w:r>
    </w:p>
    <w:p w14:paraId="4D53331B">
      <w:pPr>
        <w:spacing w:before="80" w:after="40"/>
        <w:ind w:firstLine="0"/>
        <w:jc w:val="center"/>
      </w:pPr>
      <w:r>
        <w:drawing>
          <wp:inline distT="0" distB="0" distL="114300" distR="114300">
            <wp:extent cx="2880360" cy="1677035"/>
            <wp:effectExtent l="0" t="0" r="1524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2880360" cy="1677609"/>
                    </a:xfrm>
                    <a:prstGeom prst="rect">
                      <a:avLst/>
                    </a:prstGeom>
                  </pic:spPr>
                </pic:pic>
              </a:graphicData>
            </a:graphic>
          </wp:inline>
        </w:drawing>
      </w:r>
    </w:p>
    <w:p w14:paraId="6AA3A864">
      <w:pPr>
        <w:spacing w:before="0" w:after="0"/>
        <w:ind w:firstLine="420"/>
        <w:jc w:val="both"/>
      </w:pPr>
      <w:r>
        <w:rPr>
          <w:rFonts w:hint="eastAsia" w:ascii="Times New Roman" w:hAnsi="Times New Roman" w:eastAsia="宋体" w:cs="Times New Roman"/>
          <w:b w:val="0"/>
          <w:i w:val="0"/>
          <w:sz w:val="21"/>
        </w:rPr>
        <w:t>图23 十例闭环的逐位置误差与综合指标</w:t>
      </w:r>
    </w:p>
    <w:p w14:paraId="2A9095AD">
      <w:pPr>
        <w:spacing w:before="0" w:after="0"/>
        <w:ind w:firstLine="420"/>
        <w:jc w:val="both"/>
      </w:pPr>
      <w:r>
        <w:rPr>
          <w:rFonts w:hint="eastAsia" w:ascii="Times New Roman" w:hAnsi="Times New Roman" w:eastAsia="宋体" w:cs="Times New Roman"/>
          <w:b w:val="0"/>
          <w:i w:val="0"/>
          <w:sz w:val="21"/>
        </w:rPr>
        <w:t>Fig. 23 Position-wise and integrated closed-loop errors</w:t>
      </w:r>
    </w:p>
    <w:p w14:paraId="5B6427C4">
      <w:pPr>
        <w:spacing w:before="312" w:after="60"/>
        <w:ind w:firstLine="0"/>
        <w:jc w:val="left"/>
      </w:pPr>
      <w:r>
        <w:rPr>
          <w:rFonts w:hint="eastAsia" w:ascii="Times New Roman" w:hAnsi="Times New Roman" w:eastAsia="宋体" w:cs="Times New Roman"/>
          <w:b/>
          <w:i w:val="0"/>
          <w:sz w:val="28"/>
        </w:rPr>
        <w:t>5 结 论</w:t>
      </w:r>
    </w:p>
    <w:p w14:paraId="53F88B7D">
      <w:pPr>
        <w:spacing w:before="0" w:after="0"/>
        <w:ind w:firstLine="420"/>
        <w:jc w:val="both"/>
      </w:pPr>
      <w:r>
        <w:rPr>
          <w:rFonts w:hint="eastAsia" w:ascii="Times New Roman" w:hAnsi="Times New Roman" w:eastAsia="宋体" w:cs="Times New Roman"/>
          <w:b w:val="0"/>
          <w:i w:val="0"/>
          <w:sz w:val="21"/>
        </w:rPr>
        <w:t>本文采用黏弹性人工边界和等效节点力方法，建立了地震波斜入射下的二维线弹性成层坡地模型，并通过关键计算设置复核及Abaqus—SPECFEM2D对比检查代表工况的主要响应。在此基础上，利用宽频复频响识别研究坡角、覆盖层厚度比和波速比对地表地震动的影响，进一步构建POD-GPR代理模型并开展训练外组合评价和真实地震波闭环验证，主要得出以下结论：</w:t>
      </w:r>
    </w:p>
    <w:p w14:paraId="5DCCBEA0">
      <w:pPr>
        <w:spacing w:before="0" w:after="0"/>
        <w:ind w:firstLine="420"/>
        <w:jc w:val="both"/>
      </w:pPr>
      <w:r>
        <w:rPr>
          <w:rFonts w:hint="eastAsia" w:ascii="Times New Roman" w:hAnsi="Times New Roman" w:eastAsia="宋体" w:cs="Times New Roman"/>
          <w:b w:val="0"/>
          <w:i w:val="0"/>
          <w:sz w:val="21"/>
        </w:rPr>
        <w:t>（1）全地表统一采用左侧一维自由场复谱作为参考，可显著削弱坡脚处与分母切换同步的非物理分界。H004和P061坡脚复数跳变量中位数分别由25.9%降至4.7%和由71.0%降至8.6%。该修正只改变既有二维时程的后处理结果，不改变有限元解；统一后保留的局部梯度仍可能来自几何散射和成层干涉。</w:t>
      </w:r>
    </w:p>
    <w:p w14:paraId="4F60938A">
      <w:pPr>
        <w:spacing w:before="0" w:after="0"/>
        <w:ind w:firstLine="420"/>
        <w:jc w:val="both"/>
      </w:pPr>
      <w:r>
        <w:rPr>
          <w:rFonts w:hint="eastAsia" w:ascii="Times New Roman" w:hAnsi="Times New Roman" w:eastAsia="宋体" w:cs="Times New Roman"/>
          <w:b w:val="0"/>
          <w:i w:val="0"/>
          <w:sz w:val="21"/>
        </w:rPr>
        <w:t>（2）坡角、覆盖层厚度比和波速比均会改变成层坡地复频响的幅值、控制频带和控制位置。均质坡峰值随坡角增大总体升高，但这一规律在成层坡中不再保持；峰值幅值差异主要受波速比、厚度比及二者交互控制，其贡献率分别为39.65%、34.21%和21.72%。当</w:t>
      </w:r>
      <m:oMath>
        <m:r>
          <m:rPr/>
          <m:t>d</m:t>
        </m:r>
        <m:r>
          <m:rPr>
            <m:sty m:val="p"/>
          </m:rPr>
          <m:t>/</m:t>
        </m:r>
        <m:r>
          <m:rPr/>
          <m:t>h</m:t>
        </m:r>
        <m:r>
          <m:rPr>
            <m:sty m:val="p"/>
          </m:rPr>
          <m:t>=</m:t>
        </m:r>
        <m:r>
          <m:rPr/>
          <m:t>1.40</m:t>
        </m:r>
      </m:oMath>
      <w:r>
        <w:rPr>
          <w:rFonts w:hint="eastAsia" w:ascii="Times New Roman" w:hAnsi="Times New Roman" w:eastAsia="宋体" w:cs="Times New Roman"/>
          <w:b w:val="0"/>
          <w:i w:val="0"/>
          <w:sz w:val="21"/>
        </w:rPr>
        <w:t>、</w:t>
      </w:r>
      <m:oMath>
        <m:sSub>
          <m:sSubPr/>
          <m:e>
            <m:r>
              <m:rPr/>
              <m:t>r</m:t>
            </m:r>
          </m:e>
          <m:sub>
            <m:r>
              <m:rPr/>
              <m:t>v</m:t>
            </m:r>
          </m:sub>
        </m:sSub>
        <m:r>
          <m:rPr>
            <m:sty m:val="p"/>
          </m:rPr>
          <m:t>=</m:t>
        </m:r>
        <m:r>
          <m:rPr/>
          <m:t>0.30</m:t>
        </m:r>
      </m:oMath>
      <w:r>
        <w:rPr>
          <w:rFonts w:hint="eastAsia" w:ascii="Times New Roman" w:hAnsi="Times New Roman" w:eastAsia="宋体" w:cs="Times New Roman"/>
          <w:b w:val="0"/>
          <w:i w:val="0"/>
          <w:sz w:val="21"/>
        </w:rPr>
        <w:t>时，各坡角均在约4 Hz的下平台形成强响应，坡角主要提高该软厚组合的响应上尾。</w:t>
      </w:r>
    </w:p>
    <w:p w14:paraId="75CC655E">
      <w:pPr>
        <w:spacing w:before="0" w:after="0"/>
        <w:ind w:firstLine="420"/>
        <w:jc w:val="both"/>
      </w:pPr>
      <w:r>
        <w:rPr>
          <w:rFonts w:hint="eastAsia" w:ascii="Times New Roman" w:hAnsi="Times New Roman" w:eastAsia="宋体" w:cs="Times New Roman"/>
          <w:b w:val="0"/>
          <w:i w:val="0"/>
          <w:sz w:val="21"/>
        </w:rPr>
        <w:t>（3）成层坡地的全场最大响应表现为不同频带和空间位置的候选峰换位。16条厚度序列中有9条峰值呈非单调变化，主峰频率最大跨度为7.3 Hz。特征量</w:t>
      </w:r>
      <m:oMath>
        <m:r>
          <m:rPr/>
          <m:t>χ</m:t>
        </m:r>
      </m:oMath>
      <w:r>
        <w:rPr>
          <w:rFonts w:hint="eastAsia" w:ascii="Times New Roman" w:hAnsi="Times New Roman" w:eastAsia="宋体" w:cs="Times New Roman"/>
          <w:b w:val="0"/>
          <w:i w:val="0"/>
          <w:sz w:val="21"/>
        </w:rPr>
        <w:t>与中位绝对相位和群时延修正的相关较强，而与净幅值修正幅度的相关较弱。因此，单一特征频率或全场放大系数不足以概括成层坡地响应，工程评价还应同时考虑频带和地表区段。</w:t>
      </w:r>
    </w:p>
    <w:p w14:paraId="36E19643">
      <w:pPr>
        <w:spacing w:before="0" w:after="0"/>
        <w:ind w:firstLine="420"/>
        <w:jc w:val="both"/>
      </w:pPr>
      <w:r>
        <w:rPr>
          <w:rFonts w:hint="eastAsia" w:ascii="Times New Roman" w:hAnsi="Times New Roman" w:eastAsia="宋体" w:cs="Times New Roman"/>
          <w:b w:val="0"/>
          <w:i w:val="0"/>
          <w:sz w:val="21"/>
        </w:rPr>
        <w:t>（4）在整工况五折验证和训练外参数组合评价中，POD-GPR的中位复数误差分别为27.1%和26.4%，能够近似恢复当前参数域内的主要复频响结构。误差主要集中在软厚覆盖层、高频、坡面和下平台，且整体场误差较小并不表示主峰频率和峰位同时准确。B组结果仅反映训练参数网格之间的域内插值能力，不宜解释为参数域外的预测精度。</w:t>
      </w:r>
    </w:p>
    <w:p w14:paraId="7236E7C7">
      <w:pPr>
        <w:spacing w:before="0" w:after="0"/>
        <w:ind w:firstLine="420"/>
        <w:jc w:val="both"/>
      </w:pPr>
      <w:r>
        <w:rPr>
          <w:rFonts w:hint="eastAsia" w:ascii="Times New Roman" w:hAnsi="Times New Roman" w:eastAsia="宋体" w:cs="Times New Roman"/>
          <w:b w:val="0"/>
          <w:i w:val="0"/>
          <w:sz w:val="21"/>
        </w:rPr>
        <w:t>（5）真实地震波闭环的总体中位时程NRMSE为9.75%，但仍有4/10个组合超过10%，10个组合共1610个位置样本中有52.8%超过10%，其中坡面和下平台的误差较为集中。代理模型在当前二维线性参数域及本组以6 Hz以下能量占优的输入条件下，可用于带限时程和PGA的辅助预测；对于软厚覆盖层组合的高频与下平台响应、高频能量富集输入以及非线性或三维问题，仍需采用直接数值分析。</w:t>
      </w:r>
    </w:p>
    <w:p w14:paraId="7BF628E4">
      <w:pPr>
        <w:spacing w:before="312" w:after="60"/>
        <w:ind w:firstLine="0"/>
        <w:jc w:val="left"/>
      </w:pPr>
      <w:r>
        <w:rPr>
          <w:rFonts w:hint="eastAsia" w:ascii="Times New Roman" w:hAnsi="Times New Roman" w:eastAsia="宋体" w:cs="Times New Roman"/>
          <w:b/>
          <w:i w:val="0"/>
          <w:sz w:val="28"/>
        </w:rPr>
        <w:t>参 考 文 献</w:t>
      </w:r>
    </w:p>
    <w:p w14:paraId="4A7984F5">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 DAVIS L L, WEST L R. Observed effects of topography on ground motion[J]. Bulletin of the Seismological Society of America, 1973, 63(1): 283-298.</w:t>
      </w:r>
    </w:p>
    <w:p w14:paraId="060B921C">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 ÇELEBI M. Topographical and geological amplifications determined from strong-motion and aftershock records of the 3 March 1985 Chile earthquake[J]. Bulletin of the Seismological Society of America, 1987, 77(4): 1147-1167.</w:t>
      </w:r>
    </w:p>
    <w:p w14:paraId="7C9BCEB1">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[3] GELI L, BARD P Y, JULLIEN B. The effect of topography on earthquake ground motion: a review and new results[J]. Bulletin of the Seismological Society of America, 1988, 78(1): 42-63.</w:t>
      </w:r>
    </w:p>
    <w:p w14:paraId="6FBF4717">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[4] 胡聿贤, 孙平善, 章在墉, 等. 场地条件对震害和地震动的影响[J]. 地震工程与工程振动, 1980(0): 34-41.</w:t>
      </w:r>
    </w:p>
    <w:p w14:paraId="16D4D317">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HU Yu-xian, SUN Ping-shan, ZHANG Zai-yong, et al. Influence of site conditions on earthquake damage and ground motion[J]. Earthquake Engineering and Engineering Vibration, 1980(0): 34-41.</w:t>
      </w:r>
    </w:p>
    <w:p w14:paraId="71F0A8F9">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[5] European Committee for Standardization. Eurocode 8: design of structures for earthquake resistance[S]. Brussels: CEN, 2004.</w:t>
      </w:r>
    </w:p>
    <w:p w14:paraId="61544678">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[6] 中华人民共和国住房和城乡建设部. 建筑抗震设计规范: GB 50011—2010（2016年版）[S]. 北京: 中国建筑工业出版社, 2016.</w:t>
      </w:r>
    </w:p>
    <w:p w14:paraId="428D791B">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Ministry of Housing and Urban-Rural Development of the People's Republic of China. Code for seismic design of buildings: GB 50011—2010 (2016 edition)[S]. Beijing: China Architecture and Building Press, 2016.</w:t>
      </w:r>
    </w:p>
    <w:p w14:paraId="090A9C24">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[7] LI H, LIU Y, LIU L, et al. Numerical evaluation of topographic effects on seismic response of single-faced rock slopes[J]. Bulletin of Engineering Geology and the Environment, 2019, 78(3): 1873-1891.</w:t>
      </w:r>
    </w:p>
    <w:p w14:paraId="2E08EEA6">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[8] SHEN H, LIU Y, LI H, et al. Numerical evaluation of ground motion amplification of rock slopes under obliquely incident seismic waves[J]. Soil Dynamics and Earthquake Engineering, 2024, 178: 108488.</w:t>
      </w:r>
    </w:p>
    <w:p w14:paraId="21A3DF2E">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[9] 赵仕兴, 杨姝姮, 唐元旭, 等. 四川泸定6.8级地震震中区域建筑震害考察与思考[J]. 建筑结构, 2023, 53(7): 1-8.</w:t>
      </w:r>
    </w:p>
    <w:p w14:paraId="7FBF85D0">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ZHAO Shi-xing, YANG Shu-heng, TANG Yuan-xu, et al. Investigation and analysis of building damage in the epicentral area of the Luding Ms 6.8 earthquake in Sichuan[J]. Building Structure, 2023, 53(7): 1-8.</w:t>
      </w:r>
    </w:p>
    <w:p w14:paraId="2423057A">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[10] 王鹏程, 罗永红, 刘红枫, 等. “9·5”四川泸定Ms6.8级地震诱发磨西台地地震响应分析[J]. 山地学报, 2024, 42(4): 576-590.</w:t>
      </w:r>
    </w:p>
    <w:p w14:paraId="05C2EBC8">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WANG Peng-cheng, LUO Yong-hong, LIU Hong-feng, et al. Seismic response of the Moxi terrace induced by the “9·5” Luding Ms 6.8 earthquake, Sichuan[J]. Journal of Mountain Science, 2024, 42(4): 576-590.</w:t>
      </w:r>
    </w:p>
    <w:p w14:paraId="54B3B4A2">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[11] 潘毅, 任靖哲, 任宇, 等. 考虑台地效应的泸定6.8级地震某框架结构震害调查与分析[J]. 土木工程学报, 2024, 57(6): 136-151.</w:t>
      </w:r>
    </w:p>
    <w:p w14:paraId="5C9B20EF">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PAN Yi, REN Jing-zhe, REN Yu, et al. Seismic damage investigation and analysis of a frame structure considering the terrace effect in the Luding Ms 6.8 earthquake[J]. China Civil Engineering Journal, 2024, 57(6): 136-151.</w:t>
      </w:r>
    </w:p>
    <w:p w14:paraId="5B344D95">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[12] BOUCKOVALAS G D, PAPADIMITRIOU A G. Numerical evaluation of slope topography effects on seismic ground motion[J]. Soil Dynamics and Earthquake Engineering, 2005, 25(7-10): 547-558.</w:t>
      </w:r>
    </w:p>
    <w:p w14:paraId="47D728C2">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[13] ZHANG Z, FLEURISSON J A, PELLET F. The effects of slope topography on acceleration amplification and interaction between slope topography and seismic input motion[J]. Soil Dynamics and Earthquake Engineering, 2018, 113: 420-431.</w:t>
      </w:r>
    </w:p>
    <w:p w14:paraId="2F27D034">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[14] GALLIPOLI M R, BIANCA M, MUCCIARELLI M, et al. Topographic versus stratigraphic amplification: mismatch between code provisions and observations during the L'Aquila (Italy, 2009) sequence[J]. Bulletin of Earthquake Engineering, 2013, 11(5): 1325-1336.</w:t>
      </w:r>
    </w:p>
    <w:p w14:paraId="64421C1F">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[15] HAILEMIKAEL S, LENTI L, MARTINO S, et al. Ground-motion amplification at the Colle di Roio ridge, central Italy: a combined effect of stratigraphy and topography[J]. Geophysical Journal International, 2016, 206(1): 1-18.</w:t>
      </w:r>
    </w:p>
    <w:p w14:paraId="07B6EFE5">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[16] TRIPE R, KONTOE S, WONG T K C. Slope topography effects on ground motion in the presence of deep soil layers[J]. Soil Dynamics and Earthquake Engineering, 2013, 50: 72-84.</w:t>
      </w:r>
    </w:p>
    <w:p w14:paraId="66085C74">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[17] ASSIMAKI D, KAUSEL E, GAZETAS G. Soil-dependent topographic effects: a case study from the 1999 Athens Earthquake[J]. Earthquake Spectra, 2005, 21(4): 929-966.</w:t>
      </w:r>
    </w:p>
    <w:p w14:paraId="001DCE08">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[18] SHEN H, LIU Y, LI X, et al. The combined amplification effects of topography and stratigraphy of layered rock slopes under vertically and obliquely incident seismic waves[J]. Soil Dynamics and Earthquake Engineering, 2025, 193: 109331.</w:t>
      </w:r>
    </w:p>
    <w:p w14:paraId="5A5B447F">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[19] RIZZITANO S, CASCONE E, BIONDI G. Coupling of topographic and stratigraphic effects on seismic response of slopes through 2D linear and equivalent linear analyses[J]. Soil Dynamics and Earthquake Engineering, 2014, 67: 66-84.</w:t>
      </w:r>
    </w:p>
    <w:p w14:paraId="227E98FB">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[20] PELEKIS P, BATILAS A, PEFANI E, et al. Surface topography and site stratigraphy effects on the seismic response of a slope in the Achaia-Ilia (Greece) 2008 Mw6.4 earthquake[J]. Soil Dynamics and Earthquake Engineering, 2017, 100: 538-554.</w:t>
      </w:r>
    </w:p>
    <w:p w14:paraId="528235CD">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[21] LUO Y, FAN X, HUANG R, et al. Topographic and near-surface stratigraphic amplification of the seismic response of a mountain slope revealed by field monitoring and numerical simulations[J]. Engineering Geology, 2020, 271: 105607.</w:t>
      </w:r>
    </w:p>
    <w:p w14:paraId="790FBD33">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[22] VAHDANI S, WIKSTROM S. Response of the Tarzana strong motion site during the 1994 Northridge earthquake[J]. Soil Dynamics and Earthquake Engineering, 2002, 22(9): 837-848.</w:t>
      </w:r>
    </w:p>
    <w:p w14:paraId="2273D23E">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[23] ASHFORD S A, SITAR N. Analysis of topographic amplification of inclined shear waves in a steep coastal bluff[J]. Bulletin of the Seismological Society of America, 1997, 87(3): 692-700.</w:t>
      </w:r>
    </w:p>
    <w:p w14:paraId="14C9C2FE">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[24] 申辉, 刘亚群, 刘博, 等. 地震波斜入射下岩质边坡放大效应的数值模拟研究[J]. 岩土力学, 2023, 44(7): 2129-2142.</w:t>
      </w:r>
    </w:p>
    <w:p w14:paraId="4DC8494F">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SHEN Hui, LIU Ya-qun, LIU Bo, et al. Numerical study on the amplification effect of rock slopes under oblique incidence of seismic waves[J]. Rock and Soil Mechanics, 2023, 44(7): 2129-2142.</w:t>
      </w:r>
    </w:p>
    <w:p w14:paraId="48E51B4E">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[25] 陈咏珊. 基于卷积神经网络预测下哈特盆地地表地震动放大特征[D]. 广州: 广东工业大学, 2023.</w:t>
      </w:r>
    </w:p>
    <w:p w14:paraId="7CF2BA26">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CHEN Yong-shan. Prediction of surface ground motion amplification characteristics of the Lower Hutt Basin based on convolutional neural network[D]. Guangzhou: Guangdong University of Technology, 2023.</w:t>
      </w:r>
    </w:p>
    <w:p w14:paraId="0F9FC6B3">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[26] 赵嘉玮. 基于机器学习算法的复杂场地地震动放大效应和非线性效应预测模型研究[D]. 天津: 天津城建大学, 2024.</w:t>
      </w:r>
    </w:p>
    <w:p w14:paraId="6295B65F">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ZHAO Jia-wei. Research on prediction models of ground motion amplification and nonlinear effects in complex sites based on machine learning algorithms[D]. Tianjin: Tianjin Chengjian University, 2024.</w:t>
      </w:r>
    </w:p>
    <w:p w14:paraId="1B852CB4">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[27] 罗麒锐, 赵仕兴, 吴启红, 等. 基于地形参数的地震动放大系数数值分析与预测方法[J]. 建筑结构, 2025, 55(2): 50-57, 35.</w:t>
      </w:r>
    </w:p>
    <w:p w14:paraId="1652052C">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LUO Qi-rui, ZHAO Shi-xing, WU Qi-hong, et al. Numerical analysis and prediction method of ground motion amplification factor based on topographic parameters[J]. Building Structure, 2025, 55(2): 50-57, 35.</w:t>
      </w:r>
    </w:p>
    <w:p w14:paraId="596C2FFB">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[28] 周红, 常莹. 利用BP神经网络技术建立自贡地区地震动地形效应模型及其在汶川地震中的效验[J]. 地球物理学报, 2022, 65(6): 2022-2034.</w:t>
      </w:r>
    </w:p>
    <w:p w14:paraId="5A91A63E">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ZHOU Hong, CHANG Ying. A ground motion topographic effect model for the Zigong area based on BP neural network and its validation in the Wenchuan earthquake[J]. Chinese Journal of Geophysics, 2022, 65(6): 2022-2034.</w:t>
      </w:r>
    </w:p>
    <w:p w14:paraId="394E9AA9">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[29] ZHOU H, LI J, CHEN X. Establishment of a seismic topographic effect prediction model in the Lushan Ms 7.0 earthquake area[J]. Geophysical Journal International, 2020, 221(1): 273-288.</w:t>
      </w:r>
    </w:p>
    <w:p w14:paraId="5C484A6D">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[30] TAVAKOLI H, SOLEIMANI KUTANAEI S. Evaluation of effect of soil characteristics on the seismic amplification factor using the neural network and reliability concept[J]. Arabian Journal of Geosciences, 2015, 8(6): 3881-3891.</w:t>
      </w:r>
    </w:p>
    <w:p w14:paraId="674F017E">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[31] Dassault Systèmes. Abaqus 2021 documentation[CP/OL]. Providence (RI): Dassault Systèmes SIMULIA Corp., 2021.</w:t>
      </w:r>
    </w:p>
    <w:p w14:paraId="7F1BA4A8">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[32] 刘晶波, 谷音, 杜义欣. 粘弹性人工边界及粘弹性边界单元[J]. 土木工程学报, 2006, 39(2): 31-36.</w:t>
      </w:r>
    </w:p>
    <w:p w14:paraId="558632D9">
      <w:pPr>
        <w:keepNext w:val="0"/>
        <w:keepLines w:val="0"/>
        <w:pageBreakBefore w:val="0"/>
        <w:widowControl w:val="0"/>
        <w:kinsoku/>
        <w:wordWrap/>
        <w:overflowPunct/>
        <w:topLinePunct w:val="0"/>
        <w:autoSpaceDE/>
        <w:autoSpaceDN/>
        <w:bidi w:val="0"/>
        <w:adjustRightInd/>
        <w:snapToGrid/>
        <w:spacing w:before="0" w:after="0"/>
        <w:ind w:left="420" w:leftChars="200" w:firstLine="0" w:firstLineChars="0"/>
        <w:jc w:val="both"/>
        <w:textAlignment w:val="auto"/>
      </w:pPr>
      <w:r>
        <w:rPr>
          <w:rFonts w:hint="eastAsia" w:ascii="Times New Roman" w:hAnsi="Times New Roman" w:eastAsia="宋体" w:cs="Times New Roman"/>
          <w:b w:val="0"/>
          <w:i w:val="0"/>
          <w:sz w:val="21"/>
        </w:rPr>
        <w:t>LIU Jing-bo, GU Yin, DU Yi-xin. Viscoelastic artificial boundary and viscoelastic boundary element[J]. China Civil Engineering Journal, 2006, 39(2): 31-36.</w:t>
      </w:r>
    </w:p>
    <w:p w14:paraId="188AB71A">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[33] BIELAK J, LOUKAS K, HISADA Y, et al. Domain reduction method for computing earthquake ground motions in localized regions. Part I: Theory[J]. Bulletin of the Seismological Society of America, 2003, 93(2): 817-824.</w:t>
      </w:r>
    </w:p>
    <w:p w14:paraId="37137650">
      <w:pPr>
        <w:keepNext w:val="0"/>
        <w:keepLines w:val="0"/>
        <w:pageBreakBefore w:val="0"/>
        <w:widowControl w:val="0"/>
        <w:kinsoku/>
        <w:wordWrap/>
        <w:overflowPunct/>
        <w:topLinePunct w:val="0"/>
        <w:autoSpaceDE/>
        <w:autoSpaceDN/>
        <w:bidi w:val="0"/>
        <w:adjustRightInd/>
        <w:snapToGrid/>
        <w:spacing w:before="0" w:after="0"/>
        <w:ind w:left="420" w:hanging="420" w:hangingChars="200"/>
        <w:jc w:val="both"/>
        <w:textAlignment w:val="auto"/>
      </w:pPr>
      <w:r>
        <w:rPr>
          <w:rFonts w:hint="eastAsia" w:ascii="Times New Roman" w:hAnsi="Times New Roman" w:eastAsia="宋体" w:cs="Times New Roman"/>
          <w:b w:val="0"/>
          <w:i w:val="0"/>
          <w:sz w:val="21"/>
        </w:rPr>
        <w:t>[34] SPECFEM2D Development Team. SPECFEM2D Cartesian user guide (v8.1.0)[CP/OL]. [2026-08-24]. https://github.com/geodynamics/specfem2d.</w:t>
      </w:r>
    </w:p>
    <w:sectPr>
      <w:headerReference r:id="rId4" w:type="default"/>
      <w:type w:val="continuous"/>
      <w:pgSz w:w="11906" w:h="16838"/>
      <w:pgMar w:top="1418" w:right="1134" w:bottom="1418" w:left="1134" w:header="851" w:footer="850" w:gutter="0"/>
      <w:cols w:space="425" w:num="2"/>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4DDD3D9A">
      <w:pPr>
        <w:pStyle w:val="6"/>
        <w:rPr>
          <w:rFonts w:ascii="Times New Roman" w:hAnsi="Times New Roman" w:eastAsia="宋体" w:cs="Times New Roman"/>
        </w:rPr>
      </w:pPr>
      <w:r>
        <w:rPr>
          <w:rFonts w:ascii="Times New Roman" w:hAnsi="Times New Roman" w:eastAsia="宋体" w:cs="Times New Roman"/>
        </w:rPr>
        <w:t>收稿日期：2019-10-20</w:t>
      </w:r>
    </w:p>
    <w:p w14:paraId="3B912E2A">
      <w:pPr>
        <w:pStyle w:val="6"/>
        <w:rPr>
          <w:rFonts w:ascii="Times New Roman" w:hAnsi="Times New Roman" w:eastAsia="宋体" w:cs="Times New Roman"/>
        </w:rPr>
      </w:pPr>
      <w:r>
        <w:rPr>
          <w:rFonts w:ascii="Times New Roman" w:hAnsi="Times New Roman" w:eastAsia="宋体" w:cs="Times New Roman"/>
        </w:rPr>
        <w:t>基金项目：</w:t>
      </w:r>
      <w:r>
        <w:rPr>
          <w:rFonts w:hint="eastAsia" w:ascii="Times New Roman" w:hAnsi="Times New Roman" w:eastAsia="宋体" w:cs="Times New Roman"/>
        </w:rPr>
        <w:t>国家自然科学基金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r>
        <w:rPr>
          <w:rFonts w:hint="eastAsia" w:ascii="Times New Roman" w:hAnsi="Times New Roman" w:eastAsia="宋体" w:cs="Times New Roman"/>
        </w:rPr>
        <w:t>；重庆市自然科学基金</w:t>
      </w:r>
      <w:r>
        <w:rPr>
          <w:rFonts w:ascii="Times New Roman" w:hAnsi="Times New Roman" w:eastAsia="宋体" w:cs="Times New Roman"/>
        </w:rPr>
        <w:t>(</w:t>
      </w:r>
      <w:r>
        <w:rPr>
          <w:rFonts w:hint="eastAsia" w:ascii="Times New Roman" w:hAnsi="Times New Roman" w:eastAsia="宋体" w:cs="Times New Roman"/>
        </w:rPr>
        <w:t>********</w:t>
      </w:r>
      <w:r>
        <w:rPr>
          <w:rFonts w:ascii="Times New Roman" w:hAnsi="Times New Roman" w:eastAsia="宋体" w:cs="Times New Roman"/>
        </w:rPr>
        <w:t>)</w:t>
      </w:r>
    </w:p>
    <w:p w14:paraId="4BA4C657">
      <w:pPr>
        <w:pStyle w:val="6"/>
        <w:rPr>
          <w:rFonts w:ascii="Times New Roman" w:hAnsi="Times New Roman" w:eastAsia="宋体" w:cs="Times New Roman"/>
        </w:rPr>
      </w:pPr>
      <w:r>
        <w:rPr>
          <w:rFonts w:ascii="Times New Roman" w:hAnsi="Times New Roman" w:eastAsia="宋体" w:cs="Times New Roman"/>
        </w:rPr>
        <w:t>作者简介：</w:t>
      </w:r>
      <w:r>
        <w:rPr>
          <w:rFonts w:hint="eastAsia" w:ascii="Times New Roman" w:hAnsi="Times New Roman" w:eastAsia="宋体" w:cs="Times New Roman"/>
        </w:rPr>
        <w:t>李**</w:t>
      </w:r>
      <w:r>
        <w:rPr>
          <w:rFonts w:ascii="Times New Roman" w:hAnsi="Times New Roman" w:eastAsia="宋体" w:cs="Times New Roman"/>
        </w:rPr>
        <w:t>**（1985- ）</w:t>
      </w:r>
      <w:r>
        <w:rPr>
          <w:rFonts w:hint="eastAsia" w:ascii="Times New Roman" w:hAnsi="Times New Roman" w:eastAsia="宋体" w:cs="Times New Roman"/>
        </w:rPr>
        <w:t>，男，</w:t>
      </w:r>
      <w:r>
        <w:rPr>
          <w:rFonts w:ascii="Times New Roman" w:hAnsi="Times New Roman" w:eastAsia="宋体" w:cs="Times New Roman"/>
        </w:rPr>
        <w:t>博士，副教授</w:t>
      </w:r>
      <w:r>
        <w:rPr>
          <w:rFonts w:hint="eastAsia" w:ascii="Times New Roman" w:hAnsi="Times New Roman" w:eastAsia="宋体" w:cs="Times New Roman"/>
        </w:rPr>
        <w:t>，</w:t>
      </w:r>
      <w:r>
        <w:rPr>
          <w:rFonts w:ascii="Times New Roman" w:hAnsi="Times New Roman" w:eastAsia="宋体" w:cs="Times New Roman"/>
        </w:rPr>
        <w:t>主要从事</w:t>
      </w:r>
      <w:r>
        <w:rPr>
          <w:rFonts w:hint="eastAsia" w:ascii="Times New Roman" w:hAnsi="Times New Roman" w:eastAsia="宋体" w:cs="Times New Roman"/>
        </w:rPr>
        <w:t>钢筋混凝土结构</w:t>
      </w:r>
      <w:r>
        <w:rPr>
          <w:rFonts w:ascii="Times New Roman" w:hAnsi="Times New Roman" w:eastAsia="宋体" w:cs="Times New Roman"/>
        </w:rPr>
        <w:t>研究，E-mail：</w:t>
      </w:r>
      <w:r>
        <w:rPr>
          <w:rFonts w:hint="eastAsia" w:ascii="Times New Roman" w:hAnsi="Times New Roman" w:eastAsia="宋体" w:cs="Times New Roman"/>
        </w:rPr>
        <w:t>***@*******</w:t>
      </w:r>
    </w:p>
    <w:p w14:paraId="0B59E395">
      <w:pPr>
        <w:pStyle w:val="6"/>
        <w:ind w:firstLine="900" w:firstLineChars="500"/>
        <w:rPr>
          <w:rFonts w:ascii="Times New Roman" w:hAnsi="Times New Roman" w:eastAsia="宋体" w:cs="Times New Roman"/>
        </w:rPr>
      </w:pPr>
      <w:r>
        <w:rPr>
          <w:rFonts w:hint="eastAsia" w:ascii="Times New Roman" w:hAnsi="Times New Roman" w:eastAsia="宋体" w:cs="Times New Roman"/>
        </w:rPr>
        <w:t>王**</w:t>
      </w:r>
      <w:r>
        <w:rPr>
          <w:rFonts w:ascii="Times New Roman" w:hAnsi="Times New Roman" w:eastAsia="宋体" w:cs="Times New Roman"/>
        </w:rPr>
        <w:t>**（通信作者），</w:t>
      </w:r>
      <w:r>
        <w:rPr>
          <w:rFonts w:hint="eastAsia" w:ascii="Times New Roman" w:hAnsi="Times New Roman" w:eastAsia="宋体" w:cs="Times New Roman"/>
        </w:rPr>
        <w:t>男，</w:t>
      </w:r>
      <w:r>
        <w:rPr>
          <w:rFonts w:ascii="Times New Roman" w:hAnsi="Times New Roman" w:eastAsia="宋体" w:cs="Times New Roman"/>
        </w:rPr>
        <w:t>教授，</w:t>
      </w:r>
      <w:r>
        <w:rPr>
          <w:rFonts w:hint="eastAsia" w:ascii="Times New Roman" w:hAnsi="Times New Roman" w:eastAsia="宋体" w:cs="Times New Roman"/>
        </w:rPr>
        <w:t>博士生导师，</w:t>
      </w:r>
      <w:r>
        <w:rPr>
          <w:rFonts w:ascii="Times New Roman" w:hAnsi="Times New Roman" w:eastAsia="宋体" w:cs="Times New Roman"/>
        </w:rPr>
        <w:t>E-mail</w:t>
      </w:r>
      <w:r>
        <w:rPr>
          <w:rFonts w:hint="eastAsia" w:ascii="Times New Roman" w:hAnsi="Times New Roman" w:eastAsia="宋体" w:cs="Times New Roman"/>
        </w:rPr>
        <w:t>：***@*******。</w:t>
      </w:r>
    </w:p>
    <w:p w14:paraId="127C74CB">
      <w:pPr>
        <w:pStyle w:val="6"/>
        <w:rPr>
          <w:rFonts w:ascii="Times New Roman" w:hAnsi="Times New Roman" w:eastAsia="宋体" w:cs="Times New Roman"/>
        </w:rPr>
      </w:pPr>
      <w:r>
        <w:rPr>
          <w:rFonts w:ascii="Times New Roman" w:hAnsi="Times New Roman" w:eastAsia="宋体" w:cs="Times New Roman"/>
        </w:rPr>
        <w:t>Received: 2019-10-20</w:t>
      </w:r>
    </w:p>
    <w:p w14:paraId="4B9942EC">
      <w:pPr>
        <w:pStyle w:val="6"/>
        <w:ind w:left="850" w:hanging="849" w:hangingChars="472"/>
        <w:rPr>
          <w:rFonts w:ascii="Times New Roman" w:hAnsi="Times New Roman" w:eastAsia="宋体" w:cs="Times New Roman"/>
        </w:rPr>
      </w:pPr>
      <w:r>
        <w:rPr>
          <w:rFonts w:ascii="Times New Roman" w:hAnsi="Times New Roman" w:eastAsia="宋体" w:cs="Times New Roman"/>
        </w:rPr>
        <w:t xml:space="preserve">Foundation items: </w:t>
      </w:r>
      <w:r>
        <w:rPr>
          <w:rFonts w:hint="eastAsia" w:ascii="Times New Roman" w:hAnsi="Times New Roman" w:eastAsia="宋体" w:cs="Times New Roman"/>
        </w:rPr>
        <w:t>National</w:t>
      </w:r>
      <w:r>
        <w:rPr>
          <w:rFonts w:ascii="Times New Roman" w:hAnsi="Times New Roman" w:eastAsia="宋体" w:cs="Times New Roman"/>
        </w:rPr>
        <w:t xml:space="preserve"> </w:t>
      </w:r>
      <w:r>
        <w:rPr>
          <w:rFonts w:hint="eastAsia" w:ascii="Times New Roman" w:hAnsi="Times New Roman" w:eastAsia="宋体" w:cs="Times New Roman"/>
        </w:rPr>
        <w:t>Natural</w:t>
      </w:r>
      <w:r>
        <w:rPr>
          <w:rFonts w:ascii="Times New Roman" w:hAnsi="Times New Roman" w:eastAsia="宋体" w:cs="Times New Roman"/>
        </w:rPr>
        <w:t xml:space="preserve"> </w:t>
      </w:r>
      <w:r>
        <w:rPr>
          <w:rFonts w:hint="eastAsia" w:ascii="Times New Roman" w:hAnsi="Times New Roman" w:eastAsia="宋体" w:cs="Times New Roman"/>
        </w:rPr>
        <w:t>Science</w:t>
      </w:r>
      <w:r>
        <w:rPr>
          <w:rFonts w:ascii="Times New Roman" w:hAnsi="Times New Roman" w:eastAsia="宋体" w:cs="Times New Roman"/>
        </w:rPr>
        <w:t xml:space="preserve"> </w:t>
      </w:r>
      <w:r>
        <w:rPr>
          <w:rFonts w:hint="eastAsia" w:ascii="Times New Roman" w:hAnsi="Times New Roman" w:eastAsia="宋体" w:cs="Times New Roman"/>
        </w:rPr>
        <w:t>Foundation</w:t>
      </w:r>
      <w:r>
        <w:rPr>
          <w:rFonts w:ascii="Times New Roman" w:hAnsi="Times New Roman" w:eastAsia="宋体" w:cs="Times New Roman"/>
        </w:rPr>
        <w:t xml:space="preserve"> </w:t>
      </w:r>
      <w:r>
        <w:rPr>
          <w:rFonts w:hint="eastAsia" w:ascii="Times New Roman" w:hAnsi="Times New Roman" w:eastAsia="宋体" w:cs="Times New Roman"/>
        </w:rPr>
        <w:t>of</w:t>
      </w:r>
      <w:r>
        <w:rPr>
          <w:rFonts w:ascii="Times New Roman" w:hAnsi="Times New Roman" w:eastAsia="宋体" w:cs="Times New Roman"/>
        </w:rPr>
        <w:t xml:space="preserve"> </w:t>
      </w:r>
      <w:r>
        <w:rPr>
          <w:rFonts w:hint="eastAsia" w:ascii="Times New Roman" w:hAnsi="Times New Roman" w:eastAsia="宋体" w:cs="Times New Roman"/>
        </w:rPr>
        <w:t>China</w:t>
      </w:r>
      <w:r>
        <w:rPr>
          <w:rFonts w:ascii="Times New Roman" w:hAnsi="Times New Roman" w:eastAsia="宋体" w:cs="Times New Roman"/>
        </w:rPr>
        <w:t xml:space="preserve"> (No.</w:t>
      </w:r>
      <w:r>
        <w:t xml:space="preserve"> </w:t>
      </w:r>
      <w:r>
        <w:rPr>
          <w:rFonts w:hint="eastAsia"/>
        </w:rPr>
        <w:t>********</w:t>
      </w:r>
      <w:r>
        <w:rPr>
          <w:rFonts w:ascii="Times New Roman" w:hAnsi="Times New Roman" w:eastAsia="宋体" w:cs="Times New Roman"/>
        </w:rPr>
        <w:t>); Natural Science Foundation of Ch</w:t>
      </w:r>
      <w:r>
        <w:rPr>
          <w:rFonts w:hint="eastAsia" w:ascii="Times New Roman" w:hAnsi="Times New Roman" w:eastAsia="宋体" w:cs="Times New Roman"/>
        </w:rPr>
        <w:t>ongqing</w:t>
      </w:r>
      <w:r>
        <w:rPr>
          <w:rFonts w:ascii="Times New Roman" w:hAnsi="Times New Roman" w:eastAsia="宋体" w:cs="Times New Roman"/>
        </w:rPr>
        <w:t xml:space="preserve"> (No. ********)</w:t>
      </w:r>
    </w:p>
    <w:p w14:paraId="51A933E5">
      <w:pPr>
        <w:pStyle w:val="6"/>
        <w:rPr>
          <w:rFonts w:ascii="Times New Roman" w:hAnsi="Times New Roman" w:eastAsia="宋体" w:cs="Times New Roman"/>
        </w:rPr>
      </w:pPr>
      <w:r>
        <w:rPr>
          <w:rFonts w:ascii="Times New Roman" w:hAnsi="Times New Roman" w:eastAsia="宋体" w:cs="Times New Roman"/>
        </w:rPr>
        <w:t>Author brief: LI **** (1985- ),</w:t>
      </w:r>
      <w:r>
        <w:rPr>
          <w:rFonts w:hint="eastAsia" w:ascii="Times New Roman" w:hAnsi="Times New Roman" w:eastAsia="宋体" w:cs="Times New Roman"/>
        </w:rPr>
        <w:t xml:space="preserve"> PhD</w:t>
      </w:r>
      <w:r>
        <w:rPr>
          <w:rFonts w:ascii="Times New Roman" w:hAnsi="Times New Roman" w:eastAsia="宋体" w:cs="Times New Roman"/>
        </w:rPr>
        <w:t xml:space="preserve">, associate professor, </w:t>
      </w:r>
      <w:r>
        <w:rPr>
          <w:rFonts w:hint="eastAsia" w:ascii="Times New Roman" w:hAnsi="Times New Roman" w:eastAsia="宋体" w:cs="Times New Roman"/>
        </w:rPr>
        <w:t xml:space="preserve">main research interest: </w:t>
      </w:r>
      <w:r>
        <w:rPr>
          <w:rFonts w:ascii="Times New Roman" w:hAnsi="Times New Roman" w:eastAsia="宋体" w:cs="Times New Roman"/>
        </w:rPr>
        <w:t>reinforced concrete structure</w:t>
      </w:r>
      <w:r>
        <w:rPr>
          <w:rFonts w:hint="eastAsia" w:ascii="Times New Roman" w:hAnsi="Times New Roman" w:eastAsia="宋体" w:cs="Times New Roman"/>
        </w:rPr>
        <w:t>, E-mail: ***@*******</w:t>
      </w:r>
    </w:p>
    <w:p w14:paraId="24F2303A">
      <w:pPr>
        <w:pStyle w:val="6"/>
        <w:rPr>
          <w:rFonts w:ascii="Times New Roman" w:hAnsi="Times New Roman" w:eastAsia="宋体" w:cs="Times New Roman"/>
          <w:sz w:val="18"/>
        </w:rPr>
      </w:pPr>
      <w:r>
        <w:rPr>
          <w:rFonts w:ascii="Times New Roman" w:hAnsi="Times New Roman" w:eastAsia="宋体" w:cs="Times New Roman"/>
        </w:rPr>
        <w:t xml:space="preserve">           WANG **** (corresponding author), professor, doctorial supervisor, </w:t>
      </w:r>
      <w:r>
        <w:rPr>
          <w:rFonts w:hint="eastAsia" w:ascii="Times New Roman" w:hAnsi="Times New Roman" w:eastAsia="宋体" w:cs="Times New Roman"/>
        </w:rPr>
        <w:t>***@*******</w:t>
      </w:r>
      <w:r>
        <w:rPr>
          <w:rFonts w:ascii="Times New Roman" w:hAnsi="Times New Roman" w:eastAsia="宋体" w:cs="Times New Roma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0306">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C1"/>
    <w:rsid w:val="00004B44"/>
    <w:rsid w:val="00023407"/>
    <w:rsid w:val="00027410"/>
    <w:rsid w:val="00031E8C"/>
    <w:rsid w:val="000416C9"/>
    <w:rsid w:val="000435C0"/>
    <w:rsid w:val="00044F03"/>
    <w:rsid w:val="00054A2E"/>
    <w:rsid w:val="000718DF"/>
    <w:rsid w:val="00072C77"/>
    <w:rsid w:val="000741AC"/>
    <w:rsid w:val="0008292A"/>
    <w:rsid w:val="00085045"/>
    <w:rsid w:val="000920D8"/>
    <w:rsid w:val="00094C1D"/>
    <w:rsid w:val="00095927"/>
    <w:rsid w:val="000B2582"/>
    <w:rsid w:val="000C0CD4"/>
    <w:rsid w:val="000C5221"/>
    <w:rsid w:val="000C7792"/>
    <w:rsid w:val="000D439F"/>
    <w:rsid w:val="000D5399"/>
    <w:rsid w:val="000E3AA9"/>
    <w:rsid w:val="000E3E53"/>
    <w:rsid w:val="000E60BB"/>
    <w:rsid w:val="000F2143"/>
    <w:rsid w:val="000F4E33"/>
    <w:rsid w:val="00103C2C"/>
    <w:rsid w:val="0010546E"/>
    <w:rsid w:val="00112CA7"/>
    <w:rsid w:val="00117D81"/>
    <w:rsid w:val="00120AEA"/>
    <w:rsid w:val="001235BC"/>
    <w:rsid w:val="001329D2"/>
    <w:rsid w:val="00137A65"/>
    <w:rsid w:val="00143FDA"/>
    <w:rsid w:val="0014410F"/>
    <w:rsid w:val="00146EF8"/>
    <w:rsid w:val="00151411"/>
    <w:rsid w:val="00154090"/>
    <w:rsid w:val="001565A6"/>
    <w:rsid w:val="001571D4"/>
    <w:rsid w:val="0016037C"/>
    <w:rsid w:val="00161D13"/>
    <w:rsid w:val="001769F1"/>
    <w:rsid w:val="00181824"/>
    <w:rsid w:val="00192224"/>
    <w:rsid w:val="001969AB"/>
    <w:rsid w:val="0019729A"/>
    <w:rsid w:val="001A4266"/>
    <w:rsid w:val="001B02C6"/>
    <w:rsid w:val="001B39A3"/>
    <w:rsid w:val="001B48F8"/>
    <w:rsid w:val="001B53CD"/>
    <w:rsid w:val="001C7547"/>
    <w:rsid w:val="001D0166"/>
    <w:rsid w:val="001D41AC"/>
    <w:rsid w:val="001E3B9A"/>
    <w:rsid w:val="001E3D6E"/>
    <w:rsid w:val="001F0F8A"/>
    <w:rsid w:val="001F394D"/>
    <w:rsid w:val="001F4C3E"/>
    <w:rsid w:val="0020155D"/>
    <w:rsid w:val="00202036"/>
    <w:rsid w:val="00202B43"/>
    <w:rsid w:val="00207B72"/>
    <w:rsid w:val="0021775F"/>
    <w:rsid w:val="00217F26"/>
    <w:rsid w:val="00226006"/>
    <w:rsid w:val="00226766"/>
    <w:rsid w:val="0023707E"/>
    <w:rsid w:val="00247F9C"/>
    <w:rsid w:val="0025341F"/>
    <w:rsid w:val="00262483"/>
    <w:rsid w:val="00265648"/>
    <w:rsid w:val="00271261"/>
    <w:rsid w:val="0027332E"/>
    <w:rsid w:val="00273741"/>
    <w:rsid w:val="002863E6"/>
    <w:rsid w:val="00290572"/>
    <w:rsid w:val="0029451E"/>
    <w:rsid w:val="00296326"/>
    <w:rsid w:val="002966EF"/>
    <w:rsid w:val="00296B18"/>
    <w:rsid w:val="00297A45"/>
    <w:rsid w:val="002B124B"/>
    <w:rsid w:val="002C0069"/>
    <w:rsid w:val="002C0230"/>
    <w:rsid w:val="002C04C4"/>
    <w:rsid w:val="002C3EDF"/>
    <w:rsid w:val="002D110E"/>
    <w:rsid w:val="002D156D"/>
    <w:rsid w:val="002D51EC"/>
    <w:rsid w:val="002E77B2"/>
    <w:rsid w:val="002F7ADD"/>
    <w:rsid w:val="003028DE"/>
    <w:rsid w:val="0030416B"/>
    <w:rsid w:val="003101C2"/>
    <w:rsid w:val="00310271"/>
    <w:rsid w:val="00324229"/>
    <w:rsid w:val="00327089"/>
    <w:rsid w:val="00327D15"/>
    <w:rsid w:val="003300D6"/>
    <w:rsid w:val="00335134"/>
    <w:rsid w:val="003403DB"/>
    <w:rsid w:val="00340979"/>
    <w:rsid w:val="0035415A"/>
    <w:rsid w:val="00361237"/>
    <w:rsid w:val="00362279"/>
    <w:rsid w:val="003622FF"/>
    <w:rsid w:val="00384251"/>
    <w:rsid w:val="003A3A52"/>
    <w:rsid w:val="003B1C12"/>
    <w:rsid w:val="003B5764"/>
    <w:rsid w:val="003C51CF"/>
    <w:rsid w:val="003D1D8E"/>
    <w:rsid w:val="003D1EDE"/>
    <w:rsid w:val="003D4171"/>
    <w:rsid w:val="003E4069"/>
    <w:rsid w:val="003E6DFB"/>
    <w:rsid w:val="003E724D"/>
    <w:rsid w:val="003E7A9B"/>
    <w:rsid w:val="003F09B7"/>
    <w:rsid w:val="003F1596"/>
    <w:rsid w:val="003F1C14"/>
    <w:rsid w:val="004263E7"/>
    <w:rsid w:val="0044751D"/>
    <w:rsid w:val="004479C2"/>
    <w:rsid w:val="0046548A"/>
    <w:rsid w:val="00475E88"/>
    <w:rsid w:val="00477533"/>
    <w:rsid w:val="00481361"/>
    <w:rsid w:val="00493EBA"/>
    <w:rsid w:val="004B1C07"/>
    <w:rsid w:val="004C3392"/>
    <w:rsid w:val="004C4BC5"/>
    <w:rsid w:val="004D1B5F"/>
    <w:rsid w:val="004D3B93"/>
    <w:rsid w:val="004D55A3"/>
    <w:rsid w:val="004D76E0"/>
    <w:rsid w:val="004E7637"/>
    <w:rsid w:val="004F42E9"/>
    <w:rsid w:val="004F4934"/>
    <w:rsid w:val="004F6213"/>
    <w:rsid w:val="00530B31"/>
    <w:rsid w:val="00535253"/>
    <w:rsid w:val="00540EF4"/>
    <w:rsid w:val="00541CDE"/>
    <w:rsid w:val="005534C9"/>
    <w:rsid w:val="0056351D"/>
    <w:rsid w:val="005724B9"/>
    <w:rsid w:val="0057633D"/>
    <w:rsid w:val="005915C3"/>
    <w:rsid w:val="00596F0E"/>
    <w:rsid w:val="005A016A"/>
    <w:rsid w:val="005A7E15"/>
    <w:rsid w:val="005B203B"/>
    <w:rsid w:val="005B70A7"/>
    <w:rsid w:val="005B73A5"/>
    <w:rsid w:val="005D4423"/>
    <w:rsid w:val="005E2A56"/>
    <w:rsid w:val="005E4468"/>
    <w:rsid w:val="005F0AD8"/>
    <w:rsid w:val="005F0D1B"/>
    <w:rsid w:val="005F2146"/>
    <w:rsid w:val="005F4738"/>
    <w:rsid w:val="005F7B0B"/>
    <w:rsid w:val="006040F2"/>
    <w:rsid w:val="0061409F"/>
    <w:rsid w:val="00615AC2"/>
    <w:rsid w:val="00624CD2"/>
    <w:rsid w:val="006254D1"/>
    <w:rsid w:val="00630D16"/>
    <w:rsid w:val="0063285D"/>
    <w:rsid w:val="00636386"/>
    <w:rsid w:val="006413D5"/>
    <w:rsid w:val="006417B7"/>
    <w:rsid w:val="006478E3"/>
    <w:rsid w:val="00651F2F"/>
    <w:rsid w:val="00654477"/>
    <w:rsid w:val="00656323"/>
    <w:rsid w:val="00671E8F"/>
    <w:rsid w:val="00673112"/>
    <w:rsid w:val="006948D9"/>
    <w:rsid w:val="00697DC0"/>
    <w:rsid w:val="006A4097"/>
    <w:rsid w:val="006A4AD7"/>
    <w:rsid w:val="006A6747"/>
    <w:rsid w:val="006B607E"/>
    <w:rsid w:val="006C27F1"/>
    <w:rsid w:val="006C38FB"/>
    <w:rsid w:val="006D4D16"/>
    <w:rsid w:val="006E0EE8"/>
    <w:rsid w:val="006E3AB3"/>
    <w:rsid w:val="006E5717"/>
    <w:rsid w:val="00701EB2"/>
    <w:rsid w:val="007102B0"/>
    <w:rsid w:val="00712A5C"/>
    <w:rsid w:val="0072361A"/>
    <w:rsid w:val="0073715A"/>
    <w:rsid w:val="00740F22"/>
    <w:rsid w:val="0074180F"/>
    <w:rsid w:val="0074716C"/>
    <w:rsid w:val="00752166"/>
    <w:rsid w:val="00755054"/>
    <w:rsid w:val="00762E84"/>
    <w:rsid w:val="00765174"/>
    <w:rsid w:val="00767B8C"/>
    <w:rsid w:val="007710D9"/>
    <w:rsid w:val="00772EF7"/>
    <w:rsid w:val="00776DA2"/>
    <w:rsid w:val="00780474"/>
    <w:rsid w:val="00780908"/>
    <w:rsid w:val="0078379C"/>
    <w:rsid w:val="00785775"/>
    <w:rsid w:val="00792104"/>
    <w:rsid w:val="007932F9"/>
    <w:rsid w:val="007A2794"/>
    <w:rsid w:val="007C0402"/>
    <w:rsid w:val="007C2E6C"/>
    <w:rsid w:val="007C7C22"/>
    <w:rsid w:val="007D11DA"/>
    <w:rsid w:val="007D2BE7"/>
    <w:rsid w:val="007D6BF4"/>
    <w:rsid w:val="007D767C"/>
    <w:rsid w:val="007E4044"/>
    <w:rsid w:val="007E63B1"/>
    <w:rsid w:val="007E74B2"/>
    <w:rsid w:val="007F2284"/>
    <w:rsid w:val="007F4C79"/>
    <w:rsid w:val="00806B24"/>
    <w:rsid w:val="00810147"/>
    <w:rsid w:val="0081591F"/>
    <w:rsid w:val="00827DCF"/>
    <w:rsid w:val="00830191"/>
    <w:rsid w:val="008328AC"/>
    <w:rsid w:val="00842C58"/>
    <w:rsid w:val="00846478"/>
    <w:rsid w:val="00850CC0"/>
    <w:rsid w:val="00853A59"/>
    <w:rsid w:val="00860F04"/>
    <w:rsid w:val="00874DD7"/>
    <w:rsid w:val="0088539F"/>
    <w:rsid w:val="00887C1C"/>
    <w:rsid w:val="00897CF9"/>
    <w:rsid w:val="008A66ED"/>
    <w:rsid w:val="008A7865"/>
    <w:rsid w:val="008B2271"/>
    <w:rsid w:val="008D14C1"/>
    <w:rsid w:val="008D783E"/>
    <w:rsid w:val="008E1511"/>
    <w:rsid w:val="008F098C"/>
    <w:rsid w:val="00900385"/>
    <w:rsid w:val="00901773"/>
    <w:rsid w:val="0090710A"/>
    <w:rsid w:val="00907770"/>
    <w:rsid w:val="00911189"/>
    <w:rsid w:val="0092097F"/>
    <w:rsid w:val="00926065"/>
    <w:rsid w:val="00927222"/>
    <w:rsid w:val="00930007"/>
    <w:rsid w:val="009312B7"/>
    <w:rsid w:val="009335D4"/>
    <w:rsid w:val="009347BD"/>
    <w:rsid w:val="00941434"/>
    <w:rsid w:val="009447C1"/>
    <w:rsid w:val="00950EF0"/>
    <w:rsid w:val="0095461C"/>
    <w:rsid w:val="009765BC"/>
    <w:rsid w:val="00986073"/>
    <w:rsid w:val="00986CCF"/>
    <w:rsid w:val="00990A3D"/>
    <w:rsid w:val="009940E5"/>
    <w:rsid w:val="00997D51"/>
    <w:rsid w:val="009A063D"/>
    <w:rsid w:val="009A77DB"/>
    <w:rsid w:val="009B644F"/>
    <w:rsid w:val="009C1D70"/>
    <w:rsid w:val="009C2732"/>
    <w:rsid w:val="009C2F82"/>
    <w:rsid w:val="009D545A"/>
    <w:rsid w:val="009E153B"/>
    <w:rsid w:val="009E5687"/>
    <w:rsid w:val="009E5B67"/>
    <w:rsid w:val="009E626E"/>
    <w:rsid w:val="009F4DCB"/>
    <w:rsid w:val="00A02EAC"/>
    <w:rsid w:val="00A03BA6"/>
    <w:rsid w:val="00A03E75"/>
    <w:rsid w:val="00A13F57"/>
    <w:rsid w:val="00A2005C"/>
    <w:rsid w:val="00A227E7"/>
    <w:rsid w:val="00A25EE3"/>
    <w:rsid w:val="00A35ED9"/>
    <w:rsid w:val="00A430D4"/>
    <w:rsid w:val="00A4450B"/>
    <w:rsid w:val="00A47ECA"/>
    <w:rsid w:val="00A66D2D"/>
    <w:rsid w:val="00A729A0"/>
    <w:rsid w:val="00A86F6F"/>
    <w:rsid w:val="00A91F26"/>
    <w:rsid w:val="00A931D6"/>
    <w:rsid w:val="00A93BFA"/>
    <w:rsid w:val="00AA60C2"/>
    <w:rsid w:val="00AA6CBF"/>
    <w:rsid w:val="00AC0D42"/>
    <w:rsid w:val="00AD7923"/>
    <w:rsid w:val="00AE2593"/>
    <w:rsid w:val="00AE2F57"/>
    <w:rsid w:val="00AF4CCF"/>
    <w:rsid w:val="00B0233D"/>
    <w:rsid w:val="00B02D8E"/>
    <w:rsid w:val="00B165CB"/>
    <w:rsid w:val="00B31C59"/>
    <w:rsid w:val="00B356A6"/>
    <w:rsid w:val="00B37686"/>
    <w:rsid w:val="00B54886"/>
    <w:rsid w:val="00B60D4C"/>
    <w:rsid w:val="00B74148"/>
    <w:rsid w:val="00B87CB1"/>
    <w:rsid w:val="00B9001B"/>
    <w:rsid w:val="00BA3072"/>
    <w:rsid w:val="00BA3B31"/>
    <w:rsid w:val="00BC7802"/>
    <w:rsid w:val="00BD28DB"/>
    <w:rsid w:val="00BE17AB"/>
    <w:rsid w:val="00BF3F93"/>
    <w:rsid w:val="00BF45D8"/>
    <w:rsid w:val="00BF5EC5"/>
    <w:rsid w:val="00BF6749"/>
    <w:rsid w:val="00BF735E"/>
    <w:rsid w:val="00C10698"/>
    <w:rsid w:val="00C11F5F"/>
    <w:rsid w:val="00C14B6A"/>
    <w:rsid w:val="00C211EA"/>
    <w:rsid w:val="00C300A8"/>
    <w:rsid w:val="00C37553"/>
    <w:rsid w:val="00C52281"/>
    <w:rsid w:val="00C56A98"/>
    <w:rsid w:val="00C8218A"/>
    <w:rsid w:val="00CA1E26"/>
    <w:rsid w:val="00CA5259"/>
    <w:rsid w:val="00CC0601"/>
    <w:rsid w:val="00CC421E"/>
    <w:rsid w:val="00CC75E4"/>
    <w:rsid w:val="00CD1162"/>
    <w:rsid w:val="00CD3A81"/>
    <w:rsid w:val="00CD3DC5"/>
    <w:rsid w:val="00CD4A1D"/>
    <w:rsid w:val="00CE2AC6"/>
    <w:rsid w:val="00D0118B"/>
    <w:rsid w:val="00D05248"/>
    <w:rsid w:val="00D1165D"/>
    <w:rsid w:val="00D5098E"/>
    <w:rsid w:val="00D528B1"/>
    <w:rsid w:val="00D602DD"/>
    <w:rsid w:val="00D621EE"/>
    <w:rsid w:val="00D66906"/>
    <w:rsid w:val="00D67AA9"/>
    <w:rsid w:val="00D72769"/>
    <w:rsid w:val="00D80CC6"/>
    <w:rsid w:val="00D80CE4"/>
    <w:rsid w:val="00D92873"/>
    <w:rsid w:val="00D941C5"/>
    <w:rsid w:val="00D94CAC"/>
    <w:rsid w:val="00D95784"/>
    <w:rsid w:val="00D9661F"/>
    <w:rsid w:val="00DA28AD"/>
    <w:rsid w:val="00DA5524"/>
    <w:rsid w:val="00DA6D75"/>
    <w:rsid w:val="00DB1410"/>
    <w:rsid w:val="00DB55BB"/>
    <w:rsid w:val="00DB767B"/>
    <w:rsid w:val="00DC59D9"/>
    <w:rsid w:val="00DE5075"/>
    <w:rsid w:val="00DE574B"/>
    <w:rsid w:val="00E033AA"/>
    <w:rsid w:val="00E05AA7"/>
    <w:rsid w:val="00E23206"/>
    <w:rsid w:val="00E24982"/>
    <w:rsid w:val="00E25456"/>
    <w:rsid w:val="00E25E3D"/>
    <w:rsid w:val="00E40024"/>
    <w:rsid w:val="00E420A5"/>
    <w:rsid w:val="00E473D3"/>
    <w:rsid w:val="00E47B10"/>
    <w:rsid w:val="00E51898"/>
    <w:rsid w:val="00E51EF1"/>
    <w:rsid w:val="00E52EFB"/>
    <w:rsid w:val="00E805A4"/>
    <w:rsid w:val="00E847B0"/>
    <w:rsid w:val="00E84DD0"/>
    <w:rsid w:val="00E84F9D"/>
    <w:rsid w:val="00E85B68"/>
    <w:rsid w:val="00E92CBD"/>
    <w:rsid w:val="00EA2312"/>
    <w:rsid w:val="00EA56FC"/>
    <w:rsid w:val="00EA6CED"/>
    <w:rsid w:val="00EB3C1C"/>
    <w:rsid w:val="00EB3FDD"/>
    <w:rsid w:val="00EB4B8F"/>
    <w:rsid w:val="00EC299D"/>
    <w:rsid w:val="00EC48A4"/>
    <w:rsid w:val="00ED36F8"/>
    <w:rsid w:val="00ED7C92"/>
    <w:rsid w:val="00EE176D"/>
    <w:rsid w:val="00EE7056"/>
    <w:rsid w:val="00EF0A4E"/>
    <w:rsid w:val="00EF125A"/>
    <w:rsid w:val="00EF2439"/>
    <w:rsid w:val="00F00C9F"/>
    <w:rsid w:val="00F03110"/>
    <w:rsid w:val="00F15845"/>
    <w:rsid w:val="00F16930"/>
    <w:rsid w:val="00F261C1"/>
    <w:rsid w:val="00F434C2"/>
    <w:rsid w:val="00F4464E"/>
    <w:rsid w:val="00F44AF0"/>
    <w:rsid w:val="00F60200"/>
    <w:rsid w:val="00F61C48"/>
    <w:rsid w:val="00F66FF1"/>
    <w:rsid w:val="00F72E18"/>
    <w:rsid w:val="00F744A9"/>
    <w:rsid w:val="00F74BC4"/>
    <w:rsid w:val="00F74ED8"/>
    <w:rsid w:val="00F74F87"/>
    <w:rsid w:val="00F8302C"/>
    <w:rsid w:val="00F84AB7"/>
    <w:rsid w:val="00FA176A"/>
    <w:rsid w:val="00FA350E"/>
    <w:rsid w:val="00FA4178"/>
    <w:rsid w:val="00FA6697"/>
    <w:rsid w:val="00FB1A18"/>
    <w:rsid w:val="00FB2557"/>
    <w:rsid w:val="00FB6ADF"/>
    <w:rsid w:val="00FC4A6E"/>
    <w:rsid w:val="00FD1446"/>
    <w:rsid w:val="00FD6D67"/>
    <w:rsid w:val="00FE176C"/>
    <w:rsid w:val="00FE2009"/>
    <w:rsid w:val="00FF37FE"/>
    <w:rsid w:val="00FF5137"/>
    <w:rsid w:val="00FF5303"/>
    <w:rsid w:val="20774953"/>
    <w:rsid w:val="240903AF"/>
    <w:rsid w:val="48D25BE3"/>
    <w:rsid w:val="50F13BE4"/>
    <w:rsid w:val="52EF1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semiHidden/>
    <w:unhideWhenUsed/>
    <w:uiPriority w:val="99"/>
    <w:pPr>
      <w:jc w:val="left"/>
    </w:pPr>
  </w:style>
  <w:style w:type="paragraph" w:styleId="3">
    <w:name w:val="Balloon Text"/>
    <w:basedOn w:val="1"/>
    <w:link w:val="16"/>
    <w:semiHidden/>
    <w:unhideWhenUsed/>
    <w:uiPriority w:val="99"/>
    <w:rPr>
      <w:sz w:val="18"/>
      <w:szCs w:val="18"/>
    </w:rPr>
  </w:style>
  <w:style w:type="paragraph" w:styleId="4">
    <w:name w:val="footer"/>
    <w:basedOn w:val="1"/>
    <w:link w:val="18"/>
    <w:unhideWhenUsed/>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unhideWhenUsed/>
    <w:uiPriority w:val="99"/>
    <w:pPr>
      <w:snapToGrid w:val="0"/>
      <w:jc w:val="left"/>
    </w:pPr>
    <w:rPr>
      <w:sz w:val="18"/>
      <w:szCs w:val="18"/>
    </w:rPr>
  </w:style>
  <w:style w:type="paragraph" w:styleId="7">
    <w:name w:val="annotation subject"/>
    <w:basedOn w:val="2"/>
    <w:next w:val="2"/>
    <w:link w:val="24"/>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w:basedOn w:val="8"/>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12">
    <w:name w:val="FollowedHyperlink"/>
    <w:basedOn w:val="11"/>
    <w:semiHidden/>
    <w:unhideWhenUsed/>
    <w:uiPriority w:val="99"/>
    <w:rPr>
      <w:color w:val="800080" w:themeColor="followedHyperlink"/>
      <w:u w:val="single"/>
      <w14:textFill>
        <w14:solidFill>
          <w14:schemeClr w14:val="folHlink"/>
        </w14:solidFill>
      </w14:textFill>
    </w:rPr>
  </w:style>
  <w:style w:type="character" w:styleId="13">
    <w:name w:val="Hyperlink"/>
    <w:basedOn w:val="11"/>
    <w:unhideWhenUsed/>
    <w:uiPriority w:val="99"/>
    <w:rPr>
      <w:color w:val="0000FF" w:themeColor="hyperlink"/>
      <w:u w:val="single"/>
      <w14:textFill>
        <w14:solidFill>
          <w14:schemeClr w14:val="hlink"/>
        </w14:solidFill>
      </w14:textFill>
    </w:rPr>
  </w:style>
  <w:style w:type="character" w:styleId="14">
    <w:name w:val="annotation reference"/>
    <w:basedOn w:val="11"/>
    <w:semiHidden/>
    <w:unhideWhenUsed/>
    <w:uiPriority w:val="99"/>
    <w:rPr>
      <w:sz w:val="21"/>
      <w:szCs w:val="21"/>
    </w:rPr>
  </w:style>
  <w:style w:type="character" w:styleId="15">
    <w:name w:val="footnote reference"/>
    <w:basedOn w:val="11"/>
    <w:unhideWhenUsed/>
    <w:uiPriority w:val="99"/>
    <w:rPr>
      <w:vertAlign w:val="superscript"/>
    </w:rPr>
  </w:style>
  <w:style w:type="character" w:customStyle="1" w:styleId="16">
    <w:name w:val="批注框文本 字符"/>
    <w:basedOn w:val="11"/>
    <w:link w:val="3"/>
    <w:semiHidden/>
    <w:uiPriority w:val="99"/>
    <w:rPr>
      <w:sz w:val="18"/>
      <w:szCs w:val="18"/>
    </w:rPr>
  </w:style>
  <w:style w:type="character" w:customStyle="1" w:styleId="17">
    <w:name w:val="页眉 字符"/>
    <w:basedOn w:val="11"/>
    <w:link w:val="5"/>
    <w:qFormat/>
    <w:uiPriority w:val="99"/>
    <w:rPr>
      <w:sz w:val="18"/>
      <w:szCs w:val="18"/>
    </w:rPr>
  </w:style>
  <w:style w:type="character" w:customStyle="1" w:styleId="18">
    <w:name w:val="页脚 字符"/>
    <w:basedOn w:val="11"/>
    <w:link w:val="4"/>
    <w:uiPriority w:val="99"/>
    <w:rPr>
      <w:sz w:val="18"/>
      <w:szCs w:val="18"/>
    </w:rPr>
  </w:style>
  <w:style w:type="paragraph" w:customStyle="1" w:styleId="19">
    <w:name w:val="Defaul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0">
    <w:name w:val="Placeholder Text"/>
    <w:basedOn w:val="11"/>
    <w:semiHidden/>
    <w:uiPriority w:val="99"/>
    <w:rPr>
      <w:color w:val="808080"/>
    </w:rPr>
  </w:style>
  <w:style w:type="character" w:customStyle="1" w:styleId="21">
    <w:name w:val="脚注文本 字符"/>
    <w:basedOn w:val="11"/>
    <w:link w:val="6"/>
    <w:qFormat/>
    <w:uiPriority w:val="99"/>
    <w:rPr>
      <w:sz w:val="18"/>
      <w:szCs w:val="18"/>
    </w:rPr>
  </w:style>
  <w:style w:type="character" w:customStyle="1" w:styleId="22">
    <w:name w:val="15"/>
    <w:basedOn w:val="11"/>
    <w:qFormat/>
    <w:uiPriority w:val="0"/>
    <w:rPr>
      <w:rFonts w:hint="default" w:ascii="Calibri" w:hAnsi="Calibri"/>
      <w:vertAlign w:val="superscript"/>
    </w:rPr>
  </w:style>
  <w:style w:type="character" w:customStyle="1" w:styleId="23">
    <w:name w:val="批注文字 字符"/>
    <w:basedOn w:val="11"/>
    <w:link w:val="2"/>
    <w:semiHidden/>
    <w:qFormat/>
    <w:uiPriority w:val="99"/>
  </w:style>
  <w:style w:type="character" w:customStyle="1" w:styleId="24">
    <w:name w:val="批注主题 字符"/>
    <w:basedOn w:val="23"/>
    <w:link w:val="7"/>
    <w:semiHidden/>
    <w:qFormat/>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176ED-D6A9-4185-9C44-43BA5558406B}">
  <ds:schemaRefs/>
</ds:datastoreItem>
</file>

<file path=docProps/app.xml><?xml version="1.0" encoding="utf-8"?>
<Properties xmlns="http://schemas.openxmlformats.org/officeDocument/2006/extended-properties" xmlns:vt="http://schemas.openxmlformats.org/officeDocument/2006/docPropsVTypes">
  <Template>Normal</Template>
  <Company>MS</Company>
  <Pages>16</Pages>
  <Words>3238</Words>
  <Characters>5678</Characters>
  <Lines>12</Lines>
  <Paragraphs>3</Paragraphs>
  <TotalTime>8</TotalTime>
  <ScaleCrop>false</ScaleCrop>
  <LinksUpToDate>false</LinksUpToDate>
  <CharactersWithSpaces>6108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2020-05-19T01:48:00Z</dcterms:created>
  <dc:creator>USER-</dc:creator>
  <cp:lastModifiedBy>傅宇轩</cp:lastModifiedBy>
  <dcterms:modified xsi:type="dcterms:W3CDTF">2026-08-26T06:06:03Z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95E7BBC65A2148C199F1550A590EC1DF_13</vt:lpwstr>
  </property>
  <property fmtid="{D5CDD505-2E9C-101B-9397-08002B2CF9AE}" pid="4" name="KSOTemplateDocerSaveRecord">
    <vt:lpwstr>eyJoZGlkIjoiM2YxZjgwMDdiMTY0M2JkZGU1ZmU0ZGJlZDBhOWMzN2IiLCJ1c2VySWQiOiIyMTUyODA0MCJ9</vt:lpwstr>
  </property>
</Properties>
</file>