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20"/>
      </w:pPr>
      <w:r>
        <w:rPr>
          <w:rFonts w:ascii="Calibri" w:hAnsi="Calibri" w:eastAsia="微软雅黑"/>
          <w:b/>
          <w:i w:val="0"/>
          <w:color w:val="1F4E79"/>
          <w:sz w:val="30"/>
        </w:rPr>
        <w:t>论文章节：数值模型尺寸设计（对齐 slope_frame_ssi_full_v1.py）</w:t>
      </w:r>
    </w:p>
    <w:tbl>
      <w:tblPr>
        <w:tblW w:type="auto" w:w="0"/>
        <w:jc w:val="center"/>
        <w:tblLook w:firstColumn="1" w:firstRow="1" w:lastColumn="0" w:lastRow="0" w:noHBand="0" w:noVBand="1" w:val="04A0"/>
      </w:tblPr>
      <w:tblGrid>
        <w:gridCol w:w="9360"/>
      </w:tblGrid>
      <w:tr>
        <w:tc>
          <w:tcPr>
            <w:tcW w:type="dxa" w:w="9360"/>
            <w:shd w:fill="FAFAFA"/>
          </w:tcPr>
          <w:p>
            <w:pPr>
              <w:spacing w:before="80" w:after="80" w:line="276" w:lineRule="auto"/>
            </w:pPr>
            <w:r>
              <w:rPr>
                <w:rFonts w:ascii="Calibri" w:hAnsi="Calibri" w:eastAsia="微软雅黑"/>
                <w:b/>
                <w:i/>
                <w:color w:val="505050"/>
                <w:sz w:val="19"/>
              </w:rPr>
              <w:t>使用说明（本块不入论文正文）</w:t>
            </w:r>
            <w:r>
              <w:rPr>
                <w:rFonts w:ascii="Calibri" w:hAnsi="Calibri" w:eastAsia="微软雅黑"/>
                <w:b w:val="0"/>
                <w:i/>
                <w:color w:val="505050"/>
                <w:sz w:val="19"/>
              </w:rPr>
              <w:br/>
              <w:t>正文从下方分隔线开始，可直接粘贴进毕业论文，章节编号按论文实际层级替换（文中以"3.x"占位）。</w:t>
              <w:br/>
              <w:t>图 3.x-1 在 `论文章节_模型尺寸设计_v1_figs/`（png/svg/pdf 三格式），由 `docs/draw_model_geometry_fig_v1.py` 生成，改参数后重跑即可更新。</w:t>
              <w:br/>
              <w:t>数值取值与公式与 `Modeling/Hybrid/slope_frame_ssi_full_v1.py`（`geometry_cfg` / `_resolve_geometry_cfg` / `mesh_cfg` / `time_cfg`）当前实现一致。</w:t>
            </w:r>
          </w:p>
        </w:tc>
      </w:tr>
    </w:tbl>
    <w:p>
      <w:pPr>
        <w:spacing w:before="40" w:after="40"/>
      </w:pPr>
    </w:p>
    <w:p>
      <w:pPr>
        <w:spacing w:before="60" w:after="60" w:line="300" w:lineRule="auto"/>
      </w:pPr>
      <w:r>
        <w:rPr>
          <w:rFonts w:ascii="Calibri" w:hAnsi="Calibri" w:eastAsia="微软雅黑"/>
          <w:b w:val="0"/>
          <w:i w:val="0"/>
          <w:sz w:val="21"/>
        </w:rPr>
        <w:t>---</w:t>
      </w:r>
    </w:p>
    <w:p>
      <w:pPr>
        <w:pStyle w:val="Heading2"/>
        <w:keepNext/>
        <w:spacing w:before="160" w:after="80"/>
      </w:pPr>
      <w:r>
        <w:rPr>
          <w:rFonts w:ascii="Calibri" w:hAnsi="Calibri" w:eastAsia="微软雅黑"/>
          <w:b/>
          <w:i w:val="0"/>
          <w:color w:val="1F4E79"/>
          <w:sz w:val="26"/>
        </w:rPr>
        <w:t>3.x 数值模型尺寸设计</w:t>
      </w:r>
    </w:p>
    <w:p>
      <w:pPr>
        <w:pStyle w:val="Heading3"/>
        <w:keepNext/>
        <w:spacing w:before="120" w:after="60"/>
      </w:pPr>
      <w:r>
        <w:rPr>
          <w:rFonts w:ascii="Calibri" w:hAnsi="Calibri" w:eastAsia="微软雅黑"/>
          <w:b/>
          <w:i w:val="0"/>
          <w:color w:val="1F4E79"/>
          <w:sz w:val="23"/>
        </w:rPr>
        <w:t>3.x.1 无量纲几何设计原则</w:t>
      </w:r>
    </w:p>
    <w:p>
      <w:pPr>
        <w:spacing w:before="60" w:after="60" w:line="300" w:lineRule="auto"/>
      </w:pPr>
      <w:r>
        <w:rPr>
          <w:rFonts w:ascii="Calibri" w:hAnsi="Calibri" w:eastAsia="微软雅黑"/>
          <w:b w:val="0"/>
          <w:i w:val="0"/>
          <w:sz w:val="21"/>
        </w:rPr>
        <w:t>斜坡地震动放大问题的控制因素是几何形状与波长的相对关系，而非模型的绝对尺寸。若将模型总长、平台长度等直接取为固定的绝对值，不同坡高、坡角的工况将无法保证一致的观测范围与边界净空，且参数化分析结果难以跨尺度推广。为此，本文采用无量纲几何设计：</w:t>
      </w:r>
      <w:r>
        <w:rPr>
          <w:rFonts w:ascii="Calibri" w:hAnsi="Calibri" w:eastAsia="微软雅黑"/>
          <w:b/>
          <w:i w:val="0"/>
          <w:sz w:val="21"/>
        </w:rPr>
        <w:t>以坡高 $h$（坡顶与坡脚地表的高程差）为唯一绝对尺度，模型其余各部位尺寸均表示为 $h$ 的倍数，由统一的换算关系导出</w:t>
      </w:r>
      <w:r>
        <w:rPr>
          <w:rFonts w:ascii="Calibri" w:hAnsi="Calibri" w:eastAsia="微软雅黑"/>
          <w:b w:val="0"/>
          <w:i w:val="0"/>
          <w:sz w:val="21"/>
        </w:rPr>
        <w:t>。模型总长度不预先固定，而是随坡高与坡角自然浮动。</w:t>
      </w:r>
    </w:p>
    <w:p>
      <w:pPr>
        <w:spacing w:before="60" w:after="60" w:line="300" w:lineRule="auto"/>
      </w:pPr>
      <w:r>
        <w:rPr>
          <w:rFonts w:ascii="Calibri" w:hAnsi="Calibri" w:eastAsia="微软雅黑"/>
          <w:b w:val="0"/>
          <w:i w:val="0"/>
          <w:sz w:val="21"/>
        </w:rPr>
        <w:t>该设计需给定的独立参数共 6 个：坡高 $h$、坡角 $i$、坡顶观测窗宽度系数 $A_{\max}$、坡脚观测窗宽度系数 $C_{\max}$、侧向边界净空系数 $c$ 以及坡脚面以下深度系数 $s$。其中 $h$、$i$ 为研究变量，其余 4 个为模型构造参数，取值论证见下节。值得强调的是，几何设计只负责模型外形：地层划分（土层数量、各层厚度与波速）不参与几何换算，由材料工况单独给定（见 3.x.3 节），因此改变地层配置不会引起模型外轮廓与网格总量的变化，保证了参数对比试验中变量的纯净性。</w:t>
      </w:r>
    </w:p>
    <w:p>
      <w:pPr>
        <w:pStyle w:val="Heading3"/>
        <w:keepNext/>
        <w:spacing w:before="120" w:after="60"/>
      </w:pPr>
      <w:r>
        <w:rPr>
          <w:rFonts w:ascii="Calibri" w:hAnsi="Calibri" w:eastAsia="微软雅黑"/>
          <w:b/>
          <w:i w:val="0"/>
          <w:color w:val="1F4E79"/>
          <w:sz w:val="23"/>
        </w:rPr>
        <w:t>3.x.2 平面尺寸的确定</w:t>
      </w:r>
    </w:p>
    <w:p>
      <w:pPr>
        <w:spacing w:before="60" w:after="60" w:line="300" w:lineRule="auto"/>
      </w:pPr>
      <w:r>
        <w:rPr>
          <w:rFonts w:ascii="Calibri" w:hAnsi="Calibri" w:eastAsia="微软雅黑"/>
          <w:b w:val="0"/>
          <w:i w:val="0"/>
          <w:sz w:val="21"/>
        </w:rPr>
        <w:t>模型沿地表自左向右分为坡顶平台、坡面与坡脚平台三段，整体几何构成与各部位尺寸如图 3.x-1 所示。各段长度的设计原则为"观测窗＋边界净空"：观测窗（图中红色加粗地表段）为需要提取地表响应的范围；净空为观测窗外缘到人工边界的过渡距离，用于隔离人工边界残余反射对观测区的污染。各部位尺寸按表 3.x-1 确定。</w:t>
      </w:r>
    </w:p>
    <w:p>
      <w:pPr>
        <w:jc w:val="center"/>
      </w:pPr>
      <w:r>
        <w:drawing>
          <wp:inline xmlns:a="http://schemas.openxmlformats.org/drawingml/2006/main" xmlns:pic="http://schemas.openxmlformats.org/drawingml/2006/picture">
            <wp:extent cx="5040000" cy="2430258"/>
            <wp:docPr id="1" name="Picture 1"/>
            <wp:cNvGraphicFramePr>
              <a:graphicFrameLocks noChangeAspect="1"/>
            </wp:cNvGraphicFramePr>
            <a:graphic>
              <a:graphicData uri="http://schemas.openxmlformats.org/drawingml/2006/picture">
                <pic:pic>
                  <pic:nvPicPr>
                    <pic:cNvPr id="0" name="模型尺寸设计示意图.png"/>
                    <pic:cNvPicPr/>
                  </pic:nvPicPr>
                  <pic:blipFill>
                    <a:blip r:embed="rId9"/>
                    <a:stretch>
                      <a:fillRect/>
                    </a:stretch>
                  </pic:blipFill>
                  <pic:spPr>
                    <a:xfrm>
                      <a:off x="0" y="0"/>
                      <a:ext cx="5040000" cy="2430258"/>
                    </a:xfrm>
                    <a:prstGeom prst="rect"/>
                  </pic:spPr>
                </pic:pic>
              </a:graphicData>
            </a:graphic>
          </wp:inline>
        </w:drawing>
      </w:r>
    </w:p>
    <w:p>
      <w:pPr>
        <w:spacing w:before="40" w:after="120"/>
        <w:jc w:val="center"/>
      </w:pPr>
      <w:r>
        <w:rPr>
          <w:rFonts w:ascii="Calibri" w:hAnsi="Calibri" w:eastAsia="微软雅黑"/>
          <w:b w:val="0"/>
          <w:i/>
          <w:color w:val="505050"/>
          <w:sz w:val="18"/>
        </w:rPr>
        <w:t>图 3.x-1 数值模型尺寸设计示意图（长度均以坡高 h 为单位）</w:t>
      </w:r>
    </w:p>
    <w:p>
      <w:pPr>
        <w:spacing w:before="60" w:after="60" w:line="300" w:lineRule="auto"/>
      </w:pPr>
      <w:r>
        <w:rPr>
          <w:rFonts w:ascii="Calibri" w:hAnsi="Calibri" w:eastAsia="微软雅黑"/>
          <w:b/>
          <w:i w:val="0"/>
          <w:sz w:val="21"/>
        </w:rPr>
        <w:t>图 3.x-1 数值模型尺寸设计示意图</w:t>
      </w:r>
      <w:r>
        <w:rPr>
          <w:rFonts w:ascii="Calibri" w:hAnsi="Calibri" w:eastAsia="微软雅黑"/>
          <w:b w:val="0"/>
          <w:i w:val="0"/>
          <w:sz w:val="21"/>
        </w:rPr>
        <w:t>（长度均以坡高 $h$ 为单位；红色加粗段为坡顶/坡脚观测窗，蓝色虚线为粘弹性人工边界；坡脚面以下深度 $s\,h$ 恒定，土层数不定、逐层给厚度，剩余深度归基岩，$N=0$ 时全坡为基岩）</w:t>
      </w:r>
    </w:p>
    <w:p>
      <w:pPr>
        <w:spacing w:before="60" w:after="60" w:line="300" w:lineRule="auto"/>
      </w:pPr>
      <w:r>
        <w:rPr>
          <w:rFonts w:ascii="Calibri" w:hAnsi="Calibri" w:eastAsia="微软雅黑"/>
          <w:b/>
          <w:i w:val="0"/>
          <w:sz w:val="21"/>
        </w:rPr>
        <w:t>表 3.x-1 模型各部位尺寸（以坡高 $h$ 为单位）</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spacing w:before="60" w:after="60"/>
              <w:jc w:val="center"/>
            </w:pPr>
            <w:r>
              <w:rPr>
                <w:rFonts w:ascii="Calibri" w:hAnsi="Calibri" w:eastAsia="微软雅黑"/>
                <w:b/>
                <w:i w:val="0"/>
                <w:color w:val="FFFFFF"/>
                <w:sz w:val="19"/>
              </w:rPr>
              <w:t>部位</w:t>
            </w:r>
          </w:p>
        </w:tc>
        <w:tc>
          <w:tcPr>
            <w:tcW w:type="dxa" w:w="3120"/>
            <w:shd w:fill="1F4E79"/>
          </w:tcPr>
          <w:p>
            <w:pPr>
              <w:spacing w:before="60" w:after="60"/>
              <w:jc w:val="center"/>
            </w:pPr>
            <w:r>
              <w:rPr>
                <w:rFonts w:ascii="Calibri" w:hAnsi="Calibri" w:eastAsia="微软雅黑"/>
                <w:b/>
                <w:i w:val="0"/>
                <w:color w:val="FFFFFF"/>
                <w:sz w:val="19"/>
              </w:rPr>
              <w:t>计算式</w:t>
            </w:r>
          </w:p>
        </w:tc>
        <w:tc>
          <w:tcPr>
            <w:tcW w:type="dxa" w:w="3120"/>
            <w:shd w:fill="1F4E79"/>
          </w:tcPr>
          <w:p>
            <w:pPr>
              <w:spacing w:before="60" w:after="60"/>
              <w:jc w:val="center"/>
            </w:pPr>
            <w:r>
              <w:rPr>
                <w:rFonts w:ascii="Calibri" w:hAnsi="Calibri" w:eastAsia="微软雅黑"/>
                <w:b/>
                <w:i w:val="0"/>
                <w:color w:val="FFFFFF"/>
                <w:sz w:val="19"/>
              </w:rPr>
              <w:t>说明</w:t>
            </w:r>
          </w:p>
        </w:tc>
      </w:tr>
      <w:tr>
        <w:tc>
          <w:tcPr>
            <w:tcW w:type="dxa" w:w="3120"/>
            <w:shd w:fill="F9F9F9"/>
          </w:tcPr>
          <w:p>
            <w:pPr>
              <w:spacing w:before="40" w:after="40"/>
              <w:jc w:val="left"/>
            </w:pPr>
            <w:r/>
            <w:r>
              <w:rPr>
                <w:rFonts w:ascii="Calibri" w:hAnsi="Calibri" w:eastAsia="微软雅黑"/>
                <w:b w:val="0"/>
                <w:i w:val="0"/>
                <w:sz w:val="18"/>
              </w:rPr>
              <w:t>坡顶平台长度$L_A$</w:t>
            </w:r>
          </w:p>
        </w:tc>
        <w:tc>
          <w:tcPr>
            <w:tcW w:type="dxa" w:w="3120"/>
            <w:shd w:fill="F9F9F9"/>
          </w:tcPr>
          <w:p>
            <w:pPr>
              <w:spacing w:before="40" w:after="40"/>
              <w:jc w:val="center"/>
            </w:pPr>
            <w:r/>
            <w:r>
              <w:rPr>
                <w:rFonts w:ascii="Calibri" w:hAnsi="Calibri" w:eastAsia="微软雅黑"/>
                <w:b w:val="0"/>
                <w:i w:val="0"/>
                <w:sz w:val="18"/>
              </w:rPr>
              <w:t>$(A_{\max}+c)\,h$</w:t>
            </w:r>
          </w:p>
        </w:tc>
        <w:tc>
          <w:tcPr>
            <w:tcW w:type="dxa" w:w="3120"/>
            <w:shd w:fill="F9F9F9"/>
          </w:tcPr>
          <w:p>
            <w:pPr>
              <w:spacing w:before="40" w:after="40"/>
              <w:jc w:val="center"/>
            </w:pPr>
            <w:r/>
            <w:r>
              <w:rPr>
                <w:rFonts w:ascii="Calibri" w:hAnsi="Calibri" w:eastAsia="微软雅黑"/>
                <w:b w:val="0"/>
                <w:i w:val="0"/>
                <w:sz w:val="18"/>
              </w:rPr>
              <w:t>观测窗$A_{\max}h$ ＋ 左边界净空 $c\,h$，与坡角无关</w:t>
            </w:r>
          </w:p>
        </w:tc>
      </w:tr>
      <w:tr>
        <w:tc>
          <w:tcPr>
            <w:tcW w:type="dxa" w:w="3120"/>
          </w:tcPr>
          <w:p>
            <w:pPr>
              <w:spacing w:before="40" w:after="40"/>
              <w:jc w:val="left"/>
            </w:pPr>
            <w:r/>
            <w:r>
              <w:rPr>
                <w:rFonts w:ascii="Calibri" w:hAnsi="Calibri" w:eastAsia="微软雅黑"/>
                <w:b w:val="0"/>
                <w:i w:val="0"/>
                <w:sz w:val="18"/>
              </w:rPr>
              <w:t>坡面水平投影长$L_B$</w:t>
            </w:r>
          </w:p>
        </w:tc>
        <w:tc>
          <w:tcPr>
            <w:tcW w:type="dxa" w:w="3120"/>
          </w:tcPr>
          <w:p>
            <w:pPr>
              <w:spacing w:before="40" w:after="40"/>
              <w:jc w:val="center"/>
            </w:pPr>
            <w:r/>
            <w:r>
              <w:rPr>
                <w:rFonts w:ascii="Calibri" w:hAnsi="Calibri" w:eastAsia="微软雅黑"/>
                <w:b w:val="0"/>
                <w:i w:val="0"/>
                <w:sz w:val="18"/>
              </w:rPr>
              <w:t>$h/\tan i$</w:t>
            </w:r>
          </w:p>
        </w:tc>
        <w:tc>
          <w:tcPr>
            <w:tcW w:type="dxa" w:w="3120"/>
          </w:tcPr>
          <w:p>
            <w:pPr>
              <w:spacing w:before="40" w:after="40"/>
              <w:jc w:val="center"/>
            </w:pPr>
            <w:r/>
            <w:r>
              <w:rPr>
                <w:rFonts w:ascii="Calibri" w:hAnsi="Calibri" w:eastAsia="微软雅黑"/>
                <w:b w:val="0"/>
                <w:i w:val="0"/>
                <w:sz w:val="18"/>
              </w:rPr>
              <w:t>由坡高与坡角唯一确定，随$i$ 浮动</w:t>
            </w:r>
          </w:p>
        </w:tc>
      </w:tr>
      <w:tr>
        <w:tc>
          <w:tcPr>
            <w:tcW w:type="dxa" w:w="3120"/>
            <w:shd w:fill="F9F9F9"/>
          </w:tcPr>
          <w:p>
            <w:pPr>
              <w:spacing w:before="40" w:after="40"/>
              <w:jc w:val="left"/>
            </w:pPr>
            <w:r/>
            <w:r>
              <w:rPr>
                <w:rFonts w:ascii="Calibri" w:hAnsi="Calibri" w:eastAsia="微软雅黑"/>
                <w:b w:val="0"/>
                <w:i w:val="0"/>
                <w:sz w:val="18"/>
              </w:rPr>
              <w:t>坡脚平台长度$L_C$</w:t>
            </w:r>
          </w:p>
        </w:tc>
        <w:tc>
          <w:tcPr>
            <w:tcW w:type="dxa" w:w="3120"/>
            <w:shd w:fill="F9F9F9"/>
          </w:tcPr>
          <w:p>
            <w:pPr>
              <w:spacing w:before="40" w:after="40"/>
              <w:jc w:val="center"/>
            </w:pPr>
            <w:r/>
            <w:r>
              <w:rPr>
                <w:rFonts w:ascii="Calibri" w:hAnsi="Calibri" w:eastAsia="微软雅黑"/>
                <w:b w:val="0"/>
                <w:i w:val="0"/>
                <w:sz w:val="18"/>
              </w:rPr>
              <w:t>$(C_{\max}+c)\,h$</w:t>
            </w:r>
          </w:p>
        </w:tc>
        <w:tc>
          <w:tcPr>
            <w:tcW w:type="dxa" w:w="3120"/>
            <w:shd w:fill="F9F9F9"/>
          </w:tcPr>
          <w:p>
            <w:pPr>
              <w:spacing w:before="40" w:after="40"/>
              <w:jc w:val="center"/>
            </w:pPr>
            <w:r/>
            <w:r>
              <w:rPr>
                <w:rFonts w:ascii="Calibri" w:hAnsi="Calibri" w:eastAsia="微软雅黑"/>
                <w:b w:val="0"/>
                <w:i w:val="0"/>
                <w:sz w:val="18"/>
              </w:rPr>
              <w:t>观测窗$C_{\max}h$ ＋ 右边界净空 $c\,h$</w:t>
            </w:r>
          </w:p>
        </w:tc>
      </w:tr>
      <w:tr>
        <w:tc>
          <w:tcPr>
            <w:tcW w:type="dxa" w:w="3120"/>
          </w:tcPr>
          <w:p>
            <w:pPr>
              <w:spacing w:before="40" w:after="40"/>
              <w:jc w:val="left"/>
            </w:pPr>
            <w:r/>
            <w:r>
              <w:rPr>
                <w:rFonts w:ascii="Calibri" w:hAnsi="Calibri" w:eastAsia="微软雅黑"/>
                <w:b w:val="0"/>
                <w:i w:val="0"/>
                <w:sz w:val="18"/>
              </w:rPr>
              <w:t>模型总长$L$</w:t>
            </w:r>
          </w:p>
        </w:tc>
        <w:tc>
          <w:tcPr>
            <w:tcW w:type="dxa" w:w="3120"/>
          </w:tcPr>
          <w:p>
            <w:pPr>
              <w:spacing w:before="40" w:after="40"/>
              <w:jc w:val="center"/>
            </w:pPr>
            <w:r/>
            <w:r>
              <w:rPr>
                <w:rFonts w:ascii="Calibri" w:hAnsi="Calibri" w:eastAsia="微软雅黑"/>
                <w:b w:val="0"/>
                <w:i w:val="0"/>
                <w:sz w:val="18"/>
              </w:rPr>
              <w:t>$L_A+L_B+L_C$</w:t>
            </w:r>
          </w:p>
        </w:tc>
        <w:tc>
          <w:tcPr>
            <w:tcW w:type="dxa" w:w="3120"/>
          </w:tcPr>
          <w:p>
            <w:pPr>
              <w:spacing w:before="40" w:after="40"/>
              <w:jc w:val="center"/>
            </w:pPr>
            <w:r/>
            <w:r>
              <w:rPr>
                <w:rFonts w:ascii="Calibri" w:hAnsi="Calibri" w:eastAsia="微软雅黑"/>
                <w:b w:val="0"/>
                <w:i w:val="0"/>
                <w:sz w:val="18"/>
              </w:rPr>
              <w:t>随$h$、$i$ 浮动，不固定</w:t>
            </w:r>
          </w:p>
        </w:tc>
      </w:tr>
    </w:tbl>
    <w:p>
      <w:pPr>
        <w:spacing w:before="60" w:after="60"/>
      </w:pPr>
    </w:p>
    <w:p>
      <w:pPr>
        <w:spacing w:before="60" w:after="60" w:line="300" w:lineRule="auto"/>
      </w:pPr>
      <w:r>
        <w:rPr>
          <w:rFonts w:ascii="Calibri" w:hAnsi="Calibri" w:eastAsia="微软雅黑"/>
          <w:b w:val="0"/>
          <w:i w:val="0"/>
          <w:sz w:val="21"/>
        </w:rPr>
        <w:t>观测窗宽度取 $A_{\max}=5$、$C_{\max}=4$。已有研究表明，坡体引起的地形放大效应在离开坡肩（或坡脚）约 $3h\sim4h$ 后即衰减至接近自由场水平（Bouckovalas &amp; Papadimitriou, 2005），取 $5h$ 与 $4h$ 的观测窗已完整覆盖放大效应的空间分布并留有余量。</w:t>
      </w:r>
    </w:p>
    <w:p>
      <w:pPr>
        <w:spacing w:before="60" w:after="60" w:line="300" w:lineRule="auto"/>
      </w:pPr>
      <w:r>
        <w:rPr>
          <w:rFonts w:ascii="Calibri" w:hAnsi="Calibri" w:eastAsia="微软雅黑"/>
          <w:b w:val="0"/>
          <w:i w:val="0"/>
          <w:sz w:val="21"/>
        </w:rPr>
        <w:t>侧向净空取 $c=2$。本文模型的人工边界采用粘弹性人工边界（刘晶波等，2006），并配合逐节点施加的频域分层自由场输入：边界上的等效荷载由各边界节点所在土柱的一维分层自由场精确解给出，人工边界仅需吸收坡体散射产生的外行波，而非承担全部输入波的透射。因此侧向净空不必按最长入射波长设计，按 $2h$ 取值即可满足观测区不受边界污染的要求。对波长远大于坡高的低频工况（如 $h/\lambda\approx0.1$，即 $\lambda\approx10h$），以远场一维理论解为基准进行逐工况校核（见 3.x.6 节）：仅当远场台阶偏差超过 5% 时，才将该工况的侧向净空临时加大至 $\max(2h,\ 0.25\lambda_{\max})$，避免一刀切放大全部模型造成的计算浪费。</w:t>
      </w:r>
    </w:p>
    <w:p>
      <w:pPr>
        <w:spacing w:before="60" w:after="60" w:line="300" w:lineRule="auto"/>
      </w:pPr>
      <w:r>
        <w:rPr>
          <w:rFonts w:ascii="Calibri" w:hAnsi="Calibri" w:eastAsia="微软雅黑"/>
          <w:b w:val="0"/>
          <w:i w:val="0"/>
          <w:sz w:val="21"/>
        </w:rPr>
        <w:t>以典型工况 $h=200\ \mathrm{m}$、$i=45^{\circ}$、$A_{\max}=5$、$C_{\max}=4$、$c=2$ 为例：$L_A=7h=1400\ \mathrm{m}$，$L_B=h=200\ \mathrm{m}$，$L_C=6h=1200\ \mathrm{m}$，模型总长 $L=14h=2800\ \mathrm{m}$。当坡角减缓至 $i=30^{\circ}$ 时，坡面段自动伸长为 $L_B=h/\tan 30^{\circ}\approx1.73h$，总长相应浮动为 $\approx14.73h$，坡顶、坡脚观测窗保持不变。</w:t>
      </w:r>
    </w:p>
    <w:p>
      <w:pPr>
        <w:pStyle w:val="Heading3"/>
        <w:keepNext/>
        <w:spacing w:before="120" w:after="60"/>
      </w:pPr>
      <w:r>
        <w:rPr>
          <w:rFonts w:ascii="Calibri" w:hAnsi="Calibri" w:eastAsia="微软雅黑"/>
          <w:b/>
          <w:i w:val="0"/>
          <w:color w:val="1F4E79"/>
          <w:sz w:val="23"/>
        </w:rPr>
        <w:t>3.x.3 竖向尺寸与地层划分</w:t>
      </w:r>
    </w:p>
    <w:p>
      <w:pPr>
        <w:spacing w:before="60" w:after="60" w:line="300" w:lineRule="auto"/>
      </w:pPr>
      <w:r>
        <w:rPr>
          <w:rFonts w:ascii="Calibri" w:hAnsi="Calibri" w:eastAsia="微软雅黑"/>
          <w:b w:val="0"/>
          <w:i w:val="0"/>
          <w:sz w:val="21"/>
        </w:rPr>
        <w:t>模型竖向尺寸由单一构造参数控制：</w:t>
      </w:r>
      <w:r>
        <w:rPr>
          <w:rFonts w:ascii="Calibri" w:hAnsi="Calibri" w:eastAsia="微软雅黑"/>
          <w:b/>
          <w:i w:val="0"/>
          <w:sz w:val="21"/>
        </w:rPr>
        <w:t>坡脚地表以下的模型深度固定取 $s\,h$（$s=3$），不随地层配置改变</w:t>
      </w:r>
      <w:r>
        <w:rPr>
          <w:rFonts w:ascii="Calibri" w:hAnsi="Calibri" w:eastAsia="微软雅黑"/>
          <w:b w:val="0"/>
          <w:i w:val="0"/>
          <w:sz w:val="21"/>
        </w:rPr>
        <w:t>。由此坡脚地表、坡顶地表到模型底边界的距离在所有工况中保持一致，模型总高度为</w:t>
      </w:r>
    </w:p>
    <w:p>
      <w:pPr>
        <w:spacing w:before="60" w:after="60" w:line="300" w:lineRule="auto"/>
      </w:pPr>
      <w:r>
        <w:rPr>
          <w:rFonts w:ascii="Calibri" w:hAnsi="Calibri" w:eastAsia="微软雅黑"/>
          <w:b w:val="0"/>
          <w:i w:val="0"/>
          <w:sz w:val="21"/>
        </w:rPr>
        <w:t>$$</w:t>
      </w:r>
    </w:p>
    <w:p>
      <w:pPr>
        <w:spacing w:before="60" w:after="60" w:line="300" w:lineRule="auto"/>
      </w:pPr>
      <w:r>
        <w:rPr>
          <w:rFonts w:ascii="Calibri" w:hAnsi="Calibri" w:eastAsia="微软雅黑"/>
          <w:b w:val="0"/>
          <w:i w:val="0"/>
          <w:sz w:val="21"/>
        </w:rPr>
        <w:t>H_{\mathrm{model}} = s\,h + h = (s+1)\,h ,</w:t>
      </w:r>
    </w:p>
    <w:p>
      <w:pPr>
        <w:spacing w:before="60" w:after="60" w:line="300" w:lineRule="auto"/>
      </w:pPr>
      <w:r>
        <w:rPr>
          <w:rFonts w:ascii="Calibri" w:hAnsi="Calibri" w:eastAsia="微软雅黑"/>
          <w:b w:val="0"/>
          <w:i w:val="0"/>
          <w:sz w:val="21"/>
        </w:rPr>
        <w:t>$$</w:t>
      </w:r>
    </w:p>
    <w:p>
      <w:pPr>
        <w:spacing w:before="60" w:after="60" w:line="300" w:lineRule="auto"/>
      </w:pPr>
      <w:r>
        <w:rPr>
          <w:rFonts w:ascii="Calibri" w:hAnsi="Calibri" w:eastAsia="微软雅黑"/>
          <w:b w:val="0"/>
          <w:i w:val="0"/>
          <w:sz w:val="21"/>
        </w:rPr>
        <w:t>典型工况（$h=200\ \mathrm{m}$，$s=3$）的模型总高为 $4h=800\ \mathrm{m}$。深度取 $3h$ 的依据与侧向净空同理：底部人工边界注入的入射波需在到达地层界面前充分发育为平面波场，坡体向下散射的波需在到达底边界前充分衰减，$s=3$ 在最不利地层配置下仍保证基岩段净空不小于 $2h$（见下）。</w:t>
      </w:r>
    </w:p>
    <w:p>
      <w:pPr>
        <w:spacing w:before="60" w:after="60" w:line="300" w:lineRule="auto"/>
      </w:pPr>
      <w:r>
        <w:rPr>
          <w:rFonts w:ascii="Calibri" w:hAnsi="Calibri" w:eastAsia="微软雅黑"/>
          <w:b w:val="0"/>
          <w:i w:val="0"/>
          <w:sz w:val="21"/>
        </w:rPr>
        <w:t>地层划分与几何设计完全解耦，在该固定深度范围内自上而下布置：土层 $1$、土层 $2$、……、土层 $N$（$N\ge 0$），每层显式给定厚度 $t_i$ 与材料参数；土层之下的全部剩余深度归为基岩半空间截断层。各土层界面取为水平面，自坡顶地表向下依次布置，因此存在两种自然退化情形：当土层总厚 $\sum t_i$ 小于坡高 $h$ 时，基岩顶面高于坡脚地表，基岩在坡面下段与坡脚平台出露（薄覆盖岩坡）；当 $N=0$ 时不设土层，整个坡体均为均质基岩。近地表薄层在坡面上出露、在坡脚平台一侧可能不存在（图 3.x-1）。</w:t>
      </w:r>
    </w:p>
    <w:p>
      <w:pPr>
        <w:spacing w:before="60" w:after="60" w:line="300" w:lineRule="auto"/>
      </w:pPr>
      <w:r>
        <w:rPr>
          <w:rFonts w:ascii="Calibri" w:hAnsi="Calibri" w:eastAsia="微软雅黑"/>
          <w:b w:val="0"/>
          <w:i w:val="0"/>
          <w:sz w:val="21"/>
        </w:rPr>
        <w:t>为保证底部人工边界的基岩净空，土层总厚受约束</w:t>
      </w:r>
    </w:p>
    <w:p>
      <w:pPr>
        <w:spacing w:before="60" w:after="60" w:line="300" w:lineRule="auto"/>
      </w:pPr>
      <w:r>
        <w:rPr>
          <w:rFonts w:ascii="Calibri" w:hAnsi="Calibri" w:eastAsia="微软雅黑"/>
          <w:b w:val="0"/>
          <w:i w:val="0"/>
          <w:sz w:val="21"/>
        </w:rPr>
        <w:t>$$</w:t>
      </w:r>
    </w:p>
    <w:p>
      <w:pPr>
        <w:spacing w:before="60" w:after="60" w:line="300" w:lineRule="auto"/>
      </w:pPr>
      <w:r>
        <w:rPr>
          <w:rFonts w:ascii="Calibri" w:hAnsi="Calibri" w:eastAsia="微软雅黑"/>
          <w:b w:val="0"/>
          <w:i w:val="0"/>
          <w:sz w:val="21"/>
        </w:rPr>
        <w:t>\sum_{i=1}^{N} t_i \le (s-1)\,h ,</w:t>
      </w:r>
    </w:p>
    <w:p>
      <w:pPr>
        <w:spacing w:before="60" w:after="60" w:line="300" w:lineRule="auto"/>
      </w:pPr>
      <w:r>
        <w:rPr>
          <w:rFonts w:ascii="Calibri" w:hAnsi="Calibri" w:eastAsia="微软雅黑"/>
          <w:b w:val="0"/>
          <w:i w:val="0"/>
          <w:sz w:val="21"/>
        </w:rPr>
        <w:t>$$</w:t>
      </w:r>
    </w:p>
    <w:p>
      <w:pPr>
        <w:spacing w:before="60" w:after="60" w:line="300" w:lineRule="auto"/>
      </w:pPr>
      <w:r>
        <w:rPr>
          <w:rFonts w:ascii="Calibri" w:hAnsi="Calibri" w:eastAsia="微软雅黑"/>
          <w:b w:val="0"/>
          <w:i w:val="0"/>
          <w:sz w:val="21"/>
        </w:rPr>
        <w:t>即基岩顶面到模型底边界的距离恒不小于 $2h$；该约束在建模时自动校验，超限工况直接报错拒绝。</w:t>
      </w:r>
    </w:p>
    <w:p>
      <w:pPr>
        <w:pStyle w:val="Heading3"/>
        <w:keepNext/>
        <w:spacing w:before="120" w:after="60"/>
      </w:pPr>
      <w:r>
        <w:rPr>
          <w:rFonts w:ascii="Calibri" w:hAnsi="Calibri" w:eastAsia="微软雅黑"/>
          <w:b/>
          <w:i w:val="0"/>
          <w:color w:val="1F4E79"/>
          <w:sz w:val="23"/>
        </w:rPr>
        <w:t>3.x.4 网格尺寸设计</w:t>
      </w:r>
    </w:p>
    <w:p>
      <w:pPr>
        <w:spacing w:before="60" w:after="60" w:line="300" w:lineRule="auto"/>
      </w:pPr>
      <w:r>
        <w:rPr>
          <w:rFonts w:ascii="Calibri" w:hAnsi="Calibri" w:eastAsia="微软雅黑"/>
          <w:b w:val="0"/>
          <w:i w:val="0"/>
          <w:sz w:val="21"/>
        </w:rPr>
        <w:t>网格尺寸由波动数值模拟的空间采样要求控制，与模型绝对尺度无关。按 Kuhlemeyer &amp; Lysmer（1973）判据，单元特征尺寸 $\Delta l$ 需满足每最短波长不少于 $n$ 个单元：</w:t>
      </w:r>
    </w:p>
    <w:p>
      <w:pPr>
        <w:spacing w:before="60" w:after="60" w:line="300" w:lineRule="auto"/>
      </w:pPr>
      <w:r>
        <w:rPr>
          <w:rFonts w:ascii="Calibri" w:hAnsi="Calibri" w:eastAsia="微软雅黑"/>
          <w:b w:val="0"/>
          <w:i w:val="0"/>
          <w:sz w:val="21"/>
        </w:rPr>
        <w:t>$$</w:t>
      </w:r>
    </w:p>
    <w:p>
      <w:pPr>
        <w:spacing w:before="60" w:after="60" w:line="300" w:lineRule="auto"/>
      </w:pPr>
      <w:r>
        <w:rPr>
          <w:rFonts w:ascii="Calibri" w:hAnsi="Calibri" w:eastAsia="微软雅黑"/>
          <w:b w:val="0"/>
          <w:i w:val="0"/>
          <w:sz w:val="21"/>
        </w:rPr>
        <w:t>\Delta l \le \frac{V_{s,\min}}{n\, f_{\max}},</w:t>
      </w:r>
    </w:p>
    <w:p>
      <w:pPr>
        <w:spacing w:before="60" w:after="60" w:line="300" w:lineRule="auto"/>
      </w:pPr>
      <w:r>
        <w:rPr>
          <w:rFonts w:ascii="Calibri" w:hAnsi="Calibri" w:eastAsia="微软雅黑"/>
          <w:b w:val="0"/>
          <w:i w:val="0"/>
          <w:sz w:val="21"/>
        </w:rPr>
        <w:t>$$</w:t>
      </w:r>
    </w:p>
    <w:p>
      <w:pPr>
        <w:spacing w:before="60" w:after="60" w:line="300" w:lineRule="auto"/>
      </w:pPr>
      <w:r>
        <w:rPr>
          <w:rFonts w:ascii="Calibri" w:hAnsi="Calibri" w:eastAsia="微软雅黑"/>
          <w:b w:val="0"/>
          <w:i w:val="0"/>
          <w:sz w:val="21"/>
        </w:rPr>
        <w:t>式中 $V_{s,\min}$ 为模型中最软土层的剪切波速；$n$ 取 10；$f_{\max}$ 为输入波有效频带上限，对中心频率为 $f_c$ 的 Ricker 子波取 $f_{\max}=2.5f_c$。</w:t>
      </w:r>
    </w:p>
    <w:p>
      <w:pPr>
        <w:spacing w:before="60" w:after="60" w:line="300" w:lineRule="auto"/>
      </w:pPr>
      <w:r>
        <w:rPr>
          <w:rFonts w:ascii="Calibri" w:hAnsi="Calibri" w:eastAsia="微软雅黑"/>
          <w:b w:val="0"/>
          <w:i w:val="0"/>
          <w:sz w:val="21"/>
        </w:rPr>
        <w:t>在此基础上，网格设计还包含以下三项细化措施：</w:t>
      </w:r>
    </w:p>
    <w:p>
      <w:pPr>
        <w:spacing w:before="60" w:after="60" w:line="300" w:lineRule="auto"/>
      </w:pPr>
      <w:r>
        <w:rPr>
          <w:rFonts w:ascii="Calibri" w:hAnsi="Calibri" w:eastAsia="微软雅黑"/>
          <w:b w:val="0"/>
          <w:i w:val="0"/>
          <w:sz w:val="21"/>
        </w:rPr>
        <w:t>（1）</w:t>
      </w:r>
      <w:r>
        <w:rPr>
          <w:rFonts w:ascii="Calibri" w:hAnsi="Calibri" w:eastAsia="微软雅黑"/>
          <w:b/>
          <w:i w:val="0"/>
          <w:sz w:val="21"/>
        </w:rPr>
        <w:t>分层渐变网格。</w:t>
      </w:r>
      <w:r>
        <w:rPr>
          <w:rFonts w:ascii="Calibri" w:hAnsi="Calibri" w:eastAsia="微软雅黑"/>
          <w:b w:val="0"/>
          <w:i w:val="0"/>
          <w:sz w:val="21"/>
        </w:rPr>
        <w:t xml:space="preserve"> 网格需求由各层波速决定，深部硬层若沿用软层网格尺寸将造成计算量浪费。本文按各层剪切波速与最软层之比对单元尺寸分层缩放，软层细、硬层粗，层间以自由四边形网格平滑过渡；同时限制最粗层单元尺寸不超过最细层的 4 倍，以保证过渡区网格质量。</w:t>
      </w:r>
    </w:p>
    <w:p>
      <w:pPr>
        <w:spacing w:before="60" w:after="60" w:line="300" w:lineRule="auto"/>
      </w:pPr>
      <w:r>
        <w:rPr>
          <w:rFonts w:ascii="Calibri" w:hAnsi="Calibri" w:eastAsia="微软雅黑"/>
          <w:b w:val="0"/>
          <w:i w:val="0"/>
          <w:sz w:val="21"/>
        </w:rPr>
        <w:t>（2）</w:t>
      </w:r>
      <w:r>
        <w:rPr>
          <w:rFonts w:ascii="Calibri" w:hAnsi="Calibri" w:eastAsia="微软雅黑"/>
          <w:b/>
          <w:i w:val="0"/>
          <w:sz w:val="21"/>
        </w:rPr>
        <w:t>薄软层加密。</w:t>
      </w:r>
      <w:r>
        <w:rPr>
          <w:rFonts w:ascii="Calibri" w:hAnsi="Calibri" w:eastAsia="微软雅黑"/>
          <w:b w:val="0"/>
          <w:i w:val="0"/>
          <w:sz w:val="21"/>
        </w:rPr>
        <w:t xml:space="preserve"> 含软弱表层的工况中，表层厚度方向的驻波形态（基频 $f_0=V_s/(4t)$，$t$ 为层厚）是地层放大的控制机制。为准确解析该机制，网格需同时满足：解析到各层共振基频的 3 次谐波所对应的波长要求；以及每一有限土层厚度方向不少于 6 个单元。二者取严者控制。</w:t>
      </w:r>
    </w:p>
    <w:p>
      <w:pPr>
        <w:spacing w:before="60" w:after="60" w:line="300" w:lineRule="auto"/>
      </w:pPr>
      <w:r>
        <w:rPr>
          <w:rFonts w:ascii="Calibri" w:hAnsi="Calibri" w:eastAsia="微软雅黑"/>
          <w:b w:val="0"/>
          <w:i w:val="0"/>
          <w:sz w:val="21"/>
        </w:rPr>
        <w:t>（3）</w:t>
      </w:r>
      <w:r>
        <w:rPr>
          <w:rFonts w:ascii="Calibri" w:hAnsi="Calibri" w:eastAsia="微软雅黑"/>
          <w:b/>
          <w:i w:val="0"/>
          <w:sz w:val="21"/>
        </w:rPr>
        <w:t>单元类型与尺寸下限。</w:t>
      </w:r>
      <w:r>
        <w:rPr>
          <w:rFonts w:ascii="Calibri" w:hAnsi="Calibri" w:eastAsia="微软雅黑"/>
          <w:b w:val="0"/>
          <w:i w:val="0"/>
          <w:sz w:val="21"/>
        </w:rPr>
        <w:t xml:space="preserve"> 平面应变分析采用四节点缩减积分单元（CPE4R）；为防止极软层或高频工况下网格量失控，设置单元尺寸下限 0.2 m，触及下限的工况须相应下调截止频率并在工况记录中注明。</w:t>
      </w:r>
    </w:p>
    <w:p>
      <w:pPr>
        <w:pStyle w:val="Heading3"/>
        <w:keepNext/>
        <w:spacing w:before="120" w:after="60"/>
      </w:pPr>
      <w:r>
        <w:rPr>
          <w:rFonts w:ascii="Calibri" w:hAnsi="Calibri" w:eastAsia="微软雅黑"/>
          <w:b/>
          <w:i w:val="0"/>
          <w:color w:val="1F4E79"/>
          <w:sz w:val="23"/>
        </w:rPr>
        <w:t>3.x.5 时间步长与分析时长</w:t>
      </w:r>
    </w:p>
    <w:p>
      <w:pPr>
        <w:spacing w:before="60" w:after="60" w:line="300" w:lineRule="auto"/>
      </w:pPr>
      <w:r>
        <w:rPr>
          <w:rFonts w:ascii="Calibri" w:hAnsi="Calibri" w:eastAsia="微软雅黑"/>
          <w:b w:val="0"/>
          <w:i w:val="0"/>
          <w:sz w:val="21"/>
        </w:rPr>
        <w:t>时间积分步长 $\Delta t$ 按采样定理校验：每个最高有效频率周期不少于 20 个时间步，即 $\Delta t \le 1/(20 f_{\max})$。输入地震动记录的采样间隔不满足该要求时予以重采样。</w:t>
      </w:r>
    </w:p>
    <w:p>
      <w:pPr>
        <w:spacing w:before="60" w:after="60" w:line="300" w:lineRule="auto"/>
      </w:pPr>
      <w:r>
        <w:rPr>
          <w:rFonts w:ascii="Calibri" w:hAnsi="Calibri" w:eastAsia="微软雅黑"/>
          <w:b w:val="0"/>
          <w:i w:val="0"/>
          <w:sz w:val="21"/>
        </w:rPr>
        <w:t>分析步总时长取"输入波持续时间＋静默尾段"。静默尾段（$2\sim3\ \mathrm{s}$）内输入荷载为零，用于让坡体内的混响充分衰减：本文后续采用频域方法从时程中提取传递函数 $H(f)$，若时窗在响应尚未归零时截断，频谱将产生泄漏误差，静默尾段是频域提取精度的必要保障。自由场输入的时窗与分析步同步延长，保证边界等效荷载在整个分析时段内自洽。</w:t>
      </w:r>
    </w:p>
    <w:p>
      <w:pPr>
        <w:pStyle w:val="Heading3"/>
        <w:keepNext/>
        <w:spacing w:before="120" w:after="60"/>
      </w:pPr>
      <w:r>
        <w:rPr>
          <w:rFonts w:ascii="Calibri" w:hAnsi="Calibri" w:eastAsia="微软雅黑"/>
          <w:b/>
          <w:i w:val="0"/>
          <w:color w:val="1F4E79"/>
          <w:sz w:val="23"/>
        </w:rPr>
        <w:t>3.x.6 尺寸合理性的定量校核</w:t>
      </w:r>
    </w:p>
    <w:p>
      <w:pPr>
        <w:spacing w:before="60" w:after="60" w:line="300" w:lineRule="auto"/>
      </w:pPr>
      <w:r>
        <w:rPr>
          <w:rFonts w:ascii="Calibri" w:hAnsi="Calibri" w:eastAsia="微软雅黑"/>
          <w:b w:val="0"/>
          <w:i w:val="0"/>
          <w:sz w:val="21"/>
        </w:rPr>
        <w:t>上述尺寸设计的有效性不依赖经验判断，而由逐工况的自动化定量校核保证：远离坡体的模型左、右边界处，地表响应应退化为一维水平成层自由场。本文在每个工况建模时，同步以频域传递矩阵法（Thomson-Haskell 方法）计算左、右边界土柱的一维粘弹性自由场理论解，并写入工况元数据；后处理时将有限元远场台阶值与理论值对比，偏差超过 5% 的工况自动告警并排查（边界净空不足、阻尼标定偏差或网格不足均会在此暴露）。既有算例中该偏差均在 2% 以内，表明本节尺寸设计对观测区精度是充分的。</w:t>
      </w:r>
    </w:p>
    <w:p>
      <w:pPr>
        <w:spacing w:before="60" w:after="60" w:line="300" w:lineRule="auto"/>
      </w:pPr>
      <w:r>
        <w:rPr>
          <w:rFonts w:ascii="Calibri" w:hAnsi="Calibri" w:eastAsia="微软雅黑"/>
          <w:b w:val="0"/>
          <w:i w:val="0"/>
          <w:sz w:val="21"/>
        </w:rPr>
        <w:t>---</w:t>
      </w:r>
    </w:p>
    <w:p>
      <w:pPr>
        <w:spacing w:before="60" w:after="60" w:line="300" w:lineRule="auto"/>
      </w:pPr>
      <w:r>
        <w:rPr>
          <w:rFonts w:ascii="Calibri" w:hAnsi="Calibri" w:eastAsia="微软雅黑"/>
          <w:b/>
          <w:i w:val="0"/>
          <w:sz w:val="21"/>
        </w:rPr>
        <w:t>参考文献（正文引用处按论文格式补全）</w:t>
      </w:r>
    </w:p>
    <w:p>
      <w:pPr>
        <w:pStyle w:val="ListBullet"/>
        <w:spacing w:before="30" w:after="30" w:line="276" w:lineRule="auto"/>
      </w:pPr>
      <w:r>
        <w:rPr>
          <w:rFonts w:ascii="Calibri" w:hAnsi="Calibri" w:eastAsia="微软雅黑"/>
          <w:b w:val="0"/>
          <w:i w:val="0"/>
          <w:sz w:val="21"/>
        </w:rPr>
        <w:t>Kuhlemeyer R L, Lysmer J. Finite element method accuracy for wave propagation problems[J]. Journal of the Soil Mechanics and Foundations Division, 1973, 99(5): 421-427.</w:t>
      </w:r>
    </w:p>
    <w:p>
      <w:pPr>
        <w:pStyle w:val="ListBullet"/>
        <w:spacing w:before="30" w:after="30" w:line="276" w:lineRule="auto"/>
      </w:pPr>
      <w:r>
        <w:rPr>
          <w:rFonts w:ascii="Calibri" w:hAnsi="Calibri" w:eastAsia="微软雅黑"/>
          <w:b w:val="0"/>
          <w:i w:val="0"/>
          <w:sz w:val="21"/>
        </w:rPr>
        <w:t>Bouckovalas G D, Papadimitriou A G. Numerical evaluation of slope topography effects on seismic ground motion[J]. Soil Dynamics and Earthquake Engineering, 2005, 25(7-10): 547-558.</w:t>
      </w:r>
    </w:p>
    <w:p>
      <w:pPr>
        <w:pStyle w:val="ListBullet"/>
        <w:spacing w:before="30" w:after="30" w:line="276" w:lineRule="auto"/>
      </w:pPr>
      <w:r>
        <w:rPr>
          <w:rFonts w:ascii="Calibri" w:hAnsi="Calibri" w:eastAsia="微软雅黑"/>
          <w:b w:val="0"/>
          <w:i w:val="0"/>
          <w:sz w:val="21"/>
        </w:rPr>
        <w:t>刘晶波, 谷音, 杜义欣. 一致粘弹性人工边界及粘弹性边界单元[J]. 岩土工程学报, 2006, 28(9): 1070-1075.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