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pPr>
      <w:r>
        <w:rPr>
          <w:rFonts w:ascii="Calibri" w:hAnsi="Calibri" w:eastAsia="微软雅黑"/>
          <w:b/>
          <w:i w:val="0"/>
          <w:color w:val="1F4E79"/>
          <w:sz w:val="30"/>
        </w:rPr>
        <w:t>近期研究进展汇报</w:t>
      </w:r>
    </w:p>
    <w:p>
      <w:pPr>
        <w:pStyle w:val="Heading2"/>
        <w:keepNext/>
        <w:spacing w:before="160" w:after="80"/>
      </w:pPr>
      <w:r>
        <w:rPr>
          <w:rFonts w:ascii="Calibri" w:hAnsi="Calibri" w:eastAsia="微软雅黑"/>
          <w:b/>
          <w:i w:val="0"/>
          <w:color w:val="1F4E79"/>
          <w:sz w:val="26"/>
        </w:rPr>
        <w:t>成层斜坡有限元数值动力模拟与机器学习代理模型研究</w:t>
      </w:r>
    </w:p>
    <w:p>
      <w:pPr>
        <w:spacing w:before="60" w:after="60" w:line="300" w:lineRule="auto"/>
      </w:pPr>
      <w:r>
        <w:rPr>
          <w:rFonts w:ascii="Calibri" w:hAnsi="Calibri" w:eastAsia="微软雅黑"/>
          <w:b/>
          <w:i w:val="0"/>
          <w:sz w:val="21"/>
        </w:rPr>
        <w:t>2026年6月</w:t>
      </w:r>
    </w:p>
    <w:p>
      <w:pPr>
        <w:spacing w:before="60" w:after="60" w:line="300" w:lineRule="auto"/>
      </w:pPr>
      <w:r>
        <w:rPr>
          <w:rFonts w:ascii="Calibri" w:hAnsi="Calibri" w:eastAsia="微软雅黑"/>
          <w:b w:val="0"/>
          <w:i w:val="0"/>
          <w:sz w:val="21"/>
        </w:rPr>
        <w:t>---</w:t>
      </w:r>
    </w:p>
    <w:p>
      <w:pPr>
        <w:pStyle w:val="Heading1"/>
        <w:keepNext/>
        <w:spacing w:before="280" w:after="120"/>
      </w:pPr>
      <w:r>
        <w:rPr>
          <w:rFonts w:ascii="Calibri" w:hAnsi="Calibri" w:eastAsia="微软雅黑"/>
          <w:b/>
          <w:i w:val="0"/>
          <w:color w:val="1F4E79"/>
          <w:sz w:val="30"/>
        </w:rPr>
        <w:t>Part I · Abaqus 成层斜坡数值动力模拟进展</w:t>
      </w:r>
    </w:p>
    <w:p>
      <w:pPr>
        <w:pStyle w:val="Heading2"/>
        <w:keepNext/>
        <w:spacing w:before="160" w:after="80"/>
      </w:pPr>
      <w:r>
        <w:rPr>
          <w:rFonts w:ascii="Calibri" w:hAnsi="Calibri" w:eastAsia="微软雅黑"/>
          <w:b/>
          <w:i w:val="0"/>
          <w:color w:val="1F4E79"/>
          <w:sz w:val="26"/>
        </w:rPr>
        <w:t>1.1 研究背景与痛点</w:t>
      </w:r>
    </w:p>
    <w:p>
      <w:pPr>
        <w:spacing w:before="60" w:after="60" w:line="300" w:lineRule="auto"/>
      </w:pPr>
      <w:r>
        <w:rPr>
          <w:rFonts w:ascii="Calibri" w:hAnsi="Calibri" w:eastAsia="微软雅黑"/>
          <w:b w:val="0"/>
          <w:i w:val="0"/>
          <w:sz w:val="21"/>
        </w:rPr>
        <w:t>本研究针对地震波斜入射条件下多地层/成层坡地的地形放大效应展开有限元数值模拟，采用 Abaqus 构建平面应变模型，设置粘弹性人工边界（VAB）并施加等效节点力。</w:t>
      </w:r>
    </w:p>
    <w:p>
      <w:pPr>
        <w:spacing w:before="60" w:after="60" w:line="300" w:lineRule="auto"/>
      </w:pPr>
      <w:r>
        <w:rPr>
          <w:rFonts w:ascii="Calibri" w:hAnsi="Calibri" w:eastAsia="微软雅黑"/>
          <w:b w:val="0"/>
          <w:i w:val="0"/>
          <w:sz w:val="21"/>
        </w:rPr>
        <w:t>在前期多地层数值模拟的尝试中，使用初始时域射线叠加法（v3-v5 脚本）计算得到的覆盖层地表地形放大系数（TAF）及峰值加速度（PGA）系统性偏小。通过深入剖析，发现了射线法在推广至多层场地时的物理局限，从而促成了波动输入算法由时域射线法向频域全局矩阵法的重大升级。</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spacing w:before="60" w:after="60"/>
              <w:jc w:val="center"/>
            </w:pPr>
            <w:r>
              <w:rPr>
                <w:rFonts w:ascii="Calibri" w:hAnsi="Calibri" w:eastAsia="微软雅黑"/>
                <w:b/>
                <w:i w:val="0"/>
                <w:color w:val="FFFFFF"/>
                <w:sz w:val="19"/>
              </w:rPr>
              <w:t>已跑工况数据 (E:\Abaqus)</w:t>
            </w:r>
          </w:p>
        </w:tc>
        <w:tc>
          <w:tcPr>
            <w:tcW w:type="dxa" w:w="2340"/>
            <w:shd w:fill="1F4E79"/>
          </w:tcPr>
          <w:p>
            <w:pPr>
              <w:spacing w:before="60" w:after="60"/>
              <w:jc w:val="center"/>
            </w:pPr>
            <w:r>
              <w:rPr>
                <w:rFonts w:ascii="Calibri" w:hAnsi="Calibri" w:eastAsia="微软雅黑"/>
                <w:b/>
                <w:i w:val="0"/>
                <w:color w:val="FFFFFF"/>
                <w:sz w:val="19"/>
              </w:rPr>
              <w:t>无量纲参数维度</w:t>
            </w:r>
          </w:p>
        </w:tc>
        <w:tc>
          <w:tcPr>
            <w:tcW w:type="dxa" w:w="2340"/>
            <w:shd w:fill="1F4E79"/>
          </w:tcPr>
          <w:p>
            <w:pPr>
              <w:spacing w:before="60" w:after="60"/>
              <w:jc w:val="center"/>
            </w:pPr>
            <w:r>
              <w:rPr>
                <w:rFonts w:ascii="Calibri" w:hAnsi="Calibri" w:eastAsia="微软雅黑"/>
                <w:b/>
                <w:i w:val="0"/>
                <w:color w:val="FFFFFF"/>
                <w:sz w:val="19"/>
              </w:rPr>
              <w:t>v8 多层脚本规模</w:t>
            </w:r>
          </w:p>
        </w:tc>
        <w:tc>
          <w:tcPr>
            <w:tcW w:type="dxa" w:w="2340"/>
            <w:shd w:fill="1F4E79"/>
          </w:tcPr>
          <w:p>
            <w:pPr>
              <w:spacing w:before="60" w:after="60"/>
              <w:jc w:val="center"/>
            </w:pPr>
            <w:r>
              <w:rPr>
                <w:rFonts w:ascii="Calibri" w:hAnsi="Calibri" w:eastAsia="微软雅黑"/>
                <w:b/>
                <w:i w:val="0"/>
                <w:color w:val="FFFFFF"/>
                <w:sz w:val="19"/>
              </w:rPr>
              <w:t>V1-V4 对拍校验</w:t>
            </w:r>
          </w:p>
        </w:tc>
      </w:tr>
      <w:tr>
        <w:tc>
          <w:tcPr>
            <w:tcW w:type="dxa" w:w="2340"/>
            <w:shd w:fill="F9F9F9"/>
          </w:tcPr>
          <w:p>
            <w:pPr>
              <w:spacing w:before="40" w:after="40"/>
              <w:jc w:val="left"/>
            </w:pPr>
            <w:r/>
            <w:r>
              <w:rPr>
                <w:rFonts w:ascii="Calibri" w:hAnsi="Calibri" w:eastAsia="微软雅黑"/>
                <w:b w:val="0"/>
                <w:i w:val="0"/>
                <w:sz w:val="18"/>
              </w:rPr>
              <w:t>522 组（均质单质坡）</w:t>
            </w:r>
          </w:p>
        </w:tc>
        <w:tc>
          <w:tcPr>
            <w:tcW w:type="dxa" w:w="2340"/>
            <w:shd w:fill="F9F9F9"/>
          </w:tcPr>
          <w:p>
            <w:pPr>
              <w:spacing w:before="40" w:after="40"/>
              <w:jc w:val="center"/>
            </w:pPr>
            <w:r/>
            <w:r>
              <w:rPr>
                <w:rFonts w:ascii="Calibri" w:hAnsi="Calibri" w:eastAsia="微软雅黑"/>
                <w:b w:val="0"/>
                <w:i w:val="0"/>
                <w:sz w:val="18"/>
              </w:rPr>
              <w:t>5 维 (η, i, θ, d/h, α)</w:t>
            </w:r>
          </w:p>
        </w:tc>
        <w:tc>
          <w:tcPr>
            <w:tcW w:type="dxa" w:w="2340"/>
            <w:shd w:fill="F9F9F9"/>
          </w:tcPr>
          <w:p>
            <w:pPr>
              <w:spacing w:before="40" w:after="40"/>
              <w:jc w:val="center"/>
            </w:pPr>
            <w:r/>
            <w:r>
              <w:rPr>
                <w:rFonts w:ascii="Calibri" w:hAnsi="Calibri" w:eastAsia="微软雅黑"/>
                <w:b w:val="0"/>
                <w:i w:val="0"/>
                <w:sz w:val="18"/>
              </w:rPr>
              <w:t>2479 行（含注释）</w:t>
            </w:r>
          </w:p>
        </w:tc>
        <w:tc>
          <w:tcPr>
            <w:tcW w:type="dxa" w:w="2340"/>
            <w:shd w:fill="F9F9F9"/>
          </w:tcPr>
          <w:p>
            <w:pPr>
              <w:spacing w:before="40" w:after="40"/>
              <w:jc w:val="center"/>
            </w:pPr>
            <w:r/>
            <w:r>
              <w:rPr>
                <w:rFonts w:ascii="Calibri" w:hAnsi="Calibri" w:eastAsia="微软雅黑"/>
                <w:b w:val="0"/>
                <w:i w:val="0"/>
                <w:sz w:val="18"/>
              </w:rPr>
              <w:t>100% 校验通过</w:t>
            </w:r>
          </w:p>
        </w:tc>
      </w:tr>
    </w:tbl>
    <w:p>
      <w:pPr>
        <w:spacing w:before="60" w:after="60"/>
      </w:pPr>
    </w:p>
    <w:p>
      <w:pPr>
        <w:pStyle w:val="Heading2"/>
        <w:keepNext/>
        <w:spacing w:before="160" w:after="80"/>
      </w:pPr>
      <w:r>
        <w:rPr>
          <w:rFonts w:ascii="Calibri" w:hAnsi="Calibri" w:eastAsia="微软雅黑"/>
          <w:b/>
          <w:i w:val="0"/>
          <w:color w:val="1F4E79"/>
          <w:sz w:val="26"/>
        </w:rPr>
        <w:t>1.2 波动输入算法升级：从射线法到矩阵法</w:t>
      </w:r>
    </w:p>
    <w:p>
      <w:pPr>
        <w:pStyle w:val="ListBullet"/>
        <w:spacing w:before="30" w:after="30" w:line="276" w:lineRule="auto"/>
      </w:pPr>
      <w:r>
        <w:rPr>
          <w:rFonts w:ascii="Calibri" w:hAnsi="Calibri" w:eastAsia="微软雅黑"/>
          <w:b/>
          <w:i w:val="0"/>
          <w:sz w:val="21"/>
        </w:rPr>
        <w:t>旧时域射线叠加法（v3-v5）的误差剖析</w:t>
      </w:r>
      <w:r>
        <w:rPr>
          <w:rFonts w:ascii="Calibri" w:hAnsi="Calibri" w:eastAsia="微软雅黑"/>
          <w:b w:val="0"/>
          <w:i w:val="0"/>
          <w:sz w:val="21"/>
        </w:rPr>
        <w:t>：射线法将自由场近似为有限条折线波至的延迟叠加。在多层场地中，该方法引致了六大误差：① 界面 P-SV 转换波缺失；② 腔内多次波几何级数强行截断；③ 丢弃跨腔混响路径（腔间解耦）；④ 边界内外阻尼介质不一致；⑤ 也是最隐蔽的透反射系数应力与位移口径错配；⑥ 直达路径缺失单程透射放大因子。这些误差使得侧边界节点的自由场运动被系统性严重低估（幅值仅为精确解的几分之一），直接揭示了多层坡地动力计算结果偏小的输入侧成因。</w:t>
      </w:r>
    </w:p>
    <w:p>
      <w:pPr>
        <w:pStyle w:val="ListBullet"/>
        <w:spacing w:before="30" w:after="30" w:line="276" w:lineRule="auto"/>
      </w:pPr>
      <w:r>
        <w:rPr>
          <w:rFonts w:ascii="Calibri" w:hAnsi="Calibri" w:eastAsia="微软雅黑"/>
          <w:b/>
          <w:i w:val="0"/>
          <w:sz w:val="21"/>
        </w:rPr>
        <w:t>新频域全局矩阵法（v8 fd 引擎）的优势</w:t>
      </w:r>
      <w:r>
        <w:rPr>
          <w:rFonts w:ascii="Calibri" w:hAnsi="Calibri" w:eastAsia="微软雅黑"/>
          <w:b w:val="0"/>
          <w:i w:val="0"/>
          <w:sz w:val="21"/>
        </w:rPr>
        <w:t>：引入频域全局矩阵求解器，在频率域内一次性求解成层柱 $4M+2$ 个未知波幅方程。该方法从物理上天然包揽了界面波形转换、各层任意多次往返混响、穿层耦合，并通过复模量和复密度引入瑞利阻尼，确保了自由场衰减与有限元域介质衰减的严格口径一致。</w:t>
      </w:r>
    </w:p>
    <w:p>
      <w:pPr>
        <w:pStyle w:val="Heading3"/>
        <w:keepNext/>
        <w:spacing w:before="120" w:after="60"/>
      </w:pPr>
      <w:r>
        <w:rPr>
          <w:rFonts w:ascii="Calibri" w:hAnsi="Calibri" w:eastAsia="微软雅黑"/>
          <w:b/>
          <w:i w:val="0"/>
          <w:color w:val="1F4E79"/>
          <w:sz w:val="23"/>
        </w:rPr>
        <w:t>波动输入算法对比表</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spacing w:before="60" w:after="60"/>
              <w:jc w:val="center"/>
            </w:pPr>
            <w:r>
              <w:rPr>
                <w:rFonts w:ascii="Calibri" w:hAnsi="Calibri" w:eastAsia="微软雅黑"/>
                <w:b/>
                <w:i w:val="0"/>
                <w:color w:val="FFFFFF"/>
                <w:sz w:val="19"/>
              </w:rPr>
              <w:t>物理特性维度</w:t>
            </w:r>
          </w:p>
        </w:tc>
        <w:tc>
          <w:tcPr>
            <w:tcW w:type="dxa" w:w="3120"/>
            <w:shd w:fill="1F4E79"/>
          </w:tcPr>
          <w:p>
            <w:pPr>
              <w:spacing w:before="60" w:after="60"/>
              <w:jc w:val="center"/>
            </w:pPr>
            <w:r>
              <w:rPr>
                <w:rFonts w:ascii="Calibri" w:hAnsi="Calibri" w:eastAsia="微软雅黑"/>
                <w:b/>
                <w:i w:val="0"/>
                <w:color w:val="FFFFFF"/>
                <w:sz w:val="19"/>
              </w:rPr>
              <w:t>时域射线叠加（旧，v3-v5）</w:t>
            </w:r>
          </w:p>
        </w:tc>
        <w:tc>
          <w:tcPr>
            <w:tcW w:type="dxa" w:w="3120"/>
            <w:shd w:fill="1F4E79"/>
          </w:tcPr>
          <w:p>
            <w:pPr>
              <w:spacing w:before="60" w:after="60"/>
              <w:jc w:val="center"/>
            </w:pPr>
            <w:r>
              <w:rPr>
                <w:rFonts w:ascii="Calibri" w:hAnsi="Calibri" w:eastAsia="微软雅黑"/>
                <w:b/>
                <w:i w:val="0"/>
                <w:color w:val="FFFFFF"/>
                <w:sz w:val="19"/>
              </w:rPr>
              <w:t>频域全局矩阵（新，v8 fd引擎）</w:t>
            </w:r>
          </w:p>
        </w:tc>
      </w:tr>
      <w:tr>
        <w:tc>
          <w:tcPr>
            <w:tcW w:type="dxa" w:w="3120"/>
            <w:shd w:fill="F9F9F9"/>
          </w:tcPr>
          <w:p>
            <w:pPr>
              <w:spacing w:before="40" w:after="40"/>
              <w:jc w:val="left"/>
            </w:pPr>
            <w:r/>
            <w:r>
              <w:rPr>
                <w:rFonts w:ascii="Calibri" w:hAnsi="Calibri" w:eastAsia="微软雅黑"/>
                <w:b w:val="0"/>
                <w:i w:val="0"/>
                <w:sz w:val="18"/>
              </w:rPr>
              <w:t>均质半空间</w:t>
            </w:r>
          </w:p>
        </w:tc>
        <w:tc>
          <w:tcPr>
            <w:tcW w:type="dxa" w:w="3120"/>
            <w:shd w:fill="F9F9F9"/>
          </w:tcPr>
          <w:p>
            <w:pPr>
              <w:spacing w:before="40" w:after="40"/>
              <w:jc w:val="center"/>
            </w:pPr>
            <w:r/>
            <w:r>
              <w:rPr>
                <w:rFonts w:ascii="Calibri" w:hAnsi="Calibri" w:eastAsia="微软雅黑"/>
                <w:b w:val="0"/>
                <w:i w:val="0"/>
                <w:sz w:val="18"/>
              </w:rPr>
              <w:t>精确（解析走时延迟叠加）</w:t>
            </w:r>
          </w:p>
        </w:tc>
        <w:tc>
          <w:tcPr>
            <w:tcW w:type="dxa" w:w="3120"/>
            <w:shd w:fill="F9F9F9"/>
          </w:tcPr>
          <w:p>
            <w:pPr>
              <w:spacing w:before="40" w:after="40"/>
              <w:jc w:val="center"/>
            </w:pPr>
            <w:r/>
            <w:r>
              <w:rPr>
                <w:rFonts w:ascii="Calibri" w:hAnsi="Calibri" w:eastAsia="微软雅黑"/>
                <w:b w:val="0"/>
                <w:i w:val="0"/>
                <w:sz w:val="18"/>
              </w:rPr>
              <w:t>精确（逐项还原解析解对拍）</w:t>
            </w:r>
          </w:p>
        </w:tc>
      </w:tr>
      <w:tr>
        <w:tc>
          <w:tcPr>
            <w:tcW w:type="dxa" w:w="3120"/>
          </w:tcPr>
          <w:p>
            <w:pPr>
              <w:spacing w:before="40" w:after="40"/>
              <w:jc w:val="left"/>
            </w:pPr>
            <w:r/>
            <w:r>
              <w:rPr>
                <w:rFonts w:ascii="Calibri" w:hAnsi="Calibri" w:eastAsia="微软雅黑"/>
                <w:b w:val="0"/>
                <w:i w:val="0"/>
                <w:sz w:val="18"/>
              </w:rPr>
              <w:t>界面透反射系数</w:t>
            </w:r>
          </w:p>
        </w:tc>
        <w:tc>
          <w:tcPr>
            <w:tcW w:type="dxa" w:w="3120"/>
          </w:tcPr>
          <w:p>
            <w:pPr>
              <w:spacing w:before="40" w:after="40"/>
              <w:jc w:val="center"/>
            </w:pPr>
            <w:r/>
            <w:r>
              <w:rPr>
                <w:rFonts w:ascii="Calibri" w:hAnsi="Calibri" w:eastAsia="微软雅黑"/>
                <w:b w:val="0"/>
                <w:i w:val="0"/>
                <w:sz w:val="18"/>
              </w:rPr>
              <w:t>阻抗标量近似 + 应力/位移口径错配（低估幅值）</w:t>
            </w:r>
          </w:p>
        </w:tc>
        <w:tc>
          <w:tcPr>
            <w:tcW w:type="dxa" w:w="3120"/>
          </w:tcPr>
          <w:p>
            <w:pPr>
              <w:spacing w:before="40" w:after="40"/>
              <w:jc w:val="center"/>
            </w:pPr>
            <w:r/>
            <w:r>
              <w:rPr>
                <w:rFonts w:ascii="Calibri" w:hAnsi="Calibri" w:eastAsia="微软雅黑"/>
                <w:b w:val="0"/>
                <w:i w:val="0"/>
                <w:sz w:val="18"/>
              </w:rPr>
              <w:t>Zoeppritz 级精确（隐含于方程矩阵）</w:t>
            </w:r>
          </w:p>
        </w:tc>
      </w:tr>
      <w:tr>
        <w:tc>
          <w:tcPr>
            <w:tcW w:type="dxa" w:w="3120"/>
            <w:shd w:fill="F9F9F9"/>
          </w:tcPr>
          <w:p>
            <w:pPr>
              <w:spacing w:before="40" w:after="40"/>
              <w:jc w:val="left"/>
            </w:pPr>
            <w:r/>
            <w:r>
              <w:rPr>
                <w:rFonts w:ascii="Calibri" w:hAnsi="Calibri" w:eastAsia="微软雅黑"/>
                <w:b w:val="0"/>
                <w:i w:val="0"/>
                <w:sz w:val="18"/>
              </w:rPr>
              <w:t>界面 SV-P 转换</w:t>
            </w:r>
          </w:p>
        </w:tc>
        <w:tc>
          <w:tcPr>
            <w:tcW w:type="dxa" w:w="3120"/>
            <w:shd w:fill="F9F9F9"/>
          </w:tcPr>
          <w:p>
            <w:pPr>
              <w:spacing w:before="40" w:after="40"/>
              <w:jc w:val="center"/>
            </w:pPr>
            <w:r/>
            <w:r>
              <w:rPr>
                <w:rFonts w:ascii="Calibri" w:hAnsi="Calibri" w:eastAsia="微软雅黑"/>
                <w:b w:val="0"/>
                <w:i w:val="0"/>
                <w:sz w:val="18"/>
              </w:rPr>
              <w:t>置零（丢弃转换 P 波）</w:t>
            </w:r>
          </w:p>
        </w:tc>
        <w:tc>
          <w:tcPr>
            <w:tcW w:type="dxa" w:w="3120"/>
            <w:shd w:fill="F9F9F9"/>
          </w:tcPr>
          <w:p>
            <w:pPr>
              <w:spacing w:before="40" w:after="40"/>
              <w:jc w:val="center"/>
            </w:pPr>
            <w:r/>
            <w:r>
              <w:rPr>
                <w:rFonts w:ascii="Calibri" w:hAnsi="Calibri" w:eastAsia="微软雅黑"/>
                <w:b w:val="0"/>
                <w:i w:val="0"/>
                <w:sz w:val="18"/>
              </w:rPr>
              <w:t>精确包含（求解多维极化向量）</w:t>
            </w:r>
          </w:p>
        </w:tc>
      </w:tr>
      <w:tr>
        <w:tc>
          <w:tcPr>
            <w:tcW w:type="dxa" w:w="3120"/>
          </w:tcPr>
          <w:p>
            <w:pPr>
              <w:spacing w:before="40" w:after="40"/>
              <w:jc w:val="left"/>
            </w:pPr>
            <w:r/>
            <w:r>
              <w:rPr>
                <w:rFonts w:ascii="Calibri" w:hAnsi="Calibri" w:eastAsia="微软雅黑"/>
                <w:b w:val="0"/>
                <w:i w:val="0"/>
                <w:sz w:val="18"/>
              </w:rPr>
              <w:t>层内多次往返波</w:t>
            </w:r>
          </w:p>
        </w:tc>
        <w:tc>
          <w:tcPr>
            <w:tcW w:type="dxa" w:w="3120"/>
          </w:tcPr>
          <w:p>
            <w:pPr>
              <w:spacing w:before="40" w:after="40"/>
              <w:jc w:val="center"/>
            </w:pPr>
            <w:r/>
            <w:r>
              <w:rPr>
                <w:rFonts w:ascii="Calibri" w:hAnsi="Calibri" w:eastAsia="微软雅黑"/>
                <w:b w:val="0"/>
                <w:i w:val="0"/>
                <w:sz w:val="18"/>
              </w:rPr>
              <w:t>几何级数截断（默认取 3 阶多次波）</w:t>
            </w:r>
          </w:p>
        </w:tc>
        <w:tc>
          <w:tcPr>
            <w:tcW w:type="dxa" w:w="3120"/>
          </w:tcPr>
          <w:p>
            <w:pPr>
              <w:spacing w:before="40" w:after="40"/>
              <w:jc w:val="center"/>
            </w:pPr>
            <w:r/>
            <w:r>
              <w:rPr>
                <w:rFonts w:ascii="Calibri" w:hAnsi="Calibri" w:eastAsia="微软雅黑"/>
                <w:b w:val="0"/>
                <w:i w:val="0"/>
                <w:sz w:val="18"/>
              </w:rPr>
              <w:t>无穷阶混响全部包含，无截断误差</w:t>
            </w:r>
          </w:p>
        </w:tc>
      </w:tr>
      <w:tr>
        <w:tc>
          <w:tcPr>
            <w:tcW w:type="dxa" w:w="3120"/>
            <w:shd w:fill="F9F9F9"/>
          </w:tcPr>
          <w:p>
            <w:pPr>
              <w:spacing w:before="40" w:after="40"/>
              <w:jc w:val="left"/>
            </w:pPr>
            <w:r/>
            <w:r>
              <w:rPr>
                <w:rFonts w:ascii="Calibri" w:hAnsi="Calibri" w:eastAsia="微软雅黑"/>
                <w:b w:val="0"/>
                <w:i w:val="0"/>
                <w:sz w:val="18"/>
              </w:rPr>
              <w:t>跨层混响耦合</w:t>
            </w:r>
          </w:p>
        </w:tc>
        <w:tc>
          <w:tcPr>
            <w:tcW w:type="dxa" w:w="3120"/>
            <w:shd w:fill="F9F9F9"/>
          </w:tcPr>
          <w:p>
            <w:pPr>
              <w:spacing w:before="40" w:after="40"/>
              <w:jc w:val="center"/>
            </w:pPr>
            <w:r/>
            <w:r>
              <w:rPr>
                <w:rFonts w:ascii="Calibri" w:hAnsi="Calibri" w:eastAsia="微软雅黑"/>
                <w:b w:val="0"/>
                <w:i w:val="0"/>
                <w:sz w:val="18"/>
              </w:rPr>
              <w:t>忽略（各有限层视为独立腔体）</w:t>
            </w:r>
          </w:p>
        </w:tc>
        <w:tc>
          <w:tcPr>
            <w:tcW w:type="dxa" w:w="3120"/>
            <w:shd w:fill="F9F9F9"/>
          </w:tcPr>
          <w:p>
            <w:pPr>
              <w:spacing w:before="40" w:after="40"/>
              <w:jc w:val="center"/>
            </w:pPr>
            <w:r/>
            <w:r>
              <w:rPr>
                <w:rFonts w:ascii="Calibri" w:hAnsi="Calibri" w:eastAsia="微软雅黑"/>
                <w:b w:val="0"/>
                <w:i w:val="0"/>
                <w:sz w:val="18"/>
              </w:rPr>
              <w:t>精确包含（全局系统联立求解）</w:t>
            </w:r>
          </w:p>
        </w:tc>
      </w:tr>
      <w:tr>
        <w:tc>
          <w:tcPr>
            <w:tcW w:type="dxa" w:w="3120"/>
          </w:tcPr>
          <w:p>
            <w:pPr>
              <w:spacing w:before="40" w:after="40"/>
              <w:jc w:val="left"/>
            </w:pPr>
            <w:r/>
            <w:r>
              <w:rPr>
                <w:rFonts w:ascii="Calibri" w:hAnsi="Calibri" w:eastAsia="微软雅黑"/>
                <w:b w:val="0"/>
                <w:i w:val="0"/>
                <w:sz w:val="18"/>
              </w:rPr>
              <w:t>边界介质阻尼衰减</w:t>
            </w:r>
          </w:p>
        </w:tc>
        <w:tc>
          <w:tcPr>
            <w:tcW w:type="dxa" w:w="3120"/>
          </w:tcPr>
          <w:p>
            <w:pPr>
              <w:spacing w:before="40" w:after="40"/>
              <w:jc w:val="center"/>
            </w:pPr>
            <w:r/>
            <w:r>
              <w:rPr>
                <w:rFonts w:ascii="Calibri" w:hAnsi="Calibri" w:eastAsia="微软雅黑"/>
                <w:b w:val="0"/>
                <w:i w:val="0"/>
                <w:sz w:val="18"/>
              </w:rPr>
              <w:t>弹性自由场（与 FE 域瑞利阻尼失配）</w:t>
            </w:r>
          </w:p>
        </w:tc>
        <w:tc>
          <w:tcPr>
            <w:tcW w:type="dxa" w:w="3120"/>
          </w:tcPr>
          <w:p>
            <w:pPr>
              <w:spacing w:before="40" w:after="40"/>
              <w:jc w:val="center"/>
            </w:pPr>
            <w:r/>
            <w:r>
              <w:rPr>
                <w:rFonts w:ascii="Calibri" w:hAnsi="Calibri" w:eastAsia="微软雅黑"/>
                <w:b w:val="0"/>
                <w:i w:val="0"/>
                <w:sz w:val="18"/>
              </w:rPr>
              <w:t>复模量复密度（与 FE 域阻尼严格同口径）</w:t>
            </w:r>
          </w:p>
        </w:tc>
      </w:tr>
      <w:tr>
        <w:tc>
          <w:tcPr>
            <w:tcW w:type="dxa" w:w="3120"/>
            <w:shd w:fill="F9F9F9"/>
          </w:tcPr>
          <w:p>
            <w:pPr>
              <w:spacing w:before="40" w:after="40"/>
              <w:jc w:val="left"/>
            </w:pPr>
            <w:r/>
            <w:r>
              <w:rPr>
                <w:rFonts w:ascii="Calibri" w:hAnsi="Calibri" w:eastAsia="微软雅黑"/>
                <w:b w:val="0"/>
                <w:i w:val="0"/>
                <w:sz w:val="18"/>
              </w:rPr>
              <w:t>离散化与参数敏感度</w:t>
            </w:r>
          </w:p>
        </w:tc>
        <w:tc>
          <w:tcPr>
            <w:tcW w:type="dxa" w:w="3120"/>
            <w:shd w:fill="F9F9F9"/>
          </w:tcPr>
          <w:p>
            <w:pPr>
              <w:spacing w:before="40" w:after="40"/>
              <w:jc w:val="center"/>
            </w:pPr>
            <w:r/>
            <w:r>
              <w:rPr>
                <w:rFonts w:ascii="Calibri" w:hAnsi="Calibri" w:eastAsia="微软雅黑"/>
                <w:b w:val="0"/>
                <w:i w:val="0"/>
                <w:sz w:val="18"/>
              </w:rPr>
              <w:t>敏感度高（结果随截断阶数漂移）</w:t>
            </w:r>
          </w:p>
        </w:tc>
        <w:tc>
          <w:tcPr>
            <w:tcW w:type="dxa" w:w="3120"/>
            <w:shd w:fill="F9F9F9"/>
          </w:tcPr>
          <w:p>
            <w:pPr>
              <w:spacing w:before="40" w:after="40"/>
              <w:jc w:val="center"/>
            </w:pPr>
            <w:r/>
            <w:r>
              <w:rPr>
                <w:rFonts w:ascii="Calibri" w:hAnsi="Calibri" w:eastAsia="微软雅黑"/>
                <w:b w:val="0"/>
                <w:i w:val="0"/>
                <w:sz w:val="18"/>
              </w:rPr>
              <w:t>无离散化参数，仅受 FFT 采样控制</w:t>
            </w:r>
          </w:p>
        </w:tc>
      </w:tr>
      <w:tr>
        <w:tc>
          <w:tcPr>
            <w:tcW w:type="dxa" w:w="3120"/>
          </w:tcPr>
          <w:p>
            <w:pPr>
              <w:spacing w:before="40" w:after="40"/>
              <w:jc w:val="left"/>
            </w:pPr>
            <w:r/>
            <w:r>
              <w:rPr>
                <w:rFonts w:ascii="Calibri" w:hAnsi="Calibri" w:eastAsia="微软雅黑"/>
                <w:b w:val="0"/>
                <w:i w:val="0"/>
                <w:sz w:val="18"/>
              </w:rPr>
              <w:t>适用介质层数</w:t>
            </w:r>
          </w:p>
        </w:tc>
        <w:tc>
          <w:tcPr>
            <w:tcW w:type="dxa" w:w="3120"/>
          </w:tcPr>
          <w:p>
            <w:pPr>
              <w:spacing w:before="40" w:after="40"/>
              <w:jc w:val="center"/>
            </w:pPr>
            <w:r/>
            <w:r>
              <w:rPr>
                <w:rFonts w:ascii="Calibri" w:hAnsi="Calibri" w:eastAsia="微软雅黑"/>
                <w:b w:val="0"/>
                <w:i w:val="0"/>
                <w:sz w:val="18"/>
              </w:rPr>
              <w:t>仅适用于 1-2 层，层数多时阻抗误差显著</w:t>
            </w:r>
          </w:p>
        </w:tc>
        <w:tc>
          <w:tcPr>
            <w:tcW w:type="dxa" w:w="3120"/>
          </w:tcPr>
          <w:p>
            <w:pPr>
              <w:spacing w:before="40" w:after="40"/>
              <w:jc w:val="center"/>
            </w:pPr>
            <w:r/>
            <w:r>
              <w:rPr>
                <w:rFonts w:ascii="Calibri" w:hAnsi="Calibri" w:eastAsia="微软雅黑"/>
                <w:b w:val="0"/>
                <w:i w:val="0"/>
                <w:sz w:val="18"/>
              </w:rPr>
              <w:t>适用于任意层数场地，无层数限制</w:t>
            </w:r>
          </w:p>
        </w:tc>
      </w:tr>
    </w:tbl>
    <w:p>
      <w:pPr>
        <w:spacing w:before="60" w:after="60"/>
      </w:pPr>
    </w:p>
    <w:p>
      <w:pPr>
        <w:pStyle w:val="Heading2"/>
        <w:keepNext/>
        <w:spacing w:before="160" w:after="80"/>
      </w:pPr>
      <w:r>
        <w:rPr>
          <w:rFonts w:ascii="Calibri" w:hAnsi="Calibri" w:eastAsia="微软雅黑"/>
          <w:b/>
          <w:i w:val="0"/>
          <w:color w:val="1F4E79"/>
          <w:sz w:val="26"/>
        </w:rPr>
        <w:t>1.3 多层斜坡有限元自洽建模实现</w:t>
      </w:r>
    </w:p>
    <w:p>
      <w:pPr>
        <w:spacing w:before="60" w:after="60" w:line="300" w:lineRule="auto"/>
      </w:pPr>
      <w:r>
        <w:rPr>
          <w:rFonts w:ascii="Calibri" w:hAnsi="Calibri" w:eastAsia="微软雅黑"/>
          <w:b w:val="0"/>
          <w:i w:val="0"/>
          <w:sz w:val="21"/>
        </w:rPr>
        <w:t>从均质单层升级为支持多层介质的 v8 版本，在 Abaqus 二维动力学有限元建模中，主要通过以下五项核心机制实现多层介质的精确几何剖分与物理自洽：</w:t>
      </w:r>
    </w:p>
    <w:p>
      <w:pPr>
        <w:spacing w:before="30" w:after="30" w:line="276" w:lineRule="auto"/>
      </w:pPr>
      <w:r>
        <w:rPr>
          <w:rFonts w:ascii="Calibri" w:hAnsi="Calibri" w:eastAsia="微软雅黑"/>
          <w:b/>
          <w:i w:val="0"/>
          <w:sz w:val="21"/>
        </w:rPr>
        <w:t xml:space="preserve">1. </w:t>
      </w:r>
      <w:r>
        <w:rPr>
          <w:rFonts w:ascii="Calibri" w:hAnsi="Calibri" w:eastAsia="微软雅黑"/>
          <w:b/>
          <w:i w:val="0"/>
          <w:sz w:val="21"/>
        </w:rPr>
        <w:t>多层场地带（Band）构造与小面质心（Centroid）定位技术</w:t>
      </w:r>
      <w:r>
        <w:rPr>
          <w:rFonts w:ascii="Calibri" w:hAnsi="Calibri" w:eastAsia="微软雅黑"/>
          <w:b w:val="0"/>
          <w:i w:val="0"/>
          <w:sz w:val="21"/>
        </w:rPr>
        <w:t>：脚本使用 `_build_stratigraphy` 函数将场地从下至上表示为虚拟材料带列表。在几何切分后，面临将多类材料赋予不同面（Face）的难题。本方案采用面质心定位算法（`_assign_sections_by_band`）：计算每个切分小面的几何质心坐标 $(x_c, y_c)$, 调用 `_band_bounds_at` 自动换算该水平位置下各层界面的高程上下界，精确判断小面落入的材料带，从而为大量被切割的小面自动且精确地赋予对应的材料截面。</w:t>
      </w:r>
    </w:p>
    <w:p>
      <w:pPr>
        <w:spacing w:before="30" w:after="30" w:line="276" w:lineRule="auto"/>
      </w:pPr>
      <w:r>
        <w:rPr>
          <w:rFonts w:ascii="Calibri" w:hAnsi="Calibri" w:eastAsia="微软雅黑"/>
          <w:b/>
          <w:i w:val="0"/>
          <w:sz w:val="21"/>
        </w:rPr>
        <w:t xml:space="preserve">2. </w:t>
      </w:r>
      <w:r>
        <w:rPr>
          <w:rFonts w:ascii="Calibri" w:hAnsi="Calibri" w:eastAsia="微软雅黑"/>
          <w:b/>
          <w:i w:val="0"/>
          <w:sz w:val="21"/>
        </w:rPr>
        <w:t>两类表层几何切分机制（Horizontal vs Terrain）</w:t>
      </w:r>
      <w:r>
        <w:rPr>
          <w:rFonts w:ascii="Calibri" w:hAnsi="Calibri" w:eastAsia="微软雅黑"/>
          <w:b w:val="0"/>
          <w:i w:val="0"/>
          <w:sz w:val="21"/>
        </w:rPr>
        <w:t>：为满足不同边坡实际，脚本提供两类几何切分方式。① 水平分层模式（horizontal）：各有限层上下界为绝对水平线，在草图相应高程处画水平直线切割模型；② Follow 地形等厚铺设模式（terrain）：表层覆盖层沿地表起伏等厚铺设。通过计算由“上平台-坡面-下平台”三段折线构成的等深偏置线（Offset Line），利用 Abaqus 几何切割工具沿折线剖分模型，实现地层随地形起伏的等厚铺设效果。</w:t>
      </w:r>
    </w:p>
    <w:p>
      <w:pPr>
        <w:spacing w:before="30" w:after="30" w:line="276" w:lineRule="auto"/>
      </w:pPr>
      <w:r>
        <w:rPr>
          <w:rFonts w:ascii="Calibri" w:hAnsi="Calibri" w:eastAsia="微软雅黑"/>
          <w:b/>
          <w:i w:val="0"/>
          <w:sz w:val="21"/>
        </w:rPr>
        <w:t xml:space="preserve">3. </w:t>
      </w:r>
      <w:r>
        <w:rPr>
          <w:rFonts w:ascii="Calibri" w:hAnsi="Calibri" w:eastAsia="微软雅黑"/>
          <w:b/>
          <w:i w:val="0"/>
          <w:sz w:val="21"/>
        </w:rPr>
        <w:t>粘弹性人工边界（VAB）弹簧-阻尼参数的逐层取材匹配</w:t>
      </w:r>
      <w:r>
        <w:rPr>
          <w:rFonts w:ascii="Calibri" w:hAnsi="Calibri" w:eastAsia="微软雅黑"/>
          <w:b w:val="0"/>
          <w:i w:val="0"/>
          <w:sz w:val="21"/>
        </w:rPr>
        <w:t>：侧向人工边界截面上跨越了不同的材料层。为防止产生非物理的伪反射，方案引入边界节点局部取材技术（`pick_material`）。在边界弹簧/阻尼器生成阶段，遍历侧边界的所有节点，按节点坐标动态查询其落入的材料带，并提取该层介质的局部剪切模量 $G$、波速 $c_s/c_p$ 和密度 $\rho$，逐节点单独计算刚度与阻力系数（$k_n, c_n, k_t, c_t$），实现吸收边界与局部介质阻抗的逐点精确匹配。</w:t>
      </w:r>
    </w:p>
    <w:p>
      <w:pPr>
        <w:spacing w:before="30" w:after="30" w:line="276" w:lineRule="auto"/>
      </w:pPr>
      <w:r>
        <w:rPr>
          <w:rFonts w:ascii="Calibri" w:hAnsi="Calibri" w:eastAsia="微软雅黑"/>
          <w:b/>
          <w:i w:val="0"/>
          <w:sz w:val="21"/>
        </w:rPr>
        <w:t xml:space="preserve">4. </w:t>
      </w:r>
      <w:r>
        <w:rPr>
          <w:rFonts w:ascii="Calibri" w:hAnsi="Calibri" w:eastAsia="微软雅黑"/>
          <w:b/>
          <w:i w:val="0"/>
          <w:sz w:val="21"/>
        </w:rPr>
        <w:t>基于控制性“最软层”波速的 K-L 自适应网格控制</w:t>
      </w:r>
      <w:r>
        <w:rPr>
          <w:rFonts w:ascii="Calibri" w:hAnsi="Calibri" w:eastAsia="微软雅黑"/>
          <w:b w:val="0"/>
          <w:i w:val="0"/>
          <w:sz w:val="21"/>
        </w:rPr>
        <w:t>：剪切波在软覆盖层中波长短、对网格分辨率要求高，而在坚硬基岩中波长长。脚本自动搜索各有限层中波速最低的“控制性最软层”剪切波速 $c_{s\text{\_min}}$，按 Kuhlemeyer-Lysmer 判据计算最大网格尺寸 $\Delta l \le c_{s\text{\_min}} / (10 \cdot f_{\text{max}})$（截止频率 $f_{\text{max}} = 2.5 \cdot f_c$），在全模型统一采用 CPE4R 二维减缩积分单元进行自适应网格划分，既防数值色散又控制计算规模。</w:t>
      </w:r>
    </w:p>
    <w:p>
      <w:pPr>
        <w:spacing w:before="30" w:after="30" w:line="276" w:lineRule="auto"/>
      </w:pPr>
      <w:r>
        <w:rPr>
          <w:rFonts w:ascii="Calibri" w:hAnsi="Calibri" w:eastAsia="微软雅黑"/>
          <w:b/>
          <w:i w:val="0"/>
          <w:sz w:val="21"/>
        </w:rPr>
        <w:t xml:space="preserve">5. </w:t>
      </w:r>
      <w:r>
        <w:rPr>
          <w:rFonts w:ascii="Calibri" w:hAnsi="Calibri" w:eastAsia="微软雅黑"/>
          <w:b/>
          <w:i w:val="0"/>
          <w:sz w:val="21"/>
        </w:rPr>
        <w:t>频率相关瑞利阻尼的层间一致性标定</w:t>
      </w:r>
      <w:r>
        <w:rPr>
          <w:rFonts w:ascii="Calibri" w:hAnsi="Calibri" w:eastAsia="微软雅黑"/>
          <w:b w:val="0"/>
          <w:i w:val="0"/>
          <w:sz w:val="21"/>
        </w:rPr>
        <w:t>：多层场地中各层介质的品质因子 $Q$ 各不相同，阻尼比为 $\xi_i = 1/(2Q_i)$。脚本采用双控锚定机制（anchor: 'dual'），拟合低频锚点 $f_1 = \min(f_{1,\text{factor}} \cdot f_c, f_{\text{site}})$（其中 $f_{\text{site}}$ 为多层场地基频）与高频锚点 $f_2$，独立计算各层的 Rayleigh 系数 $(\alpha_i, \beta_i)$，在 Abaqus 材料中逐层赋予；同时在频域自由场（fd 引擎）中将阻尼以复模量方式精确引入，保证边界等效力和有限元内部介质的瑞利衰减严格一致。</w:t>
      </w:r>
    </w:p>
    <w:p>
      <w:pPr>
        <w:pStyle w:val="Heading2"/>
        <w:keepNext/>
        <w:spacing w:before="160" w:after="80"/>
      </w:pPr>
      <w:r>
        <w:rPr>
          <w:rFonts w:ascii="Calibri" w:hAnsi="Calibri" w:eastAsia="微软雅黑"/>
          <w:b/>
          <w:i w:val="0"/>
          <w:color w:val="1F4E79"/>
          <w:sz w:val="26"/>
        </w:rPr>
        <w:t>1.4 计算现状与下一步工作计划</w:t>
      </w:r>
    </w:p>
    <w:p>
      <w:pPr>
        <w:pStyle w:val="ListBullet"/>
        <w:spacing w:before="30" w:after="30" w:line="276" w:lineRule="auto"/>
      </w:pPr>
      <w:r>
        <w:rPr>
          <w:rFonts w:ascii="Calibri" w:hAnsi="Calibri" w:eastAsia="微软雅黑"/>
          <w:b/>
          <w:i w:val="0"/>
          <w:sz w:val="21"/>
        </w:rPr>
        <w:t>算法与脚本现状</w:t>
      </w:r>
      <w:r>
        <w:rPr>
          <w:rFonts w:ascii="Calibri" w:hAnsi="Calibri" w:eastAsia="微软雅黑"/>
          <w:b w:val="0"/>
          <w:i w:val="0"/>
          <w:sz w:val="21"/>
        </w:rPr>
        <w:t>：多地层 v8 建模脚本及 fd 引擎已经过半空间退化、垂直入射 Haskell 递推、边界对拍 QA 等验证，确认支持多地层的数值计算无反射污染。</w:t>
      </w:r>
    </w:p>
    <w:p>
      <w:pPr>
        <w:pStyle w:val="ListBullet"/>
        <w:spacing w:before="30" w:after="30" w:line="276" w:lineRule="auto"/>
      </w:pPr>
      <w:r>
        <w:rPr>
          <w:rFonts w:ascii="Calibri" w:hAnsi="Calibri" w:eastAsia="微软雅黑"/>
          <w:b/>
          <w:i w:val="0"/>
          <w:sz w:val="21"/>
        </w:rPr>
        <w:t>数据现状</w:t>
      </w:r>
      <w:r>
        <w:rPr>
          <w:rFonts w:ascii="Calibri" w:hAnsi="Calibri" w:eastAsia="微软雅黑"/>
          <w:b w:val="0"/>
          <w:i w:val="0"/>
          <w:sz w:val="21"/>
        </w:rPr>
        <w:t>：多层斜坡模型数据当前尚未批量运行。已经跑完的所有有限元工况数据全部保存在 `E:\Abaqus` 目录下，使用的是</w:t>
      </w:r>
      <w:r>
        <w:rPr>
          <w:rFonts w:ascii="Calibri" w:hAnsi="Calibri" w:eastAsia="微软雅黑"/>
          <w:b/>
          <w:i w:val="0"/>
          <w:sz w:val="21"/>
        </w:rPr>
        <w:t>均匀单质地层初始脚本（v2 基线）</w:t>
      </w:r>
      <w:r>
        <w:rPr>
          <w:rFonts w:ascii="Calibri" w:hAnsi="Calibri" w:eastAsia="微软雅黑"/>
          <w:b w:val="0"/>
          <w:i w:val="0"/>
          <w:sz w:val="21"/>
        </w:rPr>
        <w:t>跑出的数据。</w:t>
      </w:r>
    </w:p>
    <w:p>
      <w:pPr>
        <w:pStyle w:val="ListBullet"/>
        <w:spacing w:before="30" w:after="30" w:line="276" w:lineRule="auto"/>
      </w:pPr>
      <w:r>
        <w:rPr>
          <w:rFonts w:ascii="Calibri" w:hAnsi="Calibri" w:eastAsia="微软雅黑"/>
          <w:b/>
          <w:i w:val="0"/>
          <w:sz w:val="21"/>
        </w:rPr>
        <w:t>下一步数值模拟计划</w:t>
      </w:r>
      <w:r>
        <w:rPr>
          <w:rFonts w:ascii="Calibri" w:hAnsi="Calibri" w:eastAsia="微软雅黑"/>
          <w:b w:val="0"/>
          <w:i w:val="0"/>
          <w:sz w:val="21"/>
        </w:rPr>
        <w:t>：利用已调试通过的 v8 多地层脚本，启动 78 组多地层工况（含坡角、覆土层厚、介质阻抗比交叉组合）的有限元夜间批跑，提取其多层场地传递函数。</w:t>
      </w:r>
    </w:p>
    <w:p>
      <w:pPr>
        <w:spacing w:before="60" w:after="60" w:line="300" w:lineRule="auto"/>
      </w:pPr>
      <w:r>
        <w:rPr>
          <w:rFonts w:ascii="Calibri" w:hAnsi="Calibri" w:eastAsia="微软雅黑"/>
          <w:b w:val="0"/>
          <w:i w:val="0"/>
          <w:sz w:val="21"/>
        </w:rPr>
        <w:t>---</w:t>
      </w:r>
    </w:p>
    <w:p>
      <w:pPr>
        <w:pStyle w:val="Heading1"/>
        <w:keepNext/>
        <w:spacing w:before="280" w:after="120"/>
      </w:pPr>
      <w:r>
        <w:rPr>
          <w:rFonts w:ascii="Calibri" w:hAnsi="Calibri" w:eastAsia="微软雅黑"/>
          <w:b/>
          <w:i w:val="0"/>
          <w:color w:val="1F4E79"/>
          <w:sz w:val="30"/>
        </w:rPr>
        <w:t>Part II · 机器学习代理模型研究进展</w:t>
      </w:r>
    </w:p>
    <w:p>
      <w:pPr>
        <w:pStyle w:val="Heading2"/>
        <w:keepNext/>
        <w:spacing w:before="160" w:after="80"/>
      </w:pPr>
      <w:r>
        <w:rPr>
          <w:rFonts w:ascii="Calibri" w:hAnsi="Calibri" w:eastAsia="微软雅黑"/>
          <w:b/>
          <w:i w:val="0"/>
          <w:color w:val="1F4E79"/>
          <w:sz w:val="26"/>
        </w:rPr>
        <w:t>2.1 数据来源澄清与数据集构成</w:t>
      </w:r>
    </w:p>
    <w:p>
      <w:pPr>
        <w:spacing w:before="60" w:after="60" w:line="300" w:lineRule="auto"/>
      </w:pPr>
      <w:r>
        <w:rPr>
          <w:rFonts w:ascii="Calibri" w:hAnsi="Calibri" w:eastAsia="微软雅黑"/>
          <w:b w:val="0"/>
          <w:i w:val="0"/>
          <w:sz w:val="21"/>
        </w:rPr>
        <w:t>本阶段机器学习旨在构建基于本征正交分解（POD）与高斯过程回归（GPR）的快速地表响应代理模型。</w:t>
      </w:r>
    </w:p>
    <w:p>
      <w:pPr>
        <w:spacing w:before="60" w:after="60" w:line="300" w:lineRule="auto"/>
      </w:pPr>
      <w:r>
        <w:rPr>
          <w:rFonts w:ascii="Calibri" w:hAnsi="Calibri" w:eastAsia="微软雅黑"/>
          <w:b/>
          <w:i w:val="0"/>
          <w:sz w:val="21"/>
        </w:rPr>
        <w:t>【核心说明】</w:t>
      </w:r>
      <w:r>
        <w:rPr>
          <w:rFonts w:ascii="Calibri" w:hAnsi="Calibri" w:eastAsia="微软雅黑"/>
          <w:b w:val="0"/>
          <w:i w:val="0"/>
          <w:sz w:val="21"/>
        </w:rPr>
        <w:t>：本阶段机器学习所使用的数据来源全部是初始脚本跑的均质单质坡地有限元模型数据（即 `E:\Abaqus` 目录下的 522 组样本）。多地层有限元数据尚在等待下一步计算，暂未纳入当前的机器学习模型。</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spacing w:before="60" w:after="60"/>
              <w:jc w:val="center"/>
            </w:pPr>
            <w:r>
              <w:rPr>
                <w:rFonts w:ascii="Calibri" w:hAnsi="Calibri" w:eastAsia="微软雅黑"/>
                <w:b/>
                <w:i w:val="0"/>
                <w:color w:val="FFFFFF"/>
                <w:sz w:val="19"/>
              </w:rPr>
              <w:t>数据要素</w:t>
            </w:r>
          </w:p>
        </w:tc>
        <w:tc>
          <w:tcPr>
            <w:tcW w:type="dxa" w:w="3120"/>
            <w:shd w:fill="1F4E79"/>
          </w:tcPr>
          <w:p>
            <w:pPr>
              <w:spacing w:before="60" w:after="60"/>
              <w:jc w:val="center"/>
            </w:pPr>
            <w:r>
              <w:rPr>
                <w:rFonts w:ascii="Calibri" w:hAnsi="Calibri" w:eastAsia="微软雅黑"/>
                <w:b/>
                <w:i w:val="0"/>
                <w:color w:val="FFFFFF"/>
                <w:sz w:val="19"/>
              </w:rPr>
              <w:t>描述说明</w:t>
            </w:r>
          </w:p>
        </w:tc>
        <w:tc>
          <w:tcPr>
            <w:tcW w:type="dxa" w:w="3120"/>
            <w:shd w:fill="1F4E79"/>
          </w:tcPr>
          <w:p>
            <w:pPr>
              <w:spacing w:before="60" w:after="60"/>
              <w:jc w:val="center"/>
            </w:pPr>
            <w:r>
              <w:rPr>
                <w:rFonts w:ascii="Calibri" w:hAnsi="Calibri" w:eastAsia="微软雅黑"/>
                <w:b/>
                <w:i w:val="0"/>
                <w:color w:val="FFFFFF"/>
                <w:sz w:val="19"/>
              </w:rPr>
              <w:t>取值与物理量规模</w:t>
            </w:r>
          </w:p>
        </w:tc>
      </w:tr>
      <w:tr>
        <w:tc>
          <w:tcPr>
            <w:tcW w:type="dxa" w:w="3120"/>
            <w:shd w:fill="F9F9F9"/>
          </w:tcPr>
          <w:p>
            <w:pPr>
              <w:spacing w:before="40" w:after="40"/>
              <w:jc w:val="left"/>
            </w:pPr>
            <w:r/>
            <w:r>
              <w:rPr>
                <w:rFonts w:ascii="Calibri" w:hAnsi="Calibri" w:eastAsia="微软雅黑"/>
                <w:b w:val="0"/>
                <w:i w:val="0"/>
                <w:sz w:val="18"/>
              </w:rPr>
              <w:t>总样本量</w:t>
            </w:r>
          </w:p>
        </w:tc>
        <w:tc>
          <w:tcPr>
            <w:tcW w:type="dxa" w:w="3120"/>
            <w:shd w:fill="F9F9F9"/>
          </w:tcPr>
          <w:p>
            <w:pPr>
              <w:spacing w:before="40" w:after="40"/>
              <w:jc w:val="center"/>
            </w:pPr>
            <w:r/>
            <w:r>
              <w:rPr>
                <w:rFonts w:ascii="Calibri" w:hAnsi="Calibri" w:eastAsia="微软雅黑"/>
                <w:b w:val="0"/>
                <w:i w:val="0"/>
                <w:sz w:val="18"/>
              </w:rPr>
              <w:t>均质工况几何 × 输入地震波</w:t>
            </w:r>
          </w:p>
        </w:tc>
        <w:tc>
          <w:tcPr>
            <w:tcW w:type="dxa" w:w="3120"/>
            <w:shd w:fill="F9F9F9"/>
          </w:tcPr>
          <w:p>
            <w:pPr>
              <w:spacing w:before="40" w:after="40"/>
              <w:jc w:val="center"/>
            </w:pPr>
            <w:r/>
            <w:r>
              <w:rPr>
                <w:rFonts w:ascii="Calibri" w:hAnsi="Calibri" w:eastAsia="微软雅黑"/>
                <w:b w:val="0"/>
                <w:i w:val="0"/>
                <w:sz w:val="18"/>
              </w:rPr>
              <w:t>174 × 3 = 522 组 TAF 响应曲线</w:t>
            </w:r>
          </w:p>
        </w:tc>
      </w:tr>
      <w:tr>
        <w:tc>
          <w:tcPr>
            <w:tcW w:type="dxa" w:w="3120"/>
          </w:tcPr>
          <w:p>
            <w:pPr>
              <w:spacing w:before="40" w:after="40"/>
              <w:jc w:val="left"/>
            </w:pPr>
            <w:r/>
            <w:r>
              <w:rPr>
                <w:rFonts w:ascii="Calibri" w:hAnsi="Calibri" w:eastAsia="微软雅黑"/>
                <w:b w:val="0"/>
                <w:i w:val="0"/>
                <w:sz w:val="18"/>
              </w:rPr>
              <w:t>几何工况组合</w:t>
            </w:r>
          </w:p>
        </w:tc>
        <w:tc>
          <w:tcPr>
            <w:tcW w:type="dxa" w:w="3120"/>
          </w:tcPr>
          <w:p>
            <w:pPr>
              <w:spacing w:before="40" w:after="40"/>
              <w:jc w:val="center"/>
            </w:pPr>
            <w:r/>
            <w:r>
              <w:rPr>
                <w:rFonts w:ascii="Calibri" w:hAnsi="Calibri" w:eastAsia="微软雅黑"/>
                <w:b w:val="0"/>
                <w:i w:val="0"/>
                <w:sz w:val="18"/>
              </w:rPr>
              <w:t>坡角 (i) × 坡高 (h) 交叉组合</w:t>
            </w:r>
          </w:p>
        </w:tc>
        <w:tc>
          <w:tcPr>
            <w:tcW w:type="dxa" w:w="3120"/>
          </w:tcPr>
          <w:p>
            <w:pPr>
              <w:spacing w:before="40" w:after="40"/>
              <w:jc w:val="center"/>
            </w:pPr>
            <w:r/>
            <w:r>
              <w:rPr>
                <w:rFonts w:ascii="Calibri" w:hAnsi="Calibri" w:eastAsia="微软雅黑"/>
                <w:b w:val="0"/>
                <w:i w:val="0"/>
                <w:sz w:val="18"/>
              </w:rPr>
              <w:t>174 组均匀单质坡地几何</w:t>
            </w:r>
          </w:p>
        </w:tc>
      </w:tr>
      <w:tr>
        <w:tc>
          <w:tcPr>
            <w:tcW w:type="dxa" w:w="3120"/>
            <w:shd w:fill="F9F9F9"/>
          </w:tcPr>
          <w:p>
            <w:pPr>
              <w:spacing w:before="40" w:after="40"/>
              <w:jc w:val="left"/>
            </w:pPr>
            <w:r/>
            <w:r>
              <w:rPr>
                <w:rFonts w:ascii="Calibri" w:hAnsi="Calibri" w:eastAsia="微软雅黑"/>
                <w:b w:val="0"/>
                <w:i w:val="0"/>
                <w:sz w:val="18"/>
              </w:rPr>
              <w:t>输入地震波</w:t>
            </w:r>
          </w:p>
        </w:tc>
        <w:tc>
          <w:tcPr>
            <w:tcW w:type="dxa" w:w="3120"/>
            <w:shd w:fill="F9F9F9"/>
          </w:tcPr>
          <w:p>
            <w:pPr>
              <w:spacing w:before="40" w:after="40"/>
              <w:jc w:val="center"/>
            </w:pPr>
            <w:r/>
            <w:r>
              <w:rPr>
                <w:rFonts w:ascii="Calibri" w:hAnsi="Calibri" w:eastAsia="微软雅黑"/>
                <w:b w:val="0"/>
                <w:i w:val="0"/>
                <w:sz w:val="18"/>
              </w:rPr>
              <w:t>El Centro / Loma Prieta / Northridge</w:t>
            </w:r>
          </w:p>
        </w:tc>
        <w:tc>
          <w:tcPr>
            <w:tcW w:type="dxa" w:w="3120"/>
            <w:shd w:fill="F9F9F9"/>
          </w:tcPr>
          <w:p>
            <w:pPr>
              <w:spacing w:before="40" w:after="40"/>
              <w:jc w:val="center"/>
            </w:pPr>
            <w:r/>
            <w:r>
              <w:rPr>
                <w:rFonts w:ascii="Calibri" w:hAnsi="Calibri" w:eastAsia="微软雅黑"/>
                <w:b w:val="0"/>
                <w:i w:val="0"/>
                <w:sz w:val="18"/>
              </w:rPr>
              <w:t>3 条（PGA 调幅一致）</w:t>
            </w:r>
          </w:p>
        </w:tc>
      </w:tr>
      <w:tr>
        <w:tc>
          <w:tcPr>
            <w:tcW w:type="dxa" w:w="3120"/>
          </w:tcPr>
          <w:p>
            <w:pPr>
              <w:spacing w:before="40" w:after="40"/>
              <w:jc w:val="left"/>
            </w:pPr>
            <w:r/>
            <w:r>
              <w:rPr>
                <w:rFonts w:ascii="Calibri" w:hAnsi="Calibri" w:eastAsia="微软雅黑"/>
                <w:b w:val="0"/>
                <w:i w:val="0"/>
                <w:sz w:val="18"/>
              </w:rPr>
              <w:t>测点长度</w:t>
            </w:r>
          </w:p>
        </w:tc>
        <w:tc>
          <w:tcPr>
            <w:tcW w:type="dxa" w:w="3120"/>
          </w:tcPr>
          <w:p>
            <w:pPr>
              <w:spacing w:before="40" w:after="40"/>
              <w:jc w:val="center"/>
            </w:pPr>
            <w:r/>
            <w:r>
              <w:rPr>
                <w:rFonts w:ascii="Calibri" w:hAnsi="Calibri" w:eastAsia="微软雅黑"/>
                <w:b w:val="0"/>
                <w:i w:val="0"/>
                <w:sz w:val="18"/>
              </w:rPr>
              <w:t>沿坡面地表的空间取样点数</w:t>
            </w:r>
          </w:p>
        </w:tc>
        <w:tc>
          <w:tcPr>
            <w:tcW w:type="dxa" w:w="3120"/>
          </w:tcPr>
          <w:p>
            <w:pPr>
              <w:spacing w:before="40" w:after="40"/>
              <w:jc w:val="center"/>
            </w:pPr>
            <w:r/>
            <w:r>
              <w:rPr>
                <w:rFonts w:ascii="Calibri" w:hAnsi="Calibri" w:eastAsia="微软雅黑"/>
                <w:b w:val="0"/>
                <w:i w:val="0"/>
                <w:sz w:val="18"/>
              </w:rPr>
              <w:t>161 个节点</w:t>
            </w:r>
          </w:p>
        </w:tc>
      </w:tr>
      <w:tr>
        <w:tc>
          <w:tcPr>
            <w:tcW w:type="dxa" w:w="3120"/>
            <w:shd w:fill="F9F9F9"/>
          </w:tcPr>
          <w:p>
            <w:pPr>
              <w:spacing w:before="40" w:after="40"/>
              <w:jc w:val="left"/>
            </w:pPr>
            <w:r/>
            <w:r>
              <w:rPr>
                <w:rFonts w:ascii="Calibri" w:hAnsi="Calibri" w:eastAsia="微软雅黑"/>
                <w:b w:val="0"/>
                <w:i w:val="0"/>
                <w:sz w:val="18"/>
              </w:rPr>
              <w:t>POD 降维阶数</w:t>
            </w:r>
          </w:p>
        </w:tc>
        <w:tc>
          <w:tcPr>
            <w:tcW w:type="dxa" w:w="3120"/>
            <w:shd w:fill="F9F9F9"/>
          </w:tcPr>
          <w:p>
            <w:pPr>
              <w:spacing w:before="40" w:after="40"/>
              <w:jc w:val="center"/>
            </w:pPr>
            <w:r/>
            <w:r>
              <w:rPr>
                <w:rFonts w:ascii="Calibri" w:hAnsi="Calibri" w:eastAsia="微软雅黑"/>
                <w:b w:val="0"/>
                <w:i w:val="0"/>
                <w:sz w:val="18"/>
              </w:rPr>
              <w:t>累计方差贡献率 ≥ 99.5%</w:t>
            </w:r>
          </w:p>
        </w:tc>
        <w:tc>
          <w:tcPr>
            <w:tcW w:type="dxa" w:w="3120"/>
            <w:shd w:fill="F9F9F9"/>
          </w:tcPr>
          <w:p>
            <w:pPr>
              <w:spacing w:before="40" w:after="40"/>
              <w:jc w:val="center"/>
            </w:pPr>
            <w:r/>
            <w:r>
              <w:rPr>
                <w:rFonts w:ascii="Calibri" w:hAnsi="Calibri" w:eastAsia="微软雅黑"/>
                <w:b w:val="0"/>
                <w:i w:val="0"/>
                <w:sz w:val="18"/>
              </w:rPr>
              <w:t>前 15 阶解耦 POD 系数</w:t>
            </w:r>
          </w:p>
        </w:tc>
      </w:tr>
    </w:tbl>
    <w:p>
      <w:pPr>
        <w:spacing w:before="60" w:after="60"/>
      </w:pPr>
    </w:p>
    <w:p>
      <w:pPr>
        <w:pStyle w:val="Heading2"/>
        <w:keepNext/>
        <w:spacing w:before="160" w:after="80"/>
      </w:pPr>
      <w:r>
        <w:rPr>
          <w:rFonts w:ascii="Calibri" w:hAnsi="Calibri" w:eastAsia="微软雅黑"/>
          <w:b/>
          <w:i w:val="0"/>
          <w:color w:val="1F4E79"/>
          <w:sz w:val="26"/>
        </w:rPr>
        <w:t>2.2 方法框架（POD + GPR）</w:t>
      </w:r>
    </w:p>
    <w:p>
      <w:pPr>
        <w:pStyle w:val="ListBullet"/>
        <w:spacing w:before="30" w:after="30" w:line="276" w:lineRule="auto"/>
      </w:pPr>
      <w:r>
        <w:rPr>
          <w:rFonts w:ascii="Calibri" w:hAnsi="Calibri" w:eastAsia="微软雅黑"/>
          <w:b/>
          <w:i w:val="0"/>
          <w:sz w:val="21"/>
        </w:rPr>
        <w:t>10 维输入特征</w:t>
      </w:r>
      <w:r>
        <w:rPr>
          <w:rFonts w:ascii="Calibri" w:hAnsi="Calibri" w:eastAsia="微软雅黑"/>
          <w:b w:val="0"/>
          <w:i w:val="0"/>
          <w:sz w:val="21"/>
        </w:rPr>
        <w:t>：几何特征（坡角、坡高、坡脚距、坡顶宽）+ 地震波特征（PGA、卓越周期、反应谱 T=0.1/0.5/1.0s 的谱值 Sa）。</w:t>
      </w:r>
    </w:p>
    <w:p>
      <w:pPr>
        <w:pStyle w:val="ListBullet"/>
        <w:spacing w:before="30" w:after="30" w:line="276" w:lineRule="auto"/>
      </w:pPr>
      <w:r>
        <w:rPr>
          <w:rFonts w:ascii="Calibri" w:hAnsi="Calibri" w:eastAsia="微软雅黑"/>
          <w:b/>
          <w:i w:val="0"/>
          <w:sz w:val="21"/>
        </w:rPr>
        <w:t>SVD 降维</w:t>
      </w:r>
      <w:r>
        <w:rPr>
          <w:rFonts w:ascii="Calibri" w:hAnsi="Calibri" w:eastAsia="微软雅黑"/>
          <w:b w:val="0"/>
          <w:i w:val="0"/>
          <w:sz w:val="21"/>
        </w:rPr>
        <w:t>：提取前 15 个正交基，将 161 维 TAF 曲线压缩至 15 维 POD 系数空间，对 15 个系数分别训练 GPR 模型。</w:t>
      </w:r>
    </w:p>
    <w:p>
      <w:pPr>
        <w:pStyle w:val="ListBullet"/>
        <w:spacing w:before="30" w:after="30" w:line="276" w:lineRule="auto"/>
      </w:pPr>
      <w:r>
        <w:rPr>
          <w:rFonts w:ascii="Calibri" w:hAnsi="Calibri" w:eastAsia="微软雅黑"/>
          <w:b/>
          <w:i w:val="0"/>
          <w:sz w:val="21"/>
        </w:rPr>
        <w:t>交叉验证</w:t>
      </w:r>
      <w:r>
        <w:rPr>
          <w:rFonts w:ascii="Calibri" w:hAnsi="Calibri" w:eastAsia="微软雅黑"/>
          <w:b w:val="0"/>
          <w:i w:val="0"/>
          <w:sz w:val="21"/>
        </w:rPr>
        <w:t>：采用 GroupKFold (k=5，按几何分组)，杜绝几何信息发生数据泄漏。</w:t>
      </w:r>
    </w:p>
    <w:p>
      <w:pPr>
        <w:pStyle w:val="Heading2"/>
        <w:keepNext/>
        <w:spacing w:before="160" w:after="80"/>
      </w:pPr>
      <w:r>
        <w:rPr>
          <w:rFonts w:ascii="Calibri" w:hAnsi="Calibri" w:eastAsia="微软雅黑"/>
          <w:b/>
          <w:i w:val="0"/>
          <w:color w:val="1F4E79"/>
          <w:sz w:val="26"/>
        </w:rPr>
        <w:t>2.3 仿真与预测结果对比</w:t>
      </w:r>
    </w:p>
    <w:p>
      <w:pPr>
        <w:spacing w:before="60" w:after="60" w:line="300" w:lineRule="auto"/>
      </w:pPr>
      <w:r>
        <w:rPr>
          <w:rFonts w:ascii="Calibri" w:hAnsi="Calibri" w:eastAsia="微软雅黑"/>
          <w:b w:val="0"/>
          <w:i w:val="0"/>
          <w:sz w:val="21"/>
        </w:rPr>
        <w:t>基于单质坡地数据集的测试表明，经典机器学习（XGBoost, GPR）在预测精度与效率上均全面完胜 CNN、LSTM、Transformer 与 DeepONet 等时序深度学习模型，且训练时间从小时级降低至秒级：</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spacing w:before="60" w:after="60"/>
              <w:jc w:val="center"/>
            </w:pPr>
            <w:r>
              <w:rPr>
                <w:rFonts w:ascii="Calibri" w:hAnsi="Calibri" w:eastAsia="微软雅黑"/>
                <w:b/>
                <w:i w:val="0"/>
                <w:color w:val="FFFFFF"/>
                <w:sz w:val="19"/>
              </w:rPr>
              <w:t>方案与模型分类</w:t>
            </w:r>
          </w:p>
        </w:tc>
        <w:tc>
          <w:tcPr>
            <w:tcW w:type="dxa" w:w="1872"/>
            <w:shd w:fill="1F4E79"/>
          </w:tcPr>
          <w:p>
            <w:pPr>
              <w:spacing w:before="60" w:after="60"/>
              <w:jc w:val="center"/>
            </w:pPr>
            <w:r>
              <w:rPr>
                <w:rFonts w:ascii="Calibri" w:hAnsi="Calibri" w:eastAsia="微软雅黑"/>
                <w:b/>
                <w:i w:val="0"/>
                <w:color w:val="FFFFFF"/>
                <w:sz w:val="19"/>
              </w:rPr>
              <w:t>全区平均误差 (MAE)</w:t>
            </w:r>
          </w:p>
        </w:tc>
        <w:tc>
          <w:tcPr>
            <w:tcW w:type="dxa" w:w="1872"/>
            <w:shd w:fill="1F4E79"/>
          </w:tcPr>
          <w:p>
            <w:pPr>
              <w:spacing w:before="60" w:after="60"/>
              <w:jc w:val="center"/>
            </w:pPr>
            <w:r>
              <w:rPr>
                <w:rFonts w:ascii="Calibri" w:hAnsi="Calibri" w:eastAsia="微软雅黑"/>
                <w:b/>
                <w:i w:val="0"/>
                <w:color w:val="FFFFFF"/>
                <w:sz w:val="19"/>
              </w:rPr>
              <w:t>峰值区平均误差 (MAE)</w:t>
            </w:r>
          </w:p>
        </w:tc>
        <w:tc>
          <w:tcPr>
            <w:tcW w:type="dxa" w:w="1872"/>
            <w:shd w:fill="1F4E79"/>
          </w:tcPr>
          <w:p>
            <w:pPr>
              <w:spacing w:before="60" w:after="60"/>
              <w:jc w:val="center"/>
            </w:pPr>
            <w:r>
              <w:rPr>
                <w:rFonts w:ascii="Calibri" w:hAnsi="Calibri" w:eastAsia="微软雅黑"/>
                <w:b/>
                <w:i w:val="0"/>
                <w:color w:val="FFFFFF"/>
                <w:sz w:val="19"/>
              </w:rPr>
              <w:t>全区决定系数 (R²)</w:t>
            </w:r>
          </w:p>
        </w:tc>
        <w:tc>
          <w:tcPr>
            <w:tcW w:type="dxa" w:w="1872"/>
            <w:shd w:fill="1F4E79"/>
          </w:tcPr>
          <w:p>
            <w:pPr>
              <w:spacing w:before="60" w:after="60"/>
              <w:jc w:val="center"/>
            </w:pPr>
            <w:r>
              <w:rPr>
                <w:rFonts w:ascii="Calibri" w:hAnsi="Calibri" w:eastAsia="微软雅黑"/>
                <w:b/>
                <w:i w:val="0"/>
                <w:color w:val="FFFFFF"/>
                <w:sz w:val="19"/>
              </w:rPr>
              <w:t>训练硬件与耗时说明</w:t>
            </w:r>
          </w:p>
        </w:tc>
      </w:tr>
      <w:tr>
        <w:tc>
          <w:tcPr>
            <w:tcW w:type="dxa" w:w="1872"/>
            <w:shd w:fill="F9F9F9"/>
          </w:tcPr>
          <w:p>
            <w:pPr>
              <w:spacing w:before="40" w:after="40"/>
              <w:jc w:val="left"/>
            </w:pPr>
            <w:r/>
            <w:r>
              <w:rPr>
                <w:rFonts w:ascii="Calibri" w:hAnsi="Calibri" w:eastAsia="微软雅黑"/>
                <w:b w:val="0"/>
                <w:i w:val="0"/>
                <w:sz w:val="18"/>
              </w:rPr>
              <w:t>改进方案 GPR (高斯过程)</w:t>
            </w:r>
          </w:p>
        </w:tc>
        <w:tc>
          <w:tcPr>
            <w:tcW w:type="dxa" w:w="1872"/>
            <w:shd w:fill="F9F9F9"/>
          </w:tcPr>
          <w:p>
            <w:pPr>
              <w:spacing w:before="40" w:after="40"/>
              <w:jc w:val="center"/>
            </w:pPr>
            <w:r/>
            <w:r>
              <w:rPr>
                <w:rFonts w:ascii="Calibri" w:hAnsi="Calibri" w:eastAsia="微软雅黑"/>
                <w:b w:val="0"/>
                <w:i w:val="0"/>
                <w:sz w:val="18"/>
              </w:rPr>
              <w:t>0.0244</w:t>
            </w:r>
          </w:p>
        </w:tc>
        <w:tc>
          <w:tcPr>
            <w:tcW w:type="dxa" w:w="1872"/>
            <w:shd w:fill="F9F9F9"/>
          </w:tcPr>
          <w:p>
            <w:pPr>
              <w:spacing w:before="40" w:after="40"/>
              <w:jc w:val="center"/>
            </w:pPr>
            <w:r/>
            <w:r>
              <w:rPr>
                <w:rFonts w:ascii="Calibri" w:hAnsi="Calibri" w:eastAsia="微软雅黑"/>
                <w:b w:val="0"/>
                <w:i w:val="0"/>
                <w:sz w:val="18"/>
              </w:rPr>
              <w:t>0.0218</w:t>
            </w:r>
          </w:p>
        </w:tc>
        <w:tc>
          <w:tcPr>
            <w:tcW w:type="dxa" w:w="1872"/>
            <w:shd w:fill="F9F9F9"/>
          </w:tcPr>
          <w:p>
            <w:pPr>
              <w:spacing w:before="40" w:after="40"/>
              <w:jc w:val="center"/>
            </w:pPr>
            <w:r/>
            <w:r>
              <w:rPr>
                <w:rFonts w:ascii="Calibri" w:hAnsi="Calibri" w:eastAsia="微软雅黑"/>
                <w:b w:val="0"/>
                <w:i w:val="0"/>
                <w:sz w:val="18"/>
              </w:rPr>
              <w:t>0.9474</w:t>
            </w:r>
          </w:p>
        </w:tc>
        <w:tc>
          <w:tcPr>
            <w:tcW w:type="dxa" w:w="1872"/>
            <w:shd w:fill="F9F9F9"/>
          </w:tcPr>
          <w:p>
            <w:pPr>
              <w:spacing w:before="40" w:after="40"/>
              <w:jc w:val="center"/>
            </w:pPr>
            <w:r/>
            <w:r>
              <w:rPr>
                <w:rFonts w:ascii="Calibri" w:hAnsi="Calibri" w:eastAsia="微软雅黑"/>
                <w:b w:val="0"/>
                <w:i w:val="0"/>
                <w:sz w:val="18"/>
              </w:rPr>
              <w:t>CPU 秒级训练，支持置信区间估计</w:t>
            </w:r>
          </w:p>
        </w:tc>
      </w:tr>
      <w:tr>
        <w:tc>
          <w:tcPr>
            <w:tcW w:type="dxa" w:w="1872"/>
          </w:tcPr>
          <w:p>
            <w:pPr>
              <w:spacing w:before="40" w:after="40"/>
              <w:jc w:val="left"/>
            </w:pPr>
            <w:r/>
            <w:r>
              <w:rPr>
                <w:rFonts w:ascii="Calibri" w:hAnsi="Calibri" w:eastAsia="微软雅黑"/>
                <w:b w:val="0"/>
                <w:i w:val="0"/>
                <w:sz w:val="18"/>
              </w:rPr>
              <w:t>改进方案 XGBoost (树模型)</w:t>
            </w:r>
          </w:p>
        </w:tc>
        <w:tc>
          <w:tcPr>
            <w:tcW w:type="dxa" w:w="1872"/>
          </w:tcPr>
          <w:p>
            <w:pPr>
              <w:spacing w:before="40" w:after="40"/>
              <w:jc w:val="center"/>
            </w:pPr>
            <w:r/>
            <w:r>
              <w:rPr>
                <w:rFonts w:ascii="Calibri" w:hAnsi="Calibri" w:eastAsia="微软雅黑"/>
                <w:b w:val="0"/>
                <w:i w:val="0"/>
                <w:sz w:val="18"/>
              </w:rPr>
              <w:t>0.0330</w:t>
            </w:r>
          </w:p>
        </w:tc>
        <w:tc>
          <w:tcPr>
            <w:tcW w:type="dxa" w:w="1872"/>
          </w:tcPr>
          <w:p>
            <w:pPr>
              <w:spacing w:before="40" w:after="40"/>
              <w:jc w:val="center"/>
            </w:pPr>
            <w:r/>
            <w:r>
              <w:rPr>
                <w:rFonts w:ascii="Calibri" w:hAnsi="Calibri" w:eastAsia="微软雅黑"/>
                <w:b w:val="0"/>
                <w:i w:val="0"/>
                <w:sz w:val="18"/>
              </w:rPr>
              <w:t>0.0315</w:t>
            </w:r>
          </w:p>
        </w:tc>
        <w:tc>
          <w:tcPr>
            <w:tcW w:type="dxa" w:w="1872"/>
          </w:tcPr>
          <w:p>
            <w:pPr>
              <w:spacing w:before="40" w:after="40"/>
              <w:jc w:val="center"/>
            </w:pPr>
            <w:r/>
            <w:r>
              <w:rPr>
                <w:rFonts w:ascii="Calibri" w:hAnsi="Calibri" w:eastAsia="微软雅黑"/>
                <w:b w:val="0"/>
                <w:i w:val="0"/>
                <w:sz w:val="18"/>
              </w:rPr>
              <w:t>0.9204</w:t>
            </w:r>
          </w:p>
        </w:tc>
        <w:tc>
          <w:tcPr>
            <w:tcW w:type="dxa" w:w="1872"/>
          </w:tcPr>
          <w:p>
            <w:pPr>
              <w:spacing w:before="40" w:after="40"/>
              <w:jc w:val="center"/>
            </w:pPr>
            <w:r/>
            <w:r>
              <w:rPr>
                <w:rFonts w:ascii="Calibri" w:hAnsi="Calibri" w:eastAsia="微软雅黑"/>
                <w:b w:val="0"/>
                <w:i w:val="0"/>
                <w:sz w:val="18"/>
              </w:rPr>
              <w:t>CPU 秒级训练，支持特征重要性分析</w:t>
            </w:r>
          </w:p>
        </w:tc>
      </w:tr>
      <w:tr>
        <w:tc>
          <w:tcPr>
            <w:tcW w:type="dxa" w:w="1872"/>
            <w:shd w:fill="F9F9F9"/>
          </w:tcPr>
          <w:p>
            <w:pPr>
              <w:spacing w:before="40" w:after="40"/>
              <w:jc w:val="left"/>
            </w:pPr>
            <w:r/>
            <w:r>
              <w:rPr>
                <w:rFonts w:ascii="Calibri" w:hAnsi="Calibri" w:eastAsia="微软雅黑"/>
                <w:b w:val="0"/>
                <w:i w:val="0"/>
                <w:sz w:val="18"/>
              </w:rPr>
              <w:t>B2 Oracle 均值极限</w:t>
            </w:r>
          </w:p>
        </w:tc>
        <w:tc>
          <w:tcPr>
            <w:tcW w:type="dxa" w:w="1872"/>
            <w:shd w:fill="F9F9F9"/>
          </w:tcPr>
          <w:p>
            <w:pPr>
              <w:spacing w:before="40" w:after="40"/>
              <w:jc w:val="center"/>
            </w:pPr>
            <w:r/>
            <w:r>
              <w:rPr>
                <w:rFonts w:ascii="Calibri" w:hAnsi="Calibri" w:eastAsia="微软雅黑"/>
                <w:b w:val="0"/>
                <w:i w:val="0"/>
                <w:sz w:val="18"/>
              </w:rPr>
              <w:t>0.0469</w:t>
            </w:r>
          </w:p>
        </w:tc>
        <w:tc>
          <w:tcPr>
            <w:tcW w:type="dxa" w:w="1872"/>
            <w:shd w:fill="F9F9F9"/>
          </w:tcPr>
          <w:p>
            <w:pPr>
              <w:spacing w:before="40" w:after="40"/>
              <w:jc w:val="center"/>
            </w:pPr>
            <w:r/>
            <w:r>
              <w:rPr>
                <w:rFonts w:ascii="Calibri" w:hAnsi="Calibri" w:eastAsia="微软雅黑"/>
                <w:b w:val="0"/>
                <w:i w:val="0"/>
                <w:sz w:val="18"/>
              </w:rPr>
              <w:t>0.0480</w:t>
            </w:r>
          </w:p>
        </w:tc>
        <w:tc>
          <w:tcPr>
            <w:tcW w:type="dxa" w:w="1872"/>
            <w:shd w:fill="F9F9F9"/>
          </w:tcPr>
          <w:p>
            <w:pPr>
              <w:spacing w:before="40" w:after="40"/>
              <w:jc w:val="center"/>
            </w:pPr>
            <w:r/>
            <w:r>
              <w:rPr>
                <w:rFonts w:ascii="Calibri" w:hAnsi="Calibri" w:eastAsia="微软雅黑"/>
                <w:b w:val="0"/>
                <w:i w:val="0"/>
                <w:sz w:val="18"/>
              </w:rPr>
              <w:t>0.8285</w:t>
            </w:r>
          </w:p>
        </w:tc>
        <w:tc>
          <w:tcPr>
            <w:tcW w:type="dxa" w:w="1872"/>
            <w:shd w:fill="F9F9F9"/>
          </w:tcPr>
          <w:p>
            <w:pPr>
              <w:spacing w:before="40" w:after="40"/>
              <w:jc w:val="center"/>
            </w:pPr>
            <w:r/>
            <w:r>
              <w:rPr>
                <w:rFonts w:ascii="Calibri" w:hAnsi="Calibri" w:eastAsia="微软雅黑"/>
                <w:b w:val="0"/>
                <w:i w:val="0"/>
                <w:sz w:val="18"/>
              </w:rPr>
              <w:t>已知工况几何时的均值回归上限</w:t>
            </w:r>
          </w:p>
        </w:tc>
      </w:tr>
      <w:tr>
        <w:tc>
          <w:tcPr>
            <w:tcW w:type="dxa" w:w="1872"/>
          </w:tcPr>
          <w:p>
            <w:pPr>
              <w:spacing w:before="40" w:after="40"/>
              <w:jc w:val="left"/>
            </w:pPr>
            <w:r/>
            <w:r>
              <w:rPr>
                <w:rFonts w:ascii="Calibri" w:hAnsi="Calibri" w:eastAsia="微软雅黑"/>
                <w:b w:val="0"/>
                <w:i w:val="0"/>
                <w:sz w:val="18"/>
              </w:rPr>
              <w:t>B3 规则网格插值</w:t>
            </w:r>
          </w:p>
        </w:tc>
        <w:tc>
          <w:tcPr>
            <w:tcW w:type="dxa" w:w="1872"/>
          </w:tcPr>
          <w:p>
            <w:pPr>
              <w:spacing w:before="40" w:after="40"/>
              <w:jc w:val="center"/>
            </w:pPr>
            <w:r/>
            <w:r>
              <w:rPr>
                <w:rFonts w:ascii="Calibri" w:hAnsi="Calibri" w:eastAsia="微软雅黑"/>
                <w:b w:val="0"/>
                <w:i w:val="0"/>
                <w:sz w:val="18"/>
              </w:rPr>
              <w:t>0.0708</w:t>
            </w:r>
          </w:p>
        </w:tc>
        <w:tc>
          <w:tcPr>
            <w:tcW w:type="dxa" w:w="1872"/>
          </w:tcPr>
          <w:p>
            <w:pPr>
              <w:spacing w:before="40" w:after="40"/>
              <w:jc w:val="center"/>
            </w:pPr>
            <w:r/>
            <w:r>
              <w:rPr>
                <w:rFonts w:ascii="Calibri" w:hAnsi="Calibri" w:eastAsia="微软雅黑"/>
                <w:b w:val="0"/>
                <w:i w:val="0"/>
                <w:sz w:val="18"/>
              </w:rPr>
              <w:t>0.0658</w:t>
            </w:r>
          </w:p>
        </w:tc>
        <w:tc>
          <w:tcPr>
            <w:tcW w:type="dxa" w:w="1872"/>
          </w:tcPr>
          <w:p>
            <w:pPr>
              <w:spacing w:before="40" w:after="40"/>
              <w:jc w:val="center"/>
            </w:pPr>
            <w:r/>
            <w:r>
              <w:rPr>
                <w:rFonts w:ascii="Calibri" w:hAnsi="Calibri" w:eastAsia="微软雅黑"/>
                <w:b w:val="0"/>
                <w:i w:val="0"/>
                <w:sz w:val="18"/>
              </w:rPr>
              <w:t>0.6326</w:t>
            </w:r>
          </w:p>
        </w:tc>
        <w:tc>
          <w:tcPr>
            <w:tcW w:type="dxa" w:w="1872"/>
          </w:tcPr>
          <w:p>
            <w:pPr>
              <w:spacing w:before="40" w:after="40"/>
              <w:jc w:val="center"/>
            </w:pPr>
            <w:r/>
            <w:r>
              <w:rPr>
                <w:rFonts w:ascii="Calibri" w:hAnsi="Calibri" w:eastAsia="微软雅黑"/>
                <w:b w:val="0"/>
                <w:i w:val="0"/>
                <w:sz w:val="18"/>
              </w:rPr>
              <w:t>非机器学习数学插值的精度下限</w:t>
            </w:r>
          </w:p>
        </w:tc>
      </w:tr>
      <w:tr>
        <w:tc>
          <w:tcPr>
            <w:tcW w:type="dxa" w:w="1872"/>
            <w:shd w:fill="F9F9F9"/>
          </w:tcPr>
          <w:p>
            <w:pPr>
              <w:spacing w:before="40" w:after="40"/>
              <w:jc w:val="left"/>
            </w:pPr>
            <w:r/>
            <w:r>
              <w:rPr>
                <w:rFonts w:ascii="Calibri" w:hAnsi="Calibri" w:eastAsia="微软雅黑"/>
                <w:b w:val="0"/>
                <w:i w:val="0"/>
                <w:sz w:val="18"/>
              </w:rPr>
              <w:t>B1 全局均值基线</w:t>
            </w:r>
          </w:p>
        </w:tc>
        <w:tc>
          <w:tcPr>
            <w:tcW w:type="dxa" w:w="1872"/>
            <w:shd w:fill="F9F9F9"/>
          </w:tcPr>
          <w:p>
            <w:pPr>
              <w:spacing w:before="40" w:after="40"/>
              <w:jc w:val="center"/>
            </w:pPr>
            <w:r/>
            <w:r>
              <w:rPr>
                <w:rFonts w:ascii="Calibri" w:hAnsi="Calibri" w:eastAsia="微软雅黑"/>
                <w:b w:val="0"/>
                <w:i w:val="0"/>
                <w:sz w:val="18"/>
              </w:rPr>
              <w:t>0.1030</w:t>
            </w:r>
          </w:p>
        </w:tc>
        <w:tc>
          <w:tcPr>
            <w:tcW w:type="dxa" w:w="1872"/>
            <w:shd w:fill="F9F9F9"/>
          </w:tcPr>
          <w:p>
            <w:pPr>
              <w:spacing w:before="40" w:after="40"/>
              <w:jc w:val="center"/>
            </w:pPr>
            <w:r/>
            <w:r>
              <w:rPr>
                <w:rFonts w:ascii="Calibri" w:hAnsi="Calibri" w:eastAsia="微软雅黑"/>
                <w:b w:val="0"/>
                <w:i w:val="0"/>
                <w:sz w:val="18"/>
              </w:rPr>
              <w:t>0.0767</w:t>
            </w:r>
          </w:p>
        </w:tc>
        <w:tc>
          <w:tcPr>
            <w:tcW w:type="dxa" w:w="1872"/>
            <w:shd w:fill="F9F9F9"/>
          </w:tcPr>
          <w:p>
            <w:pPr>
              <w:spacing w:before="40" w:after="40"/>
              <w:jc w:val="center"/>
            </w:pPr>
            <w:r/>
            <w:r>
              <w:rPr>
                <w:rFonts w:ascii="Calibri" w:hAnsi="Calibri" w:eastAsia="微软雅黑"/>
                <w:b w:val="0"/>
                <w:i w:val="0"/>
                <w:sz w:val="18"/>
              </w:rPr>
              <w:t>0.3214</w:t>
            </w:r>
          </w:p>
        </w:tc>
        <w:tc>
          <w:tcPr>
            <w:tcW w:type="dxa" w:w="1872"/>
            <w:shd w:fill="F9F9F9"/>
          </w:tcPr>
          <w:p>
            <w:pPr>
              <w:spacing w:before="40" w:after="40"/>
              <w:jc w:val="center"/>
            </w:pPr>
            <w:r/>
            <w:r>
              <w:rPr>
                <w:rFonts w:ascii="Calibri" w:hAnsi="Calibri" w:eastAsia="微软雅黑"/>
                <w:b w:val="0"/>
                <w:i w:val="0"/>
                <w:sz w:val="18"/>
              </w:rPr>
              <w:t>R² 零点盲猜基准</w:t>
            </w:r>
          </w:p>
        </w:tc>
      </w:tr>
      <w:tr>
        <w:tc>
          <w:tcPr>
            <w:tcW w:type="dxa" w:w="1872"/>
          </w:tcPr>
          <w:p>
            <w:pPr>
              <w:spacing w:before="40" w:after="40"/>
              <w:jc w:val="left"/>
            </w:pPr>
            <w:r/>
            <w:r>
              <w:rPr>
                <w:rFonts w:ascii="Calibri" w:hAnsi="Calibri" w:eastAsia="微软雅黑"/>
                <w:b w:val="0"/>
                <w:i w:val="0"/>
                <w:sz w:val="18"/>
              </w:rPr>
              <w:t>初始时序 DeepONet</w:t>
            </w:r>
          </w:p>
        </w:tc>
        <w:tc>
          <w:tcPr>
            <w:tcW w:type="dxa" w:w="1872"/>
          </w:tcPr>
          <w:p>
            <w:pPr>
              <w:spacing w:before="40" w:after="40"/>
              <w:jc w:val="center"/>
            </w:pPr>
            <w:r/>
            <w:r>
              <w:rPr>
                <w:rFonts w:ascii="Calibri" w:hAnsi="Calibri" w:eastAsia="微软雅黑"/>
                <w:b w:val="0"/>
                <w:i w:val="0"/>
                <w:sz w:val="18"/>
              </w:rPr>
              <w:t>0.0506</w:t>
            </w:r>
          </w:p>
        </w:tc>
        <w:tc>
          <w:tcPr>
            <w:tcW w:type="dxa" w:w="1872"/>
          </w:tcPr>
          <w:p>
            <w:pPr>
              <w:spacing w:before="40" w:after="40"/>
              <w:jc w:val="center"/>
            </w:pPr>
            <w:r/>
            <w:r>
              <w:rPr>
                <w:rFonts w:ascii="Calibri" w:hAnsi="Calibri" w:eastAsia="微软雅黑"/>
                <w:b w:val="0"/>
                <w:i w:val="0"/>
                <w:sz w:val="18"/>
              </w:rPr>
              <w:t>—</w:t>
            </w:r>
          </w:p>
        </w:tc>
        <w:tc>
          <w:tcPr>
            <w:tcW w:type="dxa" w:w="1872"/>
          </w:tcPr>
          <w:p>
            <w:pPr>
              <w:spacing w:before="40" w:after="40"/>
              <w:jc w:val="center"/>
            </w:pPr>
            <w:r/>
            <w:r>
              <w:rPr>
                <w:rFonts w:ascii="Calibri" w:hAnsi="Calibri" w:eastAsia="微软雅黑"/>
                <w:b w:val="0"/>
                <w:i w:val="0"/>
                <w:sz w:val="18"/>
              </w:rPr>
              <w:t>0.8354</w:t>
            </w:r>
          </w:p>
        </w:tc>
        <w:tc>
          <w:tcPr>
            <w:tcW w:type="dxa" w:w="1872"/>
          </w:tcPr>
          <w:p>
            <w:pPr>
              <w:spacing w:before="40" w:after="40"/>
              <w:jc w:val="center"/>
            </w:pPr>
            <w:r/>
            <w:r>
              <w:rPr>
                <w:rFonts w:ascii="Calibri" w:hAnsi="Calibri" w:eastAsia="微软雅黑"/>
                <w:b w:val="0"/>
                <w:i w:val="0"/>
                <w:sz w:val="18"/>
              </w:rPr>
              <w:t>GPU 小时级训练，受地震波限制严重</w:t>
            </w:r>
          </w:p>
        </w:tc>
      </w:tr>
      <w:tr>
        <w:tc>
          <w:tcPr>
            <w:tcW w:type="dxa" w:w="1872"/>
            <w:shd w:fill="F9F9F9"/>
          </w:tcPr>
          <w:p>
            <w:pPr>
              <w:spacing w:before="40" w:after="40"/>
              <w:jc w:val="left"/>
            </w:pPr>
            <w:r/>
            <w:r>
              <w:rPr>
                <w:rFonts w:ascii="Calibri" w:hAnsi="Calibri" w:eastAsia="微软雅黑"/>
                <w:b w:val="0"/>
                <w:i w:val="0"/>
                <w:sz w:val="18"/>
              </w:rPr>
              <w:t>初始时序 CNN / LSTM</w:t>
            </w:r>
          </w:p>
        </w:tc>
        <w:tc>
          <w:tcPr>
            <w:tcW w:type="dxa" w:w="1872"/>
            <w:shd w:fill="F9F9F9"/>
          </w:tcPr>
          <w:p>
            <w:pPr>
              <w:spacing w:before="40" w:after="40"/>
              <w:jc w:val="center"/>
            </w:pPr>
            <w:r/>
            <w:r>
              <w:rPr>
                <w:rFonts w:ascii="Calibri" w:hAnsi="Calibri" w:eastAsia="微软雅黑"/>
                <w:b w:val="0"/>
                <w:i w:val="0"/>
                <w:sz w:val="18"/>
              </w:rPr>
              <w:t>0.0527 / 0.0544</w:t>
            </w:r>
          </w:p>
        </w:tc>
        <w:tc>
          <w:tcPr>
            <w:tcW w:type="dxa" w:w="1872"/>
            <w:shd w:fill="F9F9F9"/>
          </w:tcPr>
          <w:p>
            <w:pPr>
              <w:spacing w:before="40" w:after="40"/>
              <w:jc w:val="center"/>
            </w:pPr>
            <w:r/>
            <w:r>
              <w:rPr>
                <w:rFonts w:ascii="Calibri" w:hAnsi="Calibri" w:eastAsia="微软雅黑"/>
                <w:b w:val="0"/>
                <w:i w:val="0"/>
                <w:sz w:val="18"/>
              </w:rPr>
              <w:t>—</w:t>
            </w:r>
          </w:p>
        </w:tc>
        <w:tc>
          <w:tcPr>
            <w:tcW w:type="dxa" w:w="1872"/>
            <w:shd w:fill="F9F9F9"/>
          </w:tcPr>
          <w:p>
            <w:pPr>
              <w:spacing w:before="40" w:after="40"/>
              <w:jc w:val="center"/>
            </w:pPr>
            <w:r/>
            <w:r>
              <w:rPr>
                <w:rFonts w:ascii="Calibri" w:hAnsi="Calibri" w:eastAsia="微软雅黑"/>
                <w:b w:val="0"/>
                <w:i w:val="0"/>
                <w:sz w:val="18"/>
              </w:rPr>
              <w:t>0.8275 / 0.8147</w:t>
            </w:r>
          </w:p>
        </w:tc>
        <w:tc>
          <w:tcPr>
            <w:tcW w:type="dxa" w:w="1872"/>
            <w:shd w:fill="F9F9F9"/>
          </w:tcPr>
          <w:p>
            <w:pPr>
              <w:spacing w:before="40" w:after="40"/>
              <w:jc w:val="center"/>
            </w:pPr>
            <w:r/>
            <w:r>
              <w:rPr>
                <w:rFonts w:ascii="Calibri" w:hAnsi="Calibri" w:eastAsia="微软雅黑"/>
                <w:b w:val="0"/>
                <w:i w:val="0"/>
                <w:sz w:val="18"/>
              </w:rPr>
              <w:t>GPU 小时级训练，欠拟合严重</w:t>
            </w:r>
          </w:p>
        </w:tc>
      </w:tr>
      <w:tr>
        <w:tc>
          <w:tcPr>
            <w:tcW w:type="dxa" w:w="1872"/>
          </w:tcPr>
          <w:p>
            <w:pPr>
              <w:spacing w:before="40" w:after="40"/>
              <w:jc w:val="left"/>
            </w:pPr>
            <w:r/>
            <w:r>
              <w:rPr>
                <w:rFonts w:ascii="Calibri" w:hAnsi="Calibri" w:eastAsia="微软雅黑"/>
                <w:b w:val="0"/>
                <w:i w:val="0"/>
                <w:sz w:val="18"/>
              </w:rPr>
              <w:t>初始时序 Transformer</w:t>
            </w:r>
          </w:p>
        </w:tc>
        <w:tc>
          <w:tcPr>
            <w:tcW w:type="dxa" w:w="1872"/>
          </w:tcPr>
          <w:p>
            <w:pPr>
              <w:spacing w:before="40" w:after="40"/>
              <w:jc w:val="center"/>
            </w:pPr>
            <w:r/>
            <w:r>
              <w:rPr>
                <w:rFonts w:ascii="Calibri" w:hAnsi="Calibri" w:eastAsia="微软雅黑"/>
                <w:b w:val="0"/>
                <w:i w:val="0"/>
                <w:sz w:val="18"/>
              </w:rPr>
              <w:t>0.0572</w:t>
            </w:r>
          </w:p>
        </w:tc>
        <w:tc>
          <w:tcPr>
            <w:tcW w:type="dxa" w:w="1872"/>
          </w:tcPr>
          <w:p>
            <w:pPr>
              <w:spacing w:before="40" w:after="40"/>
              <w:jc w:val="center"/>
            </w:pPr>
            <w:r/>
            <w:r>
              <w:rPr>
                <w:rFonts w:ascii="Calibri" w:hAnsi="Calibri" w:eastAsia="微软雅黑"/>
                <w:b w:val="0"/>
                <w:i w:val="0"/>
                <w:sz w:val="18"/>
              </w:rPr>
              <w:t>—</w:t>
            </w:r>
          </w:p>
        </w:tc>
        <w:tc>
          <w:tcPr>
            <w:tcW w:type="dxa" w:w="1872"/>
          </w:tcPr>
          <w:p>
            <w:pPr>
              <w:spacing w:before="40" w:after="40"/>
              <w:jc w:val="center"/>
            </w:pPr>
            <w:r/>
            <w:r>
              <w:rPr>
                <w:rFonts w:ascii="Calibri" w:hAnsi="Calibri" w:eastAsia="微软雅黑"/>
                <w:b w:val="0"/>
                <w:i w:val="0"/>
                <w:sz w:val="18"/>
              </w:rPr>
              <w:t>0.7896</w:t>
            </w:r>
          </w:p>
        </w:tc>
        <w:tc>
          <w:tcPr>
            <w:tcW w:type="dxa" w:w="1872"/>
          </w:tcPr>
          <w:p>
            <w:pPr>
              <w:spacing w:before="40" w:after="40"/>
              <w:jc w:val="center"/>
            </w:pPr>
            <w:r/>
            <w:r>
              <w:rPr>
                <w:rFonts w:ascii="Calibri" w:hAnsi="Calibri" w:eastAsia="微软雅黑"/>
                <w:b w:val="0"/>
                <w:i w:val="0"/>
                <w:sz w:val="18"/>
              </w:rPr>
              <w:t>GPU 小时级训练，小样本泛化极差</w:t>
            </w:r>
          </w:p>
        </w:tc>
      </w:tr>
    </w:tbl>
    <w:p>
      <w:pPr>
        <w:spacing w:before="60" w:after="60"/>
      </w:pPr>
    </w:p>
    <w:p>
      <w:pPr>
        <w:pStyle w:val="Heading2"/>
        <w:keepNext/>
        <w:spacing w:before="160" w:after="80"/>
      </w:pPr>
      <w:r>
        <w:rPr>
          <w:rFonts w:ascii="Calibri" w:hAnsi="Calibri" w:eastAsia="微软雅黑"/>
          <w:b/>
          <w:i w:val="0"/>
          <w:color w:val="1F4E79"/>
          <w:sz w:val="26"/>
        </w:rPr>
        <w:t>2.4 诚实适用域外推分析</w:t>
      </w:r>
    </w:p>
    <w:p>
      <w:pPr>
        <w:spacing w:before="60" w:after="60" w:line="300" w:lineRule="auto"/>
      </w:pPr>
      <w:r>
        <w:rPr>
          <w:rFonts w:ascii="Calibri" w:hAnsi="Calibri" w:eastAsia="微软雅黑"/>
          <w:b w:val="0"/>
          <w:i w:val="0"/>
          <w:sz w:val="21"/>
        </w:rPr>
        <w:t>为评估模型的外推泛化边界，进行了单维度留一（Leave-One-Out）测试，结果表明代理模型“内插极强，外插易崩溃”：</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spacing w:before="60" w:after="60"/>
              <w:jc w:val="center"/>
            </w:pPr>
            <w:r>
              <w:rPr>
                <w:rFonts w:ascii="Calibri" w:hAnsi="Calibri" w:eastAsia="微软雅黑"/>
                <w:b/>
                <w:i w:val="0"/>
                <w:color w:val="FFFFFF"/>
                <w:sz w:val="19"/>
              </w:rPr>
              <w:t>留一测试场景</w:t>
            </w:r>
          </w:p>
        </w:tc>
        <w:tc>
          <w:tcPr>
            <w:tcW w:type="dxa" w:w="2340"/>
            <w:shd w:fill="1F4E79"/>
          </w:tcPr>
          <w:p>
            <w:pPr>
              <w:spacing w:before="60" w:after="60"/>
              <w:jc w:val="center"/>
            </w:pPr>
            <w:r>
              <w:rPr>
                <w:rFonts w:ascii="Calibri" w:hAnsi="Calibri" w:eastAsia="微软雅黑"/>
                <w:b/>
                <w:i w:val="0"/>
                <w:color w:val="FFFFFF"/>
                <w:sz w:val="19"/>
              </w:rPr>
              <w:t>决定系数 (R²)</w:t>
            </w:r>
          </w:p>
        </w:tc>
        <w:tc>
          <w:tcPr>
            <w:tcW w:type="dxa" w:w="2340"/>
            <w:shd w:fill="1F4E79"/>
          </w:tcPr>
          <w:p>
            <w:pPr>
              <w:spacing w:before="60" w:after="60"/>
              <w:jc w:val="center"/>
            </w:pPr>
            <w:r>
              <w:rPr>
                <w:rFonts w:ascii="Calibri" w:hAnsi="Calibri" w:eastAsia="微软雅黑"/>
                <w:b/>
                <w:i w:val="0"/>
                <w:color w:val="FFFFFF"/>
                <w:sz w:val="19"/>
              </w:rPr>
              <w:t>平均绝对误差 (MAE)</w:t>
            </w:r>
          </w:p>
        </w:tc>
        <w:tc>
          <w:tcPr>
            <w:tcW w:type="dxa" w:w="2340"/>
            <w:shd w:fill="1F4E79"/>
          </w:tcPr>
          <w:p>
            <w:pPr>
              <w:spacing w:before="60" w:after="60"/>
              <w:jc w:val="center"/>
            </w:pPr>
            <w:r>
              <w:rPr>
                <w:rFonts w:ascii="Calibri" w:hAnsi="Calibri" w:eastAsia="微软雅黑"/>
                <w:b/>
                <w:i w:val="0"/>
                <w:color w:val="FFFFFF"/>
                <w:sz w:val="19"/>
              </w:rPr>
              <w:t>外推泛化性质与可信度结论</w:t>
            </w:r>
          </w:p>
        </w:tc>
      </w:tr>
      <w:tr>
        <w:tc>
          <w:tcPr>
            <w:tcW w:type="dxa" w:w="2340"/>
            <w:shd w:fill="F9F9F9"/>
          </w:tcPr>
          <w:p>
            <w:pPr>
              <w:spacing w:before="40" w:after="40"/>
              <w:jc w:val="left"/>
            </w:pPr>
            <w:r/>
            <w:r>
              <w:rPr>
                <w:rFonts w:ascii="Calibri" w:hAnsi="Calibri" w:eastAsia="微软雅黑"/>
                <w:b w:val="0"/>
                <w:i w:val="0"/>
                <w:sz w:val="18"/>
              </w:rPr>
              <w:t>标准 GroupKFold (内插)</w:t>
            </w:r>
          </w:p>
        </w:tc>
        <w:tc>
          <w:tcPr>
            <w:tcW w:type="dxa" w:w="2340"/>
            <w:shd w:fill="F9F9F9"/>
          </w:tcPr>
          <w:p>
            <w:pPr>
              <w:spacing w:before="40" w:after="40"/>
              <w:jc w:val="center"/>
            </w:pPr>
            <w:r/>
            <w:r>
              <w:rPr>
                <w:rFonts w:ascii="Calibri" w:hAnsi="Calibri" w:eastAsia="微软雅黑"/>
                <w:b w:val="0"/>
                <w:i w:val="0"/>
                <w:sz w:val="18"/>
              </w:rPr>
              <w:t>0.946</w:t>
            </w:r>
          </w:p>
        </w:tc>
        <w:tc>
          <w:tcPr>
            <w:tcW w:type="dxa" w:w="2340"/>
            <w:shd w:fill="F9F9F9"/>
          </w:tcPr>
          <w:p>
            <w:pPr>
              <w:spacing w:before="40" w:after="40"/>
              <w:jc w:val="center"/>
            </w:pPr>
            <w:r/>
            <w:r>
              <w:rPr>
                <w:rFonts w:ascii="Calibri" w:hAnsi="Calibri" w:eastAsia="微软雅黑"/>
                <w:b w:val="0"/>
                <w:i w:val="0"/>
                <w:sz w:val="18"/>
              </w:rPr>
              <w:t>0.0249</w:t>
            </w:r>
          </w:p>
        </w:tc>
        <w:tc>
          <w:tcPr>
            <w:tcW w:type="dxa" w:w="2340"/>
            <w:shd w:fill="F9F9F9"/>
          </w:tcPr>
          <w:p>
            <w:pPr>
              <w:spacing w:before="40" w:after="40"/>
              <w:jc w:val="center"/>
            </w:pPr>
            <w:r/>
            <w:r>
              <w:rPr>
                <w:rFonts w:ascii="Calibri" w:hAnsi="Calibri" w:eastAsia="微软雅黑"/>
                <w:b w:val="0"/>
                <w:i w:val="0"/>
                <w:sz w:val="18"/>
              </w:rPr>
              <w:t>内插完好，适用于设计参数空间内插</w:t>
            </w:r>
          </w:p>
        </w:tc>
      </w:tr>
      <w:tr>
        <w:tc>
          <w:tcPr>
            <w:tcW w:type="dxa" w:w="2340"/>
          </w:tcPr>
          <w:p>
            <w:pPr>
              <w:spacing w:before="40" w:after="40"/>
              <w:jc w:val="left"/>
            </w:pPr>
            <w:r/>
            <w:r>
              <w:rPr>
                <w:rFonts w:ascii="Calibri" w:hAnsi="Calibri" w:eastAsia="微软雅黑"/>
                <w:b w:val="0"/>
                <w:i w:val="0"/>
                <w:sz w:val="18"/>
              </w:rPr>
              <w:t>留一入射角外推</w:t>
            </w:r>
          </w:p>
        </w:tc>
        <w:tc>
          <w:tcPr>
            <w:tcW w:type="dxa" w:w="2340"/>
          </w:tcPr>
          <w:p>
            <w:pPr>
              <w:spacing w:before="40" w:after="40"/>
              <w:jc w:val="center"/>
            </w:pPr>
            <w:r/>
            <w:r>
              <w:rPr>
                <w:rFonts w:ascii="Calibri" w:hAnsi="Calibri" w:eastAsia="微软雅黑"/>
                <w:b w:val="0"/>
                <w:i w:val="0"/>
                <w:sz w:val="18"/>
              </w:rPr>
              <w:t>0.924</w:t>
            </w:r>
          </w:p>
        </w:tc>
        <w:tc>
          <w:tcPr>
            <w:tcW w:type="dxa" w:w="2340"/>
          </w:tcPr>
          <w:p>
            <w:pPr>
              <w:spacing w:before="40" w:after="40"/>
              <w:jc w:val="center"/>
            </w:pPr>
            <w:r/>
            <w:r>
              <w:rPr>
                <w:rFonts w:ascii="Calibri" w:hAnsi="Calibri" w:eastAsia="微软雅黑"/>
                <w:b w:val="0"/>
                <w:i w:val="0"/>
                <w:sz w:val="18"/>
              </w:rPr>
              <w:t>0.0290</w:t>
            </w:r>
          </w:p>
        </w:tc>
        <w:tc>
          <w:tcPr>
            <w:tcW w:type="dxa" w:w="2340"/>
          </w:tcPr>
          <w:p>
            <w:pPr>
              <w:spacing w:before="40" w:after="40"/>
              <w:jc w:val="center"/>
            </w:pPr>
            <w:r/>
            <w:r>
              <w:rPr>
                <w:rFonts w:ascii="Calibri" w:hAnsi="Calibri" w:eastAsia="微软雅黑"/>
                <w:b w:val="0"/>
                <w:i w:val="0"/>
                <w:sz w:val="18"/>
              </w:rPr>
              <w:t>角度内插充分，响应连续稳健</w:t>
            </w:r>
          </w:p>
        </w:tc>
      </w:tr>
      <w:tr>
        <w:tc>
          <w:tcPr>
            <w:tcW w:type="dxa" w:w="2340"/>
            <w:shd w:fill="F9F9F9"/>
          </w:tcPr>
          <w:p>
            <w:pPr>
              <w:spacing w:before="40" w:after="40"/>
              <w:jc w:val="left"/>
            </w:pPr>
            <w:r/>
            <w:r>
              <w:rPr>
                <w:rFonts w:ascii="Calibri" w:hAnsi="Calibri" w:eastAsia="微软雅黑"/>
                <w:b w:val="0"/>
                <w:i w:val="0"/>
                <w:sz w:val="18"/>
              </w:rPr>
              <w:t>留一坡高 (h=50/100m)</w:t>
            </w:r>
          </w:p>
        </w:tc>
        <w:tc>
          <w:tcPr>
            <w:tcW w:type="dxa" w:w="2340"/>
            <w:shd w:fill="F9F9F9"/>
          </w:tcPr>
          <w:p>
            <w:pPr>
              <w:spacing w:before="40" w:after="40"/>
              <w:jc w:val="center"/>
            </w:pPr>
            <w:r/>
            <w:r>
              <w:rPr>
                <w:rFonts w:ascii="Calibri" w:hAnsi="Calibri" w:eastAsia="微软雅黑"/>
                <w:b w:val="0"/>
                <w:i w:val="0"/>
                <w:sz w:val="18"/>
              </w:rPr>
              <w:t>0.765 / 0.839</w:t>
            </w:r>
          </w:p>
        </w:tc>
        <w:tc>
          <w:tcPr>
            <w:tcW w:type="dxa" w:w="2340"/>
            <w:shd w:fill="F9F9F9"/>
          </w:tcPr>
          <w:p>
            <w:pPr>
              <w:spacing w:before="40" w:after="40"/>
              <w:jc w:val="center"/>
            </w:pPr>
            <w:r/>
            <w:r>
              <w:rPr>
                <w:rFonts w:ascii="Calibri" w:hAnsi="Calibri" w:eastAsia="微软雅黑"/>
                <w:b w:val="0"/>
                <w:i w:val="0"/>
                <w:sz w:val="18"/>
              </w:rPr>
              <w:t>0.0713 / 0.0648</w:t>
            </w:r>
          </w:p>
        </w:tc>
        <w:tc>
          <w:tcPr>
            <w:tcW w:type="dxa" w:w="2340"/>
            <w:shd w:fill="F9F9F9"/>
          </w:tcPr>
          <w:p>
            <w:pPr>
              <w:spacing w:before="40" w:after="40"/>
              <w:jc w:val="center"/>
            </w:pPr>
            <w:r/>
            <w:r>
              <w:rPr>
                <w:rFonts w:ascii="Calibri" w:hAnsi="Calibri" w:eastAsia="微软雅黑"/>
                <w:b w:val="0"/>
                <w:i w:val="0"/>
                <w:sz w:val="18"/>
              </w:rPr>
              <w:t>中等，处于插值范围内插可靠</w:t>
            </w:r>
          </w:p>
        </w:tc>
      </w:tr>
      <w:tr>
        <w:tc>
          <w:tcPr>
            <w:tcW w:type="dxa" w:w="2340"/>
          </w:tcPr>
          <w:p>
            <w:pPr>
              <w:spacing w:before="40" w:after="40"/>
              <w:jc w:val="left"/>
            </w:pPr>
            <w:r/>
            <w:r>
              <w:rPr>
                <w:rFonts w:ascii="Calibri" w:hAnsi="Calibri" w:eastAsia="微软雅黑"/>
                <w:b w:val="0"/>
                <w:i w:val="0"/>
                <w:sz w:val="18"/>
              </w:rPr>
              <w:t>留一坡高 (h=200m)</w:t>
            </w:r>
          </w:p>
        </w:tc>
        <w:tc>
          <w:tcPr>
            <w:tcW w:type="dxa" w:w="2340"/>
          </w:tcPr>
          <w:p>
            <w:pPr>
              <w:spacing w:before="40" w:after="40"/>
              <w:jc w:val="center"/>
            </w:pPr>
            <w:r/>
            <w:r>
              <w:rPr>
                <w:rFonts w:ascii="Calibri" w:hAnsi="Calibri" w:eastAsia="微软雅黑"/>
                <w:b w:val="0"/>
                <w:i w:val="0"/>
                <w:sz w:val="18"/>
              </w:rPr>
              <w:t>0.577</w:t>
            </w:r>
          </w:p>
        </w:tc>
        <w:tc>
          <w:tcPr>
            <w:tcW w:type="dxa" w:w="2340"/>
          </w:tcPr>
          <w:p>
            <w:pPr>
              <w:spacing w:before="40" w:after="40"/>
              <w:jc w:val="center"/>
            </w:pPr>
            <w:r/>
            <w:r>
              <w:rPr>
                <w:rFonts w:ascii="Calibri" w:hAnsi="Calibri" w:eastAsia="微软雅黑"/>
                <w:b w:val="0"/>
                <w:i w:val="0"/>
                <w:sz w:val="18"/>
              </w:rPr>
              <w:t>0.0977</w:t>
            </w:r>
          </w:p>
        </w:tc>
        <w:tc>
          <w:tcPr>
            <w:tcW w:type="dxa" w:w="2340"/>
          </w:tcPr>
          <w:p>
            <w:pPr>
              <w:spacing w:before="40" w:after="40"/>
              <w:jc w:val="center"/>
            </w:pPr>
            <w:r/>
            <w:r>
              <w:rPr>
                <w:rFonts w:ascii="Calibri" w:hAnsi="Calibri" w:eastAsia="微软雅黑"/>
                <w:b w:val="0"/>
                <w:i w:val="0"/>
                <w:sz w:val="18"/>
              </w:rPr>
              <w:t>外插临界边界，误差波动大，需慎用</w:t>
            </w:r>
          </w:p>
        </w:tc>
      </w:tr>
      <w:tr>
        <w:tc>
          <w:tcPr>
            <w:tcW w:type="dxa" w:w="2340"/>
            <w:shd w:fill="F9F9F9"/>
          </w:tcPr>
          <w:p>
            <w:pPr>
              <w:spacing w:before="40" w:after="40"/>
              <w:jc w:val="left"/>
            </w:pPr>
            <w:r/>
            <w:r>
              <w:rPr>
                <w:rFonts w:ascii="Calibri" w:hAnsi="Calibri" w:eastAsia="微软雅黑"/>
                <w:b w:val="0"/>
                <w:i w:val="0"/>
                <w:sz w:val="18"/>
              </w:rPr>
              <w:t>留一坡高 (h=10m 下界外插)</w:t>
            </w:r>
          </w:p>
        </w:tc>
        <w:tc>
          <w:tcPr>
            <w:tcW w:type="dxa" w:w="2340"/>
            <w:shd w:fill="F9F9F9"/>
          </w:tcPr>
          <w:p>
            <w:pPr>
              <w:spacing w:before="40" w:after="40"/>
              <w:jc w:val="center"/>
            </w:pPr>
            <w:r/>
            <w:r>
              <w:rPr>
                <w:rFonts w:ascii="Calibri" w:hAnsi="Calibri" w:eastAsia="微软雅黑"/>
                <w:b w:val="0"/>
                <w:i w:val="0"/>
                <w:sz w:val="18"/>
              </w:rPr>
              <w:t>−6.829</w:t>
            </w:r>
          </w:p>
        </w:tc>
        <w:tc>
          <w:tcPr>
            <w:tcW w:type="dxa" w:w="2340"/>
            <w:shd w:fill="F9F9F9"/>
          </w:tcPr>
          <w:p>
            <w:pPr>
              <w:spacing w:before="40" w:after="40"/>
              <w:jc w:val="center"/>
            </w:pPr>
            <w:r/>
            <w:r>
              <w:rPr>
                <w:rFonts w:ascii="Calibri" w:hAnsi="Calibri" w:eastAsia="微软雅黑"/>
                <w:b w:val="0"/>
                <w:i w:val="0"/>
                <w:sz w:val="18"/>
              </w:rPr>
              <w:t>0.0844</w:t>
            </w:r>
          </w:p>
        </w:tc>
        <w:tc>
          <w:tcPr>
            <w:tcW w:type="dxa" w:w="2340"/>
            <w:shd w:fill="F9F9F9"/>
          </w:tcPr>
          <w:p>
            <w:pPr>
              <w:spacing w:before="40" w:after="40"/>
              <w:jc w:val="center"/>
            </w:pPr>
            <w:r/>
            <w:r>
              <w:rPr>
                <w:rFonts w:ascii="Calibri" w:hAnsi="Calibri" w:eastAsia="微软雅黑"/>
                <w:b w:val="0"/>
                <w:i w:val="0"/>
                <w:sz w:val="18"/>
              </w:rPr>
              <w:t>崩溃失真，超出参数下限，模型失效</w:t>
            </w:r>
          </w:p>
        </w:tc>
      </w:tr>
      <w:tr>
        <w:tc>
          <w:tcPr>
            <w:tcW w:type="dxa" w:w="2340"/>
          </w:tcPr>
          <w:p>
            <w:pPr>
              <w:spacing w:before="40" w:after="40"/>
              <w:jc w:val="left"/>
            </w:pPr>
            <w:r/>
            <w:r>
              <w:rPr>
                <w:rFonts w:ascii="Calibri" w:hAnsi="Calibri" w:eastAsia="微软雅黑"/>
                <w:b w:val="0"/>
                <w:i w:val="0"/>
                <w:sz w:val="18"/>
              </w:rPr>
              <w:t>留一坡高 (h=400m 上界外插)</w:t>
            </w:r>
          </w:p>
        </w:tc>
        <w:tc>
          <w:tcPr>
            <w:tcW w:type="dxa" w:w="2340"/>
          </w:tcPr>
          <w:p>
            <w:pPr>
              <w:spacing w:before="40" w:after="40"/>
              <w:jc w:val="center"/>
            </w:pPr>
            <w:r/>
            <w:r>
              <w:rPr>
                <w:rFonts w:ascii="Calibri" w:hAnsi="Calibri" w:eastAsia="微软雅黑"/>
                <w:b w:val="0"/>
                <w:i w:val="0"/>
                <w:sz w:val="18"/>
              </w:rPr>
              <w:t>0.023</w:t>
            </w:r>
          </w:p>
        </w:tc>
        <w:tc>
          <w:tcPr>
            <w:tcW w:type="dxa" w:w="2340"/>
          </w:tcPr>
          <w:p>
            <w:pPr>
              <w:spacing w:before="40" w:after="40"/>
              <w:jc w:val="center"/>
            </w:pPr>
            <w:r/>
            <w:r>
              <w:rPr>
                <w:rFonts w:ascii="Calibri" w:hAnsi="Calibri" w:eastAsia="微软雅黑"/>
                <w:b w:val="0"/>
                <w:i w:val="0"/>
                <w:sz w:val="18"/>
              </w:rPr>
              <w:t>0.1209</w:t>
            </w:r>
          </w:p>
        </w:tc>
        <w:tc>
          <w:tcPr>
            <w:tcW w:type="dxa" w:w="2340"/>
          </w:tcPr>
          <w:p>
            <w:pPr>
              <w:spacing w:before="40" w:after="40"/>
              <w:jc w:val="center"/>
            </w:pPr>
            <w:r/>
            <w:r>
              <w:rPr>
                <w:rFonts w:ascii="Calibri" w:hAnsi="Calibri" w:eastAsia="微软雅黑"/>
                <w:b w:val="0"/>
                <w:i w:val="0"/>
                <w:sz w:val="18"/>
              </w:rPr>
              <w:t>崩溃失真，超出参数上限，模型失效</w:t>
            </w:r>
          </w:p>
        </w:tc>
      </w:tr>
      <w:tr>
        <w:tc>
          <w:tcPr>
            <w:tcW w:type="dxa" w:w="2340"/>
            <w:shd w:fill="F9F9F9"/>
          </w:tcPr>
          <w:p>
            <w:pPr>
              <w:spacing w:before="40" w:after="40"/>
              <w:jc w:val="left"/>
            </w:pPr>
            <w:r/>
            <w:r>
              <w:rPr>
                <w:rFonts w:ascii="Calibri" w:hAnsi="Calibri" w:eastAsia="微软雅黑"/>
                <w:b w:val="0"/>
                <w:i w:val="0"/>
                <w:sz w:val="18"/>
              </w:rPr>
              <w:t>留一地震波 (仅3条波外推)</w:t>
            </w:r>
          </w:p>
        </w:tc>
        <w:tc>
          <w:tcPr>
            <w:tcW w:type="dxa" w:w="2340"/>
            <w:shd w:fill="F9F9F9"/>
          </w:tcPr>
          <w:p>
            <w:pPr>
              <w:spacing w:before="40" w:after="40"/>
              <w:jc w:val="center"/>
            </w:pPr>
            <w:r/>
            <w:r>
              <w:rPr>
                <w:rFonts w:ascii="Calibri" w:hAnsi="Calibri" w:eastAsia="微软雅黑"/>
                <w:b w:val="0"/>
                <w:i w:val="0"/>
                <w:sz w:val="18"/>
              </w:rPr>
              <w:t>0.272</w:t>
            </w:r>
          </w:p>
        </w:tc>
        <w:tc>
          <w:tcPr>
            <w:tcW w:type="dxa" w:w="2340"/>
            <w:shd w:fill="F9F9F9"/>
          </w:tcPr>
          <w:p>
            <w:pPr>
              <w:spacing w:before="40" w:after="40"/>
              <w:jc w:val="center"/>
            </w:pPr>
            <w:r/>
            <w:r>
              <w:rPr>
                <w:rFonts w:ascii="Calibri" w:hAnsi="Calibri" w:eastAsia="微软雅黑"/>
                <w:b w:val="0"/>
                <w:i w:val="0"/>
                <w:sz w:val="18"/>
              </w:rPr>
              <w:t>0.1069</w:t>
            </w:r>
          </w:p>
        </w:tc>
        <w:tc>
          <w:tcPr>
            <w:tcW w:type="dxa" w:w="2340"/>
            <w:shd w:fill="F9F9F9"/>
          </w:tcPr>
          <w:p>
            <w:pPr>
              <w:spacing w:before="40" w:after="40"/>
              <w:jc w:val="center"/>
            </w:pPr>
            <w:r/>
            <w:r>
              <w:rPr>
                <w:rFonts w:ascii="Calibri" w:hAnsi="Calibri" w:eastAsia="微软雅黑"/>
                <w:b w:val="0"/>
                <w:i w:val="0"/>
                <w:sz w:val="18"/>
              </w:rPr>
              <w:t>波外推受限，主要因训练集波形太少</w:t>
            </w:r>
          </w:p>
        </w:tc>
      </w:tr>
    </w:tbl>
    <w:p>
      <w:pPr>
        <w:spacing w:before="60" w:after="60"/>
      </w:pPr>
    </w:p>
    <w:p>
      <w:pPr>
        <w:pStyle w:val="Heading2"/>
        <w:keepNext/>
        <w:spacing w:before="160" w:after="80"/>
      </w:pPr>
      <w:r>
        <w:rPr>
          <w:rFonts w:ascii="Calibri" w:hAnsi="Calibri" w:eastAsia="微软雅黑"/>
          <w:b/>
          <w:i w:val="0"/>
          <w:color w:val="1F4E79"/>
          <w:sz w:val="26"/>
        </w:rPr>
        <w:t>2.5 机器学习下一步计划</w:t>
      </w:r>
    </w:p>
    <w:p>
      <w:pPr>
        <w:spacing w:before="30" w:after="30" w:line="276" w:lineRule="auto"/>
      </w:pPr>
      <w:r>
        <w:rPr>
          <w:rFonts w:ascii="Calibri" w:hAnsi="Calibri" w:eastAsia="微软雅黑"/>
          <w:b/>
          <w:i w:val="0"/>
          <w:sz w:val="21"/>
        </w:rPr>
        <w:t xml:space="preserve">1. </w:t>
      </w:r>
      <w:r>
        <w:rPr>
          <w:rFonts w:ascii="Calibri" w:hAnsi="Calibri" w:eastAsia="微软雅黑"/>
          <w:b/>
          <w:i w:val="0"/>
          <w:sz w:val="21"/>
        </w:rPr>
        <w:t>并入多地层有限元数据</w:t>
      </w:r>
      <w:r>
        <w:rPr>
          <w:rFonts w:ascii="Calibri" w:hAnsi="Calibri" w:eastAsia="微软雅黑"/>
          <w:b w:val="0"/>
          <w:i w:val="0"/>
          <w:sz w:val="21"/>
        </w:rPr>
        <w:t>：待 Part I 中 v8 新版脚本跑出的成层斜坡有限元工况数据计算完毕后，将多地层数据并入当前的数据集（从 522 样本扩充至 ~1000 样本）。</w:t>
      </w:r>
    </w:p>
    <w:p>
      <w:pPr>
        <w:spacing w:before="30" w:after="30" w:line="276" w:lineRule="auto"/>
      </w:pPr>
      <w:r>
        <w:rPr>
          <w:rFonts w:ascii="Calibri" w:hAnsi="Calibri" w:eastAsia="微软雅黑"/>
          <w:b/>
          <w:i w:val="0"/>
          <w:sz w:val="21"/>
        </w:rPr>
        <w:t xml:space="preserve">2. </w:t>
      </w:r>
      <w:r>
        <w:rPr>
          <w:rFonts w:ascii="Calibri" w:hAnsi="Calibri" w:eastAsia="微软雅黑"/>
          <w:b/>
          <w:i w:val="0"/>
          <w:sz w:val="21"/>
        </w:rPr>
        <w:t>扩展输入地震波库</w:t>
      </w:r>
      <w:r>
        <w:rPr>
          <w:rFonts w:ascii="Calibri" w:hAnsi="Calibri" w:eastAsia="微软雅黑"/>
          <w:b w:val="0"/>
          <w:i w:val="0"/>
          <w:sz w:val="21"/>
        </w:rPr>
        <w:t>：将地震波样本由目前的 3 条扩展至 10 条以上，以提取更丰富的谱物理特征，攻克留一波外推预测精度受限的问题。</w:t>
      </w:r>
    </w:p>
    <w:p>
      <w:pPr>
        <w:spacing w:before="30" w:after="30" w:line="276" w:lineRule="auto"/>
      </w:pPr>
      <w:r>
        <w:rPr>
          <w:rFonts w:ascii="Calibri" w:hAnsi="Calibri" w:eastAsia="微软雅黑"/>
          <w:b/>
          <w:i w:val="0"/>
          <w:sz w:val="21"/>
        </w:rPr>
        <w:t xml:space="preserve">3. </w:t>
      </w:r>
      <w:r>
        <w:rPr>
          <w:rFonts w:ascii="Calibri" w:hAnsi="Calibri" w:eastAsia="微软雅黑"/>
          <w:b/>
          <w:i w:val="0"/>
          <w:sz w:val="21"/>
        </w:rPr>
        <w:t>研发多地层代理模型</w:t>
      </w:r>
      <w:r>
        <w:rPr>
          <w:rFonts w:ascii="Calibri" w:hAnsi="Calibri" w:eastAsia="微软雅黑"/>
          <w:b w:val="0"/>
          <w:i w:val="0"/>
          <w:sz w:val="21"/>
        </w:rPr>
        <w:t>：基于无量纲参数组 η、d/h 和阻抗比 α，结合二维 POD 对 H(f, s) 曲面降维，研究多地层共振放大效应下的高维代理模型。</w:t>
      </w:r>
    </w:p>
    <w:p>
      <w:pPr>
        <w:spacing w:before="60" w:after="60" w:line="300" w:lineRule="auto"/>
      </w:pPr>
      <w:r>
        <w:rPr>
          <w:rFonts w:ascii="Calibri" w:hAnsi="Calibri" w:eastAsia="微软雅黑"/>
          <w:b w:val="0"/>
          <w:i w:val="0"/>
          <w:sz w:val="21"/>
        </w:rPr>
        <w:t>---</w:t>
      </w:r>
    </w:p>
    <w:p>
      <w:pPr>
        <w:pStyle w:val="Heading1"/>
        <w:keepNext/>
        <w:spacing w:before="280" w:after="120"/>
      </w:pPr>
      <w:r>
        <w:rPr>
          <w:rFonts w:ascii="Calibri" w:hAnsi="Calibri" w:eastAsia="微软雅黑"/>
          <w:b/>
          <w:i w:val="0"/>
          <w:color w:val="1F4E79"/>
          <w:sz w:val="30"/>
        </w:rPr>
        <w:t>附录</w:t>
      </w:r>
    </w:p>
    <w:p>
      <w:pPr>
        <w:pStyle w:val="Heading2"/>
        <w:keepNext/>
        <w:spacing w:before="160" w:after="80"/>
      </w:pPr>
      <w:r>
        <w:rPr>
          <w:rFonts w:ascii="Calibri" w:hAnsi="Calibri" w:eastAsia="微软雅黑"/>
          <w:b/>
          <w:i w:val="0"/>
          <w:color w:val="1F4E79"/>
          <w:sz w:val="26"/>
        </w:rPr>
        <w:t>A. 符号说明</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spacing w:before="60" w:after="60"/>
              <w:jc w:val="center"/>
            </w:pPr>
            <w:r>
              <w:rPr>
                <w:rFonts w:ascii="Calibri" w:hAnsi="Calibri" w:eastAsia="微软雅黑"/>
                <w:b/>
                <w:i w:val="0"/>
                <w:color w:val="FFFFFF"/>
                <w:sz w:val="19"/>
              </w:rPr>
              <w:t>符号</w:t>
            </w:r>
          </w:p>
        </w:tc>
        <w:tc>
          <w:tcPr>
            <w:tcW w:type="dxa" w:w="4680"/>
            <w:shd w:fill="1F4E79"/>
          </w:tcPr>
          <w:p>
            <w:pPr>
              <w:spacing w:before="60" w:after="60"/>
              <w:jc w:val="center"/>
            </w:pPr>
            <w:r>
              <w:rPr>
                <w:rFonts w:ascii="Calibri" w:hAnsi="Calibri" w:eastAsia="微软雅黑"/>
                <w:b/>
                <w:i w:val="0"/>
                <w:color w:val="FFFFFF"/>
                <w:sz w:val="19"/>
              </w:rPr>
              <w:t>含义说明</w:t>
            </w:r>
          </w:p>
        </w:tc>
      </w:tr>
      <w:tr>
        <w:tc>
          <w:tcPr>
            <w:tcW w:type="dxa" w:w="4680"/>
            <w:shd w:fill="F9F9F9"/>
          </w:tcPr>
          <w:p>
            <w:pPr>
              <w:spacing w:before="40" w:after="40"/>
              <w:jc w:val="center"/>
            </w:pPr>
            <w:r/>
            <w:r>
              <w:rPr>
                <w:rFonts w:ascii="Calibri" w:hAnsi="Calibri" w:eastAsia="微软雅黑"/>
                <w:b w:val="0"/>
                <w:i w:val="0"/>
                <w:sz w:val="18"/>
              </w:rPr>
              <w:t>TAF_h / TAF_v</w:t>
            </w:r>
          </w:p>
        </w:tc>
        <w:tc>
          <w:tcPr>
            <w:tcW w:type="dxa" w:w="4680"/>
            <w:shd w:fill="F9F9F9"/>
          </w:tcPr>
          <w:p>
            <w:pPr>
              <w:spacing w:before="40" w:after="40"/>
              <w:jc w:val="center"/>
            </w:pPr>
            <w:r/>
            <w:r>
              <w:rPr>
                <w:rFonts w:ascii="Calibri" w:hAnsi="Calibri" w:eastAsia="微软雅黑"/>
                <w:b w:val="0"/>
                <w:i w:val="0"/>
                <w:sz w:val="18"/>
              </w:rPr>
              <w:t>水平向 / 竖向地形放大系数（以基岩半空间自由场地表 PGA 归一）</w:t>
            </w:r>
          </w:p>
        </w:tc>
      </w:tr>
      <w:tr>
        <w:tc>
          <w:tcPr>
            <w:tcW w:type="dxa" w:w="4680"/>
          </w:tcPr>
          <w:p>
            <w:pPr>
              <w:spacing w:before="40" w:after="40"/>
              <w:jc w:val="center"/>
            </w:pPr>
            <w:r/>
            <w:r>
              <w:rPr>
                <w:rFonts w:ascii="Calibri" w:hAnsi="Calibri" w:eastAsia="微软雅黑"/>
                <w:b w:val="0"/>
                <w:i w:val="0"/>
                <w:sz w:val="18"/>
              </w:rPr>
              <w:t>PGA_h / PGA_v</w:t>
            </w:r>
          </w:p>
        </w:tc>
        <w:tc>
          <w:tcPr>
            <w:tcW w:type="dxa" w:w="4680"/>
          </w:tcPr>
          <w:p>
            <w:pPr>
              <w:spacing w:before="40" w:after="40"/>
              <w:jc w:val="center"/>
            </w:pPr>
            <w:r/>
            <w:r>
              <w:rPr>
                <w:rFonts w:ascii="Calibri" w:hAnsi="Calibri" w:eastAsia="微软雅黑"/>
                <w:b w:val="0"/>
                <w:i w:val="0"/>
                <w:sz w:val="18"/>
              </w:rPr>
              <w:t>水平向 / 竖向峰值地面加速度</w:t>
            </w:r>
          </w:p>
        </w:tc>
      </w:tr>
      <w:tr>
        <w:tc>
          <w:tcPr>
            <w:tcW w:type="dxa" w:w="4680"/>
            <w:shd w:fill="F9F9F9"/>
          </w:tcPr>
          <w:p>
            <w:pPr>
              <w:spacing w:before="40" w:after="40"/>
              <w:jc w:val="center"/>
            </w:pPr>
            <w:r/>
            <w:r>
              <w:rPr>
                <w:rFonts w:ascii="Calibri" w:hAnsi="Calibri" w:eastAsia="微软雅黑"/>
                <w:b w:val="0"/>
                <w:i w:val="0"/>
                <w:sz w:val="18"/>
              </w:rPr>
              <w:t>VAB</w:t>
            </w:r>
          </w:p>
        </w:tc>
        <w:tc>
          <w:tcPr>
            <w:tcW w:type="dxa" w:w="4680"/>
            <w:shd w:fill="F9F9F9"/>
          </w:tcPr>
          <w:p>
            <w:pPr>
              <w:spacing w:before="40" w:after="40"/>
              <w:jc w:val="center"/>
            </w:pPr>
            <w:r/>
            <w:r>
              <w:rPr>
                <w:rFonts w:ascii="Calibri" w:hAnsi="Calibri" w:eastAsia="微软雅黑"/>
                <w:b w:val="0"/>
                <w:i w:val="0"/>
                <w:sz w:val="18"/>
              </w:rPr>
              <w:t>粘弹性人工边界（Viscoelastic Artificial Boundary）</w:t>
            </w:r>
          </w:p>
        </w:tc>
      </w:tr>
      <w:tr>
        <w:tc>
          <w:tcPr>
            <w:tcW w:type="dxa" w:w="4680"/>
          </w:tcPr>
          <w:p>
            <w:pPr>
              <w:spacing w:before="40" w:after="40"/>
              <w:jc w:val="center"/>
            </w:pPr>
            <w:r/>
            <w:r>
              <w:rPr>
                <w:rFonts w:ascii="Calibri" w:hAnsi="Calibri" w:eastAsia="微软雅黑"/>
                <w:b w:val="0"/>
                <w:i w:val="0"/>
                <w:sz w:val="18"/>
              </w:rPr>
              <w:t>POD / PCA</w:t>
            </w:r>
          </w:p>
        </w:tc>
        <w:tc>
          <w:tcPr>
            <w:tcW w:type="dxa" w:w="4680"/>
          </w:tcPr>
          <w:p>
            <w:pPr>
              <w:spacing w:before="40" w:after="40"/>
              <w:jc w:val="center"/>
            </w:pPr>
            <w:r/>
            <w:r>
              <w:rPr>
                <w:rFonts w:ascii="Calibri" w:hAnsi="Calibri" w:eastAsia="微软雅黑"/>
                <w:b w:val="0"/>
                <w:i w:val="0"/>
                <w:sz w:val="18"/>
              </w:rPr>
              <w:t>本征正交分解（Proper Orthogonal Decomposition）</w:t>
            </w:r>
          </w:p>
        </w:tc>
      </w:tr>
      <w:tr>
        <w:tc>
          <w:tcPr>
            <w:tcW w:type="dxa" w:w="4680"/>
            <w:shd w:fill="F9F9F9"/>
          </w:tcPr>
          <w:p>
            <w:pPr>
              <w:spacing w:before="40" w:after="40"/>
              <w:jc w:val="center"/>
            </w:pPr>
            <w:r/>
            <w:r>
              <w:rPr>
                <w:rFonts w:ascii="Calibri" w:hAnsi="Calibri" w:eastAsia="微软雅黑"/>
                <w:b w:val="0"/>
                <w:i w:val="0"/>
                <w:sz w:val="18"/>
              </w:rPr>
              <w:t>GPR</w:t>
            </w:r>
          </w:p>
        </w:tc>
        <w:tc>
          <w:tcPr>
            <w:tcW w:type="dxa" w:w="4680"/>
            <w:shd w:fill="F9F9F9"/>
          </w:tcPr>
          <w:p>
            <w:pPr>
              <w:spacing w:before="40" w:after="40"/>
              <w:jc w:val="center"/>
            </w:pPr>
            <w:r/>
            <w:r>
              <w:rPr>
                <w:rFonts w:ascii="Calibri" w:hAnsi="Calibri" w:eastAsia="微软雅黑"/>
                <w:b w:val="0"/>
                <w:i w:val="0"/>
                <w:sz w:val="18"/>
              </w:rPr>
              <w:t>高斯过程回归（Gaussian Process Regression）</w:t>
            </w:r>
          </w:p>
        </w:tc>
      </w:tr>
      <w:tr>
        <w:tc>
          <w:tcPr>
            <w:tcW w:type="dxa" w:w="4680"/>
          </w:tcPr>
          <w:p>
            <w:pPr>
              <w:spacing w:before="40" w:after="40"/>
              <w:jc w:val="center"/>
            </w:pPr>
            <w:r/>
            <w:r>
              <w:rPr>
                <w:rFonts w:ascii="Calibri" w:hAnsi="Calibri" w:eastAsia="微软雅黑"/>
                <w:b w:val="0"/>
                <w:i w:val="0"/>
                <w:sz w:val="18"/>
              </w:rPr>
              <w:t>MAE / R²</w:t>
            </w:r>
          </w:p>
        </w:tc>
        <w:tc>
          <w:tcPr>
            <w:tcW w:type="dxa" w:w="4680"/>
          </w:tcPr>
          <w:p>
            <w:pPr>
              <w:spacing w:before="40" w:after="40"/>
              <w:jc w:val="center"/>
            </w:pPr>
            <w:r/>
            <w:r>
              <w:rPr>
                <w:rFonts w:ascii="Calibri" w:hAnsi="Calibri" w:eastAsia="微软雅黑"/>
                <w:b w:val="0"/>
                <w:i w:val="0"/>
                <w:sz w:val="18"/>
              </w:rPr>
              <w:t>平均绝对误差 / 决定系数</w:t>
            </w:r>
          </w:p>
        </w:tc>
      </w:tr>
      <w:tr>
        <w:tc>
          <w:tcPr>
            <w:tcW w:type="dxa" w:w="4680"/>
            <w:shd w:fill="F9F9F9"/>
          </w:tcPr>
          <w:p>
            <w:pPr>
              <w:spacing w:before="40" w:after="40"/>
              <w:jc w:val="center"/>
            </w:pPr>
            <w:r/>
            <w:r>
              <w:rPr>
                <w:rFonts w:ascii="Calibri" w:hAnsi="Calibri" w:eastAsia="微软雅黑"/>
                <w:b w:val="0"/>
                <w:i w:val="0"/>
                <w:sz w:val="18"/>
              </w:rPr>
              <w:t>CFL 守卫</w:t>
            </w:r>
          </w:p>
        </w:tc>
        <w:tc>
          <w:tcPr>
            <w:tcW w:type="dxa" w:w="4680"/>
            <w:shd w:fill="F9F9F9"/>
          </w:tcPr>
          <w:p>
            <w:pPr>
              <w:spacing w:before="40" w:after="40"/>
              <w:jc w:val="center"/>
            </w:pPr>
            <w:r/>
            <w:r>
              <w:rPr>
                <w:rFonts w:ascii="Calibri" w:hAnsi="Calibri" w:eastAsia="微软雅黑"/>
                <w:b w:val="0"/>
                <w:i w:val="0"/>
                <w:sz w:val="18"/>
              </w:rPr>
              <w:t>Courant-Friedrichs-Lewy 动力显式稳定性时步校验门槛</w:t>
            </w:r>
          </w:p>
        </w:tc>
      </w:tr>
    </w:tbl>
    <w:p>
      <w:pPr>
        <w:spacing w:before="60" w:after="60"/>
      </w:pPr>
    </w:p>
    <w:p>
      <w:pPr>
        <w:pStyle w:val="Heading2"/>
        <w:keepNext/>
        <w:spacing w:before="160" w:after="80"/>
      </w:pPr>
      <w:r>
        <w:rPr>
          <w:rFonts w:ascii="Calibri" w:hAnsi="Calibri" w:eastAsia="微软雅黑"/>
          <w:b/>
          <w:i w:val="0"/>
          <w:color w:val="1F4E79"/>
          <w:sz w:val="26"/>
        </w:rPr>
        <w:t>B. 关键文件索引</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spacing w:before="60" w:after="60"/>
              <w:jc w:val="center"/>
            </w:pPr>
            <w:r>
              <w:rPr>
                <w:rFonts w:ascii="Calibri" w:hAnsi="Calibri" w:eastAsia="微软雅黑"/>
                <w:b/>
                <w:i w:val="0"/>
                <w:color w:val="FFFFFF"/>
                <w:sz w:val="19"/>
              </w:rPr>
              <w:t>关键文件路径</w:t>
            </w:r>
          </w:p>
        </w:tc>
        <w:tc>
          <w:tcPr>
            <w:tcW w:type="dxa" w:w="4680"/>
            <w:shd w:fill="1F4E79"/>
          </w:tcPr>
          <w:p>
            <w:pPr>
              <w:spacing w:before="60" w:after="60"/>
              <w:jc w:val="center"/>
            </w:pPr>
            <w:r>
              <w:rPr>
                <w:rFonts w:ascii="Calibri" w:hAnsi="Calibri" w:eastAsia="微软雅黑"/>
                <w:b/>
                <w:i w:val="0"/>
                <w:color w:val="FFFFFF"/>
                <w:sz w:val="19"/>
              </w:rPr>
              <w:t>功能与技术细节描述</w:t>
            </w:r>
          </w:p>
        </w:tc>
      </w:tr>
      <w:tr>
        <w:tc>
          <w:tcPr>
            <w:tcW w:type="dxa" w:w="4680"/>
            <w:shd w:fill="F9F9F9"/>
          </w:tcPr>
          <w:p>
            <w:pPr>
              <w:spacing w:before="40" w:after="40"/>
              <w:jc w:val="center"/>
            </w:pPr>
            <w:r/>
            <w:r>
              <w:rPr>
                <w:rFonts w:ascii="Calibri" w:hAnsi="Calibri" w:eastAsia="微软雅黑"/>
                <w:b w:val="0"/>
                <w:i w:val="0"/>
                <w:sz w:val="18"/>
              </w:rPr>
              <w:t>Modeling/Multi/VAB_oblique_TAF_multilayer_v8.py</w:t>
            </w:r>
          </w:p>
        </w:tc>
        <w:tc>
          <w:tcPr>
            <w:tcW w:type="dxa" w:w="4680"/>
            <w:shd w:fill="F9F9F9"/>
          </w:tcPr>
          <w:p>
            <w:pPr>
              <w:spacing w:before="40" w:after="40"/>
              <w:jc w:val="center"/>
            </w:pPr>
            <w:r/>
            <w:r>
              <w:rPr>
                <w:rFonts w:ascii="Calibri" w:hAnsi="Calibri" w:eastAsia="微软雅黑"/>
                <w:b w:val="0"/>
                <w:i w:val="0"/>
                <w:sz w:val="18"/>
              </w:rPr>
              <w:t>Abaqus 多地层有限元数值仿真主脚本（2479 行）</w:t>
            </w:r>
          </w:p>
        </w:tc>
      </w:tr>
      <w:tr>
        <w:tc>
          <w:tcPr>
            <w:tcW w:type="dxa" w:w="4680"/>
          </w:tcPr>
          <w:p>
            <w:pPr>
              <w:spacing w:before="40" w:after="40"/>
              <w:jc w:val="center"/>
            </w:pPr>
            <w:r/>
            <w:r>
              <w:rPr>
                <w:rFonts w:ascii="Calibri" w:hAnsi="Calibri" w:eastAsia="微软雅黑"/>
                <w:b w:val="0"/>
                <w:i w:val="0"/>
                <w:sz w:val="18"/>
              </w:rPr>
              <w:t>Achievements/v2_to_v8_upgrade_report.md</w:t>
            </w:r>
          </w:p>
        </w:tc>
        <w:tc>
          <w:tcPr>
            <w:tcW w:type="dxa" w:w="4680"/>
          </w:tcPr>
          <w:p>
            <w:pPr>
              <w:spacing w:before="40" w:after="40"/>
              <w:jc w:val="center"/>
            </w:pPr>
            <w:r/>
            <w:r>
              <w:rPr>
                <w:rFonts w:ascii="Calibri" w:hAnsi="Calibri" w:eastAsia="微软雅黑"/>
                <w:b w:val="0"/>
                <w:i w:val="0"/>
                <w:sz w:val="18"/>
              </w:rPr>
              <w:t>二维斜坡 SV 波斜入射有限元脚本从 v2 到 v8 升级对比报告</w:t>
            </w:r>
          </w:p>
        </w:tc>
      </w:tr>
      <w:tr>
        <w:tc>
          <w:tcPr>
            <w:tcW w:type="dxa" w:w="4680"/>
            <w:shd w:fill="F9F9F9"/>
          </w:tcPr>
          <w:p>
            <w:pPr>
              <w:spacing w:before="40" w:after="40"/>
              <w:jc w:val="center"/>
            </w:pPr>
            <w:r/>
            <w:r>
              <w:rPr>
                <w:rFonts w:ascii="Calibri" w:hAnsi="Calibri" w:eastAsia="微软雅黑"/>
                <w:b w:val="0"/>
                <w:i w:val="0"/>
                <w:sz w:val="18"/>
              </w:rPr>
              <w:t>Achievements/近期研究进展汇报.md</w:t>
            </w:r>
          </w:p>
        </w:tc>
        <w:tc>
          <w:tcPr>
            <w:tcW w:type="dxa" w:w="4680"/>
            <w:shd w:fill="F9F9F9"/>
          </w:tcPr>
          <w:p>
            <w:pPr>
              <w:spacing w:before="40" w:after="40"/>
              <w:jc w:val="center"/>
            </w:pPr>
            <w:r/>
            <w:r>
              <w:rPr>
                <w:rFonts w:ascii="Calibri" w:hAnsi="Calibri" w:eastAsia="微软雅黑"/>
                <w:b w:val="0"/>
                <w:i w:val="0"/>
                <w:sz w:val="18"/>
              </w:rPr>
              <w:t>近阶段研究进展 markdown 汇编文件</w:t>
            </w:r>
          </w:p>
        </w:tc>
      </w:tr>
      <w:tr>
        <w:tc>
          <w:tcPr>
            <w:tcW w:type="dxa" w:w="4680"/>
          </w:tcPr>
          <w:p>
            <w:pPr>
              <w:spacing w:before="40" w:after="40"/>
              <w:jc w:val="center"/>
            </w:pPr>
            <w:r/>
            <w:r>
              <w:rPr>
                <w:rFonts w:ascii="Calibri" w:hAnsi="Calibri" w:eastAsia="微软雅黑"/>
                <w:b w:val="0"/>
                <w:i w:val="0"/>
                <w:sz w:val="18"/>
              </w:rPr>
              <w:t>ML/outputs_v3/</w:t>
            </w:r>
          </w:p>
        </w:tc>
        <w:tc>
          <w:tcPr>
            <w:tcW w:type="dxa" w:w="4680"/>
          </w:tcPr>
          <w:p>
            <w:pPr>
              <w:spacing w:before="40" w:after="40"/>
              <w:jc w:val="center"/>
            </w:pPr>
            <w:r/>
            <w:r>
              <w:rPr>
                <w:rFonts w:ascii="Calibri" w:hAnsi="Calibri" w:eastAsia="微软雅黑"/>
                <w:b w:val="0"/>
                <w:i w:val="0"/>
                <w:sz w:val="18"/>
              </w:rPr>
              <w:t>基于均质单质坡地数据集（E:\Abaqus）的经典机器学习 GPR 精度结果目录</w:t>
            </w:r>
          </w:p>
        </w:tc>
      </w:tr>
    </w:tbl>
    <w:p>
      <w:pPr>
        <w:spacing w:before="6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