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2DF5C">
      <w:pPr>
        <w:spacing w:before="468" w:after="0"/>
        <w:ind w:left="420" w:right="420"/>
        <w:jc w:val="center"/>
      </w:pPr>
      <w:r>
        <w:rPr>
          <w:rFonts w:hint="eastAsia" w:ascii="Times New Roman" w:hAnsi="Times New Roman" w:eastAsia="宋体" w:cs="Times New Roman"/>
          <w:b/>
          <w:i w:val="0"/>
          <w:sz w:val="32"/>
        </w:rPr>
        <w:t>成层坡地地震动放大效应的幅值—相位联合表征、代理预测与真实地震动重构</w:t>
      </w:r>
      <w:r>
        <w:footnoteReference w:id="0"/>
      </w:r>
    </w:p>
    <w:p w14:paraId="5D8A5B19">
      <w:pPr>
        <w:spacing w:before="156" w:beforeLines="50"/>
        <w:ind w:left="420" w:leftChars="200" w:right="420" w:rightChars="200" w:firstLine="170" w:firstLineChars="71"/>
        <w:jc w:val="center"/>
        <w:rPr>
          <w:rFonts w:ascii="Times New Roman" w:hAnsi="Times New Roman" w:eastAsia="仿宋" w:cs="Times New Roman"/>
          <w:sz w:val="24"/>
          <w:szCs w:val="24"/>
          <w:vertAlign w:val="superscript"/>
        </w:rPr>
      </w:pPr>
      <w:r>
        <w:rPr>
          <w:rFonts w:hint="eastAsia" w:ascii="Times New Roman" w:hAnsi="Times New Roman" w:eastAsia="仿宋" w:cs="Times New Roman"/>
          <w:sz w:val="24"/>
          <w:szCs w:val="24"/>
        </w:rPr>
        <w:t>李*</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王*</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w:t>
      </w:r>
    </w:p>
    <w:p w14:paraId="1FD5B243">
      <w:pPr>
        <w:snapToGrid w:val="0"/>
        <w:spacing w:after="156" w:afterLines="50"/>
        <w:ind w:left="420" w:leftChars="200" w:right="420" w:rightChars="200"/>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w:t>
      </w:r>
      <w:r>
        <w:rPr>
          <w:rFonts w:ascii="Times New Roman" w:hAnsi="Times New Roman" w:eastAsia="宋体" w:cs="Times New Roman"/>
          <w:szCs w:val="21"/>
        </w:rPr>
        <w:t>.</w:t>
      </w:r>
      <w:r>
        <w:rPr>
          <w:rFonts w:hint="eastAsia" w:ascii="Times New Roman" w:hAnsi="Times New Roman" w:eastAsia="宋体" w:cs="Times New Roman"/>
          <w:szCs w:val="21"/>
        </w:rPr>
        <w:t>重庆</w:t>
      </w:r>
      <w:r>
        <w:rPr>
          <w:rFonts w:ascii="Times New Roman" w:hAnsi="Times New Roman" w:eastAsia="宋体" w:cs="Times New Roman"/>
          <w:szCs w:val="21"/>
        </w:rPr>
        <w:t xml:space="preserve">大学 </w:t>
      </w:r>
      <w:r>
        <w:rPr>
          <w:rFonts w:hint="eastAsia" w:ascii="Times New Roman" w:hAnsi="Times New Roman" w:eastAsia="宋体" w:cs="Times New Roman"/>
          <w:szCs w:val="21"/>
        </w:rPr>
        <w:t>土木</w:t>
      </w:r>
      <w:r>
        <w:rPr>
          <w:rFonts w:ascii="Times New Roman" w:hAnsi="Times New Roman" w:eastAsia="宋体" w:cs="Times New Roman"/>
          <w:szCs w:val="21"/>
        </w:rPr>
        <w:t>工程学院，</w:t>
      </w:r>
      <w:r>
        <w:rPr>
          <w:rFonts w:hint="eastAsia" w:ascii="Times New Roman" w:hAnsi="Times New Roman" w:eastAsia="宋体" w:cs="Times New Roman"/>
          <w:szCs w:val="21"/>
        </w:rPr>
        <w:t>重庆</w:t>
      </w:r>
      <w:r>
        <w:rPr>
          <w:rFonts w:ascii="Times New Roman" w:hAnsi="Times New Roman" w:eastAsia="宋体" w:cs="Times New Roman"/>
          <w:szCs w:val="21"/>
        </w:rPr>
        <w:t xml:space="preserve"> 400045）</w:t>
      </w:r>
    </w:p>
    <w:p w14:paraId="5EB45A9C">
      <w:pPr>
        <w:ind w:left="420" w:right="420"/>
        <w:jc w:val="both"/>
      </w:pPr>
      <w:r>
        <w:rPr>
          <w:rFonts w:hint="eastAsia" w:ascii="Times New Roman" w:hAnsi="Times New Roman" w:eastAsia="黑体" w:cs="Times New Roman"/>
          <w:b w:val="0"/>
          <w:i w:val="0"/>
          <w:sz w:val="21"/>
        </w:rPr>
        <w:t>摘  要：</w:t>
      </w:r>
      <w:r>
        <w:rPr>
          <w:rFonts w:hint="eastAsia" w:ascii="Times New Roman" w:hAnsi="Times New Roman" w:eastAsia="楷体" w:cs="Times New Roman"/>
          <w:b w:val="0"/>
          <w:i w:val="0"/>
          <w:sz w:val="21"/>
        </w:rPr>
        <w:t xml:space="preserve">成层坡地地震动放大同时受地形散射、覆盖层传播和斜入射相位差控制，传统峰值加速度（PGA）等标量指标难以保留频率—空间响应中的相位关系。基于黏弹性人工边界、频域自由场输入和宽频多正弦系统识别，建立了15° SV波斜入射下的二维线弹性成层坡地模型，并将全地表水平复频响函数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楷体" w:cs="Times New Roman"/>
          <w:b w:val="0"/>
          <w:i w:val="0"/>
          <w:sz w:val="21"/>
        </w:rPr>
        <w:t xml:space="preserve"> 定义为二维地表复谱相对于左侧上平台一维自由场的比值。针对4个均质坡、64个成层坡及12个训练外中间参数组合，研究了坡角、覆盖层厚度比和波速比的影响，并构建本征正交分解—高斯过程代理模型。结果表明，。</w:t>
      </w:r>
    </w:p>
    <w:p w14:paraId="52BA3CDB">
      <w:pPr>
        <w:ind w:left="420" w:right="420"/>
        <w:jc w:val="both"/>
      </w:pPr>
      <w:r>
        <w:rPr>
          <w:rFonts w:hint="eastAsia" w:ascii="Times New Roman" w:hAnsi="Times New Roman" w:eastAsia="黑体" w:cs="Times New Roman"/>
          <w:b w:val="0"/>
          <w:i w:val="0"/>
          <w:sz w:val="21"/>
        </w:rPr>
        <w:t>关键词：</w:t>
      </w:r>
      <w:r>
        <w:rPr>
          <w:rFonts w:hint="eastAsia" w:ascii="Times New Roman" w:hAnsi="Times New Roman" w:eastAsia="楷体" w:cs="Times New Roman"/>
          <w:b w:val="0"/>
          <w:i w:val="0"/>
          <w:sz w:val="21"/>
        </w:rPr>
        <w:t>成层坡地；</w:t>
      </w:r>
    </w:p>
    <w:p w14:paraId="736B9DBA">
      <w:pPr>
        <w:ind w:left="420" w:right="420"/>
        <w:jc w:val="both"/>
      </w:pPr>
      <w:r>
        <w:rPr>
          <w:rFonts w:hint="eastAsia" w:ascii="Times New Roman" w:hAnsi="Times New Roman" w:eastAsia="黑体" w:cs="Times New Roman"/>
          <w:b w:val="0"/>
          <w:i w:val="0"/>
          <w:sz w:val="21"/>
        </w:rPr>
        <w:t>中图分类号：</w:t>
      </w:r>
      <w:r>
        <w:rPr>
          <w:rFonts w:hint="eastAsia" w:ascii="Times New Roman" w:hAnsi="Times New Roman" w:eastAsia="宋体" w:cs="Times New Roman"/>
          <w:b w:val="0"/>
          <w:i w:val="0"/>
          <w:sz w:val="21"/>
        </w:rPr>
        <w:t xml:space="preserve">                </w:t>
      </w:r>
      <w:r>
        <w:rPr>
          <w:rFonts w:hint="eastAsia" w:ascii="Times New Roman" w:hAnsi="Times New Roman" w:eastAsia="黑体" w:cs="Times New Roman"/>
          <w:b w:val="0"/>
          <w:i w:val="0"/>
          <w:sz w:val="21"/>
        </w:rPr>
        <w:t>文献标志码：</w:t>
      </w:r>
    </w:p>
    <w:p w14:paraId="1B85DCC1">
      <w:pPr>
        <w:spacing w:before="312" w:after="0"/>
        <w:jc w:val="center"/>
      </w:pPr>
      <w:r>
        <w:rPr>
          <w:rFonts w:hint="eastAsia" w:ascii="Times New Roman" w:hAnsi="Times New Roman" w:eastAsia="Times New Roman" w:cs="Times New Roman"/>
          <w:b/>
          <w:i w:val="0"/>
          <w:sz w:val="28"/>
        </w:rPr>
        <w:t>Amplitude–phase joint characterization, surrogate prediction and ground-motion reconstruction of seismic amplification effects of layered slopes</w:t>
      </w:r>
    </w:p>
    <w:p w14:paraId="7E658011">
      <w:pPr>
        <w:spacing w:before="156" w:beforeLines="50"/>
        <w:jc w:val="center"/>
        <w:rPr>
          <w:rFonts w:ascii="Times New Roman" w:hAnsi="Times New Roman" w:eastAsia="黑体"/>
          <w:sz w:val="24"/>
          <w:szCs w:val="24"/>
          <w:vertAlign w:val="superscript"/>
        </w:rPr>
      </w:pPr>
      <w:r>
        <w:rPr>
          <w:rFonts w:hint="eastAsia" w:ascii="Times New Roman" w:hAnsi="Times New Roman" w:eastAsia="黑体"/>
          <w:sz w:val="24"/>
          <w:szCs w:val="24"/>
        </w:rPr>
        <w:t>L</w:t>
      </w:r>
      <w:r>
        <w:rPr>
          <w:rFonts w:ascii="Times New Roman" w:hAnsi="Times New Roman" w:eastAsia="黑体"/>
          <w:sz w:val="24"/>
          <w:szCs w:val="24"/>
        </w:rPr>
        <w:t xml:space="preserve">I </w:t>
      </w:r>
      <w:r>
        <w:rPr>
          <w:rFonts w:hint="eastAsia" w:ascii="Times New Roman" w:hAnsi="Times New Roman" w:eastAsia="黑体"/>
          <w:sz w:val="24"/>
          <w:szCs w:val="24"/>
        </w:rPr>
        <w:t>****</w:t>
      </w:r>
      <w:r>
        <w:rPr>
          <w:rFonts w:ascii="Times New Roman" w:hAnsi="Times New Roman" w:eastAsia="黑体"/>
          <w:sz w:val="24"/>
          <w:szCs w:val="24"/>
          <w:vertAlign w:val="superscript"/>
        </w:rPr>
        <w:t xml:space="preserve"> 1</w:t>
      </w:r>
      <w:r>
        <w:rPr>
          <w:rFonts w:ascii="Times New Roman" w:hAnsi="Times New Roman" w:eastAsia="黑体"/>
          <w:sz w:val="24"/>
          <w:szCs w:val="24"/>
        </w:rPr>
        <w:t xml:space="preserve">, WANG </w:t>
      </w:r>
      <w:r>
        <w:rPr>
          <w:rFonts w:hint="eastAsia" w:ascii="Times New Roman" w:hAnsi="Times New Roman" w:eastAsia="黑体"/>
          <w:sz w:val="24"/>
          <w:szCs w:val="24"/>
        </w:rPr>
        <w:t>****</w:t>
      </w:r>
      <w:r>
        <w:rPr>
          <w:rFonts w:ascii="Times New Roman" w:hAnsi="Times New Roman" w:eastAsia="黑体"/>
          <w:sz w:val="24"/>
          <w:szCs w:val="24"/>
          <w:vertAlign w:val="superscript"/>
        </w:rPr>
        <w:t>1</w:t>
      </w:r>
    </w:p>
    <w:p w14:paraId="16EEFBF9">
      <w:pPr>
        <w:spacing w:after="156" w:afterLines="50"/>
        <w:jc w:val="center"/>
        <w:rPr>
          <w:rFonts w:ascii="Times New Roman" w:hAnsi="Times New Roman"/>
          <w:szCs w:val="21"/>
        </w:rPr>
      </w:pPr>
      <w:r>
        <w:rPr>
          <w:rFonts w:ascii="Times New Roman" w:hAnsi="Times New Roman" w:eastAsia="黑体"/>
          <w:szCs w:val="21"/>
        </w:rPr>
        <w:t>(1</w:t>
      </w:r>
      <w:r>
        <w:rPr>
          <w:rFonts w:hint="eastAsia" w:ascii="Times New Roman" w:hAnsi="Times New Roman" w:eastAsia="黑体"/>
          <w:szCs w:val="21"/>
        </w:rPr>
        <w:t>.</w:t>
      </w:r>
      <w:r>
        <w:rPr>
          <w:rFonts w:ascii="Times New Roman" w:hAnsi="Times New Roman"/>
          <w:szCs w:val="21"/>
        </w:rPr>
        <w:t xml:space="preserve"> School of Civil Engineering, Chongqing University, Chongqing 400045, </w:t>
      </w:r>
      <w:r>
        <w:rPr>
          <w:rFonts w:hint="eastAsia" w:ascii="Times New Roman" w:hAnsi="Times New Roman"/>
          <w:szCs w:val="21"/>
        </w:rPr>
        <w:t>P</w:t>
      </w:r>
      <w:r>
        <w:rPr>
          <w:rFonts w:ascii="Times New Roman" w:hAnsi="Times New Roman"/>
          <w:szCs w:val="21"/>
        </w:rPr>
        <w:t xml:space="preserve">. </w:t>
      </w:r>
      <w:r>
        <w:rPr>
          <w:rFonts w:hint="eastAsia" w:ascii="Times New Roman" w:hAnsi="Times New Roman"/>
          <w:szCs w:val="21"/>
        </w:rPr>
        <w:t>R</w:t>
      </w:r>
      <w:r>
        <w:rPr>
          <w:rFonts w:ascii="Times New Roman" w:hAnsi="Times New Roman"/>
          <w:szCs w:val="21"/>
        </w:rPr>
        <w:t>. China)</w:t>
      </w:r>
    </w:p>
    <w:p w14:paraId="2F414FA3">
      <w:pPr>
        <w:jc w:val="both"/>
      </w:pPr>
      <w:r>
        <w:rPr>
          <w:rFonts w:hint="eastAsia" w:ascii="Times New Roman" w:hAnsi="Times New Roman" w:eastAsia="Times New Roman" w:cs="Times New Roman"/>
          <w:b/>
          <w:i w:val="0"/>
          <w:sz w:val="21"/>
        </w:rPr>
        <w:t xml:space="preserve">Abstract: </w:t>
      </w:r>
      <w:r>
        <w:rPr>
          <w:rFonts w:hint="eastAsia" w:ascii="Times New Roman" w:hAnsi="Times New Roman" w:eastAsia="Times New Roman" w:cs="Times New Roman"/>
          <w:b w:val="0"/>
          <w:i w:val="0"/>
          <w:sz w:val="21"/>
        </w:rPr>
        <w:t>.</w:t>
      </w:r>
    </w:p>
    <w:p w14:paraId="499F547A">
      <w:pPr>
        <w:spacing w:after="120"/>
        <w:jc w:val="both"/>
        <w:sectPr>
          <w:type w:val="continuous"/>
          <w:pgSz w:w="11906" w:h="16838"/>
          <w:pgMar w:top="1418" w:right="1134" w:bottom="1418" w:left="1134" w:header="851" w:footer="992" w:gutter="0"/>
          <w:cols w:space="425" w:num="1"/>
          <w:docGrid w:type="lines" w:linePitch="312" w:charSpace="0"/>
        </w:sectPr>
      </w:pPr>
      <w:r>
        <w:rPr>
          <w:rFonts w:hint="eastAsia" w:ascii="Times New Roman" w:hAnsi="Times New Roman" w:eastAsia="Times New Roman" w:cs="Times New Roman"/>
          <w:b/>
          <w:i w:val="0"/>
          <w:sz w:val="21"/>
        </w:rPr>
        <w:t xml:space="preserve">Keywords: </w:t>
      </w:r>
      <w:r>
        <w:rPr>
          <w:rFonts w:hint="eastAsia" w:ascii="Times New Roman" w:hAnsi="Times New Roman" w:eastAsia="Times New Roman" w:cs="Times New Roman"/>
          <w:b w:val="0"/>
          <w:i w:val="0"/>
          <w:sz w:val="21"/>
        </w:rPr>
        <w:t>la</w:t>
      </w:r>
    </w:p>
    <w:p w14:paraId="56452B79">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1 引言</w:t>
      </w:r>
    </w:p>
    <w:p w14:paraId="1920A6CE">
      <w:pPr>
        <w:spacing w:before="0" w:after="0"/>
        <w:ind w:firstLine="420"/>
        <w:jc w:val="both"/>
      </w:pPr>
      <w:r>
        <w:rPr>
          <w:rFonts w:hint="eastAsia" w:ascii="Times New Roman" w:hAnsi="Times New Roman" w:eastAsia="宋体" w:cs="Times New Roman"/>
          <w:b w:val="0"/>
          <w:i w:val="0"/>
          <w:sz w:val="21"/>
        </w:rPr>
        <w:t>大量强震观测与震害调查表明，山脊、坡顶及地形边缘处的地震动显著强于平坦场地，地形放大效应是山地震害空间差异的重要控制因素。1971 年 San Fernando 地震余震台站观测证实，当放大波长与山体宽度相当时山顶放大最为显著</w:t>
      </w:r>
      <w:r>
        <w:rPr>
          <w:rFonts w:hint="eastAsia" w:ascii="Times New Roman" w:hAnsi="Times New Roman" w:eastAsia="宋体" w:cs="Times New Roman"/>
          <w:b w:val="0"/>
          <w:i w:val="0"/>
          <w:sz w:val="21"/>
          <w:vertAlign w:val="superscript"/>
        </w:rPr>
        <w:t>[1]</w:t>
      </w:r>
      <w:r>
        <w:rPr>
          <w:rFonts w:hint="eastAsia" w:ascii="Times New Roman" w:hAnsi="Times New Roman" w:eastAsia="宋体" w:cs="Times New Roman"/>
          <w:b w:val="0"/>
          <w:i w:val="0"/>
          <w:sz w:val="21"/>
        </w:rPr>
        <w:t>；1985 年智利地震余震谱比分析定位了与主震破坏分布一致的山脊放大</w:t>
      </w:r>
      <w:r>
        <w:rPr>
          <w:rFonts w:hint="eastAsia" w:ascii="Times New Roman" w:hAnsi="Times New Roman" w:eastAsia="宋体" w:cs="Times New Roman"/>
          <w:b w:val="0"/>
          <w:i w:val="0"/>
          <w:sz w:val="21"/>
          <w:vertAlign w:val="superscript"/>
        </w:rPr>
        <w:t>[2]</w:t>
      </w:r>
      <w:r>
        <w:rPr>
          <w:rFonts w:hint="eastAsia" w:ascii="Times New Roman" w:hAnsi="Times New Roman" w:eastAsia="宋体" w:cs="Times New Roman"/>
          <w:b w:val="0"/>
          <w:i w:val="0"/>
          <w:sz w:val="21"/>
        </w:rPr>
        <w:t>；Geli 等</w:t>
      </w:r>
      <w:r>
        <w:rPr>
          <w:rFonts w:hint="eastAsia" w:ascii="Times New Roman" w:hAnsi="Times New Roman" w:eastAsia="宋体" w:cs="Times New Roman"/>
          <w:b w:val="0"/>
          <w:i w:val="0"/>
          <w:sz w:val="21"/>
          <w:vertAlign w:val="superscript"/>
        </w:rPr>
        <w:t>[3]</w:t>
      </w:r>
      <w:r>
        <w:rPr>
          <w:rFonts w:hint="eastAsia" w:ascii="Times New Roman" w:hAnsi="Times New Roman" w:eastAsia="宋体" w:cs="Times New Roman"/>
          <w:b w:val="0"/>
          <w:i w:val="0"/>
          <w:sz w:val="21"/>
        </w:rPr>
        <w:t>的观测综述系统总结了地形效应的普遍性与入射角相关性；国内的震害调查同样发现孤立山体山顶加速度较山脚增大近一倍</w:t>
      </w:r>
      <w:r>
        <w:rPr>
          <w:rFonts w:hint="eastAsia" w:ascii="Times New Roman" w:hAnsi="Times New Roman" w:eastAsia="宋体" w:cs="Times New Roman"/>
          <w:b w:val="0"/>
          <w:i w:val="0"/>
          <w:sz w:val="21"/>
          <w:vertAlign w:val="superscript"/>
        </w:rPr>
        <w:t>[4]</w:t>
      </w:r>
      <w:r>
        <w:rPr>
          <w:rFonts w:hint="eastAsia" w:ascii="Times New Roman" w:hAnsi="Times New Roman" w:eastAsia="宋体" w:cs="Times New Roman"/>
          <w:b w:val="0"/>
          <w:i w:val="0"/>
          <w:sz w:val="21"/>
        </w:rPr>
        <w:t>。各国抗震规范将上述证据转化为标量放大系数：欧洲规范 EC8 规定孤立悬崖与边坡的放大系数不小于 1.2、平均坡度不小于 30° 的孤立山脊不小于 1.4</w:t>
      </w:r>
      <w:r>
        <w:rPr>
          <w:rFonts w:hint="eastAsia" w:ascii="Times New Roman" w:hAnsi="Times New Roman" w:eastAsia="宋体" w:cs="Times New Roman"/>
          <w:b w:val="0"/>
          <w:i w:val="0"/>
          <w:sz w:val="21"/>
          <w:vertAlign w:val="superscript"/>
        </w:rPr>
        <w:t>[5]</w:t>
      </w:r>
      <w:r>
        <w:rPr>
          <w:rFonts w:hint="eastAsia" w:ascii="Times New Roman" w:hAnsi="Times New Roman" w:eastAsia="宋体" w:cs="Times New Roman"/>
          <w:b w:val="0"/>
          <w:i w:val="0"/>
          <w:sz w:val="21"/>
        </w:rPr>
        <w:t>；我国《建筑抗震设计规范》（GB 50011—2010）按地形与地质条件给出 1.1～1.6 的放大系数</w:t>
      </w:r>
      <w:r>
        <w:rPr>
          <w:rFonts w:hint="eastAsia" w:ascii="Times New Roman" w:hAnsi="Times New Roman" w:eastAsia="宋体" w:cs="Times New Roman"/>
          <w:b w:val="0"/>
          <w:i w:val="0"/>
          <w:sz w:val="21"/>
          <w:vertAlign w:val="superscript"/>
        </w:rPr>
        <w:t>[6]</w:t>
      </w:r>
      <w:r>
        <w:rPr>
          <w:rFonts w:hint="eastAsia" w:ascii="Times New Roman" w:hAnsi="Times New Roman" w:eastAsia="宋体" w:cs="Times New Roman"/>
          <w:b w:val="0"/>
          <w:i w:val="0"/>
          <w:sz w:val="21"/>
        </w:rPr>
        <w:t>。</w:t>
      </w:r>
    </w:p>
    <w:p w14:paraId="0CD69055">
      <w:pPr>
        <w:spacing w:before="0" w:after="0"/>
        <w:ind w:firstLine="420"/>
        <w:jc w:val="both"/>
      </w:pPr>
      <w:r>
        <w:rPr>
          <w:rFonts w:hint="eastAsia" w:ascii="Times New Roman" w:hAnsi="Times New Roman" w:eastAsia="宋体" w:cs="Times New Roman"/>
          <w:b w:val="0"/>
          <w:i w:val="0"/>
          <w:sz w:val="21"/>
        </w:rPr>
        <w:t>然而，数值模拟与震害实录均提示规范上限可能低估了真实地形效应。均质弹性岩坡的有限元模拟在特定几何与岩体参数下给出高达 1.93 的放大系数</w:t>
      </w:r>
      <w:r>
        <w:rPr>
          <w:rFonts w:hint="eastAsia" w:ascii="Times New Roman" w:hAnsi="Times New Roman" w:eastAsia="宋体" w:cs="Times New Roman"/>
          <w:b w:val="0"/>
          <w:i w:val="0"/>
          <w:sz w:val="21"/>
          <w:vertAlign w:val="superscript"/>
        </w:rPr>
        <w:t>[7]</w:t>
      </w:r>
      <w:r>
        <w:rPr>
          <w:rFonts w:hint="eastAsia" w:ascii="Times New Roman" w:hAnsi="Times New Roman" w:eastAsia="宋体" w:cs="Times New Roman"/>
          <w:b w:val="0"/>
          <w:i w:val="0"/>
          <w:sz w:val="21"/>
        </w:rPr>
        <w:t>；考虑斜入射后，SV 波 30° 入射时的平均谱放大可超过 2</w:t>
      </w:r>
      <w:r>
        <w:rPr>
          <w:rFonts w:hint="eastAsia" w:ascii="Times New Roman" w:hAnsi="Times New Roman" w:eastAsia="宋体" w:cs="Times New Roman"/>
          <w:b w:val="0"/>
          <w:i w:val="0"/>
          <w:sz w:val="21"/>
          <w:vertAlign w:val="superscript"/>
        </w:rPr>
        <w:t>[8]</w:t>
      </w:r>
      <w:r>
        <w:rPr>
          <w:rFonts w:hint="eastAsia" w:ascii="Times New Roman" w:hAnsi="Times New Roman" w:eastAsia="宋体" w:cs="Times New Roman"/>
          <w:b w:val="0"/>
          <w:i w:val="0"/>
          <w:sz w:val="21"/>
        </w:rPr>
        <w:t>。2022 年泸定 6.8 级地震中，磨西台地边缘两栋结构对称的框架建筑呈现出“近缘严重损毁、远缘轻微受损”的鲜明对比，直接证实了地形边缘对地震响应的差异化控制作用</w:t>
      </w:r>
      <w:r>
        <w:rPr>
          <w:rFonts w:hint="eastAsia" w:ascii="Times New Roman" w:hAnsi="Times New Roman" w:eastAsia="宋体" w:cs="Times New Roman"/>
          <w:b w:val="0"/>
          <w:i w:val="0"/>
          <w:sz w:val="21"/>
          <w:vertAlign w:val="superscript"/>
        </w:rPr>
        <w:t>[9-11]</w:t>
      </w:r>
      <w:r>
        <w:rPr>
          <w:rFonts w:hint="eastAsia" w:ascii="Times New Roman" w:hAnsi="Times New Roman" w:eastAsia="宋体" w:cs="Times New Roman"/>
          <w:b w:val="0"/>
          <w:i w:val="0"/>
          <w:sz w:val="21"/>
        </w:rPr>
        <w:t>。</w:t>
      </w:r>
    </w:p>
    <w:p w14:paraId="68141ECD">
      <w:pPr>
        <w:spacing w:before="0" w:after="0"/>
        <w:ind w:firstLine="420"/>
        <w:jc w:val="both"/>
      </w:pPr>
      <w:r>
        <w:rPr>
          <w:rFonts w:hint="eastAsia" w:ascii="Times New Roman" w:hAnsi="Times New Roman" w:eastAsia="宋体" w:cs="Times New Roman"/>
          <w:b w:val="0"/>
          <w:i w:val="0"/>
          <w:sz w:val="21"/>
        </w:rPr>
        <w:t>值得注意的是，上述研究与规范体系几乎无一例外地采用标量指标——PGA 放大系数、选定频率处的谱放大或地形放大系数</w:t>
      </w:r>
      <w:r>
        <w:rPr>
          <w:rFonts w:hint="eastAsia" w:ascii="Times New Roman" w:hAnsi="Times New Roman" w:eastAsia="宋体" w:cs="Times New Roman"/>
          <w:b w:val="0"/>
          <w:i w:val="0"/>
          <w:sz w:val="21"/>
          <w:vertAlign w:val="superscript"/>
        </w:rPr>
        <w:t>[12-13]</w:t>
      </w:r>
      <w:r>
        <w:rPr>
          <w:rFonts w:hint="eastAsia" w:ascii="Times New Roman" w:hAnsi="Times New Roman" w:eastAsia="宋体" w:cs="Times New Roman"/>
          <w:b w:val="0"/>
          <w:i w:val="0"/>
          <w:sz w:val="21"/>
        </w:rPr>
        <w:t>。然而，线性场地响应本质上是一个传递函数，幅值与相位是其两个正交分量：仅保留幅值的描述在原理上无法重构地震动时程，也无法区分真实的放大与波动的时域叠加效应。散射波相对于一维参考场积累的频率相关迟滞——即传递函数的相位——在这一标量化传统中被系统性地丢弃了。</w:t>
      </w:r>
    </w:p>
    <w:p w14:paraId="73B4B112">
      <w:pPr>
        <w:spacing w:before="0" w:after="0"/>
        <w:ind w:firstLine="420"/>
        <w:jc w:val="both"/>
      </w:pPr>
      <w:r>
        <w:rPr>
          <w:rFonts w:hint="eastAsia" w:ascii="Times New Roman" w:hAnsi="Times New Roman" w:eastAsia="宋体" w:cs="Times New Roman"/>
          <w:b w:val="0"/>
          <w:i w:val="0"/>
          <w:sz w:val="21"/>
        </w:rPr>
        <w:t>另一方面，天然坡地常覆盖有软弱覆盖层，地层效应与地形效应并不简单叠加。山脊场地的放大被归因于地形与近地表地层的联合作用</w:t>
      </w:r>
      <w:r>
        <w:rPr>
          <w:rFonts w:hint="eastAsia" w:ascii="Times New Roman" w:hAnsi="Times New Roman" w:eastAsia="宋体" w:cs="Times New Roman"/>
          <w:b w:val="0"/>
          <w:i w:val="0"/>
          <w:sz w:val="21"/>
          <w:vertAlign w:val="superscript"/>
        </w:rPr>
        <w:t>[14-15]</w:t>
      </w:r>
      <w:r>
        <w:rPr>
          <w:rFonts w:hint="eastAsia" w:ascii="Times New Roman" w:hAnsi="Times New Roman" w:eastAsia="宋体" w:cs="Times New Roman"/>
          <w:b w:val="0"/>
          <w:i w:val="0"/>
          <w:sz w:val="21"/>
        </w:rPr>
        <w:t>；参数化分析与震例研究表明软弱表层可显著重塑地形放大</w:t>
      </w:r>
      <w:r>
        <w:rPr>
          <w:rFonts w:hint="eastAsia" w:ascii="Times New Roman" w:hAnsi="Times New Roman" w:eastAsia="宋体" w:cs="Times New Roman"/>
          <w:b w:val="0"/>
          <w:i w:val="0"/>
          <w:sz w:val="21"/>
          <w:vertAlign w:val="superscript"/>
        </w:rPr>
        <w:t>[16-17]</w:t>
      </w:r>
      <w:r>
        <w:rPr>
          <w:rFonts w:hint="eastAsia" w:ascii="Times New Roman" w:hAnsi="Times New Roman" w:eastAsia="宋体" w:cs="Times New Roman"/>
          <w:b w:val="0"/>
          <w:i w:val="0"/>
          <w:sz w:val="21"/>
        </w:rPr>
        <w:t>，且两种效应的线性或等效线性耦合必须显式表达</w:t>
      </w:r>
      <w:r>
        <w:rPr>
          <w:rFonts w:hint="eastAsia" w:ascii="Times New Roman" w:hAnsi="Times New Roman" w:eastAsia="宋体" w:cs="Times New Roman"/>
          <w:b w:val="0"/>
          <w:i w:val="0"/>
          <w:sz w:val="21"/>
          <w:vertAlign w:val="superscript"/>
        </w:rPr>
        <w:t>[18-19]</w:t>
      </w:r>
      <w:r>
        <w:rPr>
          <w:rFonts w:hint="eastAsia" w:ascii="Times New Roman" w:hAnsi="Times New Roman" w:eastAsia="宋体" w:cs="Times New Roman"/>
          <w:b w:val="0"/>
          <w:i w:val="0"/>
          <w:sz w:val="21"/>
        </w:rPr>
        <w:t>；2008 年希腊 Achaia-Ilia 地震的震害观测表明，规范中“地形与地层效应解耦叠加”的做法在特定周期带内低估了坡顶放大</w:t>
      </w:r>
      <w:r>
        <w:rPr>
          <w:rFonts w:hint="eastAsia" w:ascii="Times New Roman" w:hAnsi="Times New Roman" w:eastAsia="宋体" w:cs="Times New Roman"/>
          <w:b w:val="0"/>
          <w:i w:val="0"/>
          <w:sz w:val="21"/>
          <w:vertAlign w:val="superscript"/>
        </w:rPr>
        <w:t>[20]</w:t>
      </w:r>
      <w:r>
        <w:rPr>
          <w:rFonts w:hint="eastAsia" w:ascii="Times New Roman" w:hAnsi="Times New Roman" w:eastAsia="宋体" w:cs="Times New Roman"/>
          <w:b w:val="0"/>
          <w:i w:val="0"/>
          <w:sz w:val="21"/>
        </w:rPr>
        <w:t>；现场监测与高分辨率模拟的联合研究更发现，耦合近地表成层地质可将放大系数由不足 3 提升至 5～6</w:t>
      </w:r>
      <w:r>
        <w:rPr>
          <w:rFonts w:hint="eastAsia" w:ascii="Times New Roman" w:hAnsi="Times New Roman" w:eastAsia="宋体" w:cs="Times New Roman"/>
          <w:b w:val="0"/>
          <w:i w:val="0"/>
          <w:sz w:val="21"/>
          <w:vertAlign w:val="superscript"/>
        </w:rPr>
        <w:t>[21]</w:t>
      </w:r>
      <w:r>
        <w:rPr>
          <w:rFonts w:hint="eastAsia" w:ascii="Times New Roman" w:hAnsi="Times New Roman" w:eastAsia="宋体" w:cs="Times New Roman"/>
          <w:b w:val="0"/>
          <w:i w:val="0"/>
          <w:sz w:val="21"/>
        </w:rPr>
        <w:t>。与此同时，真实地震动往往以一定角度斜入射：1994 年 Northridge 地震 Tarzana 台站的异常放大只有引入斜入射才能解释</w:t>
      </w:r>
      <w:r>
        <w:rPr>
          <w:rFonts w:hint="eastAsia" w:ascii="Times New Roman" w:hAnsi="Times New Roman" w:eastAsia="宋体" w:cs="Times New Roman"/>
          <w:b w:val="0"/>
          <w:i w:val="0"/>
          <w:sz w:val="21"/>
          <w:vertAlign w:val="superscript"/>
        </w:rPr>
        <w:t>[22]</w:t>
      </w:r>
      <w:r>
        <w:rPr>
          <w:rFonts w:hint="eastAsia" w:ascii="Times New Roman" w:hAnsi="Times New Roman" w:eastAsia="宋体" w:cs="Times New Roman"/>
          <w:b w:val="0"/>
          <w:i w:val="0"/>
          <w:sz w:val="21"/>
        </w:rPr>
        <w:t>；陡峻海岸崖坡的参数化分析表明斜入射剪切波的放大可达垂直入射的两倍以上</w:t>
      </w:r>
      <w:r>
        <w:rPr>
          <w:rFonts w:hint="eastAsia" w:ascii="Times New Roman" w:hAnsi="Times New Roman" w:eastAsia="宋体" w:cs="Times New Roman"/>
          <w:b w:val="0"/>
          <w:i w:val="0"/>
          <w:sz w:val="21"/>
          <w:vertAlign w:val="superscript"/>
        </w:rPr>
        <w:t>[23]</w:t>
      </w:r>
      <w:r>
        <w:rPr>
          <w:rFonts w:hint="eastAsia" w:ascii="Times New Roman" w:hAnsi="Times New Roman" w:eastAsia="宋体" w:cs="Times New Roman"/>
          <w:b w:val="0"/>
          <w:i w:val="0"/>
          <w:sz w:val="21"/>
        </w:rPr>
        <w:t>；均质岩坡在斜入射 SV 波作用下的系统研究表明，最大 PGA 放大系数为垂直入射的 1.4～2.2 倍</w:t>
      </w:r>
      <w:r>
        <w:rPr>
          <w:rFonts w:hint="eastAsia" w:ascii="Times New Roman" w:hAnsi="Times New Roman" w:eastAsia="宋体" w:cs="Times New Roman"/>
          <w:b w:val="0"/>
          <w:i w:val="0"/>
          <w:sz w:val="21"/>
          <w:vertAlign w:val="superscript"/>
        </w:rPr>
        <w:t>[8,24]</w:t>
      </w:r>
      <w:r>
        <w:rPr>
          <w:rFonts w:hint="eastAsia" w:ascii="Times New Roman" w:hAnsi="Times New Roman" w:eastAsia="宋体" w:cs="Times New Roman"/>
          <w:b w:val="0"/>
          <w:i w:val="0"/>
          <w:sz w:val="21"/>
        </w:rPr>
        <w:t>。</w:t>
      </w:r>
    </w:p>
    <w:p w14:paraId="32B849F5">
      <w:pPr>
        <w:spacing w:before="0" w:after="0"/>
        <w:ind w:firstLine="420"/>
        <w:jc w:val="both"/>
      </w:pPr>
      <w:r>
        <w:rPr>
          <w:rFonts w:hint="eastAsia" w:ascii="Times New Roman" w:hAnsi="Times New Roman" w:eastAsia="宋体" w:cs="Times New Roman"/>
          <w:b w:val="0"/>
          <w:i w:val="0"/>
          <w:sz w:val="21"/>
        </w:rPr>
        <w:t xml:space="preserve">覆盖层一维共振与坡体散射频段接近程度的一个自然无量纲度量是归一化场地特征频率 </w:t>
      </w:r>
      <m:oMath>
        <m:r>
          <m:rPr/>
          <m:t>χ</m:t>
        </m:r>
        <m:r>
          <m:rPr>
            <m:sty m:val="p"/>
          </m:rPr>
          <m:t>=</m:t>
        </m:r>
        <m:sSub>
          <m:sSubPr/>
          <m:e>
            <m:r>
              <m:rPr/>
              <m:t>f</m:t>
            </m:r>
          </m:e>
          <m:sub>
            <m:r>
              <m:rPr>
                <m:sty m:val="p"/>
              </m:rPr>
              <m:t>s</m:t>
            </m:r>
          </m:sub>
        </m:sSub>
        <m:r>
          <m:rPr/>
          <m:t>h</m:t>
        </m:r>
        <m:r>
          <m:rPr>
            <m:sty m:val="p"/>
          </m:rPr>
          <m:t>/</m:t>
        </m:r>
        <m:sSub>
          <m:sSubPr/>
          <m:e>
            <m:r>
              <m:rPr/>
              <m:t>V</m:t>
            </m:r>
          </m:e>
          <m:sub>
            <m:r>
              <m:rPr>
                <m:sty m:val="p"/>
              </m:rPr>
              <m:t>s,b</m:t>
            </m:r>
          </m:sub>
        </m:sSub>
        <m:r>
          <m:rPr>
            <m:sty m:val="p"/>
          </m:rPr>
          <m:t>=</m:t>
        </m:r>
        <m:sSub>
          <m:sSubPr/>
          <m:e>
            <m:r>
              <m:rPr/>
              <m:t>r</m:t>
            </m:r>
          </m:e>
          <m:sub>
            <m:r>
              <m:rPr/>
              <m:t>v</m:t>
            </m:r>
          </m:sub>
        </m:sSub>
        <m:r>
          <m:rPr>
            <m:sty m:val="p"/>
          </m:rPr>
          <m:t>/[</m:t>
        </m:r>
        <m:r>
          <m:rPr/>
          <m:t>4</m:t>
        </m:r>
        <m:r>
          <m:rPr>
            <m:sty m:val="p"/>
          </m:rPr>
          <m:t>(</m:t>
        </m:r>
        <m:r>
          <m:rPr/>
          <m:t>d</m:t>
        </m:r>
        <m:r>
          <m:rPr>
            <m:sty m:val="p"/>
          </m:rPr>
          <m:t>/</m:t>
        </m:r>
        <m:r>
          <m:rPr/>
          <m:t>h</m:t>
        </m:r>
        <m:r>
          <m:rPr>
            <m:sty m:val="p"/>
          </m:rPr>
          <m:t>)]</m:t>
        </m:r>
      </m:oMath>
      <w:r>
        <w:rPr>
          <w:rFonts w:hint="eastAsia" w:ascii="Times New Roman" w:hAnsi="Times New Roman" w:eastAsia="宋体" w:cs="Times New Roman"/>
          <w:b w:val="0"/>
          <w:i w:val="0"/>
          <w:sz w:val="21"/>
        </w:rPr>
        <w:t>，式中：</w:t>
      </w:r>
      <m:oMath>
        <m:sSub>
          <m:sSubPr/>
          <m:e>
            <m:r>
              <m:rPr/>
              <m:t>f</m:t>
            </m:r>
          </m:e>
          <m:sub>
            <m:r>
              <m:rPr>
                <m:sty m:val="p"/>
              </m:rPr>
              <m:t>s</m:t>
            </m:r>
          </m:sub>
        </m:sSub>
        <m:r>
          <m:rPr>
            <m:sty m:val="p"/>
          </m:rPr>
          <m:t>=</m:t>
        </m:r>
        <m:sSub>
          <m:sSubPr/>
          <m:e>
            <m:r>
              <m:rPr/>
              <m:t>V</m:t>
            </m:r>
          </m:e>
          <m:sub>
            <m:r>
              <m:rPr>
                <m:sty m:val="p"/>
              </m:rPr>
              <m:t>s,c</m:t>
            </m:r>
          </m:sub>
        </m:sSub>
        <m:r>
          <m:rPr>
            <m:sty m:val="p"/>
          </m:rPr>
          <m:t>/(</m:t>
        </m:r>
        <m:r>
          <m:rPr/>
          <m:t>4d</m:t>
        </m:r>
        <m:r>
          <m:rPr>
            <m:sty m:val="p"/>
          </m:rPr>
          <m:t>)</m:t>
        </m:r>
      </m:oMath>
      <w:r>
        <w:rPr>
          <w:rFonts w:hint="eastAsia" w:ascii="Times New Roman" w:hAnsi="Times New Roman" w:eastAsia="宋体" w:cs="Times New Roman"/>
          <w:b w:val="0"/>
          <w:i w:val="0"/>
          <w:sz w:val="21"/>
        </w:rPr>
        <w:t xml:space="preserve"> 为覆盖层基频；</w:t>
      </w:r>
      <m:oMath>
        <m:r>
          <m:rPr/>
          <m:t>h</m:t>
        </m:r>
      </m:oMath>
      <w:r>
        <w:rPr>
          <w:rFonts w:hint="eastAsia" w:ascii="Times New Roman" w:hAnsi="Times New Roman" w:eastAsia="宋体" w:cs="Times New Roman"/>
          <w:b w:val="0"/>
          <w:i w:val="0"/>
          <w:sz w:val="21"/>
        </w:rPr>
        <w:t xml:space="preserve"> 为坡高；</w:t>
      </w:r>
      <m:oMath>
        <m:sSub>
          <m:sSubPr/>
          <m:e>
            <m:r>
              <m:rPr/>
              <m:t>V</m:t>
            </m:r>
          </m:e>
          <m:sub>
            <m:r>
              <m:rPr>
                <m:sty m:val="p"/>
              </m:rPr>
              <m:t>s,b</m:t>
            </m:r>
          </m:sub>
        </m:sSub>
      </m:oMath>
      <w:r>
        <w:rPr>
          <w:rFonts w:hint="eastAsia" w:ascii="Times New Roman" w:hAnsi="Times New Roman" w:eastAsia="宋体" w:cs="Times New Roman"/>
          <w:b w:val="0"/>
          <w:i w:val="0"/>
          <w:sz w:val="21"/>
        </w:rPr>
        <w:t xml:space="preserve"> 为基岩剪切波速；</w:t>
      </w:r>
      <m:oMath>
        <m:r>
          <m:rPr/>
          <m:t>d</m:t>
        </m:r>
      </m:oMath>
      <w:r>
        <w:rPr>
          <w:rFonts w:hint="eastAsia" w:ascii="Times New Roman" w:hAnsi="Times New Roman" w:eastAsia="宋体" w:cs="Times New Roman"/>
          <w:b w:val="0"/>
          <w:i w:val="0"/>
          <w:sz w:val="21"/>
        </w:rPr>
        <w:t xml:space="preserve"> 为覆盖层厚度；</w:t>
      </w:r>
      <m:oMath>
        <m:sSub>
          <m:sSubPr/>
          <m:e>
            <m:r>
              <m:rPr/>
              <m:t>r</m:t>
            </m:r>
          </m:e>
          <m:sub>
            <m:r>
              <m:rPr/>
              <m:t>v</m:t>
            </m:r>
          </m:sub>
        </m:sSub>
        <m:r>
          <m:rPr>
            <m:sty m:val="p"/>
          </m:rPr>
          <m:t>=</m:t>
        </m:r>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 为波速比。既有研究尚未定量回答覆盖层如何联合修正地形响应的幅值与相位，以及该修正如何随 </w:t>
      </w: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 xml:space="preserve"> 变化。</w:t>
      </w:r>
    </w:p>
    <w:p w14:paraId="2BD9BD53">
      <w:pPr>
        <w:spacing w:before="0" w:after="0"/>
        <w:ind w:firstLine="420"/>
        <w:jc w:val="both"/>
      </w:pPr>
      <w:r>
        <w:rPr>
          <w:rFonts w:hint="eastAsia" w:ascii="Times New Roman" w:hAnsi="Times New Roman" w:eastAsia="宋体" w:cs="Times New Roman"/>
          <w:b w:val="0"/>
          <w:i w:val="0"/>
          <w:sz w:val="21"/>
        </w:rPr>
        <w:t>在预测方法层面，有限元场地反应分析代价高昂，数据驱动的代理模型已被用于地形与场地放大预测，但目标几乎全部是标量：卷积神经网络预测盆地地表放大</w:t>
      </w:r>
      <w:r>
        <w:rPr>
          <w:rFonts w:hint="eastAsia" w:ascii="Times New Roman" w:hAnsi="Times New Roman" w:eastAsia="宋体" w:cs="Times New Roman"/>
          <w:b w:val="0"/>
          <w:i w:val="0"/>
          <w:sz w:val="21"/>
          <w:vertAlign w:val="superscript"/>
        </w:rPr>
        <w:t>[25]</w:t>
      </w:r>
      <w:r>
        <w:rPr>
          <w:rFonts w:hint="eastAsia" w:ascii="Times New Roman" w:hAnsi="Times New Roman" w:eastAsia="宋体" w:cs="Times New Roman"/>
          <w:b w:val="0"/>
          <w:i w:val="0"/>
          <w:sz w:val="21"/>
        </w:rPr>
        <w:t>，人工神经网络、支持向量机和随机森林回归复杂场地放大</w:t>
      </w:r>
      <w:r>
        <w:rPr>
          <w:rFonts w:hint="eastAsia" w:ascii="Times New Roman" w:hAnsi="Times New Roman" w:eastAsia="宋体" w:cs="Times New Roman"/>
          <w:b w:val="0"/>
          <w:i w:val="0"/>
          <w:sz w:val="21"/>
          <w:vertAlign w:val="superscript"/>
        </w:rPr>
        <w:t>[26]</w:t>
      </w:r>
      <w:r>
        <w:rPr>
          <w:rFonts w:hint="eastAsia" w:ascii="Times New Roman" w:hAnsi="Times New Roman" w:eastAsia="宋体" w:cs="Times New Roman"/>
          <w:b w:val="0"/>
          <w:i w:val="0"/>
          <w:sz w:val="21"/>
        </w:rPr>
        <w:t>，基于二维地形图像的 BP 网络</w:t>
      </w:r>
      <w:r>
        <w:rPr>
          <w:rFonts w:hint="eastAsia" w:ascii="Times New Roman" w:hAnsi="Times New Roman" w:eastAsia="宋体" w:cs="Times New Roman"/>
          <w:b w:val="0"/>
          <w:i w:val="0"/>
          <w:sz w:val="21"/>
          <w:vertAlign w:val="superscript"/>
        </w:rPr>
        <w:t>[27]</w:t>
      </w:r>
      <w:r>
        <w:rPr>
          <w:rFonts w:hint="eastAsia" w:ascii="Times New Roman" w:hAnsi="Times New Roman" w:eastAsia="宋体" w:cs="Times New Roman"/>
          <w:b w:val="0"/>
          <w:i w:val="0"/>
          <w:sz w:val="21"/>
        </w:rPr>
        <w:t>，谱元数据驱动的区域地形效应模型</w:t>
      </w:r>
      <w:r>
        <w:rPr>
          <w:rFonts w:hint="eastAsia" w:ascii="Times New Roman" w:hAnsi="Times New Roman" w:eastAsia="宋体" w:cs="Times New Roman"/>
          <w:b w:val="0"/>
          <w:i w:val="0"/>
          <w:sz w:val="21"/>
          <w:vertAlign w:val="superscript"/>
        </w:rPr>
        <w:t>[28-29]</w:t>
      </w:r>
      <w:r>
        <w:rPr>
          <w:rFonts w:hint="eastAsia" w:ascii="Times New Roman" w:hAnsi="Times New Roman" w:eastAsia="宋体" w:cs="Times New Roman"/>
          <w:b w:val="0"/>
          <w:i w:val="0"/>
          <w:sz w:val="21"/>
        </w:rPr>
        <w:t>，以及基于可靠性分析的控制参数识别</w:t>
      </w:r>
      <w:r>
        <w:rPr>
          <w:rFonts w:hint="eastAsia" w:ascii="Times New Roman" w:hAnsi="Times New Roman" w:eastAsia="宋体" w:cs="Times New Roman"/>
          <w:b w:val="0"/>
          <w:i w:val="0"/>
          <w:sz w:val="21"/>
          <w:vertAlign w:val="superscript"/>
        </w:rPr>
        <w:t>[30]</w:t>
      </w:r>
      <w:r>
        <w:rPr>
          <w:rFonts w:hint="eastAsia" w:ascii="Times New Roman" w:hAnsi="Times New Roman" w:eastAsia="宋体" w:cs="Times New Roman"/>
          <w:b w:val="0"/>
          <w:i w:val="0"/>
          <w:sz w:val="21"/>
        </w:rPr>
        <w:t>。这些研究建立了可行性，但完整空间模式和相位信息较少被同时预测，训练域之外的适用边界也缺少独立检验。</w:t>
      </w:r>
    </w:p>
    <w:p w14:paraId="48FB76F9">
      <w:pPr>
        <w:spacing w:before="0" w:after="0"/>
        <w:ind w:firstLine="420"/>
        <w:jc w:val="both"/>
      </w:pPr>
      <w:r>
        <w:rPr>
          <w:rFonts w:hint="eastAsia" w:ascii="Times New Roman" w:hAnsi="Times New Roman" w:eastAsia="宋体" w:cs="Times New Roman"/>
          <w:b w:val="0"/>
          <w:i w:val="0"/>
          <w:sz w:val="21"/>
        </w:rPr>
        <w:t xml:space="preserve">针对上述问题，本文以二维线弹性“上土下岩”成层坡地为对象，将地表水平复频响函数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宋体" w:cs="Times New Roman"/>
          <w:b w:val="0"/>
          <w:i w:val="0"/>
          <w:sz w:val="21"/>
        </w:rPr>
        <w:t xml:space="preserve"> 作为统一研究对象。首先采用宽频系统识别，在4个均质坡和64个成层坡上分析 </w:t>
      </w:r>
      <m:oMath>
        <m:r>
          <m:rPr/>
          <m:t>i</m:t>
        </m:r>
      </m:oMath>
      <w:r>
        <w:rPr>
          <w:rFonts w:hint="eastAsia" w:ascii="Times New Roman" w:hAnsi="Times New Roman" w:eastAsia="宋体" w:cs="Times New Roman"/>
          <w:b w:val="0"/>
          <w:i w:val="0"/>
          <w:sz w:val="21"/>
        </w:rPr>
        <w:t>、</w:t>
      </w:r>
      <m:oMath>
        <m:r>
          <m:rPr/>
          <m:t>d</m:t>
        </m:r>
        <m:r>
          <m:rPr>
            <m:sty m:val="p"/>
          </m:rPr>
          <m:t>/</m:t>
        </m:r>
        <m:r>
          <m:rPr/>
          <m:t>h</m:t>
        </m:r>
      </m:oMath>
      <w:r>
        <w:rPr>
          <w:rFonts w:hint="eastAsia" w:ascii="Times New Roman" w:hAnsi="Times New Roman" w:eastAsia="宋体" w:cs="Times New Roman"/>
          <w:b w:val="0"/>
          <w:i w:val="0"/>
          <w:sz w:val="21"/>
        </w:rPr>
        <w:t>、</w:t>
      </w:r>
      <m:oMath>
        <m:sSub>
          <m:sSubPr/>
          <m:e>
            <m:r>
              <m:rPr/>
              <m:t>r</m:t>
            </m:r>
          </m:e>
          <m:sub>
            <m:r>
              <m:rPr/>
              <m:t>v</m:t>
            </m:r>
          </m:sub>
        </m:sSub>
      </m:oMath>
      <w:r>
        <w:rPr>
          <w:rFonts w:hint="eastAsia" w:ascii="Times New Roman" w:hAnsi="Times New Roman" w:eastAsia="宋体" w:cs="Times New Roman"/>
          <w:b w:val="0"/>
          <w:i w:val="0"/>
          <w:sz w:val="21"/>
        </w:rPr>
        <w:t xml:space="preserve"> 对幅值、相位与峰位的影响；随后建立 POD-GPR 复数场代理，以12个未参与训练和选模的中间参数组合检验域内插值能力；最后将代理复频响用于 El Centro、Kobe 和 Chi-Chi 地震动重构，并与10例直接有限元结果闭环比较。</w:t>
      </w:r>
    </w:p>
    <w:p w14:paraId="0F8E6B40">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2 数值模型与结果校核</w:t>
      </w:r>
    </w:p>
    <w:p w14:paraId="279F87A3">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rPr>
          <w:rFonts w:hint="eastAsia" w:ascii="Times New Roman" w:hAnsi="Times New Roman" w:eastAsia="宋体" w:cs="Times New Roman"/>
          <w:b/>
          <w:i w:val="0"/>
          <w:sz w:val="24"/>
        </w:rPr>
      </w:pPr>
      <w:r>
        <w:rPr>
          <w:rFonts w:hint="eastAsia" w:ascii="Times New Roman" w:hAnsi="Times New Roman" w:eastAsia="宋体" w:cs="Times New Roman"/>
          <w:b/>
          <w:i w:val="0"/>
          <w:sz w:val="24"/>
        </w:rPr>
        <w:t>2.1 成层坡地地震动输入方法</w:t>
      </w:r>
    </w:p>
    <w:p w14:paraId="74CC76F0">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4"/>
        </w:rPr>
      </w:pPr>
      <w:r>
        <w:rPr>
          <w:rFonts w:hint="eastAsia" w:ascii="Times New Roman" w:hAnsi="Times New Roman" w:eastAsia="宋体" w:cs="Times New Roman"/>
          <w:b/>
          <w:i w:val="0"/>
          <w:sz w:val="21"/>
        </w:rPr>
        <w:t>2.1.1 黏弹性人工边界</w:t>
      </w:r>
    </w:p>
    <w:p w14:paraId="191E8295">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本文采用Abaqus/Standard 2021</w:t>
      </w:r>
      <w:r>
        <w:rPr>
          <w:rFonts w:hint="eastAsia" w:ascii="Times New Roman" w:hAnsi="Times New Roman" w:eastAsia="宋体" w:cs="Times New Roman"/>
          <w:b w:val="0"/>
          <w:i w:val="0"/>
          <w:sz w:val="21"/>
          <w:vertAlign w:val="superscript"/>
        </w:rPr>
        <w:t>[31]</w:t>
      </w:r>
      <w:r>
        <w:rPr>
          <w:rFonts w:hint="eastAsia" w:ascii="Times New Roman" w:hAnsi="Times New Roman" w:eastAsia="宋体" w:cs="Times New Roman"/>
          <w:b w:val="0"/>
          <w:i w:val="0"/>
          <w:sz w:val="21"/>
        </w:rPr>
        <w:t>建立二维有限元模型</w:t>
      </w:r>
      <w:r>
        <w:rPr>
          <w:rFonts w:hint="eastAsia" w:ascii="Times New Roman" w:hAnsi="Times New Roman" w:eastAsia="宋体" w:cs="Times New Roman"/>
          <w:b w:val="0"/>
          <w:i w:val="0"/>
          <w:sz w:val="21"/>
          <w:lang w:eastAsia="zh-CN"/>
        </w:rPr>
        <w:t>，</w:t>
      </w:r>
      <w:r>
        <w:rPr>
          <w:rFonts w:hint="eastAsia" w:ascii="Times New Roman" w:hAnsi="Times New Roman" w:eastAsia="宋体" w:cs="Times New Roman"/>
          <w:b w:val="0"/>
          <w:i w:val="0"/>
          <w:sz w:val="21"/>
          <w:lang w:val="en-US" w:eastAsia="zh-CN"/>
        </w:rPr>
        <w:t>模型</w:t>
      </w:r>
      <w:r>
        <w:rPr>
          <w:rFonts w:hint="eastAsia" w:ascii="Times New Roman" w:hAnsi="Times New Roman" w:eastAsia="宋体" w:cs="Times New Roman"/>
          <w:b w:val="0"/>
          <w:i w:val="0"/>
          <w:sz w:val="21"/>
        </w:rPr>
        <w:t>仅截取无限场地中的局部区域。为减小外行波在截断边界处的非物理反射，本文在模型左右两侧及底部采用刘晶波等</w:t>
      </w:r>
      <w:r>
        <w:rPr>
          <w:rFonts w:hint="eastAsia" w:ascii="Times New Roman" w:hAnsi="Times New Roman" w:eastAsia="宋体" w:cs="Times New Roman"/>
          <w:b w:val="0"/>
          <w:i w:val="0"/>
          <w:sz w:val="21"/>
          <w:vertAlign w:val="superscript"/>
        </w:rPr>
        <w:t>[32]</w:t>
      </w:r>
      <w:r>
        <w:rPr>
          <w:rFonts w:hint="eastAsia" w:ascii="Times New Roman" w:hAnsi="Times New Roman" w:eastAsia="宋体" w:cs="Times New Roman"/>
          <w:b w:val="0"/>
          <w:i w:val="0"/>
          <w:sz w:val="21"/>
        </w:rPr>
        <w:t xml:space="preserve">提出的黏弹性人工边界，地表保持自由。按照该方法，边界节点 </w:t>
      </w:r>
      <m:oMath>
        <m:r>
          <m:rPr/>
          <m:t>l</m:t>
        </m:r>
      </m:oMath>
      <w:r>
        <w:rPr>
          <w:rFonts w:hint="eastAsia" w:ascii="Times New Roman" w:hAnsi="Times New Roman" w:eastAsia="宋体" w:cs="Times New Roman"/>
          <w:b w:val="0"/>
          <w:i w:val="0"/>
          <w:sz w:val="21"/>
        </w:rPr>
        <w:t xml:space="preserve"> 处的法向、切向弹簧刚度及阻尼系数分别为：</w:t>
      </w:r>
    </w:p>
    <w:p w14:paraId="38CD8B6D">
      <w:pPr>
        <w:spacing w:before="0" w:after="0"/>
        <w:ind w:firstLine="420"/>
        <w:jc w:val="both"/>
        <w:rPr>
          <w:i w:val="0"/>
        </w:rPr>
      </w:pPr>
      <m:oMathPara>
        <m:oMath>
          <m:eqArr>
            <m:eqArrPr>
              <m:maxDist m:val="1"/>
            </m:eqArrPr>
            <m:e>
              <m:d>
                <m:dPr>
                  <m:begChr m:val="["/>
                  <m:sepChr m:val=""/>
                  <m:endChr m:val="]"/>
                </m:dPr>
                <m:e>
                  <m:m>
                    <m:mPr>
                      <m:mcs>
                        <m:mc>
                          <m:mcPr>
                            <m:count m:val="1"/>
                            <m:mcJc m:val="center"/>
                          </m:mcPr>
                        </m:mc>
                      </m:mcs>
                      <m:plcHide m:val="1"/>
                    </m:mPr>
                    <m:mr>
                      <m:e>
                        <m:sSub>
                          <m:sSubPr/>
                          <m:e>
                            <m:r>
                              <m:rPr/>
                              <m:t>K</m:t>
                            </m:r>
                          </m:e>
                          <m:sub>
                            <m:r>
                              <m:rPr>
                                <m:sty m:val="p"/>
                              </m:rPr>
                              <m:t>N</m:t>
                            </m:r>
                          </m:sub>
                        </m:sSub>
                      </m:e>
                    </m:mr>
                    <m:mr>
                      <m:e>
                        <m:sSub>
                          <m:sSubPr/>
                          <m:e>
                            <m:r>
                              <m:rPr/>
                              <m:t>K</m:t>
                            </m:r>
                          </m:e>
                          <m:sub>
                            <m:r>
                              <m:rPr>
                                <m:sty m:val="p"/>
                              </m:rPr>
                              <m:t>T</m:t>
                            </m:r>
                          </m:sub>
                        </m:sSub>
                      </m:e>
                    </m:mr>
                  </m:m>
                </m:e>
              </m:d>
              <m:r>
                <m:rPr>
                  <m:sty m:val="p"/>
                </m:rPr>
                <m:t>=</m:t>
              </m:r>
              <m:f>
                <m:fPr/>
                <m:num>
                  <m:r>
                    <m:rPr/>
                    <m:t>1</m:t>
                  </m:r>
                </m:num>
                <m:den>
                  <m:r>
                    <m:rPr/>
                    <m:t>2r</m:t>
                  </m:r>
                  <m:r>
                    <m:rPr>
                      <m:sty m:val="p"/>
                    </m:rPr>
                    <m:t>(</m:t>
                  </m:r>
                  <m:r>
                    <m:rPr/>
                    <m:t>1</m:t>
                  </m:r>
                  <m:r>
                    <m:rPr>
                      <m:sty m:val="p"/>
                    </m:rPr>
                    <m:t>+</m:t>
                  </m:r>
                  <m:r>
                    <m:rPr/>
                    <m:t>A</m:t>
                  </m:r>
                  <m:r>
                    <m:rPr>
                      <m:sty m:val="p"/>
                    </m:rPr>
                    <m:t>)</m:t>
                  </m:r>
                </m:den>
              </m:f>
              <m:d>
                <m:dPr>
                  <m:begChr m:val="["/>
                  <m:sepChr m:val=""/>
                  <m:endChr m:val="]"/>
                </m:dPr>
                <m:e>
                  <m:m>
                    <m:mPr>
                      <m:mcs>
                        <m:mc>
                          <m:mcPr>
                            <m:count m:val="1"/>
                            <m:mcJc m:val="center"/>
                          </m:mcPr>
                        </m:mc>
                      </m:mcs>
                      <m:plcHide m:val="1"/>
                    </m:mPr>
                    <m:mr>
                      <m:e>
                        <m:r>
                          <m:rPr/>
                          <m:t>λ</m:t>
                        </m:r>
                        <m:r>
                          <m:rPr>
                            <m:sty m:val="p"/>
                          </m:rPr>
                          <m:t>+</m:t>
                        </m:r>
                        <m:r>
                          <m:rPr/>
                          <m:t>2G</m:t>
                        </m:r>
                      </m:e>
                    </m:mr>
                    <m:mr>
                      <m:e>
                        <m:r>
                          <m:rPr/>
                          <m:t>G</m:t>
                        </m:r>
                      </m:e>
                    </m:mr>
                  </m:m>
                </m:e>
              </m:d>
              <m:r>
                <m:rPr>
                  <m:sty m:val="p"/>
                </m:rPr>
                <w:rPr>
                  <w:rFonts w:ascii="Cambria Math" w:hAnsi="Cambria Math"/>
                </w:rPr>
                <m:t>#(1)</m:t>
              </m:r>
            </m:e>
          </m:eqArr>
        </m:oMath>
      </m:oMathPara>
    </w:p>
    <w:p w14:paraId="4743EB52">
      <w:pPr>
        <w:spacing w:before="0" w:after="0"/>
        <w:ind w:firstLine="420"/>
        <w:jc w:val="both"/>
        <w:rPr>
          <w:rFonts w:hint="eastAsia"/>
          <w:i w:val="0"/>
        </w:rPr>
      </w:pPr>
      <m:oMathPara>
        <m:oMath>
          <m:eqArr>
            <m:eqArrPr>
              <m:maxDist m:val="1"/>
              <m:ctrlPr>
                <w:rPr>
                  <w:i/>
                </w:rPr>
              </m:ctrlPr>
            </m:eqArrPr>
            <m:e>
              <m:d>
                <m:dPr>
                  <m:begChr m:val="["/>
                  <m:sepChr m:val=""/>
                  <m:endChr m:val="]"/>
                </m:dPr>
                <m:e>
                  <m:m>
                    <m:mPr>
                      <m:mcs>
                        <m:mc>
                          <m:mcPr>
                            <m:count m:val="1"/>
                            <m:mcJc m:val="center"/>
                          </m:mcPr>
                        </m:mc>
                      </m:mcs>
                      <m:plcHide m:val="1"/>
                    </m:mPr>
                    <m:mr>
                      <m:e>
                        <m:sSub>
                          <m:sSubPr/>
                          <m:e>
                            <m:r>
                              <m:rPr/>
                              <m:t>C</m:t>
                            </m:r>
                          </m:e>
                          <m:sub>
                            <m:r>
                              <m:rPr>
                                <m:sty m:val="p"/>
                              </m:rPr>
                              <m:t>N</m:t>
                            </m:r>
                          </m:sub>
                        </m:sSub>
                      </m:e>
                    </m:mr>
                    <m:mr>
                      <m:e>
                        <m:sSub>
                          <m:sSubPr/>
                          <m:e>
                            <m:r>
                              <m:rPr/>
                              <m:t>C</m:t>
                            </m:r>
                          </m:e>
                          <m:sub>
                            <m:r>
                              <m:rPr>
                                <m:sty m:val="p"/>
                              </m:rPr>
                              <m:t>T</m:t>
                            </m:r>
                          </m:sub>
                        </m:sSub>
                      </m:e>
                    </m:mr>
                  </m:m>
                </m:e>
              </m:d>
              <m:r>
                <m:rPr>
                  <m:sty m:val="p"/>
                </m:rPr>
                <m:t>=</m:t>
              </m:r>
              <m:r>
                <m:rPr/>
                <m:t>Bρ</m:t>
              </m:r>
              <m:d>
                <m:dPr>
                  <m:begChr m:val="["/>
                  <m:sepChr m:val=""/>
                  <m:endChr m:val="]"/>
                </m:dPr>
                <m:e>
                  <m:m>
                    <m:mPr>
                      <m:mcs>
                        <m:mc>
                          <m:mcPr>
                            <m:count m:val="1"/>
                            <m:mcJc m:val="center"/>
                          </m:mcPr>
                        </m:mc>
                      </m:mcs>
                      <m:plcHide m:val="1"/>
                    </m:mPr>
                    <m:mr>
                      <m:e>
                        <m:sSub>
                          <m:sSubPr/>
                          <m:e>
                            <m:r>
                              <m:rPr/>
                              <m:t>c</m:t>
                            </m:r>
                          </m:e>
                          <m:sub>
                            <m:r>
                              <m:rPr>
                                <m:sty m:val="p"/>
                              </m:rPr>
                              <m:t>p</m:t>
                            </m:r>
                          </m:sub>
                        </m:sSub>
                      </m:e>
                    </m:mr>
                    <m:mr>
                      <m:e>
                        <m:sSub>
                          <m:sSubPr/>
                          <m:e>
                            <m:r>
                              <m:rPr/>
                              <m:t>c</m:t>
                            </m:r>
                          </m:e>
                          <m:sub>
                            <m:r>
                              <m:rPr>
                                <m:sty m:val="p"/>
                              </m:rPr>
                              <m:t>s</m:t>
                            </m:r>
                          </m:sub>
                        </m:sSub>
                      </m:e>
                    </m:mr>
                  </m:m>
                </m:e>
              </m:d>
              <m:r>
                <m:rPr>
                  <m:sty m:val="p"/>
                </m:rPr>
                <w:rPr>
                  <w:rFonts w:ascii="Cambria Math" w:hAnsi="Cambria Math"/>
                </w:rPr>
                <m:t>#(2)</m:t>
              </m:r>
              <m:ctrlPr>
                <w:rPr>
                  <w:i/>
                </w:rPr>
              </m:ctrlPr>
            </m:e>
          </m:eqArr>
        </m:oMath>
      </m:oMathPara>
    </w:p>
    <w:p w14:paraId="421BA891">
      <w:pPr>
        <w:spacing w:before="0" w:after="0"/>
        <w:ind w:firstLine="420"/>
        <w:jc w:val="both"/>
      </w:pPr>
      <w:r>
        <w:rPr>
          <w:rFonts w:hint="eastAsia" w:ascii="Times New Roman" w:hAnsi="Times New Roman" w:eastAsia="宋体" w:cs="Times New Roman"/>
          <w:b w:val="0"/>
          <w:i w:val="0"/>
          <w:sz w:val="21"/>
        </w:rPr>
        <w:t>式中，</w:t>
      </w:r>
      <m:oMath>
        <m:sSub>
          <m:sSubPr/>
          <m:e>
            <m:r>
              <m:rPr/>
              <m:t>K</m:t>
            </m:r>
          </m:e>
          <m:sub>
            <m:r>
              <m:rPr>
                <m:sty m:val="p"/>
              </m:rPr>
              <m:t>N</m:t>
            </m:r>
          </m:sub>
        </m:sSub>
      </m:oMath>
      <w:r>
        <w:rPr>
          <w:rFonts w:hint="eastAsia" w:ascii="Times New Roman" w:hAnsi="Times New Roman" w:eastAsia="宋体" w:cs="Times New Roman"/>
          <w:b w:val="0"/>
          <w:i w:val="0"/>
          <w:sz w:val="21"/>
        </w:rPr>
        <w:t>、</w:t>
      </w:r>
      <m:oMath>
        <m:sSub>
          <m:sSubPr/>
          <m:e>
            <m:r>
              <m:rPr/>
              <m:t>K</m:t>
            </m:r>
          </m:e>
          <m:sub>
            <m:r>
              <m:rPr>
                <m:sty m:val="p"/>
              </m:rPr>
              <m:t>T</m:t>
            </m:r>
          </m:sub>
        </m:sSub>
      </m:oMath>
      <w:r>
        <w:rPr>
          <w:rFonts w:hint="eastAsia" w:ascii="Times New Roman" w:hAnsi="Times New Roman" w:eastAsia="宋体" w:cs="Times New Roman"/>
          <w:b w:val="0"/>
          <w:i w:val="0"/>
          <w:sz w:val="21"/>
        </w:rPr>
        <w:t xml:space="preserve"> 和 </w:t>
      </w:r>
      <m:oMath>
        <m:sSub>
          <m:sSubPr/>
          <m:e>
            <m:r>
              <m:rPr/>
              <m:t>C</m:t>
            </m:r>
          </m:e>
          <m:sub>
            <m:r>
              <m:rPr>
                <m:sty m:val="p"/>
              </m:rPr>
              <m:t>N</m:t>
            </m:r>
          </m:sub>
        </m:sSub>
      </m:oMath>
      <w:r>
        <w:rPr>
          <w:rFonts w:hint="eastAsia" w:ascii="Times New Roman" w:hAnsi="Times New Roman" w:eastAsia="宋体" w:cs="Times New Roman"/>
          <w:b w:val="0"/>
          <w:i w:val="0"/>
          <w:sz w:val="21"/>
        </w:rPr>
        <w:t>、</w:t>
      </w:r>
      <m:oMath>
        <m:sSub>
          <m:sSubPr/>
          <m:e>
            <m:r>
              <m:rPr/>
              <m:t>C</m:t>
            </m:r>
          </m:e>
          <m:sub>
            <m:r>
              <m:rPr>
                <m:sty m:val="p"/>
              </m:rPr>
              <m:t>T</m:t>
            </m:r>
          </m:sub>
        </m:sSub>
      </m:oMath>
      <w:r>
        <w:rPr>
          <w:rFonts w:hint="eastAsia" w:ascii="Times New Roman" w:hAnsi="Times New Roman" w:eastAsia="宋体" w:cs="Times New Roman"/>
          <w:b w:val="0"/>
          <w:i w:val="0"/>
          <w:sz w:val="21"/>
        </w:rPr>
        <w:t xml:space="preserve"> 分别为法向、切向弹簧及阻尼参数；</w:t>
      </w:r>
      <m:oMath>
        <m:r>
          <m:rPr/>
          <m:t>λ</m:t>
        </m:r>
      </m:oMath>
      <w:r>
        <w:rPr>
          <w:rFonts w:hint="eastAsia" w:ascii="Times New Roman" w:hAnsi="Times New Roman" w:eastAsia="宋体" w:cs="Times New Roman"/>
          <w:b w:val="0"/>
          <w:i w:val="0"/>
          <w:sz w:val="21"/>
        </w:rPr>
        <w:t>、</w:t>
      </w:r>
      <m:oMath>
        <m:r>
          <m:rPr/>
          <m:t>G</m:t>
        </m:r>
      </m:oMath>
      <w:r>
        <w:rPr>
          <w:rFonts w:hint="eastAsia" w:ascii="Times New Roman" w:hAnsi="Times New Roman" w:eastAsia="宋体" w:cs="Times New Roman"/>
          <w:b w:val="0"/>
          <w:i w:val="0"/>
          <w:sz w:val="21"/>
        </w:rPr>
        <w:t>、</w:t>
      </w:r>
      <m:oMath>
        <m:r>
          <m:rPr/>
          <m:t>ρ</m:t>
        </m:r>
      </m:oMath>
      <w:r>
        <w:rPr>
          <w:rFonts w:hint="eastAsia" w:ascii="Times New Roman" w:hAnsi="Times New Roman" w:eastAsia="宋体" w:cs="Times New Roman"/>
          <w:b w:val="0"/>
          <w:i w:val="0"/>
          <w:sz w:val="21"/>
        </w:rPr>
        <w:t>、</w:t>
      </w:r>
      <m:oMath>
        <m:sSub>
          <m:sSubPr/>
          <m:e>
            <m:r>
              <m:rPr/>
              <m:t>c</m:t>
            </m:r>
          </m:e>
          <m:sub>
            <m:r>
              <m:rPr>
                <m:sty m:val="p"/>
              </m:rPr>
              <m:t>p</m:t>
            </m:r>
          </m:sub>
        </m:sSub>
      </m:oMath>
      <w:r>
        <w:rPr>
          <w:rFonts w:hint="eastAsia" w:ascii="Times New Roman" w:hAnsi="Times New Roman" w:eastAsia="宋体" w:cs="Times New Roman"/>
          <w:b w:val="0"/>
          <w:i w:val="0"/>
          <w:sz w:val="21"/>
        </w:rPr>
        <w:t xml:space="preserve"> 和 </w:t>
      </w:r>
      <m:oMath>
        <m:sSub>
          <m:sSubPr/>
          <m:e>
            <m:r>
              <m:rPr/>
              <m:t>c</m:t>
            </m:r>
          </m:e>
          <m:sub>
            <m:r>
              <m:rPr>
                <m:sty m:val="p"/>
              </m:rPr>
              <m:t>s</m:t>
            </m:r>
          </m:sub>
        </m:sSub>
      </m:oMath>
      <w:r>
        <w:rPr>
          <w:rFonts w:hint="eastAsia" w:ascii="Times New Roman" w:hAnsi="Times New Roman" w:eastAsia="宋体" w:cs="Times New Roman"/>
          <w:b w:val="0"/>
          <w:i w:val="0"/>
          <w:sz w:val="21"/>
        </w:rPr>
        <w:t xml:space="preserve"> 按边界节点所在介质取值；</w:t>
      </w:r>
      <m:oMath>
        <m:r>
          <m:rPr/>
          <m:t>r</m:t>
        </m:r>
        <m:r>
          <m:rPr>
            <m:sty m:val="p"/>
          </m:rPr>
          <m:t>=</m:t>
        </m:r>
        <m:rad>
          <m:radPr>
            <m:degHide m:val="1"/>
          </m:radPr>
          <m:deg/>
          <m:e>
            <m:r>
              <m:rPr>
                <m:sty m:val="p"/>
              </m:rPr>
              <m:t>(</m:t>
            </m:r>
            <m:r>
              <m:rPr/>
              <m:t>L</m:t>
            </m:r>
            <m:r>
              <m:rPr>
                <m:sty m:val="p"/>
              </m:rPr>
              <m:t>/</m:t>
            </m:r>
            <m:r>
              <m:rPr/>
              <m:t>2</m:t>
            </m:r>
            <m:sSup>
              <m:sSupPr/>
              <m:e>
                <m:r>
                  <m:rPr>
                    <m:sty m:val="p"/>
                  </m:rPr>
                  <m:t>)</m:t>
                </m:r>
              </m:e>
              <m:sup>
                <m:r>
                  <m:rPr/>
                  <m:t>2</m:t>
                </m:r>
              </m:sup>
            </m:sSup>
            <m:r>
              <m:rPr>
                <m:sty m:val="p"/>
              </m:rPr>
              <m:t>+(</m:t>
            </m:r>
            <m:r>
              <m:rPr/>
              <m:t>H</m:t>
            </m:r>
            <m:r>
              <m:rPr>
                <m:sty m:val="p"/>
              </m:rPr>
              <m:t>/</m:t>
            </m:r>
            <m:r>
              <m:rPr/>
              <m:t>2</m:t>
            </m:r>
            <m:sSup>
              <m:sSupPr/>
              <m:e>
                <m:r>
                  <m:rPr>
                    <m:sty m:val="p"/>
                  </m:rPr>
                  <m:t>)</m:t>
                </m:r>
              </m:e>
              <m:sup>
                <m:r>
                  <m:rPr/>
                  <m:t>2</m:t>
                </m:r>
              </m:sup>
            </m:sSup>
          </m:e>
        </m:rad>
      </m:oMath>
      <w:r>
        <w:rPr>
          <w:rFonts w:hint="eastAsia" w:ascii="Times New Roman" w:hAnsi="Times New Roman" w:eastAsia="宋体" w:cs="Times New Roman"/>
          <w:b w:val="0"/>
          <w:i w:val="0"/>
          <w:sz w:val="21"/>
        </w:rPr>
        <w:t xml:space="preserve"> 为计算域包络矩形的半对角线。本文取修正系数 </w:t>
      </w:r>
      <m:oMath>
        <m:r>
          <m:rPr/>
          <m:t>A</m:t>
        </m:r>
        <m:r>
          <m:rPr>
            <m:sty m:val="p"/>
          </m:rPr>
          <m:t>=</m:t>
        </m:r>
        <m:r>
          <m:rPr/>
          <m:t>0.8</m:t>
        </m:r>
      </m:oMath>
      <w:r>
        <w:rPr>
          <w:rFonts w:hint="eastAsia" w:ascii="Times New Roman" w:hAnsi="Times New Roman" w:eastAsia="宋体" w:cs="Times New Roman"/>
          <w:b w:val="0"/>
          <w:i w:val="0"/>
          <w:sz w:val="21"/>
        </w:rPr>
        <w:t>、</w:t>
      </w:r>
      <m:oMath>
        <m:r>
          <m:rPr/>
          <m:t>B</m:t>
        </m:r>
        <m:r>
          <m:rPr>
            <m:sty m:val="p"/>
          </m:rPr>
          <m:t>=</m:t>
        </m:r>
        <m:r>
          <m:rPr/>
          <m:t>1.1</m:t>
        </m:r>
      </m:oMath>
      <w:r>
        <w:rPr>
          <w:rFonts w:hint="eastAsia" w:ascii="Times New Roman" w:hAnsi="Times New Roman" w:eastAsia="宋体" w:cs="Times New Roman"/>
          <w:b w:val="0"/>
          <w:i w:val="0"/>
          <w:sz w:val="21"/>
        </w:rPr>
        <w:t>。</w:t>
      </w:r>
    </w:p>
    <w:p w14:paraId="6D8B695B">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4"/>
        </w:rPr>
      </w:pPr>
      <w:r>
        <w:rPr>
          <w:rFonts w:hint="eastAsia" w:ascii="Times New Roman" w:hAnsi="Times New Roman" w:eastAsia="宋体" w:cs="Times New Roman"/>
          <w:b/>
          <w:i w:val="0"/>
          <w:sz w:val="21"/>
        </w:rPr>
        <w:t>2.1.2 成层自由场与等效节点力输入</w:t>
      </w:r>
    </w:p>
    <w:p w14:paraId="7842F1D8">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仅设置吸收边界只能减小外行波在截断边界处的反射，不能引入原无限场地中的斜入射波。参考Bielak等</w:t>
      </w:r>
      <w:r>
        <w:rPr>
          <w:rFonts w:hint="eastAsia" w:ascii="Times New Roman" w:hAnsi="Times New Roman" w:eastAsia="宋体" w:cs="Times New Roman"/>
          <w:b w:val="0"/>
          <w:i w:val="0"/>
          <w:sz w:val="21"/>
          <w:vertAlign w:val="superscript"/>
        </w:rPr>
        <w:t>[33]</w:t>
      </w:r>
      <w:r>
        <w:rPr>
          <w:rFonts w:hint="eastAsia" w:ascii="Times New Roman" w:hAnsi="Times New Roman" w:eastAsia="宋体" w:cs="Times New Roman"/>
          <w:b w:val="0"/>
          <w:i w:val="0"/>
          <w:sz w:val="21"/>
        </w:rPr>
        <w:t>关于背景自由场与局部残余场的分解，将有限元总波场写为自由场与散射场之和：</w:t>
      </w:r>
    </w:p>
    <w:p w14:paraId="4C38DABD">
      <w:pPr>
        <w:spacing w:before="0" w:after="0"/>
        <w:ind w:firstLine="420"/>
        <w:jc w:val="both"/>
        <w:rPr>
          <w:rFonts w:hint="eastAsia" w:ascii="Times New Roman" w:hAnsi="Times New Roman" w:eastAsia="宋体" w:cs="Times New Roman"/>
          <w:b w:val="0"/>
          <w:i w:val="0"/>
          <w:sz w:val="21"/>
        </w:rPr>
      </w:pPr>
      <m:oMathPara>
        <m:oMath>
          <m:eqArr>
            <m:eqArrPr>
              <m:maxDist m:val="1"/>
              <m:ctrlPr>
                <w:rPr>
                  <w:b w:val="0"/>
                  <w:i w:val="0"/>
                </w:rPr>
              </m:ctrlPr>
            </m:eqArrPr>
            <m:e>
              <m:r>
                <m:rPr>
                  <m:sty m:val="bi"/>
                </m:rPr>
                <m:t>u</m:t>
              </m:r>
              <m:r>
                <m:rPr>
                  <m:sty m:val="p"/>
                </m:rPr>
                <m:t>=</m:t>
              </m:r>
              <m:sSup>
                <m:sSupPr/>
                <m:e>
                  <m:r>
                    <m:rPr>
                      <m:sty m:val="bi"/>
                    </m:rPr>
                    <m:t>u</m:t>
                  </m:r>
                </m:e>
                <m:sup>
                  <m:r>
                    <m:rPr>
                      <m:sty m:val="p"/>
                    </m:rPr>
                    <m:t>f</m:t>
                  </m:r>
                </m:sup>
              </m:sSup>
              <m:r>
                <m:rPr>
                  <m:sty m:val="p"/>
                </m:rPr>
                <m:t>+</m:t>
              </m:r>
              <m:sSup>
                <m:sSupPr/>
                <m:e>
                  <m:r>
                    <m:rPr>
                      <m:sty m:val="bi"/>
                    </m:rPr>
                    <m:t>u</m:t>
                  </m:r>
                </m:e>
                <m:sup>
                  <m:r>
                    <m:rPr>
                      <m:sty m:val="p"/>
                    </m:rPr>
                    <m:t>s</m:t>
                  </m:r>
                </m:sup>
              </m:sSup>
              <m:r>
                <m:rPr>
                  <m:sty m:val="p"/>
                </m:rPr>
                <w:rPr>
                  <w:rFonts w:ascii="Cambria Math" w:hAnsi="Cambria Math"/>
                </w:rPr>
                <m:t>#(3)</m:t>
              </m:r>
              <m:ctrlPr>
                <w:rPr>
                  <w:b w:val="0"/>
                  <w:i w:val="0"/>
                </w:rPr>
              </m:ctrlPr>
            </m:e>
          </m:eqArr>
        </m:oMath>
      </m:oMathPara>
    </w:p>
    <w:p w14:paraId="1D767CA7">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其中，</w:t>
      </w:r>
      <m:oMath>
        <m:sSup>
          <m:sSupPr/>
          <m:e>
            <m:r>
              <m:rPr>
                <m:sty m:val="bi"/>
              </m:rPr>
              <m:t>u</m:t>
            </m:r>
          </m:e>
          <m:sup>
            <m:r>
              <m:rPr>
                <m:sty m:val="p"/>
              </m:rPr>
              <m:t>f</m:t>
            </m:r>
          </m:sup>
        </m:sSup>
      </m:oMath>
      <w:r>
        <w:rPr>
          <w:rFonts w:hint="eastAsia" w:ascii="Times New Roman" w:hAnsi="Times New Roman" w:eastAsia="宋体" w:cs="Times New Roman"/>
          <w:b w:val="0"/>
          <w:i w:val="0"/>
          <w:sz w:val="21"/>
        </w:rPr>
        <w:t xml:space="preserve"> 为不存在坡地局部不规则性时的自由场，</w:t>
      </w:r>
      <m:oMath>
        <m:sSup>
          <m:sSupPr/>
          <m:e>
            <m:r>
              <m:rPr>
                <m:sty m:val="bi"/>
              </m:rPr>
              <m:t>u</m:t>
            </m:r>
          </m:e>
          <m:sup>
            <m:r>
              <m:rPr>
                <m:sty m:val="p"/>
              </m:rPr>
              <m:t>s</m:t>
            </m:r>
          </m:sup>
        </m:sSup>
      </m:oMath>
      <w:r>
        <w:rPr>
          <w:rFonts w:hint="eastAsia" w:ascii="Times New Roman" w:hAnsi="Times New Roman" w:eastAsia="宋体" w:cs="Times New Roman"/>
          <w:b w:val="0"/>
          <w:i w:val="0"/>
          <w:sz w:val="21"/>
        </w:rPr>
        <w:t xml:space="preserve"> 为坡地及材料界面引起的散射场。黏弹性人工边界用于吸收向计算域外传播的散射波，而自由场则通过附加等效节点力引入有限元模型。人工边界节点 </w:t>
      </w:r>
      <m:oMath>
        <m:r>
          <m:rPr/>
          <m:t>l</m:t>
        </m:r>
      </m:oMath>
      <w:r>
        <w:rPr>
          <w:rFonts w:hint="eastAsia" w:ascii="Times New Roman" w:hAnsi="Times New Roman" w:eastAsia="宋体" w:cs="Times New Roman"/>
          <w:b w:val="0"/>
          <w:i w:val="0"/>
          <w:sz w:val="21"/>
        </w:rPr>
        <w:t xml:space="preserve"> 处的等效节点力可写为：</w:t>
      </w:r>
    </w:p>
    <w:p w14:paraId="0F890BD5">
      <w:pPr>
        <w:spacing w:before="0" w:after="0"/>
        <w:ind w:firstLine="420"/>
        <w:jc w:val="both"/>
        <w:rPr>
          <w:rFonts w:hint="eastAsia" w:ascii="Times New Roman" w:hAnsi="Times New Roman" w:eastAsia="宋体" w:cs="Times New Roman"/>
          <w:b w:val="0"/>
          <w:i w:val="0"/>
          <w:sz w:val="21"/>
        </w:rPr>
      </w:pPr>
      <m:oMathPara>
        <m:oMath>
          <m:eqArr>
            <m:eqArrPr>
              <m:maxDist m:val="1"/>
              <m:ctrlPr>
                <w:rPr>
                  <w:b w:val="0"/>
                  <w:i w:val="0"/>
                </w:rPr>
              </m:ctrlPr>
            </m:eqArrPr>
            <m:e>
              <m:sSubSup>
                <m:sSubSupPr/>
                <m:e>
                  <m:r>
                    <m:rPr>
                      <m:sty m:val="bi"/>
                    </m:rPr>
                    <m:t>F</m:t>
                  </m:r>
                </m:e>
                <m:sub>
                  <m:r>
                    <m:rPr/>
                    <m:t>l</m:t>
                  </m:r>
                </m:sub>
                <m:sup>
                  <m:r>
                    <m:rPr>
                      <m:sty m:val="p"/>
                    </m:rPr>
                    <m:t>eq</m:t>
                  </m:r>
                </m:sup>
              </m:sSubSup>
              <m:r>
                <m:rPr>
                  <m:sty m:val="p"/>
                </m:rPr>
                <m:t>(</m:t>
              </m:r>
              <m:r>
                <m:rPr/>
                <m:t>t</m:t>
              </m:r>
              <m:r>
                <m:rPr>
                  <m:sty m:val="p"/>
                </m:rPr>
                <m:t>)=</m:t>
              </m:r>
              <m:sSub>
                <m:sSubPr/>
                <m:e>
                  <m:r>
                    <m:rPr/>
                    <m:t>A</m:t>
                  </m:r>
                </m:e>
                <m:sub>
                  <m:r>
                    <m:rPr/>
                    <m:t>l</m:t>
                  </m:r>
                </m:sub>
              </m:sSub>
              <m:d>
                <m:dPr>
                  <m:begChr m:val="["/>
                  <m:sepChr m:val=""/>
                  <m:endChr m:val="]"/>
                </m:dPr>
                <m:e>
                  <m:sSub>
                    <m:sSubPr/>
                    <m:e>
                      <m:r>
                        <m:rPr>
                          <m:sty m:val="bi"/>
                        </m:rPr>
                        <m:t>K</m:t>
                      </m:r>
                    </m:e>
                    <m:sub>
                      <m:r>
                        <m:rPr/>
                        <m:t>l</m:t>
                      </m:r>
                    </m:sub>
                  </m:sSub>
                  <m:sSubSup>
                    <m:sSubSupPr/>
                    <m:e>
                      <m:r>
                        <m:rPr>
                          <m:sty m:val="bi"/>
                        </m:rPr>
                        <m:t>u</m:t>
                      </m:r>
                    </m:e>
                    <m:sub>
                      <m:r>
                        <m:rPr/>
                        <m:t>l</m:t>
                      </m:r>
                    </m:sub>
                    <m:sup>
                      <m:r>
                        <m:rPr>
                          <m:sty m:val="p"/>
                        </m:rPr>
                        <m:t>f</m:t>
                      </m:r>
                    </m:sup>
                  </m:sSubSup>
                  <m:r>
                    <m:rPr>
                      <m:sty m:val="p"/>
                    </m:rPr>
                    <m:t>(</m:t>
                  </m:r>
                  <m:r>
                    <m:rPr/>
                    <m:t>t</m:t>
                  </m:r>
                  <m:r>
                    <m:rPr>
                      <m:sty m:val="p"/>
                    </m:rPr>
                    <m:t>)+</m:t>
                  </m:r>
                  <m:sSub>
                    <m:sSubPr/>
                    <m:e>
                      <m:r>
                        <m:rPr>
                          <m:sty m:val="bi"/>
                        </m:rPr>
                        <m:t>C</m:t>
                      </m:r>
                    </m:e>
                    <m:sub>
                      <m:r>
                        <m:rPr/>
                        <m:t>l</m:t>
                      </m:r>
                    </m:sub>
                  </m:sSub>
                  <m:sSubSup>
                    <m:sSubSupPr/>
                    <m:e>
                      <m:acc>
                        <m:accPr>
                          <m:chr m:val="̇"/>
                        </m:accPr>
                        <m:e>
                          <m:r>
                            <m:rPr>
                              <m:sty m:val="bi"/>
                            </m:rPr>
                            <m:t>u</m:t>
                          </m:r>
                        </m:e>
                      </m:acc>
                    </m:e>
                    <m:sub>
                      <m:r>
                        <m:rPr/>
                        <m:t>l</m:t>
                      </m:r>
                    </m:sub>
                    <m:sup>
                      <m:r>
                        <m:rPr>
                          <m:sty m:val="p"/>
                        </m:rPr>
                        <m:t>f</m:t>
                      </m:r>
                    </m:sup>
                  </m:sSubSup>
                  <m:r>
                    <m:rPr>
                      <m:sty m:val="p"/>
                    </m:rPr>
                    <m:t>(</m:t>
                  </m:r>
                  <m:r>
                    <m:rPr/>
                    <m:t>t</m:t>
                  </m:r>
                  <m:r>
                    <m:rPr>
                      <m:sty m:val="p"/>
                    </m:rPr>
                    <m:t>)+</m:t>
                  </m:r>
                  <m:sSubSup>
                    <m:sSubSupPr/>
                    <m:e>
                      <m:r>
                        <m:rPr>
                          <m:sty m:val="bi"/>
                        </m:rPr>
                        <m:t>σ</m:t>
                      </m:r>
                    </m:e>
                    <m:sub>
                      <m:r>
                        <m:rPr/>
                        <m:t>l</m:t>
                      </m:r>
                    </m:sub>
                    <m:sup>
                      <m:r>
                        <m:rPr>
                          <m:sty m:val="p"/>
                        </m:rPr>
                        <m:t>f</m:t>
                      </m:r>
                    </m:sup>
                  </m:sSubSup>
                  <m:r>
                    <m:rPr>
                      <m:sty m:val="p"/>
                    </m:rPr>
                    <m:t>(</m:t>
                  </m:r>
                  <m:r>
                    <m:rPr/>
                    <m:t>t</m:t>
                  </m:r>
                  <m:r>
                    <m:rPr>
                      <m:sty m:val="p"/>
                    </m:rPr>
                    <m:t>)</m:t>
                  </m:r>
                  <m:sSub>
                    <m:sSubPr/>
                    <m:e>
                      <m:r>
                        <m:rPr>
                          <m:sty m:val="bi"/>
                        </m:rPr>
                        <m:t>n</m:t>
                      </m:r>
                    </m:e>
                    <m:sub>
                      <m:r>
                        <m:rPr/>
                        <m:t>l</m:t>
                      </m:r>
                    </m:sub>
                  </m:sSub>
                </m:e>
              </m:d>
              <m:r>
                <m:rPr>
                  <m:sty m:val="p"/>
                </m:rPr>
                <w:rPr>
                  <w:rFonts w:ascii="Cambria Math" w:hAnsi="Cambria Math"/>
                </w:rPr>
                <m:t>#(4)</m:t>
              </m:r>
              <m:ctrlPr>
                <w:rPr>
                  <w:b w:val="0"/>
                  <w:i w:val="0"/>
                </w:rPr>
              </m:ctrlPr>
            </m:e>
          </m:eqArr>
        </m:oMath>
      </m:oMathPara>
    </w:p>
    <w:p w14:paraId="570A047C">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式中，</w:t>
      </w:r>
      <m:oMath>
        <m:sSub>
          <m:sSubPr/>
          <m:e>
            <m:r>
              <m:rPr/>
              <m:t>A</m:t>
            </m:r>
          </m:e>
          <m:sub>
            <m:r>
              <m:rPr/>
              <m:t>l</m:t>
            </m:r>
          </m:sub>
        </m:sSub>
      </m:oMath>
      <w:r>
        <w:rPr>
          <w:rFonts w:hint="eastAsia" w:ascii="Times New Roman" w:hAnsi="Times New Roman" w:eastAsia="宋体" w:cs="Times New Roman"/>
          <w:b w:val="0"/>
          <w:i w:val="0"/>
          <w:sz w:val="21"/>
        </w:rPr>
        <w:t xml:space="preserve"> 为二维单位厚度下节点的代表边界长度，</w:t>
      </w:r>
      <m:oMath>
        <m:sSub>
          <m:sSubPr/>
          <m:e>
            <m:r>
              <m:rPr>
                <m:sty m:val="bi"/>
              </m:rPr>
              <m:t>n</m:t>
            </m:r>
          </m:e>
          <m:sub>
            <m:r>
              <m:rPr/>
              <m:t>l</m:t>
            </m:r>
          </m:sub>
        </m:sSub>
      </m:oMath>
      <w:r>
        <w:rPr>
          <w:rFonts w:hint="eastAsia" w:ascii="Times New Roman" w:hAnsi="Times New Roman" w:eastAsia="宋体" w:cs="Times New Roman"/>
          <w:b w:val="0"/>
          <w:i w:val="0"/>
          <w:sz w:val="21"/>
        </w:rPr>
        <w:t xml:space="preserve"> 为边界外法向，</w:t>
      </w:r>
      <m:oMath>
        <m:sSub>
          <m:sSubPr/>
          <m:e>
            <m:r>
              <m:rPr>
                <m:sty m:val="bi"/>
              </m:rPr>
              <m:t>K</m:t>
            </m:r>
          </m:e>
          <m:sub>
            <m:r>
              <m:rPr/>
              <m:t>l</m:t>
            </m:r>
          </m:sub>
        </m:sSub>
      </m:oMath>
      <w:r>
        <w:rPr>
          <w:rFonts w:hint="eastAsia" w:ascii="Times New Roman" w:hAnsi="Times New Roman" w:eastAsia="宋体" w:cs="Times New Roman"/>
          <w:b w:val="0"/>
          <w:i w:val="0"/>
          <w:sz w:val="21"/>
        </w:rPr>
        <w:t xml:space="preserve"> 和 </w:t>
      </w:r>
      <m:oMath>
        <m:sSub>
          <m:sSubPr/>
          <m:e>
            <m:r>
              <m:rPr>
                <m:sty m:val="bi"/>
              </m:rPr>
              <m:t>C</m:t>
            </m:r>
          </m:e>
          <m:sub>
            <m:r>
              <m:rPr/>
              <m:t>l</m:t>
            </m:r>
          </m:sub>
        </m:sSub>
      </m:oMath>
      <w:r>
        <w:rPr>
          <w:rFonts w:hint="eastAsia" w:ascii="Times New Roman" w:hAnsi="Times New Roman" w:eastAsia="宋体" w:cs="Times New Roman"/>
          <w:b w:val="0"/>
          <w:i w:val="0"/>
          <w:sz w:val="21"/>
        </w:rPr>
        <w:t xml:space="preserve"> 为式（1）和式（2）在全局坐标下的参数矩阵；</w:t>
      </w:r>
      <m:oMath>
        <m:sSubSup>
          <m:sSubSupPr/>
          <m:e>
            <m:r>
              <m:rPr>
                <m:sty m:val="bi"/>
              </m:rPr>
              <m:t>u</m:t>
            </m:r>
          </m:e>
          <m:sub>
            <m:r>
              <m:rPr/>
              <m:t>l</m:t>
            </m:r>
          </m:sub>
          <m:sup>
            <m:r>
              <m:rPr>
                <m:sty m:val="p"/>
              </m:rPr>
              <m:t>f</m:t>
            </m:r>
          </m:sup>
        </m:sSubSup>
      </m:oMath>
      <w:r>
        <w:rPr>
          <w:rFonts w:hint="eastAsia" w:ascii="Times New Roman" w:hAnsi="Times New Roman" w:eastAsia="宋体" w:cs="Times New Roman"/>
          <w:b w:val="0"/>
          <w:i w:val="0"/>
          <w:sz w:val="21"/>
        </w:rPr>
        <w:t>、</w:t>
      </w:r>
      <m:oMath>
        <m:sSubSup>
          <m:sSubSupPr/>
          <m:e>
            <m:acc>
              <m:accPr>
                <m:chr m:val="̇"/>
              </m:accPr>
              <m:e>
                <m:r>
                  <m:rPr>
                    <m:sty m:val="bi"/>
                  </m:rPr>
                  <m:t>u</m:t>
                </m:r>
              </m:e>
            </m:acc>
          </m:e>
          <m:sub>
            <m:r>
              <m:rPr/>
              <m:t>l</m:t>
            </m:r>
          </m:sub>
          <m:sup>
            <m:r>
              <m:rPr>
                <m:sty m:val="p"/>
              </m:rPr>
              <m:t>f</m:t>
            </m:r>
          </m:sup>
        </m:sSubSup>
      </m:oMath>
      <w:r>
        <w:rPr>
          <w:rFonts w:hint="eastAsia" w:ascii="Times New Roman" w:hAnsi="Times New Roman" w:eastAsia="宋体" w:cs="Times New Roman"/>
          <w:b w:val="0"/>
          <w:i w:val="0"/>
          <w:sz w:val="21"/>
        </w:rPr>
        <w:t xml:space="preserve"> 和 </w:t>
      </w:r>
      <m:oMath>
        <m:sSubSup>
          <m:sSubSupPr/>
          <m:e>
            <m:r>
              <m:rPr>
                <m:sty m:val="bi"/>
              </m:rPr>
              <m:t>σ</m:t>
            </m:r>
          </m:e>
          <m:sub>
            <m:r>
              <m:rPr/>
              <m:t>l</m:t>
            </m:r>
          </m:sub>
          <m:sup>
            <m:r>
              <m:rPr>
                <m:sty m:val="p"/>
              </m:rPr>
              <m:t>f</m:t>
            </m:r>
          </m:sup>
        </m:sSubSup>
      </m:oMath>
      <w:r>
        <w:rPr>
          <w:rFonts w:hint="eastAsia" w:ascii="Times New Roman" w:hAnsi="Times New Roman" w:eastAsia="宋体" w:cs="Times New Roman"/>
          <w:b w:val="0"/>
          <w:i w:val="0"/>
          <w:sz w:val="21"/>
        </w:rPr>
        <w:t xml:space="preserve"> 分别为节点自由场位移、速度和应力。弹簧项和阻尼项补偿人工边界对自由场运动的作用，应力项恢复原无限介质作用于截断面的自由场牵引。因此，地震动输入问题归结为求取各边界节点的自由场位移、速度和应力。</w:t>
      </w:r>
    </w:p>
    <w:p w14:paraId="6A012CAB">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本文参考张季等</w:t>
      </w:r>
      <w:r>
        <w:rPr>
          <w:rFonts w:hint="eastAsia" w:ascii="Times New Roman" w:hAnsi="Times New Roman" w:eastAsia="宋体" w:cs="Times New Roman"/>
          <w:b w:val="0"/>
          <w:i w:val="0"/>
          <w:sz w:val="21"/>
          <w:vertAlign w:val="superscript"/>
        </w:rPr>
        <w:t>[34]</w:t>
      </w:r>
      <w:r>
        <w:rPr>
          <w:rFonts w:hint="eastAsia" w:ascii="Times New Roman" w:hAnsi="Times New Roman" w:eastAsia="宋体" w:cs="Times New Roman"/>
          <w:b w:val="0"/>
          <w:i w:val="0"/>
          <w:sz w:val="21"/>
        </w:rPr>
        <w:t>采用的“频域求解成层自由场—生成边界等效节点力”总体流程：由加速度时程作傅里叶变换并换算为入射位移谱，随后逐频求解单位SV波斜入射下的水平成层自由场，恢复各节点的实际自由场，最后组装节点力谱并逆变换至时域。与张季以层间界面位移为未知量组装精确动力刚度矩阵不同，本文直接以覆盖层内上、下行P波和SV波以及基岩中的反射P波、SV波复幅值为未知量：</w:t>
      </w:r>
    </w:p>
    <w:p w14:paraId="5F6CA2A9">
      <w:pPr>
        <w:spacing w:before="0" w:after="0"/>
        <w:ind w:firstLine="420"/>
        <w:jc w:val="both"/>
        <w:rPr>
          <w:rFonts w:hint="eastAsia" w:ascii="Times New Roman" w:hAnsi="Times New Roman" w:eastAsia="宋体" w:cs="Times New Roman"/>
          <w:b w:val="0"/>
          <w:i w:val="0"/>
          <w:sz w:val="21"/>
        </w:rPr>
      </w:pPr>
      <m:oMathPara>
        <m:oMath>
          <m:eqArr>
            <m:eqArrPr>
              <m:maxDist m:val="1"/>
              <m:ctrlPr>
                <w:rPr>
                  <w:i/>
                </w:rPr>
              </m:ctrlPr>
            </m:eqArrPr>
            <m:e>
              <m:r>
                <m:rPr>
                  <m:sty m:val="bi"/>
                </m:rPr>
                <m:t>a</m:t>
              </m:r>
              <m:r>
                <m:rPr>
                  <m:sty m:val="p"/>
                </m:rPr>
                <m:t>(</m:t>
              </m:r>
              <m:r>
                <m:rPr/>
                <m:t>ω</m:t>
              </m:r>
              <m:r>
                <m:rPr>
                  <m:sty m:val="p"/>
                </m:rPr>
                <m:t>)=</m:t>
              </m:r>
              <m:sSup>
                <m:sSupPr/>
                <m:e>
                  <m:d>
                    <m:dPr>
                      <m:begChr m:val="["/>
                      <m:sepChr m:val=""/>
                      <m:endChr m:val="]"/>
                    </m:dPr>
                    <m:e>
                      <m:m>
                        <m:mPr>
                          <m:mcs>
                            <m:mc>
                              <m:mcPr>
                                <m:count m:val="6"/>
                                <m:mcJc m:val="center"/>
                              </m:mcPr>
                            </m:mc>
                          </m:mcs>
                          <m:plcHide m:val="1"/>
                        </m:mPr>
                        <m:mr>
                          <m:e>
                            <m:sSubSup>
                              <m:sSubSupPr/>
                              <m:e>
                                <m:r>
                                  <m:rPr/>
                                  <m:t>A</m:t>
                                </m:r>
                              </m:e>
                              <m:sub>
                                <m:r>
                                  <m:rPr>
                                    <m:sty m:val="p"/>
                                  </m:rPr>
                                  <m:t>P,c</m:t>
                                </m:r>
                              </m:sub>
                              <m:sup>
                                <m:r>
                                  <m:rPr>
                                    <m:sty m:val="p"/>
                                  </m:rPr>
                                  <m:t>↑</m:t>
                                </m:r>
                              </m:sup>
                            </m:sSubSup>
                          </m:e>
                          <m:e>
                            <m:sSubSup>
                              <m:sSubSupPr/>
                              <m:e>
                                <m:r>
                                  <m:rPr/>
                                  <m:t>A</m:t>
                                </m:r>
                              </m:e>
                              <m:sub>
                                <m:r>
                                  <m:rPr>
                                    <m:sty m:val="p"/>
                                  </m:rPr>
                                  <m:t>P,c</m:t>
                                </m:r>
                              </m:sub>
                              <m:sup>
                                <m:r>
                                  <m:rPr>
                                    <m:sty m:val="p"/>
                                  </m:rPr>
                                  <m:t>↓</m:t>
                                </m:r>
                              </m:sup>
                            </m:sSubSup>
                          </m:e>
                          <m:e>
                            <m:sSubSup>
                              <m:sSubSupPr/>
                              <m:e>
                                <m:r>
                                  <m:rPr/>
                                  <m:t>A</m:t>
                                </m:r>
                              </m:e>
                              <m:sub>
                                <m:r>
                                  <m:rPr>
                                    <m:sty m:val="p"/>
                                  </m:rPr>
                                  <m:t>SV,c</m:t>
                                </m:r>
                              </m:sub>
                              <m:sup>
                                <m:r>
                                  <m:rPr>
                                    <m:sty m:val="p"/>
                                  </m:rPr>
                                  <m:t>↑</m:t>
                                </m:r>
                              </m:sup>
                            </m:sSubSup>
                          </m:e>
                          <m:e>
                            <m:sSubSup>
                              <m:sSubSupPr/>
                              <m:e>
                                <m:r>
                                  <m:rPr/>
                                  <m:t>A</m:t>
                                </m:r>
                              </m:e>
                              <m:sub>
                                <m:r>
                                  <m:rPr>
                                    <m:sty m:val="p"/>
                                  </m:rPr>
                                  <m:t>SV,c</m:t>
                                </m:r>
                              </m:sub>
                              <m:sup>
                                <m:r>
                                  <m:rPr>
                                    <m:sty m:val="p"/>
                                  </m:rPr>
                                  <m:t>↓</m:t>
                                </m:r>
                              </m:sup>
                            </m:sSubSup>
                          </m:e>
                          <m:e>
                            <m:sSubSup>
                              <m:sSubSupPr/>
                              <m:e>
                                <m:r>
                                  <m:rPr/>
                                  <m:t>A</m:t>
                                </m:r>
                              </m:e>
                              <m:sub>
                                <m:r>
                                  <m:rPr>
                                    <m:sty m:val="p"/>
                                  </m:rPr>
                                  <m:t>P,b</m:t>
                                </m:r>
                              </m:sub>
                              <m:sup>
                                <m:r>
                                  <m:rPr>
                                    <m:sty m:val="p"/>
                                  </m:rPr>
                                  <m:t>↓</m:t>
                                </m:r>
                              </m:sup>
                            </m:sSubSup>
                          </m:e>
                          <m:e>
                            <m:sSubSup>
                              <m:sSubSupPr/>
                              <m:e>
                                <m:r>
                                  <m:rPr/>
                                  <m:t>A</m:t>
                                </m:r>
                              </m:e>
                              <m:sub>
                                <m:r>
                                  <m:rPr>
                                    <m:sty m:val="p"/>
                                  </m:rPr>
                                  <m:t>SV,b</m:t>
                                </m:r>
                              </m:sub>
                              <m:sup>
                                <m:r>
                                  <m:rPr>
                                    <m:sty m:val="p"/>
                                  </m:rPr>
                                  <m:t>↓</m:t>
                                </m:r>
                              </m:sup>
                            </m:sSubSup>
                          </m:e>
                        </m:mr>
                      </m:m>
                    </m:e>
                  </m:d>
                </m:e>
                <m:sup>
                  <m:r>
                    <m:rPr>
                      <m:sty m:val="p"/>
                    </m:rPr>
                    <m:t>T</m:t>
                  </m:r>
                </m:sup>
              </m:sSup>
              <m:r>
                <m:rPr>
                  <m:sty m:val="p"/>
                </m:rPr>
                <w:rPr>
                  <w:rFonts w:ascii="Cambria Math" w:hAnsi="Cambria Math"/>
                </w:rPr>
                <m:t>#(4)</m:t>
              </m:r>
              <m:ctrlPr>
                <w:rPr>
                  <w:i/>
                </w:rPr>
              </m:ctrlPr>
            </m:e>
          </m:eqArr>
        </m:oMath>
      </m:oMathPara>
    </w:p>
    <w:p w14:paraId="5303A8D6">
      <w:pPr>
        <w:spacing w:before="0" w:after="0"/>
        <w:ind w:firstLine="420"/>
        <w:jc w:val="both"/>
      </w:pPr>
      <w:r>
        <w:rPr>
          <w:rFonts w:hint="eastAsia" w:ascii="Times New Roman" w:hAnsi="Times New Roman" w:eastAsia="宋体" w:cs="Times New Roman"/>
          <w:b w:val="0"/>
          <w:i w:val="0"/>
          <w:sz w:val="21"/>
        </w:rPr>
        <w:t>式中，下标c、b分别表示覆盖层和基岩；基岩上行SV波为已知单位入射波，不列入未知向量。这样可在求解后直接恢复任意深度处的位移与应力响应，无需由界面位移进一步重构层内波场，因而更便于计算不同位置人工边界节点的自由场量及等效节点力。</w:t>
      </w:r>
    </w:p>
    <w:p w14:paraId="22F9199A">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 xml:space="preserve">为求解这些未知量，以 </w:t>
      </w:r>
      <m:oMath>
        <m:sSub>
          <m:sSubPr/>
          <m:e>
            <m:r>
              <m:rPr/>
              <m:t>U</m:t>
            </m:r>
          </m:e>
          <m:sub>
            <m:r>
              <m:rPr/>
              <m:t>x</m:t>
            </m:r>
          </m:sub>
        </m:sSub>
      </m:oMath>
      <w:r>
        <w:rPr>
          <w:rFonts w:hint="eastAsia" w:ascii="Times New Roman" w:hAnsi="Times New Roman" w:eastAsia="宋体" w:cs="Times New Roman"/>
          <w:b w:val="0"/>
          <w:i w:val="0"/>
          <w:sz w:val="21"/>
        </w:rPr>
        <w:t>、</w:t>
      </w:r>
      <m:oMath>
        <m:sSub>
          <m:sSubPr/>
          <m:e>
            <m:r>
              <m:rPr/>
              <m:t>U</m:t>
            </m:r>
          </m:e>
          <m:sub>
            <m:r>
              <m:rPr/>
              <m:t>y</m:t>
            </m:r>
          </m:sub>
        </m:sSub>
      </m:oMath>
      <w:r>
        <w:rPr>
          <w:rFonts w:hint="eastAsia" w:ascii="Times New Roman" w:hAnsi="Times New Roman" w:eastAsia="宋体" w:cs="Times New Roman"/>
          <w:b w:val="0"/>
          <w:i w:val="0"/>
          <w:sz w:val="21"/>
        </w:rPr>
        <w:t>、</w:t>
      </w:r>
      <m:oMath>
        <m:sSub>
          <m:sSubPr/>
          <m:e>
            <m:r>
              <m:rPr>
                <m:sty m:val="p"/>
              </m:rPr>
              <m:t>Σ</m:t>
            </m:r>
          </m:e>
          <m:sub>
            <m:r>
              <m:rPr/>
              <m:t>yy</m:t>
            </m:r>
          </m:sub>
        </m:sSub>
      </m:oMath>
      <w:r>
        <w:rPr>
          <w:rFonts w:hint="eastAsia" w:ascii="Times New Roman" w:hAnsi="Times New Roman" w:eastAsia="宋体" w:cs="Times New Roman"/>
          <w:b w:val="0"/>
          <w:i w:val="0"/>
          <w:sz w:val="21"/>
        </w:rPr>
        <w:t xml:space="preserve"> 和 </w:t>
      </w:r>
      <m:oMath>
        <m:sSub>
          <m:sSubPr/>
          <m:e>
            <m:r>
              <m:rPr>
                <m:sty m:val="p"/>
              </m:rPr>
              <m:t>Σ</m:t>
            </m:r>
          </m:e>
          <m:sub>
            <m:r>
              <m:rPr/>
              <m:t>xy</m:t>
            </m:r>
          </m:sub>
        </m:sSub>
      </m:oMath>
      <w:r>
        <w:rPr>
          <w:rFonts w:hint="eastAsia" w:ascii="Times New Roman" w:hAnsi="Times New Roman" w:eastAsia="宋体" w:cs="Times New Roman"/>
          <w:b w:val="0"/>
          <w:i w:val="0"/>
          <w:sz w:val="21"/>
        </w:rPr>
        <w:t xml:space="preserve"> 表示频域位移及应力复幅值，覆盖层—基岩界面 </w:t>
      </w:r>
      <m:oMath>
        <m:r>
          <m:rPr/>
          <m:t>y</m:t>
        </m:r>
        <m:r>
          <m:rPr>
            <m:sty m:val="p"/>
          </m:rPr>
          <m:t>=</m:t>
        </m:r>
        <m:sSub>
          <m:sSubPr/>
          <m:e>
            <m:r>
              <m:rPr/>
              <m:t>y</m:t>
            </m:r>
          </m:e>
          <m:sub>
            <m:r>
              <m:rPr>
                <m:sty m:val="p"/>
              </m:rPr>
              <m:t>I</m:t>
            </m:r>
          </m:sub>
        </m:sSub>
      </m:oMath>
      <w:r>
        <w:rPr>
          <w:rFonts w:hint="eastAsia" w:ascii="Times New Roman" w:hAnsi="Times New Roman" w:eastAsia="宋体" w:cs="Times New Roman"/>
          <w:b w:val="0"/>
          <w:i w:val="0"/>
          <w:sz w:val="21"/>
        </w:rPr>
        <w:t xml:space="preserve"> 满足4个完全黏结条件：</w:t>
      </w:r>
    </w:p>
    <w:p w14:paraId="6570B2E1">
      <w:pPr>
        <w:spacing w:before="0" w:after="0"/>
        <w:ind w:firstLine="420"/>
        <w:jc w:val="both"/>
        <w:rPr>
          <w:rFonts w:hint="eastAsia" w:ascii="Times New Roman" w:hAnsi="Times New Roman" w:eastAsia="宋体" w:cs="Times New Roman"/>
          <w:b w:val="0"/>
          <w:i w:val="0"/>
          <w:sz w:val="21"/>
        </w:rPr>
      </w:pPr>
      <m:oMathPara>
        <m:oMath>
          <m:eqArr>
            <m:eqArrPr>
              <m:maxDist m:val="1"/>
              <m:ctrlPr>
                <w:rPr>
                  <w:i/>
                </w:rPr>
              </m:ctrlPr>
            </m:eqArrPr>
            <m:e>
              <m:d>
                <m:dPr>
                  <m:begChr m:val="{"/>
                  <m:sepChr m:val=""/>
                  <m:endChr m:val=""/>
                </m:dPr>
                <m:e>
                  <m:m>
                    <m:mPr>
                      <m:mcs>
                        <m:mc>
                          <m:mcPr>
                            <m:count m:val="1"/>
                            <m:mcJc m:val="left"/>
                          </m:mcPr>
                        </m:mc>
                      </m:mcs>
                      <m:plcHide m:val="1"/>
                    </m:mPr>
                    <m:mr>
                      <m:e>
                        <m:sSubSup>
                          <m:sSubSupPr/>
                          <m:e>
                            <m:r>
                              <m:rPr/>
                              <m:t>U</m:t>
                            </m:r>
                          </m:e>
                          <m:sub>
                            <m:r>
                              <m:rPr/>
                              <m:t>x</m:t>
                            </m:r>
                          </m:sub>
                          <m:sup>
                            <m:r>
                              <m:rPr>
                                <m:sty m:val="p"/>
                              </m:rPr>
                              <m:t>c</m:t>
                            </m:r>
                          </m:sup>
                        </m:sSubSup>
                        <m:r>
                          <m:rPr>
                            <m:sty m:val="p"/>
                          </m:rPr>
                          <m:t>=</m:t>
                        </m:r>
                        <m:sSubSup>
                          <m:sSubSupPr/>
                          <m:e>
                            <m:r>
                              <m:rPr/>
                              <m:t>U</m:t>
                            </m:r>
                          </m:e>
                          <m:sub>
                            <m:r>
                              <m:rPr/>
                              <m:t>x</m:t>
                            </m:r>
                          </m:sub>
                          <m:sup>
                            <m:r>
                              <m:rPr>
                                <m:sty m:val="p"/>
                              </m:rPr>
                              <m:t>b</m:t>
                            </m:r>
                          </m:sup>
                        </m:sSubSup>
                        <m:r>
                          <m:rPr>
                            <m:sty m:val="p"/>
                          </m:rPr>
                          <m:t>,</m:t>
                        </m:r>
                      </m:e>
                    </m:mr>
                    <m:mr>
                      <m:e>
                        <m:sSubSup>
                          <m:sSubSupPr/>
                          <m:e>
                            <m:r>
                              <m:rPr/>
                              <m:t>U</m:t>
                            </m:r>
                          </m:e>
                          <m:sub>
                            <m:r>
                              <m:rPr/>
                              <m:t>y</m:t>
                            </m:r>
                          </m:sub>
                          <m:sup>
                            <m:r>
                              <m:rPr>
                                <m:sty m:val="p"/>
                              </m:rPr>
                              <m:t>c</m:t>
                            </m:r>
                          </m:sup>
                        </m:sSubSup>
                        <m:r>
                          <m:rPr>
                            <m:sty m:val="p"/>
                          </m:rPr>
                          <m:t>=</m:t>
                        </m:r>
                        <m:sSubSup>
                          <m:sSubSupPr/>
                          <m:e>
                            <m:r>
                              <m:rPr/>
                              <m:t>U</m:t>
                            </m:r>
                          </m:e>
                          <m:sub>
                            <m:r>
                              <m:rPr/>
                              <m:t>y</m:t>
                            </m:r>
                          </m:sub>
                          <m:sup>
                            <m:r>
                              <m:rPr>
                                <m:sty m:val="p"/>
                              </m:rPr>
                              <m:t>b</m:t>
                            </m:r>
                          </m:sup>
                        </m:sSubSup>
                        <m:r>
                          <m:rPr>
                            <m:sty m:val="p"/>
                          </m:rPr>
                          <m:t>,</m:t>
                        </m:r>
                      </m:e>
                    </m:mr>
                    <m:mr>
                      <m:e>
                        <m:sSubSup>
                          <m:sSubSupPr/>
                          <m:e>
                            <m:r>
                              <m:rPr>
                                <m:sty m:val="p"/>
                              </m:rPr>
                              <m:t>Σ</m:t>
                            </m:r>
                          </m:e>
                          <m:sub>
                            <m:r>
                              <m:rPr/>
                              <m:t>yy</m:t>
                            </m:r>
                          </m:sub>
                          <m:sup>
                            <m:r>
                              <m:rPr>
                                <m:sty m:val="p"/>
                              </m:rPr>
                              <m:t>c</m:t>
                            </m:r>
                          </m:sup>
                        </m:sSubSup>
                        <m:r>
                          <m:rPr>
                            <m:sty m:val="p"/>
                          </m:rPr>
                          <m:t>=</m:t>
                        </m:r>
                        <m:sSubSup>
                          <m:sSubSupPr/>
                          <m:e>
                            <m:r>
                              <m:rPr>
                                <m:sty m:val="p"/>
                              </m:rPr>
                              <m:t>Σ</m:t>
                            </m:r>
                          </m:e>
                          <m:sub>
                            <m:r>
                              <m:rPr/>
                              <m:t>yy</m:t>
                            </m:r>
                          </m:sub>
                          <m:sup>
                            <m:r>
                              <m:rPr>
                                <m:sty m:val="p"/>
                              </m:rPr>
                              <m:t>b</m:t>
                            </m:r>
                          </m:sup>
                        </m:sSubSup>
                        <m:r>
                          <m:rPr>
                            <m:sty m:val="p"/>
                          </m:rPr>
                          <m:t>,</m:t>
                        </m:r>
                      </m:e>
                    </m:mr>
                    <m:mr>
                      <m:e>
                        <m:sSubSup>
                          <m:sSubSupPr/>
                          <m:e>
                            <m:r>
                              <m:rPr>
                                <m:sty m:val="p"/>
                              </m:rPr>
                              <m:t>Σ</m:t>
                            </m:r>
                          </m:e>
                          <m:sub>
                            <m:r>
                              <m:rPr/>
                              <m:t>xy</m:t>
                            </m:r>
                          </m:sub>
                          <m:sup>
                            <m:r>
                              <m:rPr>
                                <m:sty m:val="p"/>
                              </m:rPr>
                              <m:t>c</m:t>
                            </m:r>
                          </m:sup>
                        </m:sSubSup>
                        <m:r>
                          <m:rPr>
                            <m:sty m:val="p"/>
                          </m:rPr>
                          <m:t>=</m:t>
                        </m:r>
                        <m:sSubSup>
                          <m:sSubSupPr/>
                          <m:e>
                            <m:r>
                              <m:rPr>
                                <m:sty m:val="p"/>
                              </m:rPr>
                              <m:t>Σ</m:t>
                            </m:r>
                          </m:e>
                          <m:sub>
                            <m:r>
                              <m:rPr/>
                              <m:t>xy</m:t>
                            </m:r>
                          </m:sub>
                          <m:sup>
                            <m:r>
                              <m:rPr>
                                <m:sty m:val="p"/>
                              </m:rPr>
                              <m:t>b</m:t>
                            </m:r>
                          </m:sup>
                        </m:sSubSup>
                        <m:r>
                          <m:rPr>
                            <m:sty m:val="p"/>
                          </m:rPr>
                          <m:t>.</m:t>
                        </m:r>
                      </m:e>
                    </m:mr>
                  </m:m>
                </m:e>
              </m:d>
              <m:r>
                <m:rPr/>
                <m:t>  y</m:t>
              </m:r>
              <m:r>
                <m:rPr>
                  <m:sty m:val="p"/>
                </m:rPr>
                <m:t>=</m:t>
              </m:r>
              <m:sSub>
                <m:sSubPr/>
                <m:e>
                  <m:r>
                    <m:rPr/>
                    <m:t>y</m:t>
                  </m:r>
                </m:e>
                <m:sub>
                  <m:r>
                    <m:rPr>
                      <m:sty m:val="p"/>
                    </m:rPr>
                    <m:t>I</m:t>
                  </m:r>
                </m:sub>
              </m:sSub>
              <m:r>
                <m:rPr>
                  <m:sty m:val="p"/>
                </m:rPr>
                <w:rPr>
                  <w:rFonts w:ascii="Cambria Math" w:hAnsi="Cambria Math"/>
                </w:rPr>
                <m:t>#(5)</m:t>
              </m:r>
              <m:ctrlPr>
                <w:rPr>
                  <w:i/>
                </w:rPr>
              </m:ctrlPr>
            </m:e>
          </m:eqArr>
        </m:oMath>
      </m:oMathPara>
    </w:p>
    <w:p w14:paraId="311E72D6">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 xml:space="preserve">覆盖层自由表面 </w:t>
      </w:r>
      <m:oMath>
        <m:r>
          <m:rPr/>
          <m:t>y</m:t>
        </m:r>
        <m:r>
          <m:rPr>
            <m:sty m:val="p"/>
          </m:rPr>
          <m:t>=</m:t>
        </m:r>
        <m:sSub>
          <m:sSubPr/>
          <m:e>
            <m:r>
              <m:rPr/>
              <m:t>y</m:t>
            </m:r>
          </m:e>
          <m:sub>
            <m:r>
              <m:rPr>
                <m:sty m:val="p"/>
              </m:rPr>
              <m:t>s</m:t>
            </m:r>
          </m:sub>
        </m:sSub>
      </m:oMath>
      <w:r>
        <w:rPr>
          <w:rFonts w:hint="eastAsia" w:ascii="Times New Roman" w:hAnsi="Times New Roman" w:eastAsia="宋体" w:cs="Times New Roman"/>
          <w:b w:val="0"/>
          <w:i w:val="0"/>
          <w:sz w:val="21"/>
        </w:rPr>
        <w:t xml:space="preserve"> 满足2个零牵引条件：</w:t>
      </w:r>
    </w:p>
    <w:p w14:paraId="07370C6B">
      <w:pPr>
        <w:spacing w:before="0" w:after="0"/>
        <w:ind w:firstLine="420"/>
        <w:jc w:val="both"/>
        <w:rPr>
          <w:rFonts w:hint="eastAsia" w:ascii="Times New Roman" w:hAnsi="Times New Roman" w:eastAsia="宋体" w:cs="Times New Roman"/>
          <w:b w:val="0"/>
          <w:i w:val="0"/>
          <w:sz w:val="21"/>
        </w:rPr>
      </w:pPr>
      <m:oMathPara>
        <m:oMath>
          <m:eqArr>
            <m:eqArrPr>
              <m:maxDist m:val="1"/>
              <m:ctrlPr>
                <w:rPr>
                  <w:i/>
                </w:rPr>
              </m:ctrlPr>
            </m:eqArrPr>
            <m:e>
              <m:d>
                <m:dPr>
                  <m:begChr m:val="{"/>
                  <m:sepChr m:val=""/>
                  <m:endChr m:val=""/>
                </m:dPr>
                <m:e>
                  <m:m>
                    <m:mPr>
                      <m:mcs>
                        <m:mc>
                          <m:mcPr>
                            <m:count m:val="1"/>
                            <m:mcJc m:val="left"/>
                          </m:mcPr>
                        </m:mc>
                      </m:mcs>
                      <m:plcHide m:val="1"/>
                    </m:mPr>
                    <m:mr>
                      <m:e>
                        <m:sSubSup>
                          <m:sSubSupPr/>
                          <m:e>
                            <m:r>
                              <m:rPr>
                                <m:sty m:val="p"/>
                              </m:rPr>
                              <m:t>Σ</m:t>
                            </m:r>
                          </m:e>
                          <m:sub>
                            <m:r>
                              <m:rPr/>
                              <m:t>yy</m:t>
                            </m:r>
                          </m:sub>
                          <m:sup>
                            <m:r>
                              <m:rPr>
                                <m:sty m:val="p"/>
                              </m:rPr>
                              <m:t>c</m:t>
                            </m:r>
                          </m:sup>
                        </m:sSubSup>
                        <m:r>
                          <m:rPr>
                            <m:sty m:val="p"/>
                          </m:rPr>
                          <m:t>=</m:t>
                        </m:r>
                        <m:r>
                          <m:rPr/>
                          <m:t>0</m:t>
                        </m:r>
                        <m:r>
                          <m:rPr>
                            <m:sty m:val="p"/>
                          </m:rPr>
                          <m:t>,</m:t>
                        </m:r>
                      </m:e>
                    </m:mr>
                    <m:mr>
                      <m:e>
                        <m:sSubSup>
                          <m:sSubSupPr/>
                          <m:e>
                            <m:r>
                              <m:rPr>
                                <m:sty m:val="p"/>
                              </m:rPr>
                              <m:t>Σ</m:t>
                            </m:r>
                          </m:e>
                          <m:sub>
                            <m:r>
                              <m:rPr/>
                              <m:t>xy</m:t>
                            </m:r>
                          </m:sub>
                          <m:sup>
                            <m:r>
                              <m:rPr>
                                <m:sty m:val="p"/>
                              </m:rPr>
                              <m:t>c</m:t>
                            </m:r>
                          </m:sup>
                        </m:sSubSup>
                        <m:r>
                          <m:rPr>
                            <m:sty m:val="p"/>
                          </m:rPr>
                          <m:t>=</m:t>
                        </m:r>
                        <m:r>
                          <m:rPr/>
                          <m:t>0</m:t>
                        </m:r>
                        <m:r>
                          <m:rPr>
                            <m:sty m:val="p"/>
                          </m:rPr>
                          <m:t>.</m:t>
                        </m:r>
                      </m:e>
                    </m:mr>
                  </m:m>
                </m:e>
              </m:d>
              <m:r>
                <m:rPr/>
                <m:t>  y</m:t>
              </m:r>
              <m:r>
                <m:rPr>
                  <m:sty m:val="p"/>
                </m:rPr>
                <m:t>=</m:t>
              </m:r>
              <m:sSub>
                <m:sSubPr/>
                <m:e>
                  <m:r>
                    <m:rPr/>
                    <m:t>y</m:t>
                  </m:r>
                </m:e>
                <m:sub>
                  <m:r>
                    <m:rPr>
                      <m:sty m:val="p"/>
                    </m:rPr>
                    <m:t>s</m:t>
                  </m:r>
                </m:sub>
              </m:sSub>
              <m:r>
                <m:rPr>
                  <m:sty m:val="p"/>
                </m:rPr>
                <w:rPr>
                  <w:rFonts w:ascii="Cambria Math" w:hAnsi="Cambria Math"/>
                </w:rPr>
                <m:t>#(6)</m:t>
              </m:r>
              <m:ctrlPr>
                <w:rPr>
                  <w:i/>
                </w:rPr>
              </m:ctrlPr>
            </m:e>
          </m:eqArr>
        </m:oMath>
      </m:oMathPara>
    </w:p>
    <w:p w14:paraId="398A1284">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将各P-SV波分量的位移和应力表达式代入式（</w:t>
      </w:r>
      <w:r>
        <w:rPr>
          <w:rFonts w:hint="default" w:ascii="Times New Roman" w:hAnsi="Times New Roman" w:eastAsia="宋体" w:cs="Times New Roman"/>
          <w:b w:val="0"/>
          <w:i w:val="0"/>
          <w:sz w:val="21"/>
          <w:lang w:val="en-US"/>
        </w:rPr>
        <w:t>5</w:t>
      </w:r>
      <w:r>
        <w:rPr>
          <w:rFonts w:hint="eastAsia" w:ascii="Times New Roman" w:hAnsi="Times New Roman" w:eastAsia="宋体" w:cs="Times New Roman"/>
          <w:b w:val="0"/>
          <w:i w:val="0"/>
          <w:sz w:val="21"/>
        </w:rPr>
        <w:t>）和式（</w:t>
      </w:r>
      <w:r>
        <w:rPr>
          <w:rFonts w:hint="default" w:ascii="Times New Roman" w:hAnsi="Times New Roman" w:eastAsia="宋体" w:cs="Times New Roman"/>
          <w:b w:val="0"/>
          <w:i w:val="0"/>
          <w:sz w:val="21"/>
          <w:lang w:val="en-US"/>
        </w:rPr>
        <w:t>6</w:t>
      </w:r>
      <w:r>
        <w:rPr>
          <w:rFonts w:hint="eastAsia" w:ascii="Times New Roman" w:hAnsi="Times New Roman" w:eastAsia="宋体" w:cs="Times New Roman"/>
          <w:b w:val="0"/>
          <w:i w:val="0"/>
          <w:sz w:val="21"/>
        </w:rPr>
        <w:t>），6个边界条件对应6个未知波幅，逐频组装为</w:t>
      </w:r>
    </w:p>
    <w:p w14:paraId="72FEF534">
      <w:pPr>
        <w:spacing w:before="0" w:after="0"/>
        <w:ind w:firstLine="420"/>
        <w:jc w:val="both"/>
        <w:rPr>
          <w:rFonts w:hint="eastAsia" w:ascii="Times New Roman" w:hAnsi="Times New Roman" w:eastAsia="宋体" w:cs="Times New Roman"/>
          <w:b w:val="0"/>
          <w:i w:val="0"/>
          <w:sz w:val="21"/>
        </w:rPr>
      </w:pPr>
      <m:oMathPara>
        <m:oMath>
          <m:eqArr>
            <m:eqArrPr>
              <m:maxDist m:val="1"/>
              <m:ctrlPr>
                <w:rPr>
                  <w:i/>
                </w:rPr>
              </m:ctrlPr>
            </m:eqArrPr>
            <m:e>
              <m:limLow>
                <m:limLowPr/>
                <m:e>
                  <m:r>
                    <m:rPr>
                      <m:sty m:val="bi"/>
                    </m:rPr>
                    <m:t>A</m:t>
                  </m:r>
                  <m:r>
                    <m:rPr>
                      <m:sty m:val="p"/>
                    </m:rPr>
                    <m:t>(</m:t>
                  </m:r>
                  <m:r>
                    <m:rPr/>
                    <m:t>ω</m:t>
                  </m:r>
                  <m:r>
                    <m:rPr>
                      <m:sty m:val="p"/>
                    </m:rPr>
                    <m:t>)</m:t>
                  </m:r>
                </m:e>
                <m:lim>
                  <m:r>
                    <m:rPr/>
                    <m:t>6</m:t>
                  </m:r>
                  <m:r>
                    <m:rPr>
                      <m:sty m:val="p"/>
                    </m:rPr>
                    <m:t>×</m:t>
                  </m:r>
                  <m:r>
                    <m:rPr/>
                    <m:t>6</m:t>
                  </m:r>
                </m:lim>
              </m:limLow>
              <m:r>
                <m:rPr/>
                <m:t> </m:t>
              </m:r>
              <m:limLow>
                <m:limLowPr/>
                <m:e>
                  <m:r>
                    <m:rPr>
                      <m:sty m:val="bi"/>
                    </m:rPr>
                    <m:t>a</m:t>
                  </m:r>
                  <m:r>
                    <m:rPr>
                      <m:sty m:val="p"/>
                    </m:rPr>
                    <m:t>(</m:t>
                  </m:r>
                  <m:r>
                    <m:rPr/>
                    <m:t>ω</m:t>
                  </m:r>
                  <m:r>
                    <m:rPr>
                      <m:sty m:val="p"/>
                    </m:rPr>
                    <m:t>)</m:t>
                  </m:r>
                </m:e>
                <m:lim>
                  <m:r>
                    <m:rPr/>
                    <m:t>6</m:t>
                  </m:r>
                  <m:r>
                    <m:rPr>
                      <m:sty m:val="p"/>
                    </m:rPr>
                    <m:t>×</m:t>
                  </m:r>
                  <m:r>
                    <m:rPr/>
                    <m:t>1</m:t>
                  </m:r>
                </m:lim>
              </m:limLow>
              <m:r>
                <m:rPr>
                  <m:sty m:val="p"/>
                </m:rPr>
                <m:t>=</m:t>
              </m:r>
              <m:limLow>
                <m:limLowPr/>
                <m:e>
                  <m:r>
                    <m:rPr>
                      <m:sty m:val="bi"/>
                    </m:rPr>
                    <m:t>b</m:t>
                  </m:r>
                  <m:r>
                    <m:rPr>
                      <m:sty m:val="p"/>
                    </m:rPr>
                    <m:t>(</m:t>
                  </m:r>
                  <m:r>
                    <m:rPr/>
                    <m:t>ω</m:t>
                  </m:r>
                  <m:r>
                    <m:rPr>
                      <m:sty m:val="p"/>
                    </m:rPr>
                    <m:t>)</m:t>
                  </m:r>
                </m:e>
                <m:lim>
                  <m:r>
                    <m:rPr/>
                    <m:t>6</m:t>
                  </m:r>
                  <m:r>
                    <m:rPr>
                      <m:sty m:val="p"/>
                    </m:rPr>
                    <m:t>×</m:t>
                  </m:r>
                  <m:r>
                    <m:rPr/>
                    <m:t>1</m:t>
                  </m:r>
                </m:lim>
              </m:limLow>
              <m:r>
                <m:rPr>
                  <m:sty m:val="p"/>
                </m:rPr>
                <w:rPr>
                  <w:rFonts w:ascii="Cambria Math" w:hAnsi="Cambria Math"/>
                </w:rPr>
                <m:t>#(7)</m:t>
              </m:r>
              <m:ctrlPr>
                <w:rPr>
                  <w:i/>
                </w:rPr>
              </m:ctrlPr>
            </m:e>
          </m:eqArr>
        </m:oMath>
      </m:oMathPara>
    </w:p>
    <w:p w14:paraId="57466473">
      <w:pPr>
        <w:spacing w:before="0" w:after="0"/>
        <w:ind w:firstLine="420"/>
        <w:jc w:val="both"/>
      </w:pPr>
      <w:r>
        <w:rPr>
          <w:rFonts w:hint="eastAsia" w:ascii="Times New Roman" w:hAnsi="Times New Roman" w:eastAsia="宋体" w:cs="Times New Roman"/>
          <w:b w:val="0"/>
          <w:i w:val="0"/>
          <w:sz w:val="21"/>
        </w:rPr>
        <w:t>式中，</w:t>
      </w:r>
      <m:oMath>
        <m:r>
          <m:rPr>
            <m:sty m:val="bi"/>
          </m:rPr>
          <m:t>A</m:t>
        </m:r>
        <m:r>
          <m:rPr>
            <m:sty m:val="p"/>
          </m:rPr>
          <m:t>(</m:t>
        </m:r>
        <m:r>
          <m:rPr/>
          <m:t>ω</m:t>
        </m:r>
        <m:r>
          <m:rPr>
            <m:sty m:val="p"/>
          </m:rPr>
          <m:t>)</m:t>
        </m:r>
      </m:oMath>
      <w:r>
        <w:rPr>
          <w:rFonts w:hint="eastAsia" w:ascii="Times New Roman" w:hAnsi="Times New Roman" w:eastAsia="宋体" w:cs="Times New Roman"/>
          <w:b w:val="0"/>
          <w:i w:val="0"/>
          <w:sz w:val="21"/>
        </w:rPr>
        <w:t xml:space="preserve"> 由材料参数、覆盖层厚度、频率和入射角确定，各波分量的竖向传播关系包含在其系数中；</w:t>
      </w:r>
      <m:oMath>
        <m:r>
          <m:rPr>
            <m:sty m:val="bi"/>
          </m:rPr>
          <m:t>b</m:t>
        </m:r>
        <m:r>
          <m:rPr>
            <m:sty m:val="p"/>
          </m:rPr>
          <m:t>(</m:t>
        </m:r>
        <m:r>
          <m:rPr/>
          <m:t>ω</m:t>
        </m:r>
        <m:r>
          <m:rPr>
            <m:sty m:val="p"/>
          </m:rPr>
          <m:t>)</m:t>
        </m:r>
      </m:oMath>
      <w:r>
        <w:rPr>
          <w:rFonts w:hint="eastAsia" w:ascii="Times New Roman" w:hAnsi="Times New Roman" w:eastAsia="宋体" w:cs="Times New Roman"/>
          <w:b w:val="0"/>
          <w:i w:val="0"/>
          <w:sz w:val="21"/>
        </w:rPr>
        <w:t xml:space="preserve"> 为已知单位上行SV波在界面处产生的位移和应力项。自由场按线弹性无阻尼介质求解。逐频求解式（</w:t>
      </w:r>
      <w:r>
        <w:rPr>
          <w:rFonts w:hint="default" w:ascii="Times New Roman" w:hAnsi="Times New Roman" w:eastAsia="宋体" w:cs="Times New Roman"/>
          <w:b w:val="0"/>
          <w:i w:val="0"/>
          <w:sz w:val="21"/>
          <w:lang w:val="en-US"/>
        </w:rPr>
        <w:t>7</w:t>
      </w:r>
      <w:r>
        <w:rPr>
          <w:rFonts w:hint="eastAsia" w:ascii="Times New Roman" w:hAnsi="Times New Roman" w:eastAsia="宋体" w:cs="Times New Roman"/>
          <w:b w:val="0"/>
          <w:i w:val="0"/>
          <w:sz w:val="21"/>
        </w:rPr>
        <w:t>）即可获得各P-SV波分量的复幅值，进而直接计算任意深度处的单位自由场位移、速度和应力，无需先求界面位移再恢复层内响应。所得复数解已包含界面反射、透射、P-SV波型转换及层内多次传播。</w:t>
      </w:r>
    </w:p>
    <w:p w14:paraId="2D110A09">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得到频域等效节点力</w:t>
      </w:r>
    </w:p>
    <w:p w14:paraId="2EA73C3D">
      <w:pPr>
        <w:spacing w:before="0" w:after="0"/>
        <w:ind w:firstLine="420"/>
        <w:jc w:val="both"/>
        <w:rPr>
          <w:rFonts w:hint="eastAsia" w:ascii="Times New Roman" w:hAnsi="Times New Roman" w:eastAsia="宋体" w:cs="Times New Roman"/>
          <w:b w:val="0"/>
          <w:i w:val="0"/>
          <w:sz w:val="21"/>
        </w:rPr>
      </w:pPr>
      <m:oMathPara>
        <m:oMath>
          <m:eqArr>
            <m:eqArrPr>
              <m:maxDist m:val="1"/>
              <m:ctrlPr>
                <w:rPr>
                  <w:b w:val="0"/>
                  <w:i w:val="0"/>
                </w:rPr>
              </m:ctrlPr>
            </m:eqArrPr>
            <m:e>
              <m:sSubSup>
                <m:sSubSupPr/>
                <m:e>
                  <m:acc>
                    <m:accPr/>
                    <m:e>
                      <m:r>
                        <m:rPr>
                          <m:sty m:val="bi"/>
                        </m:rPr>
                        <m:t>F</m:t>
                      </m:r>
                    </m:e>
                  </m:acc>
                </m:e>
                <m:sub>
                  <m:r>
                    <m:rPr/>
                    <m:t>l</m:t>
                  </m:r>
                </m:sub>
                <m:sup>
                  <m:r>
                    <m:rPr>
                      <m:sty m:val="p"/>
                    </m:rPr>
                    <m:t>eq</m:t>
                  </m:r>
                </m:sup>
              </m:sSubSup>
              <m:r>
                <m:rPr>
                  <m:sty m:val="p"/>
                </m:rPr>
                <m:t>(</m:t>
              </m:r>
              <m:r>
                <m:rPr/>
                <m:t>ω</m:t>
              </m:r>
              <m:r>
                <m:rPr>
                  <m:sty m:val="p"/>
                </m:rPr>
                <m:t>)=</m:t>
              </m:r>
              <m:sSub>
                <m:sSubPr/>
                <m:e>
                  <m:r>
                    <m:rPr/>
                    <m:t>A</m:t>
                  </m:r>
                </m:e>
                <m:sub>
                  <m:r>
                    <m:rPr/>
                    <m:t>l</m:t>
                  </m:r>
                </m:sub>
              </m:sSub>
              <m:d>
                <m:dPr>
                  <m:begChr m:val="["/>
                  <m:sepChr m:val=""/>
                  <m:endChr m:val="]"/>
                </m:dPr>
                <m:e>
                  <m:d>
                    <m:dPr>
                      <m:sepChr m:val=""/>
                    </m:dPr>
                    <m:e>
                      <m:sSub>
                        <m:sSubPr/>
                        <m:e>
                          <m:r>
                            <m:rPr>
                              <m:sty m:val="bi"/>
                            </m:rPr>
                            <m:t>K</m:t>
                          </m:r>
                        </m:e>
                        <m:sub>
                          <m:r>
                            <m:rPr/>
                            <m:t>l</m:t>
                          </m:r>
                        </m:sub>
                      </m:sSub>
                      <m:r>
                        <m:rPr>
                          <m:sty m:val="p"/>
                        </m:rPr>
                        <m:t>+i</m:t>
                      </m:r>
                      <m:r>
                        <m:rPr/>
                        <m:t>ω</m:t>
                      </m:r>
                      <m:sSub>
                        <m:sSubPr/>
                        <m:e>
                          <m:r>
                            <m:rPr>
                              <m:sty m:val="bi"/>
                            </m:rPr>
                            <m:t>C</m:t>
                          </m:r>
                        </m:e>
                        <m:sub>
                          <m:r>
                            <m:rPr/>
                            <m:t>l</m:t>
                          </m:r>
                        </m:sub>
                      </m:sSub>
                    </m:e>
                  </m:d>
                  <m:sSubSup>
                    <m:sSubSupPr/>
                    <m:e>
                      <m:acc>
                        <m:accPr/>
                        <m:e>
                          <m:r>
                            <m:rPr>
                              <m:sty m:val="bi"/>
                            </m:rPr>
                            <m:t>u</m:t>
                          </m:r>
                        </m:e>
                      </m:acc>
                    </m:e>
                    <m:sub>
                      <m:r>
                        <m:rPr/>
                        <m:t>l</m:t>
                      </m:r>
                    </m:sub>
                    <m:sup>
                      <m:r>
                        <m:rPr>
                          <m:sty m:val="p"/>
                        </m:rPr>
                        <m:t>f</m:t>
                      </m:r>
                    </m:sup>
                  </m:sSubSup>
                  <m:r>
                    <m:rPr>
                      <m:sty m:val="p"/>
                    </m:rPr>
                    <m:t>(</m:t>
                  </m:r>
                  <m:r>
                    <m:rPr/>
                    <m:t>ω</m:t>
                  </m:r>
                  <m:r>
                    <m:rPr>
                      <m:sty m:val="p"/>
                    </m:rPr>
                    <m:t>)+</m:t>
                  </m:r>
                  <m:sSubSup>
                    <m:sSubSupPr/>
                    <m:e>
                      <m:acc>
                        <m:accPr/>
                        <m:e>
                          <m:r>
                            <m:rPr>
                              <m:sty m:val="bi"/>
                            </m:rPr>
                            <m:t>σ</m:t>
                          </m:r>
                        </m:e>
                      </m:acc>
                    </m:e>
                    <m:sub>
                      <m:r>
                        <m:rPr/>
                        <m:t>l</m:t>
                      </m:r>
                    </m:sub>
                    <m:sup>
                      <m:r>
                        <m:rPr>
                          <m:sty m:val="p"/>
                        </m:rPr>
                        <m:t>f</m:t>
                      </m:r>
                    </m:sup>
                  </m:sSubSup>
                  <m:r>
                    <m:rPr>
                      <m:sty m:val="p"/>
                    </m:rPr>
                    <m:t>(</m:t>
                  </m:r>
                  <m:r>
                    <m:rPr/>
                    <m:t>ω</m:t>
                  </m:r>
                  <m:r>
                    <m:rPr>
                      <m:sty m:val="p"/>
                    </m:rPr>
                    <m:t>)</m:t>
                  </m:r>
                  <m:sSub>
                    <m:sSubPr/>
                    <m:e>
                      <m:r>
                        <m:rPr>
                          <m:sty m:val="bi"/>
                        </m:rPr>
                        <m:t>n</m:t>
                      </m:r>
                    </m:e>
                    <m:sub>
                      <m:r>
                        <m:rPr/>
                        <m:t>l</m:t>
                      </m:r>
                    </m:sub>
                  </m:sSub>
                </m:e>
              </m:d>
              <m:r>
                <m:rPr>
                  <m:sty m:val="p"/>
                </m:rPr>
                <w:rPr>
                  <w:rFonts w:ascii="Cambria Math" w:hAnsi="Cambria Math"/>
                </w:rPr>
                <m:t>#(8)</m:t>
              </m:r>
              <m:ctrlPr>
                <w:rPr>
                  <w:b w:val="0"/>
                  <w:i w:val="0"/>
                </w:rPr>
              </m:ctrlPr>
            </m:e>
          </m:eqArr>
        </m:oMath>
      </m:oMathPara>
    </w:p>
    <w:p w14:paraId="014015E6">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最后，对节点力谱作逆傅里叶变换，得到各节点水平和竖向等效力时程，并作为集中力施加于Abaqus。左、右及底部边界采用同一上平台水平成层自由场，但均按节点实际坐标、外法向和代表边界长度分别计算。至此，输入时程经“位移谱—单位自由场—节点自由场—节点力谱—节点力时程”完成三侧人工边界输入。</w:t>
      </w:r>
    </w:p>
    <w:p w14:paraId="7162D553">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2.2 数值模型与研究方案</w:t>
      </w:r>
    </w:p>
    <w:p w14:paraId="76270B8D">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2.2.1 模型几何、材料及工况</w:t>
      </w:r>
    </w:p>
    <w:p w14:paraId="38492EAF">
      <w:pPr>
        <w:spacing w:before="0" w:after="0"/>
        <w:ind w:firstLine="420"/>
        <w:jc w:val="both"/>
        <w:rPr>
          <w:rFonts w:hint="default"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rPr>
        <w:t>研究对象为SV波斜入射下的二维“上土下岩”坡地，采用平面应变、小变形线弹性假定。</w:t>
      </w:r>
      <w:r>
        <w:rPr>
          <w:rFonts w:hint="eastAsia" w:ascii="Times New Roman" w:hAnsi="Times New Roman" w:eastAsia="宋体" w:cs="Times New Roman"/>
          <w:sz w:val="18"/>
        </w:rPr>
        <w:t>SV 波入射角</w:t>
      </w:r>
      <w:r>
        <w:rPr>
          <w:rFonts w:hint="eastAsia" w:ascii="Times New Roman" w:hAnsi="Times New Roman" w:eastAsia="宋体" w:cs="Times New Roman"/>
          <w:sz w:val="18"/>
          <w:lang w:val="en-US" w:eastAsia="zh-CN"/>
        </w:rPr>
        <w:t>固定为15°。</w:t>
      </w:r>
    </w:p>
    <w:p w14:paraId="37DF7BAF">
      <w:pPr>
        <w:spacing w:before="0" w:after="0"/>
        <w:ind w:firstLine="420"/>
        <w:jc w:val="both"/>
      </w:pPr>
      <w:r>
        <w:rPr>
          <w:rFonts w:hint="eastAsia" w:ascii="Times New Roman" w:hAnsi="Times New Roman" w:eastAsia="宋体" w:cs="Times New Roman"/>
          <w:b w:val="0"/>
          <w:i w:val="0"/>
          <w:sz w:val="21"/>
        </w:rPr>
        <w:t xml:space="preserve">坡高固定为 </w:t>
      </w:r>
      <m:oMath>
        <m:r>
          <m:rPr/>
          <m:t>h</m:t>
        </m:r>
        <m:r>
          <m:rPr>
            <m:sty m:val="p"/>
          </m:rPr>
          <m:t>=</m:t>
        </m:r>
        <m:r>
          <m:rPr/>
          <m:t>100 </m:t>
        </m:r>
        <m:r>
          <m:rPr>
            <m:sty m:val="p"/>
          </m:rPr>
          <m:t>m</m:t>
        </m:r>
      </m:oMath>
      <w:r>
        <w:rPr>
          <w:rFonts w:hint="eastAsia" w:ascii="Times New Roman" w:hAnsi="Times New Roman" w:eastAsia="宋体" w:cs="Times New Roman"/>
          <w:b w:val="0"/>
          <w:i w:val="0"/>
          <w:sz w:val="21"/>
        </w:rPr>
        <w:t xml:space="preserve">，坡角记为 </w:t>
      </w:r>
      <m:oMath>
        <m:r>
          <m:rPr/>
          <m:t>i</m:t>
        </m:r>
      </m:oMath>
      <w:r>
        <w:rPr>
          <w:rFonts w:hint="eastAsia" w:ascii="Times New Roman" w:hAnsi="Times New Roman" w:eastAsia="宋体" w:cs="Times New Roman"/>
          <w:b w:val="0"/>
          <w:i w:val="0"/>
          <w:sz w:val="21"/>
        </w:rPr>
        <w:t xml:space="preserve">。取 </w:t>
      </w:r>
      <m:oMath>
        <m:r>
          <m:rPr/>
          <m:t>x</m:t>
        </m:r>
      </m:oMath>
      <w:r>
        <w:rPr>
          <w:rFonts w:hint="eastAsia" w:ascii="Times New Roman" w:hAnsi="Times New Roman" w:eastAsia="宋体" w:cs="Times New Roman"/>
          <w:b w:val="0"/>
          <w:i w:val="0"/>
          <w:sz w:val="21"/>
        </w:rPr>
        <w:t xml:space="preserve"> 轴水平向右、</w:t>
      </w:r>
      <m:oMath>
        <m:r>
          <m:rPr/>
          <m:t>y</m:t>
        </m:r>
      </m:oMath>
      <w:r>
        <w:rPr>
          <w:rFonts w:hint="eastAsia" w:ascii="Times New Roman" w:hAnsi="Times New Roman" w:eastAsia="宋体" w:cs="Times New Roman"/>
          <w:b w:val="0"/>
          <w:i w:val="0"/>
          <w:sz w:val="21"/>
        </w:rPr>
        <w:t xml:space="preserve"> 轴竖直向上，坡顶与坡脚的水平坐标分别为 </w:t>
      </w:r>
      <m:oMath>
        <m:sSub>
          <m:sSubPr/>
          <m:e>
            <m:r>
              <m:rPr/>
              <m:t>x</m:t>
            </m:r>
          </m:e>
          <m:sub>
            <m:r>
              <m:rPr>
                <m:sty m:val="p"/>
              </m:rPr>
              <m:t>c</m:t>
            </m:r>
          </m:sub>
        </m:sSub>
      </m:oMath>
      <w:r>
        <w:rPr>
          <w:rFonts w:hint="eastAsia" w:ascii="Times New Roman" w:hAnsi="Times New Roman" w:eastAsia="宋体" w:cs="Times New Roman"/>
          <w:b w:val="0"/>
          <w:i w:val="0"/>
          <w:sz w:val="21"/>
        </w:rPr>
        <w:t xml:space="preserve"> 和 </w:t>
      </w:r>
      <m:oMath>
        <m:sSub>
          <m:sSubPr/>
          <m:e>
            <m:r>
              <m:rPr/>
              <m:t>x</m:t>
            </m:r>
          </m:e>
          <m:sub>
            <m:r>
              <m:rPr>
                <m:sty m:val="p"/>
              </m:rPr>
              <m:t>t</m:t>
            </m:r>
          </m:sub>
        </m:sSub>
      </m:oMath>
      <w:r>
        <w:rPr>
          <w:rFonts w:hint="eastAsia" w:ascii="Times New Roman" w:hAnsi="Times New Roman" w:eastAsia="宋体" w:cs="Times New Roman"/>
          <w:b w:val="0"/>
          <w:i w:val="0"/>
          <w:sz w:val="21"/>
        </w:rPr>
        <w:t xml:space="preserve">。上、下平台观测窗分别延伸 </w:t>
      </w:r>
      <m:oMath>
        <m:r>
          <m:rPr/>
          <m:t>4h</m:t>
        </m:r>
      </m:oMath>
      <w:r>
        <w:rPr>
          <w:rFonts w:hint="eastAsia" w:ascii="Times New Roman" w:hAnsi="Times New Roman" w:eastAsia="宋体" w:cs="Times New Roman"/>
          <w:b w:val="0"/>
          <w:i w:val="0"/>
          <w:sz w:val="21"/>
        </w:rPr>
        <w:t xml:space="preserve"> 和 </w:t>
      </w:r>
      <m:oMath>
        <m:r>
          <m:rPr/>
          <m:t>3h</m:t>
        </m:r>
      </m:oMath>
      <w:r>
        <w:rPr>
          <w:rFonts w:hint="eastAsia" w:ascii="Times New Roman" w:hAnsi="Times New Roman" w:eastAsia="宋体" w:cs="Times New Roman"/>
          <w:b w:val="0"/>
          <w:i w:val="0"/>
          <w:sz w:val="21"/>
        </w:rPr>
        <w:t xml:space="preserve">，左右两侧各保留 </w:t>
      </w:r>
      <m:oMath>
        <m:r>
          <m:rPr/>
          <m:t>1h</m:t>
        </m:r>
      </m:oMath>
      <w:r>
        <w:rPr>
          <w:rFonts w:hint="eastAsia" w:ascii="Times New Roman" w:hAnsi="Times New Roman" w:eastAsia="宋体" w:cs="Times New Roman"/>
          <w:b w:val="0"/>
          <w:i w:val="0"/>
          <w:sz w:val="21"/>
        </w:rPr>
        <w:t xml:space="preserve"> 边界净空，坡脚以下保留 </w:t>
      </w:r>
      <m:oMath>
        <m:r>
          <m:rPr/>
          <m:t>3h</m:t>
        </m:r>
      </m:oMath>
      <w:r>
        <w:rPr>
          <w:rFonts w:hint="eastAsia" w:ascii="Times New Roman" w:hAnsi="Times New Roman" w:eastAsia="宋体" w:cs="Times New Roman"/>
          <w:b w:val="0"/>
          <w:i w:val="0"/>
          <w:sz w:val="21"/>
        </w:rPr>
        <w:t xml:space="preserve"> 基底深度。模型底边取 </w:t>
      </w:r>
      <m:oMath>
        <m:r>
          <m:rPr/>
          <m:t>y</m:t>
        </m:r>
        <m:r>
          <m:rPr>
            <m:sty m:val="p"/>
          </m:rPr>
          <m:t>=</m:t>
        </m:r>
        <m:r>
          <m:rPr/>
          <m:t>0</m:t>
        </m:r>
      </m:oMath>
      <w:r>
        <w:rPr>
          <w:rFonts w:hint="eastAsia" w:ascii="Times New Roman" w:hAnsi="Times New Roman" w:eastAsia="宋体" w:cs="Times New Roman"/>
          <w:b w:val="0"/>
          <w:i w:val="0"/>
          <w:sz w:val="21"/>
        </w:rPr>
        <w:t xml:space="preserve">，坡脚和坡顶地表高程分别为 </w:t>
      </w:r>
      <m:oMath>
        <m:r>
          <m:rPr/>
          <m:t>3h</m:t>
        </m:r>
      </m:oMath>
      <w:r>
        <w:rPr>
          <w:rFonts w:hint="eastAsia" w:ascii="Times New Roman" w:hAnsi="Times New Roman" w:eastAsia="宋体" w:cs="Times New Roman"/>
          <w:b w:val="0"/>
          <w:i w:val="0"/>
          <w:sz w:val="21"/>
        </w:rPr>
        <w:t xml:space="preserve"> 和 </w:t>
      </w:r>
      <m:oMath>
        <m:r>
          <m:rPr/>
          <m:t>4h</m:t>
        </m:r>
      </m:oMath>
      <w:r>
        <w:rPr>
          <w:rFonts w:hint="eastAsia" w:ascii="Times New Roman" w:hAnsi="Times New Roman" w:eastAsia="宋体" w:cs="Times New Roman"/>
          <w:b w:val="0"/>
          <w:i w:val="0"/>
          <w:sz w:val="21"/>
        </w:rPr>
        <w:t>；不同坡角下的地表位置采用式（13）映射至共同坐标。</w:t>
      </w:r>
    </w:p>
    <w:p w14:paraId="39BA86DA">
      <w:pPr>
        <w:spacing w:before="0" w:after="0"/>
        <w:ind w:firstLine="420"/>
        <w:jc w:val="both"/>
      </w:pPr>
      <w:r>
        <w:rPr>
          <w:rFonts w:hint="eastAsia" w:ascii="Times New Roman" w:hAnsi="Times New Roman" w:eastAsia="宋体" w:cs="Times New Roman"/>
          <w:b w:val="0"/>
          <w:i w:val="0"/>
          <w:sz w:val="21"/>
        </w:rPr>
        <w:t xml:space="preserve">为把不同坡角下的折线地表映射到共同空间坐标，本文采用三段归一化坐标 </w:t>
      </w:r>
      <m:oMath>
        <m:r>
          <m:rPr/>
          <m:t>s</m:t>
        </m:r>
      </m:oMath>
      <w:r>
        <w:rPr>
          <w:rFonts w:hint="eastAsia" w:ascii="Times New Roman" w:hAnsi="Times New Roman" w:eastAsia="宋体" w:cs="Times New Roman"/>
          <w:b w:val="0"/>
          <w:i w:val="0"/>
          <w:sz w:val="21"/>
        </w:rPr>
        <w:t>。上平台以坡高归一化水平距离，坡面以坡顶至坡脚的沿段进程归一化，下平台继续以坡高为尺度：</w:t>
      </w:r>
    </w:p>
    <w:p w14:paraId="15536A9A">
      <w:pPr>
        <w:spacing w:before="0" w:after="0"/>
        <w:ind w:firstLine="420"/>
        <w:jc w:val="both"/>
        <w:rPr>
          <w:rFonts w:hint="eastAsia" w:ascii="Times New Roman" w:hAnsi="Times New Roman" w:eastAsia="宋体" w:cs="Times New Roman"/>
          <w:b w:val="0"/>
          <w:i w:val="0"/>
          <w:sz w:val="21"/>
        </w:rPr>
      </w:pPr>
      <m:oMathPara>
        <m:oMath>
          <m:eqArr>
            <m:eqArrPr>
              <m:maxDist m:val="1"/>
              <m:ctrlPr>
                <w:rPr>
                  <w:b w:val="0"/>
                  <w:i w:val="0"/>
                </w:rPr>
              </m:ctrlPr>
            </m:eqArrPr>
            <m:e>
              <m:r>
                <m:rPr/>
                <m:t>s</m:t>
              </m:r>
              <m:r>
                <m:rPr>
                  <m:sty m:val="p"/>
                </m:rPr>
                <m:t>=</m:t>
              </m:r>
              <m:d>
                <m:dPr>
                  <m:begChr m:val="{"/>
                  <m:sepChr m:val=""/>
                  <m:endChr m:val=""/>
                </m:dPr>
                <m:e>
                  <m:m>
                    <m:mPr>
                      <m:mcs>
                        <m:mc>
                          <m:mcPr>
                            <m:count m:val="2"/>
                            <m:mcJc m:val="left"/>
                          </m:mcPr>
                        </m:mc>
                      </m:mcs>
                      <m:plcHide m:val="1"/>
                    </m:mPr>
                    <m:mr>
                      <m:e>
                        <m:r>
                          <m:rPr>
                            <m:sty m:val="p"/>
                          </m:rPr>
                          <m:t>(</m:t>
                        </m:r>
                        <m:r>
                          <m:rPr/>
                          <m:t>x</m:t>
                        </m:r>
                        <m:r>
                          <m:rPr>
                            <m:sty m:val="p"/>
                          </m:rPr>
                          <m:t>−</m:t>
                        </m:r>
                        <m:sSub>
                          <m:sSubPr/>
                          <m:e>
                            <m:r>
                              <m:rPr/>
                              <m:t>x</m:t>
                            </m:r>
                          </m:e>
                          <m:sub>
                            <m:r>
                              <m:rPr>
                                <m:sty m:val="p"/>
                              </m:rPr>
                              <m:t>c</m:t>
                            </m:r>
                          </m:sub>
                        </m:sSub>
                        <m:r>
                          <m:rPr>
                            <m:sty m:val="p"/>
                          </m:rPr>
                          <m:t>)/</m:t>
                        </m:r>
                        <m:r>
                          <m:rPr/>
                          <m:t>h</m:t>
                        </m:r>
                        <m:r>
                          <m:rPr>
                            <m:sty m:val="p"/>
                          </m:rPr>
                          <m:t>,</m:t>
                        </m:r>
                      </m:e>
                      <m:e>
                        <m:r>
                          <m:rPr/>
                          <m:t>x</m:t>
                        </m:r>
                        <m:r>
                          <m:rPr>
                            <m:sty m:val="p"/>
                          </m:rPr>
                          <m:t>≤</m:t>
                        </m:r>
                        <m:sSub>
                          <m:sSubPr/>
                          <m:e>
                            <m:r>
                              <m:rPr/>
                              <m:t>x</m:t>
                            </m:r>
                          </m:e>
                          <m:sub>
                            <m:r>
                              <m:rPr>
                                <m:sty m:val="p"/>
                              </m:rPr>
                              <m:t>c</m:t>
                            </m:r>
                          </m:sub>
                        </m:sSub>
                        <m:r>
                          <m:rPr>
                            <m:sty m:val="p"/>
                          </m:rPr>
                          <m:t>,</m:t>
                        </m:r>
                      </m:e>
                    </m:mr>
                    <m:mr>
                      <m:e>
                        <m:r>
                          <m:rPr>
                            <m:sty m:val="p"/>
                          </m:rPr>
                          <m:t>(</m:t>
                        </m:r>
                        <m:r>
                          <m:rPr/>
                          <m:t>x</m:t>
                        </m:r>
                        <m:r>
                          <m:rPr>
                            <m:sty m:val="p"/>
                          </m:rPr>
                          <m:t>−</m:t>
                        </m:r>
                        <m:sSub>
                          <m:sSubPr/>
                          <m:e>
                            <m:r>
                              <m:rPr/>
                              <m:t>x</m:t>
                            </m:r>
                          </m:e>
                          <m:sub>
                            <m:r>
                              <m:rPr>
                                <m:sty m:val="p"/>
                              </m:rPr>
                              <m:t>c</m:t>
                            </m:r>
                          </m:sub>
                        </m:sSub>
                        <m:r>
                          <m:rPr>
                            <m:sty m:val="p"/>
                          </m:rPr>
                          <m:t>)/(</m:t>
                        </m:r>
                        <m:sSub>
                          <m:sSubPr/>
                          <m:e>
                            <m:r>
                              <m:rPr/>
                              <m:t>x</m:t>
                            </m:r>
                          </m:e>
                          <m:sub>
                            <m:r>
                              <m:rPr>
                                <m:sty m:val="p"/>
                              </m:rPr>
                              <m:t>t</m:t>
                            </m:r>
                          </m:sub>
                        </m:sSub>
                        <m:r>
                          <m:rPr>
                            <m:sty m:val="p"/>
                          </m:rPr>
                          <m:t>−</m:t>
                        </m:r>
                        <m:sSub>
                          <m:sSubPr/>
                          <m:e>
                            <m:r>
                              <m:rPr/>
                              <m:t>x</m:t>
                            </m:r>
                          </m:e>
                          <m:sub>
                            <m:r>
                              <m:rPr>
                                <m:sty m:val="p"/>
                              </m:rPr>
                              <m:t>c</m:t>
                            </m:r>
                          </m:sub>
                        </m:sSub>
                        <m:r>
                          <m:rPr>
                            <m:sty m:val="p"/>
                          </m:rPr>
                          <m:t>),</m:t>
                        </m:r>
                      </m:e>
                      <m:e>
                        <m:sSub>
                          <m:sSubPr/>
                          <m:e>
                            <m:r>
                              <m:rPr/>
                              <m:t>x</m:t>
                            </m:r>
                          </m:e>
                          <m:sub>
                            <m:r>
                              <m:rPr>
                                <m:sty m:val="p"/>
                              </m:rPr>
                              <m:t>c</m:t>
                            </m:r>
                          </m:sub>
                        </m:sSub>
                        <m:r>
                          <m:rPr>
                            <m:sty m:val="p"/>
                          </m:rPr>
                          <m:t>&lt;</m:t>
                        </m:r>
                        <m:r>
                          <m:rPr/>
                          <m:t>x</m:t>
                        </m:r>
                        <m:r>
                          <m:rPr>
                            <m:sty m:val="p"/>
                          </m:rPr>
                          <m:t>&lt;</m:t>
                        </m:r>
                        <m:sSub>
                          <m:sSubPr/>
                          <m:e>
                            <m:r>
                              <m:rPr/>
                              <m:t>x</m:t>
                            </m:r>
                          </m:e>
                          <m:sub>
                            <m:r>
                              <m:rPr>
                                <m:sty m:val="p"/>
                              </m:rPr>
                              <m:t>t</m:t>
                            </m:r>
                          </m:sub>
                        </m:sSub>
                        <m:r>
                          <m:rPr>
                            <m:sty m:val="p"/>
                          </m:rPr>
                          <m:t>,</m:t>
                        </m:r>
                      </m:e>
                    </m:mr>
                    <m:mr>
                      <m:e>
                        <m:r>
                          <m:rPr/>
                          <m:t>1</m:t>
                        </m:r>
                        <m:r>
                          <m:rPr>
                            <m:sty m:val="p"/>
                          </m:rPr>
                          <m:t>+(</m:t>
                        </m:r>
                        <m:r>
                          <m:rPr/>
                          <m:t>x</m:t>
                        </m:r>
                        <m:r>
                          <m:rPr>
                            <m:sty m:val="p"/>
                          </m:rPr>
                          <m:t>−</m:t>
                        </m:r>
                        <m:sSub>
                          <m:sSubPr/>
                          <m:e>
                            <m:r>
                              <m:rPr/>
                              <m:t>x</m:t>
                            </m:r>
                          </m:e>
                          <m:sub>
                            <m:r>
                              <m:rPr>
                                <m:sty m:val="p"/>
                              </m:rPr>
                              <m:t>t</m:t>
                            </m:r>
                          </m:sub>
                        </m:sSub>
                        <m:r>
                          <m:rPr>
                            <m:sty m:val="p"/>
                          </m:rPr>
                          <m:t>)/</m:t>
                        </m:r>
                        <m:r>
                          <m:rPr/>
                          <m:t>h</m:t>
                        </m:r>
                        <m:r>
                          <m:rPr>
                            <m:sty m:val="p"/>
                          </m:rPr>
                          <m:t>,</m:t>
                        </m:r>
                      </m:e>
                      <m:e>
                        <m:r>
                          <m:rPr/>
                          <m:t>x</m:t>
                        </m:r>
                        <m:r>
                          <m:rPr>
                            <m:sty m:val="p"/>
                          </m:rPr>
                          <m:t>≥</m:t>
                        </m:r>
                        <m:sSub>
                          <m:sSubPr/>
                          <m:e>
                            <m:r>
                              <m:rPr/>
                              <m:t>x</m:t>
                            </m:r>
                          </m:e>
                          <m:sub>
                            <m:r>
                              <m:rPr>
                                <m:sty m:val="p"/>
                              </m:rPr>
                              <m:t>t</m:t>
                            </m:r>
                          </m:sub>
                        </m:sSub>
                        <m:r>
                          <m:rPr>
                            <m:sty m:val="p"/>
                          </m:rPr>
                          <m:t>.</m:t>
                        </m:r>
                      </m:e>
                    </m:mr>
                  </m:m>
                </m:e>
              </m:d>
              <m:r>
                <m:rPr>
                  <m:sty m:val="p"/>
                </m:rPr>
                <w:rPr>
                  <w:rFonts w:ascii="Cambria Math" w:hAnsi="Cambria Math"/>
                </w:rPr>
                <m:t>#(9)</m:t>
              </m:r>
              <m:ctrlPr>
                <w:rPr>
                  <w:b w:val="0"/>
                  <w:i w:val="0"/>
                </w:rPr>
              </m:ctrlPr>
            </m:e>
          </m:eqArr>
        </m:oMath>
      </m:oMathPara>
    </w:p>
    <w:p w14:paraId="6EAD5C14">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 xml:space="preserve">观测范围为 </w:t>
      </w:r>
      <m:oMath>
        <m:r>
          <m:rPr/>
          <m:t>s</m:t>
        </m:r>
        <m:r>
          <m:rPr>
            <m:sty m:val="p"/>
          </m:rPr>
          <m:t>∈[−</m:t>
        </m:r>
        <m:r>
          <m:rPr/>
          <m:t>4</m:t>
        </m:r>
        <m:r>
          <m:rPr>
            <m:sty m:val="p"/>
          </m:rPr>
          <m:t>,</m:t>
        </m:r>
        <m:r>
          <m:rPr/>
          <m:t>4</m:t>
        </m:r>
        <m:r>
          <m:rPr>
            <m:sty m:val="p"/>
          </m:rPr>
          <m:t>]</m:t>
        </m:r>
      </m:oMath>
      <w:r>
        <w:rPr>
          <w:rFonts w:hint="eastAsia" w:ascii="Times New Roman" w:hAnsi="Times New Roman" w:eastAsia="宋体" w:cs="Times New Roman"/>
          <w:b w:val="0"/>
          <w:i w:val="0"/>
          <w:sz w:val="21"/>
        </w:rPr>
        <w:t xml:space="preserve">，其中 </w:t>
      </w:r>
      <m:oMath>
        <m:r>
          <m:rPr/>
          <m:t>s</m:t>
        </m:r>
        <m:r>
          <m:rPr>
            <m:sty m:val="p"/>
          </m:rPr>
          <m:t>=</m:t>
        </m:r>
        <m:r>
          <m:rPr/>
          <m:t>0</m:t>
        </m:r>
      </m:oMath>
      <w:r>
        <w:rPr>
          <w:rFonts w:hint="eastAsia" w:ascii="Times New Roman" w:hAnsi="Times New Roman" w:eastAsia="宋体" w:cs="Times New Roman"/>
          <w:b w:val="0"/>
          <w:i w:val="0"/>
          <w:sz w:val="21"/>
        </w:rPr>
        <w:t xml:space="preserve">、0.5 和 1 分别对应坡顶、坡面中部和坡脚；左右各 </w:t>
      </w:r>
      <m:oMath>
        <m:r>
          <m:rPr/>
          <m:t>1h</m:t>
        </m:r>
      </m:oMath>
      <w:r>
        <w:rPr>
          <w:rFonts w:hint="eastAsia" w:ascii="Times New Roman" w:hAnsi="Times New Roman" w:eastAsia="宋体" w:cs="Times New Roman"/>
          <w:b w:val="0"/>
          <w:i w:val="0"/>
          <w:sz w:val="21"/>
        </w:rPr>
        <w:t xml:space="preserve"> 的边界净空不纳入统计。模型布置见图1。</w:t>
      </w:r>
    </w:p>
    <w:p w14:paraId="78E678D5">
      <w:pPr>
        <w:keepNext w:val="0"/>
        <w:keepLines w:val="0"/>
        <w:pageBreakBefore w:val="0"/>
        <w:widowControl w:val="0"/>
        <w:kinsoku/>
        <w:wordWrap/>
        <w:overflowPunct/>
        <w:topLinePunct w:val="0"/>
        <w:autoSpaceDE/>
        <w:autoSpaceDN/>
        <w:bidi w:val="0"/>
        <w:adjustRightInd/>
        <w:snapToGrid/>
        <w:spacing w:before="0" w:after="0"/>
        <w:ind w:firstLine="0"/>
        <w:jc w:val="both"/>
        <w:textAlignment w:val="auto"/>
        <w:rPr>
          <w:rFonts w:hint="eastAsia" w:ascii="Times New Roman" w:hAnsi="Times New Roman" w:eastAsia="宋体" w:cs="Times New Roman"/>
          <w:b w:val="0"/>
          <w:i w:val="0"/>
          <w:sz w:val="21"/>
          <w:lang w:val="en-US" w:eastAsia="zh-CN"/>
        </w:rPr>
      </w:pPr>
      <w:r>
        <w:rPr>
          <w:rFonts w:hint="eastAsia" w:ascii="Times New Roman" w:hAnsi="Times New Roman" w:eastAsia="宋体" w:cs="Times New Roman"/>
          <w:b w:val="0"/>
          <w:i w:val="0"/>
          <w:sz w:val="21"/>
          <w:lang w:val="en-US" w:eastAsia="zh-CN"/>
        </w:rPr>
        <w:drawing>
          <wp:inline distT="0" distB="0" distL="114300" distR="114300">
            <wp:extent cx="2924175" cy="2192655"/>
            <wp:effectExtent l="0" t="0" r="9525" b="17145"/>
            <wp:docPr id="1" name="图片 1" descr="ChatGPT Image 2026年9月3日 12_18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9月3日 12_18_30"/>
                    <pic:cNvPicPr>
                      <a:picLocks noChangeAspect="1"/>
                    </pic:cNvPicPr>
                  </pic:nvPicPr>
                  <pic:blipFill>
                    <a:blip r:embed="rId6"/>
                    <a:stretch>
                      <a:fillRect/>
                    </a:stretch>
                  </pic:blipFill>
                  <pic:spPr>
                    <a:xfrm>
                      <a:off x="0" y="0"/>
                      <a:ext cx="2924175" cy="2192655"/>
                    </a:xfrm>
                    <a:prstGeom prst="rect">
                      <a:avLst/>
                    </a:prstGeom>
                  </pic:spPr>
                </pic:pic>
              </a:graphicData>
            </a:graphic>
          </wp:inline>
        </w:drawing>
      </w:r>
    </w:p>
    <w:p w14:paraId="33413370">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w:t>
      </w:r>
      <w:r>
        <w:rPr>
          <w:rFonts w:hint="default" w:ascii="Times New Roman" w:hAnsi="Times New Roman" w:eastAsia="宋体" w:cs="Times New Roman"/>
          <w:color w:val="000000" w:themeColor="text1"/>
          <w:sz w:val="18"/>
          <w:szCs w:val="18"/>
          <w:lang w:val="en-US"/>
          <w14:textFill>
            <w14:solidFill>
              <w14:schemeClr w14:val="tx1"/>
            </w14:solidFill>
          </w14:textFill>
        </w:rPr>
        <w:t>1</w:t>
      </w:r>
      <w:r>
        <w:rPr>
          <w:rFonts w:hint="eastAsia" w:ascii="Times New Roman" w:hAnsi="Times New Roman" w:eastAsia="宋体" w:cs="Times New Roman"/>
          <w:color w:val="000000" w:themeColor="text1"/>
          <w:sz w:val="18"/>
          <w:szCs w:val="18"/>
          <w14:textFill>
            <w14:solidFill>
              <w14:schemeClr w14:val="tx1"/>
            </w14:solidFill>
          </w14:textFill>
        </w:rPr>
        <w:t xml:space="preserve"> </w:t>
      </w:r>
      <w:r>
        <w:rPr>
          <w:rFonts w:hint="eastAsia" w:ascii="Times New Roman" w:hAnsi="Times New Roman" w:eastAsia="宋体" w:cs="Times New Roman"/>
          <w:b w:val="0"/>
          <w:i w:val="0"/>
          <w:sz w:val="21"/>
        </w:rPr>
        <w:t>二维成层坡地数值模型</w:t>
      </w:r>
    </w:p>
    <w:p w14:paraId="65C5C05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 xml:space="preserve">Fig. </w:t>
      </w:r>
      <w:r>
        <w:rPr>
          <w:rFonts w:hint="default" w:ascii="Times New Roman" w:hAnsi="Times New Roman" w:eastAsia="宋体" w:cs="Times New Roman"/>
          <w:color w:val="000000" w:themeColor="text1"/>
          <w:sz w:val="18"/>
          <w:szCs w:val="18"/>
          <w:lang w:val="en-US"/>
          <w14:textFill>
            <w14:solidFill>
              <w14:schemeClr w14:val="tx1"/>
            </w14:solidFill>
          </w14:textFill>
        </w:rPr>
        <w:t>1</w:t>
      </w:r>
      <w:r>
        <w:rPr>
          <w:rFonts w:hint="eastAsia" w:ascii="Times New Roman" w:hAnsi="Times New Roman" w:eastAsia="宋体" w:cs="Times New Roman"/>
          <w:color w:val="000000" w:themeColor="text1"/>
          <w:sz w:val="18"/>
          <w:szCs w:val="18"/>
          <w14:textFill>
            <w14:solidFill>
              <w14:schemeClr w14:val="tx1"/>
            </w14:solidFill>
          </w14:textFill>
        </w:rPr>
        <w:t xml:space="preserve"> </w:t>
      </w:r>
    </w:p>
    <w:p w14:paraId="35463334">
      <w:pPr>
        <w:spacing w:before="0" w:after="0"/>
        <w:ind w:firstLine="420"/>
        <w:jc w:val="both"/>
        <w:rPr>
          <w:rFonts w:hint="eastAsia" w:ascii="Times New Roman" w:hAnsi="Times New Roman" w:eastAsia="宋体" w:cs="Times New Roman"/>
          <w:b w:val="0"/>
          <w:i w:val="0"/>
          <w:sz w:val="21"/>
          <w:lang w:eastAsia="zh-CN"/>
        </w:rPr>
      </w:pPr>
      <w:r>
        <w:rPr>
          <w:rFonts w:hint="eastAsia" w:ascii="Times New Roman" w:hAnsi="Times New Roman" w:eastAsia="宋体" w:cs="Times New Roman"/>
          <w:b w:val="0"/>
          <w:i w:val="0"/>
          <w:sz w:val="21"/>
        </w:rPr>
        <w:t xml:space="preserve">基岩剪切波速为 </w:t>
      </w:r>
      <m:oMath>
        <m:sSub>
          <m:sSubPr/>
          <m:e>
            <m:r>
              <m:rPr/>
              <m:t>V</m:t>
            </m:r>
          </m:e>
          <m:sub>
            <m:r>
              <m:rPr>
                <m:sty m:val="p"/>
              </m:rPr>
              <m:t>s,b</m:t>
            </m:r>
          </m:sub>
        </m:sSub>
        <m:r>
          <m:rPr>
            <m:sty m:val="p"/>
          </m:rPr>
          <m:t>=</m:t>
        </m:r>
        <m:r>
          <m:rPr/>
          <m:t>2000 </m:t>
        </m:r>
        <m:r>
          <m:rPr>
            <m:sty m:val="p"/>
          </m:rPr>
          <m:t>m/s</m:t>
        </m:r>
      </m:oMath>
      <w:r>
        <w:rPr>
          <w:rFonts w:hint="eastAsia" w:ascii="Times New Roman" w:hAnsi="Times New Roman" w:eastAsia="宋体" w:cs="Times New Roman"/>
          <w:b w:val="0"/>
          <w:i w:val="0"/>
          <w:sz w:val="21"/>
        </w:rPr>
        <w:t xml:space="preserve">，密度为 </w:t>
      </w:r>
      <m:oMath>
        <m:r>
          <m:rPr/>
          <m:t>2500 </m:t>
        </m:r>
        <m:r>
          <m:rPr>
            <m:sty m:val="p"/>
          </m:rPr>
          <m:t>kg/</m:t>
        </m:r>
        <m:sSup>
          <m:sSupPr/>
          <m:e>
            <m:r>
              <m:rPr>
                <m:sty m:val="p"/>
              </m:rPr>
              <m:t>m</m:t>
            </m:r>
          </m:e>
          <m:sup>
            <m:r>
              <m:rPr>
                <m:sty m:val="p"/>
              </m:rPr>
              <m:t>3</m:t>
            </m:r>
          </m:sup>
        </m:sSup>
      </m:oMath>
      <w:r>
        <w:rPr>
          <w:rFonts w:hint="eastAsia" w:ascii="Times New Roman" w:hAnsi="Times New Roman" w:eastAsia="宋体" w:cs="Times New Roman"/>
          <w:b w:val="0"/>
          <w:i w:val="0"/>
          <w:sz w:val="21"/>
        </w:rPr>
        <w:t xml:space="preserve">，泊松比为 0.30；覆盖层密度固定为基岩的 0.85 倍，即 </w:t>
      </w:r>
      <m:oMath>
        <m:r>
          <m:rPr/>
          <m:t>2125 </m:t>
        </m:r>
        <m:r>
          <m:rPr>
            <m:sty m:val="p"/>
          </m:rPr>
          <m:t>kg/</m:t>
        </m:r>
        <m:sSup>
          <m:sSupPr/>
          <m:e>
            <m:r>
              <m:rPr>
                <m:sty m:val="p"/>
              </m:rPr>
              <m:t>m</m:t>
            </m:r>
          </m:e>
          <m:sup>
            <m:r>
              <m:rPr>
                <m:sty m:val="p"/>
              </m:rPr>
              <m:t>3</m:t>
            </m:r>
          </m:sup>
        </m:sSup>
      </m:oMath>
      <w:r>
        <w:rPr>
          <w:rFonts w:hint="eastAsia" w:ascii="Times New Roman" w:hAnsi="Times New Roman" w:eastAsia="宋体" w:cs="Times New Roman"/>
          <w:b w:val="0"/>
          <w:i w:val="0"/>
          <w:sz w:val="21"/>
        </w:rPr>
        <w:t xml:space="preserve">，泊松比为 0.35，剪切波速由波速比 </w:t>
      </w:r>
      <m:oMath>
        <m:r>
          <m:rPr>
            <m:sty m:val="p"/>
          </m:rPr>
          <w:rPr>
            <w:rFonts w:hint="eastAsia" w:eastAsia="宋体"/>
            <w:lang w:val="en-US" w:eastAsia="zh-CN"/>
          </w:rPr>
          <m:t>s=</m:t>
        </m:r>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 控制。材料的剪切模量、弹性模量和压缩波速均由波速、密度与泊松比一致换算，而非彼此独立指定</w:t>
      </w:r>
      <w:r>
        <w:rPr>
          <w:rFonts w:hint="eastAsia" w:ascii="Times New Roman" w:hAnsi="Times New Roman" w:eastAsia="宋体" w:cs="Times New Roman"/>
          <w:b w:val="0"/>
          <w:i w:val="0"/>
          <w:sz w:val="21"/>
          <w:lang w:eastAsia="zh-CN"/>
        </w:rPr>
        <w:t>。</w:t>
      </w:r>
    </w:p>
    <w:p w14:paraId="3413DD85">
      <w:pPr>
        <w:spacing w:before="0" w:after="0"/>
        <w:ind w:firstLine="420"/>
        <w:jc w:val="both"/>
        <w:rPr>
          <w:rFonts w:hint="eastAsia" w:ascii="Times New Roman" w:hAnsi="Times New Roman" w:eastAsia="宋体" w:cs="Times New Roman"/>
          <w:b w:val="0"/>
          <w:i w:val="0"/>
          <w:sz w:val="21"/>
        </w:rPr>
      </w:pPr>
      <w:r>
        <w:rPr>
          <w:rFonts w:hint="eastAsia" w:ascii="Times New Roman" w:hAnsi="Times New Roman" w:eastAsia="宋体" w:cs="Times New Roman"/>
          <w:b w:val="0"/>
          <w:i w:val="0"/>
          <w:sz w:val="21"/>
        </w:rPr>
        <w:t>材料、几何与输入参数见表</w:t>
      </w:r>
      <w:r>
        <w:rPr>
          <w:rFonts w:hint="eastAsia" w:ascii="Times New Roman" w:hAnsi="Times New Roman" w:eastAsia="宋体" w:cs="Times New Roman"/>
          <w:b w:val="0"/>
          <w:i w:val="0"/>
          <w:sz w:val="21"/>
          <w:lang w:val="en-US" w:eastAsia="zh-CN"/>
        </w:rPr>
        <w:t>1</w:t>
      </w:r>
      <w:r>
        <w:rPr>
          <w:rFonts w:hint="eastAsia" w:ascii="Times New Roman" w:hAnsi="Times New Roman" w:eastAsia="宋体" w:cs="Times New Roman"/>
          <w:b w:val="0"/>
          <w:i w:val="0"/>
          <w:sz w:val="21"/>
        </w:rPr>
        <w:t>。L组由坡角</w:t>
      </w:r>
      <m:oMath>
        <m:r>
          <m:rPr/>
          <m:t>i</m:t>
        </m:r>
      </m:oMath>
      <w:r>
        <w:rPr>
          <w:rFonts w:hint="eastAsia" w:ascii="Times New Roman" w:hAnsi="Times New Roman" w:eastAsia="宋体" w:cs="Times New Roman"/>
          <w:b w:val="0"/>
          <w:i w:val="0"/>
          <w:sz w:val="21"/>
        </w:rPr>
        <w:t>、厚度比</w:t>
      </w:r>
      <m:oMath>
        <m:r>
          <m:rPr/>
          <m:t>d</m:t>
        </m:r>
        <m:r>
          <m:rPr>
            <m:sty m:val="p"/>
          </m:rPr>
          <m:t>/</m:t>
        </m:r>
        <m:r>
          <m:rPr/>
          <m:t>h</m:t>
        </m:r>
      </m:oMath>
      <w:r>
        <w:rPr>
          <w:rFonts w:hint="eastAsia" w:ascii="Times New Roman" w:hAnsi="Times New Roman" w:eastAsia="宋体" w:cs="Times New Roman"/>
          <w:b w:val="0"/>
          <w:i w:val="0"/>
          <w:sz w:val="21"/>
        </w:rPr>
        <w:t>和波速比</w:t>
      </w:r>
      <m:oMath>
        <m:sSub>
          <m:sSubPr/>
          <m:e>
            <m:r>
              <m:rPr/>
              <m:t>r</m:t>
            </m:r>
          </m:e>
          <m:sub>
            <m:r>
              <m:rPr/>
              <m:t>v</m:t>
            </m:r>
          </m:sub>
        </m:sSub>
      </m:oMath>
      <w:r>
        <w:rPr>
          <w:rFonts w:hint="eastAsia" w:ascii="Times New Roman" w:hAnsi="Times New Roman" w:eastAsia="宋体" w:cs="Times New Roman"/>
          <w:b w:val="0"/>
          <w:i w:val="0"/>
          <w:sz w:val="21"/>
        </w:rPr>
        <w:t>的</w:t>
      </w:r>
      <m:oMath>
        <m:r>
          <m:rPr/>
          <m:t>4</m:t>
        </m:r>
        <m:r>
          <m:rPr>
            <m:sty m:val="p"/>
          </m:rPr>
          <m:t>×</m:t>
        </m:r>
        <m:r>
          <m:rPr/>
          <m:t>4</m:t>
        </m:r>
        <m:r>
          <m:rPr>
            <m:sty m:val="p"/>
          </m:rPr>
          <m:t>×</m:t>
        </m:r>
        <m:r>
          <m:rPr/>
          <m:t>4</m:t>
        </m:r>
      </m:oMath>
      <w:r>
        <w:rPr>
          <w:rFonts w:hint="eastAsia" w:ascii="Times New Roman" w:hAnsi="Times New Roman" w:eastAsia="宋体" w:cs="Times New Roman"/>
          <w:b w:val="0"/>
          <w:i w:val="0"/>
          <w:sz w:val="21"/>
        </w:rPr>
        <w:t>全因子组合构成，共64例；H组含4个同坡角均质基岩坡。坡高、密度比、入射角及输入信号均保持不变。</w:t>
      </w:r>
    </w:p>
    <w:p w14:paraId="5E850B8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1</w:t>
      </w:r>
      <w:r>
        <w:rPr>
          <w:rFonts w:hint="eastAsia" w:ascii="Times New Roman" w:hAnsi="Times New Roman" w:eastAsia="宋体" w:cs="Times New Roman"/>
          <w:color w:val="000000" w:themeColor="text1"/>
          <w:sz w:val="18"/>
          <w:szCs w:val="18"/>
          <w14:textFill>
            <w14:solidFill>
              <w14:schemeClr w14:val="tx1"/>
            </w14:solidFill>
          </w14:textFill>
        </w:rPr>
        <w:t xml:space="preserve"> </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 xml:space="preserve"> 工况参数表</w:t>
      </w:r>
    </w:p>
    <w:p w14:paraId="7950211D">
      <w:pPr>
        <w:jc w:val="center"/>
        <w:rPr>
          <w:rFonts w:hint="eastAsia" w:ascii="Times New Roman" w:hAnsi="Times New Roman" w:eastAsia="宋体" w:cs="Times New Roman"/>
          <w:color w:val="000000" w:themeColor="text1"/>
          <w:sz w:val="18"/>
          <w:szCs w:val="18"/>
          <w:lang w:eastAsia="zh-CN"/>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 xml:space="preserve">Table </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1</w:t>
      </w:r>
      <w:r>
        <w:rPr>
          <w:rFonts w:hint="eastAsia" w:ascii="Times New Roman" w:hAnsi="Times New Roman" w:eastAsia="宋体" w:cs="Times New Roman"/>
          <w:color w:val="000000" w:themeColor="text1"/>
          <w:sz w:val="18"/>
          <w:szCs w:val="18"/>
          <w14:textFill>
            <w14:solidFill>
              <w14:schemeClr w14:val="tx1"/>
            </w14:solidFill>
          </w14:textFill>
        </w:rPr>
        <w:t xml:space="preserve"> </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 xml:space="preserve"> </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1500"/>
        <w:gridCol w:w="1520"/>
      </w:tblGrid>
      <w:tr w14:paraId="15AB10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bottom w:val="single" w:color="auto" w:sz="6" w:space="0"/>
            </w:tcBorders>
            <w:vAlign w:val="center"/>
          </w:tcPr>
          <w:p w14:paraId="196F56E7">
            <w:pPr>
              <w:spacing w:before="30" w:after="30"/>
              <w:ind w:firstLine="0"/>
              <w:jc w:val="center"/>
            </w:pPr>
            <w:r>
              <w:rPr>
                <w:rFonts w:hint="eastAsia" w:ascii="Times New Roman" w:hAnsi="Times New Roman" w:eastAsia="宋体" w:cs="Times New Roman"/>
                <w:b/>
                <w:sz w:val="18"/>
              </w:rPr>
              <w:t>参数</w:t>
            </w:r>
          </w:p>
        </w:tc>
        <w:tc>
          <w:tcPr>
            <w:tcW w:w="1500" w:type="dxa"/>
            <w:tcBorders>
              <w:bottom w:val="single" w:color="auto" w:sz="6" w:space="0"/>
            </w:tcBorders>
            <w:vAlign w:val="center"/>
          </w:tcPr>
          <w:p w14:paraId="71A12B03">
            <w:pPr>
              <w:spacing w:before="30" w:after="30"/>
              <w:ind w:firstLine="0"/>
              <w:jc w:val="center"/>
            </w:pPr>
            <w:r>
              <w:rPr>
                <w:rFonts w:hint="eastAsia" w:ascii="Times New Roman" w:hAnsi="Times New Roman" w:eastAsia="宋体" w:cs="Times New Roman"/>
                <w:b/>
                <w:sz w:val="18"/>
              </w:rPr>
              <w:t>H 组（均质坡，4 例）</w:t>
            </w:r>
          </w:p>
        </w:tc>
        <w:tc>
          <w:tcPr>
            <w:tcW w:w="1520" w:type="dxa"/>
            <w:tcBorders>
              <w:bottom w:val="single" w:color="auto" w:sz="6" w:space="0"/>
            </w:tcBorders>
            <w:vAlign w:val="center"/>
          </w:tcPr>
          <w:p w14:paraId="09B52EC2">
            <w:pPr>
              <w:spacing w:before="30" w:after="30"/>
              <w:ind w:firstLine="0"/>
              <w:jc w:val="center"/>
            </w:pPr>
            <w:r>
              <w:rPr>
                <w:rFonts w:hint="eastAsia" w:ascii="Times New Roman" w:hAnsi="Times New Roman" w:eastAsia="宋体" w:cs="Times New Roman"/>
                <w:b/>
                <w:sz w:val="18"/>
              </w:rPr>
              <w:t>L 组（成层坡，64 例）</w:t>
            </w:r>
          </w:p>
        </w:tc>
      </w:tr>
      <w:tr w14:paraId="3CEE81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800" w:type="dxa"/>
            <w:vAlign w:val="center"/>
          </w:tcPr>
          <w:p w14:paraId="3720496C">
            <w:pPr>
              <w:spacing w:before="30" w:after="30"/>
              <w:ind w:firstLine="0"/>
              <w:jc w:val="center"/>
            </w:pPr>
            <w:r>
              <w:rPr>
                <w:rFonts w:hint="eastAsia" w:ascii="Times New Roman" w:hAnsi="Times New Roman" w:eastAsia="宋体" w:cs="Times New Roman"/>
                <w:sz w:val="18"/>
              </w:rPr>
              <w:t xml:space="preserve">坡角 </w:t>
            </w:r>
            <w:r>
              <w:rPr>
                <w:rFonts w:hint="eastAsia" w:ascii="Times New Roman" w:hAnsi="Times New Roman" w:eastAsia="宋体" w:cs="Times New Roman"/>
                <w:i/>
                <w:sz w:val="18"/>
              </w:rPr>
              <w:t>i</w:t>
            </w:r>
            <w:r>
              <w:rPr>
                <w:rFonts w:hint="eastAsia" w:ascii="Times New Roman" w:hAnsi="Times New Roman" w:eastAsia="宋体" w:cs="Times New Roman"/>
                <w:sz w:val="18"/>
              </w:rPr>
              <w:t xml:space="preserve"> (°)</w:t>
            </w:r>
          </w:p>
        </w:tc>
        <w:tc>
          <w:tcPr>
            <w:tcW w:w="1500" w:type="dxa"/>
            <w:vAlign w:val="center"/>
          </w:tcPr>
          <w:p w14:paraId="08B9A52E">
            <w:pPr>
              <w:spacing w:before="30" w:after="30"/>
              <w:ind w:firstLine="0"/>
              <w:jc w:val="center"/>
            </w:pPr>
            <w:r>
              <w:rPr>
                <w:rFonts w:hint="eastAsia" w:ascii="Times New Roman" w:hAnsi="Times New Roman" w:eastAsia="宋体" w:cs="Times New Roman"/>
                <w:sz w:val="18"/>
              </w:rPr>
              <w:t>15、30、45、60</w:t>
            </w:r>
          </w:p>
        </w:tc>
        <w:tc>
          <w:tcPr>
            <w:tcW w:w="1520" w:type="dxa"/>
            <w:vAlign w:val="center"/>
          </w:tcPr>
          <w:p w14:paraId="532C8F6F">
            <w:pPr>
              <w:spacing w:before="30" w:after="30"/>
              <w:ind w:firstLine="0"/>
              <w:jc w:val="center"/>
            </w:pPr>
            <w:r>
              <w:rPr>
                <w:rFonts w:hint="eastAsia" w:ascii="Times New Roman" w:hAnsi="Times New Roman" w:eastAsia="宋体" w:cs="Times New Roman"/>
                <w:sz w:val="18"/>
              </w:rPr>
              <w:t>15、30、45、60</w:t>
            </w:r>
          </w:p>
        </w:tc>
      </w:tr>
      <w:tr w14:paraId="6EE3EF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672EB003">
            <w:pPr>
              <w:spacing w:before="30" w:after="30"/>
              <w:ind w:firstLine="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覆盖层厚度 h</w:t>
            </w:r>
            <w:r>
              <w:rPr>
                <w:rFonts w:hint="default" w:ascii="Times New Roman" w:hAnsi="Times New Roman" w:eastAsia="宋体" w:cs="Times New Roman"/>
                <w:sz w:val="18"/>
                <w:lang w:val="en-US" w:eastAsia="zh-CN"/>
              </w:rPr>
              <w:t>c (m)</w:t>
            </w:r>
          </w:p>
        </w:tc>
        <w:tc>
          <w:tcPr>
            <w:tcW w:w="1500" w:type="dxa"/>
            <w:vAlign w:val="center"/>
          </w:tcPr>
          <w:p w14:paraId="16104A4C">
            <w:pPr>
              <w:spacing w:before="30" w:after="30"/>
              <w:ind w:firstLine="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w:t>
            </w:r>
          </w:p>
        </w:tc>
        <w:tc>
          <w:tcPr>
            <w:tcW w:w="1520" w:type="dxa"/>
            <w:vAlign w:val="center"/>
          </w:tcPr>
          <w:p w14:paraId="60C0E40E">
            <w:pPr>
              <w:spacing w:before="30" w:after="30"/>
              <w:ind w:firstLine="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20、60、100、140</w:t>
            </w:r>
          </w:p>
        </w:tc>
      </w:tr>
      <w:tr w14:paraId="17902C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5832AF8C">
            <w:pPr>
              <w:spacing w:before="30" w:after="30"/>
              <w:ind w:firstLine="0"/>
              <w:jc w:val="center"/>
              <w:rPr>
                <w:rFonts w:hint="eastAsia" w:ascii="Times New Roman" w:hAnsi="Times New Roman" w:eastAsia="宋体" w:cs="Times New Roman"/>
                <w:sz w:val="18"/>
              </w:rPr>
            </w:pPr>
            <w:r>
              <w:rPr>
                <w:rFonts w:hint="eastAsia" w:ascii="Times New Roman" w:hAnsi="Times New Roman" w:eastAsia="宋体" w:cs="Times New Roman"/>
                <w:sz w:val="18"/>
              </w:rPr>
              <w:t xml:space="preserve">覆盖层厚度比 </w:t>
            </w:r>
          </w:p>
          <w:p w14:paraId="795E43C8">
            <w:pPr>
              <w:spacing w:before="30" w:after="30"/>
              <w:ind w:firstLine="0"/>
              <w:jc w:val="center"/>
            </w:pPr>
            <w:r>
              <w:rPr>
                <w:rFonts w:hint="eastAsia" w:ascii="Times New Roman" w:hAnsi="Times New Roman" w:eastAsia="宋体" w:cs="Times New Roman"/>
                <w:i/>
                <w:sz w:val="18"/>
              </w:rPr>
              <w:t>d</w:t>
            </w:r>
            <w:r>
              <w:rPr>
                <w:rFonts w:hint="eastAsia" w:ascii="Times New Roman" w:hAnsi="Times New Roman" w:eastAsia="宋体" w:cs="Times New Roman"/>
                <w:i/>
                <w:sz w:val="18"/>
                <w:lang w:val="en-US" w:eastAsia="zh-CN"/>
              </w:rPr>
              <w:t>=</w:t>
            </w:r>
            <w:r>
              <w:rPr>
                <w:rFonts w:hint="default" w:ascii="Times New Roman" w:hAnsi="Times New Roman" w:eastAsia="宋体" w:cs="Times New Roman"/>
                <w:i/>
                <w:sz w:val="18"/>
                <w:lang w:val="en-US" w:eastAsia="zh-CN"/>
              </w:rPr>
              <w:t>hc</w:t>
            </w:r>
            <w:r>
              <w:rPr>
                <w:rFonts w:hint="eastAsia" w:ascii="Times New Roman" w:hAnsi="Times New Roman" w:eastAsia="宋体" w:cs="Times New Roman"/>
                <w:i/>
                <w:sz w:val="18"/>
              </w:rPr>
              <w:t>/h</w:t>
            </w:r>
          </w:p>
        </w:tc>
        <w:tc>
          <w:tcPr>
            <w:tcW w:w="1500" w:type="dxa"/>
            <w:vAlign w:val="center"/>
          </w:tcPr>
          <w:p w14:paraId="0D998BA5">
            <w:pPr>
              <w:spacing w:before="30" w:after="30"/>
              <w:ind w:firstLine="0"/>
              <w:jc w:val="center"/>
            </w:pPr>
            <w:r>
              <w:rPr>
                <w:rFonts w:hint="eastAsia" w:ascii="Times New Roman" w:hAnsi="Times New Roman" w:eastAsia="宋体" w:cs="Times New Roman"/>
                <w:sz w:val="18"/>
              </w:rPr>
              <w:t>—</w:t>
            </w:r>
          </w:p>
        </w:tc>
        <w:tc>
          <w:tcPr>
            <w:tcW w:w="1520" w:type="dxa"/>
            <w:vAlign w:val="center"/>
          </w:tcPr>
          <w:p w14:paraId="766D4FC8">
            <w:pPr>
              <w:spacing w:before="30" w:after="30"/>
              <w:ind w:firstLine="0"/>
              <w:jc w:val="center"/>
            </w:pPr>
            <w:r>
              <w:rPr>
                <w:rFonts w:hint="eastAsia" w:ascii="Times New Roman" w:hAnsi="Times New Roman" w:eastAsia="宋体" w:cs="Times New Roman"/>
                <w:sz w:val="18"/>
              </w:rPr>
              <w:t>0.2、0.6、1.0、1.4</w:t>
            </w:r>
          </w:p>
        </w:tc>
      </w:tr>
      <w:tr w14:paraId="75B43F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3548ADDE">
            <w:pPr>
              <w:spacing w:before="30" w:after="30"/>
              <w:ind w:firstLine="0"/>
              <w:jc w:val="center"/>
              <w:rPr>
                <w:rFonts w:hint="eastAsia" w:ascii="Times New Roman" w:hAnsi="Times New Roman" w:eastAsia="宋体" w:cs="Times New Roman"/>
                <w:sz w:val="18"/>
              </w:rPr>
            </w:pPr>
            <w:r>
              <w:rPr>
                <w:rFonts w:hint="eastAsia" w:ascii="Times New Roman" w:hAnsi="Times New Roman" w:eastAsia="宋体" w:cs="Times New Roman"/>
                <w:sz w:val="18"/>
              </w:rPr>
              <w:t xml:space="preserve">覆盖层剪切波速 </w:t>
            </w:r>
          </w:p>
          <w:p w14:paraId="1585BCA5">
            <w:pPr>
              <w:spacing w:before="30" w:after="30"/>
              <w:ind w:firstLine="0"/>
              <w:jc w:val="center"/>
            </w:pPr>
            <w:r>
              <w:rPr>
                <w:rFonts w:hint="eastAsia" w:ascii="Times New Roman" w:hAnsi="Times New Roman" w:eastAsia="宋体" w:cs="Times New Roman"/>
                <w:i/>
                <w:sz w:val="18"/>
              </w:rPr>
              <w:t>V</w:t>
            </w:r>
            <w:r>
              <w:rPr>
                <w:rFonts w:hint="eastAsia" w:ascii="Times New Roman" w:hAnsi="Times New Roman" w:eastAsia="宋体" w:cs="Times New Roman"/>
                <w:i/>
                <w:sz w:val="18"/>
                <w:vertAlign w:val="subscript"/>
              </w:rPr>
              <w:t>s</w:t>
            </w:r>
            <w:r>
              <w:rPr>
                <w:rFonts w:hint="eastAsia" w:ascii="Times New Roman" w:hAnsi="Times New Roman" w:eastAsia="宋体" w:cs="Times New Roman"/>
                <w:i/>
                <w:sz w:val="18"/>
                <w:vertAlign w:val="subscript"/>
                <w:lang w:eastAsia="zh-CN"/>
              </w:rPr>
              <w:t>，</w:t>
            </w:r>
            <w:r>
              <w:rPr>
                <w:rFonts w:hint="eastAsia" w:ascii="Times New Roman" w:hAnsi="Times New Roman" w:eastAsia="宋体" w:cs="Times New Roman"/>
                <w:i/>
                <w:sz w:val="18"/>
                <w:vertAlign w:val="subscript"/>
                <w:lang w:val="en-US" w:eastAsia="zh-CN"/>
              </w:rPr>
              <w:t>c</w:t>
            </w:r>
            <w:r>
              <w:rPr>
                <w:rFonts w:hint="eastAsia" w:ascii="Times New Roman" w:hAnsi="Times New Roman" w:eastAsia="宋体" w:cs="Times New Roman"/>
                <w:sz w:val="18"/>
              </w:rPr>
              <w:t xml:space="preserve"> (m/s)</w:t>
            </w:r>
          </w:p>
        </w:tc>
        <w:tc>
          <w:tcPr>
            <w:tcW w:w="1500" w:type="dxa"/>
            <w:vAlign w:val="center"/>
          </w:tcPr>
          <w:p w14:paraId="434D40EC">
            <w:pPr>
              <w:spacing w:before="30" w:after="30"/>
              <w:ind w:firstLine="0"/>
              <w:jc w:val="center"/>
            </w:pPr>
            <w:r>
              <w:rPr>
                <w:rFonts w:hint="eastAsia" w:ascii="Times New Roman" w:hAnsi="Times New Roman" w:eastAsia="宋体" w:cs="Times New Roman"/>
                <w:sz w:val="18"/>
              </w:rPr>
              <w:t>—</w:t>
            </w:r>
          </w:p>
        </w:tc>
        <w:tc>
          <w:tcPr>
            <w:tcW w:w="1520" w:type="dxa"/>
            <w:vAlign w:val="center"/>
          </w:tcPr>
          <w:p w14:paraId="7B4E6123">
            <w:pPr>
              <w:spacing w:before="30" w:after="30"/>
              <w:ind w:firstLine="0"/>
              <w:jc w:val="center"/>
            </w:pPr>
            <w:r>
              <w:rPr>
                <w:rFonts w:hint="eastAsia" w:ascii="Times New Roman" w:hAnsi="Times New Roman" w:eastAsia="宋体" w:cs="Times New Roman"/>
                <w:sz w:val="18"/>
              </w:rPr>
              <w:t>600、900、1200、1500</w:t>
            </w:r>
          </w:p>
        </w:tc>
      </w:tr>
      <w:tr w14:paraId="2D7436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011E97C2">
            <w:pPr>
              <w:spacing w:before="30" w:after="30"/>
              <w:ind w:firstLine="0"/>
              <w:jc w:val="center"/>
              <w:rPr>
                <w:rFonts w:hint="eastAsia" w:ascii="Times New Roman" w:hAnsi="Times New Roman" w:eastAsia="宋体" w:cs="Times New Roman"/>
                <w:sz w:val="18"/>
              </w:rPr>
            </w:pPr>
            <w:r>
              <w:rPr>
                <w:rFonts w:hint="eastAsia" w:ascii="Times New Roman" w:hAnsi="Times New Roman" w:eastAsia="宋体" w:cs="Times New Roman"/>
                <w:sz w:val="18"/>
              </w:rPr>
              <w:t xml:space="preserve">覆盖层波速比 </w:t>
            </w:r>
          </w:p>
          <w:p w14:paraId="28703660">
            <w:pPr>
              <w:spacing w:before="30" w:after="30"/>
              <w:ind w:firstLine="0"/>
              <w:jc w:val="center"/>
              <w:rPr>
                <w:rFonts w:hint="eastAsia" w:ascii="Times New Roman" w:hAnsi="Times New Roman" w:eastAsia="宋体" w:cs="Times New Roman"/>
                <w:sz w:val="18"/>
              </w:rPr>
            </w:pPr>
            <m:oMathPara>
              <m:oMath>
                <m:r>
                  <m:rPr>
                    <m:sty m:val="p"/>
                  </m:rPr>
                  <w:rPr>
                    <w:rFonts w:hint="eastAsia" w:eastAsia="宋体"/>
                    <w:lang w:val="en-US" w:eastAsia="zh-CN"/>
                  </w:rPr>
                  <m:t>s=</m:t>
                </m:r>
                <m:sSub>
                  <m:sSubPr/>
                  <m:e>
                    <m:r>
                      <m:rPr/>
                      <m:t>V</m:t>
                    </m:r>
                  </m:e>
                  <m:sub>
                    <m:r>
                      <m:rPr>
                        <m:sty m:val="p"/>
                      </m:rPr>
                      <m:t>s,c</m:t>
                    </m:r>
                  </m:sub>
                </m:sSub>
                <m:r>
                  <m:rPr>
                    <m:sty m:val="p"/>
                  </m:rPr>
                  <m:t>/</m:t>
                </m:r>
                <m:sSub>
                  <m:sSubPr/>
                  <m:e>
                    <m:r>
                      <m:rPr/>
                      <m:t>V</m:t>
                    </m:r>
                  </m:e>
                  <m:sub>
                    <m:r>
                      <m:rPr>
                        <m:sty m:val="p"/>
                      </m:rPr>
                      <m:t>s,b</m:t>
                    </m:r>
                  </m:sub>
                </m:sSub>
              </m:oMath>
            </m:oMathPara>
          </w:p>
        </w:tc>
        <w:tc>
          <w:tcPr>
            <w:tcW w:w="1500" w:type="dxa"/>
            <w:vAlign w:val="center"/>
          </w:tcPr>
          <w:p w14:paraId="39AB5DAB">
            <w:pPr>
              <w:spacing w:before="30" w:after="30"/>
              <w:ind w:firstLine="0"/>
              <w:jc w:val="center"/>
            </w:pPr>
            <w:r>
              <w:rPr>
                <w:rFonts w:hint="eastAsia" w:ascii="Times New Roman" w:hAnsi="Times New Roman" w:eastAsia="宋体" w:cs="Times New Roman"/>
                <w:sz w:val="18"/>
              </w:rPr>
              <w:t>—</w:t>
            </w:r>
          </w:p>
        </w:tc>
        <w:tc>
          <w:tcPr>
            <w:tcW w:w="1520" w:type="dxa"/>
            <w:vAlign w:val="center"/>
          </w:tcPr>
          <w:p w14:paraId="21692F04">
            <w:pPr>
              <w:spacing w:before="30" w:after="30"/>
              <w:ind w:firstLine="0"/>
              <w:jc w:val="center"/>
            </w:pPr>
            <w:r>
              <w:rPr>
                <w:rFonts w:hint="eastAsia" w:ascii="Times New Roman" w:hAnsi="Times New Roman" w:eastAsia="宋体" w:cs="Times New Roman"/>
                <w:sz w:val="18"/>
              </w:rPr>
              <w:t>0.3、0.45、0.6、0.75</w:t>
            </w:r>
          </w:p>
        </w:tc>
      </w:tr>
    </w:tbl>
    <w:p w14:paraId="728F8443">
      <w:pPr>
        <w:spacing w:before="0" w:after="0"/>
        <w:ind w:firstLine="420"/>
        <w:jc w:val="both"/>
      </w:pPr>
      <w:r>
        <w:rPr>
          <w:rFonts w:hint="eastAsia" w:ascii="Times New Roman" w:hAnsi="Times New Roman" w:eastAsia="宋体" w:cs="Times New Roman"/>
          <w:b w:val="0"/>
          <w:i w:val="0"/>
          <w:sz w:val="21"/>
        </w:rPr>
        <w:t xml:space="preserve">为便于表述与检索，工况编号采用“组别字母—参数串”规则命名。组别字母标明工况类别：H、L、分别为均质坡（homogeneous）、成层坡（layered）。参数串中的字母 </w:t>
      </w:r>
      <w:r>
        <w:rPr>
          <w:rFonts w:hint="eastAsia" w:ascii="Times New Roman" w:hAnsi="Times New Roman" w:eastAsia="宋体" w:cs="Times New Roman"/>
          <w:b w:val="0"/>
          <w:i/>
          <w:sz w:val="21"/>
        </w:rPr>
        <w:t>i</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h</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a</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d</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s</w:t>
      </w:r>
      <w:r>
        <w:rPr>
          <w:rFonts w:hint="eastAsia" w:ascii="Times New Roman" w:hAnsi="Times New Roman" w:eastAsia="宋体" w:cs="Times New Roman"/>
          <w:b w:val="0"/>
          <w:i w:val="0"/>
          <w:sz w:val="21"/>
        </w:rPr>
        <w:t xml:space="preserve"> 依次表示坡角、坡高、SV 波入射角、厚度比 </w:t>
      </w:r>
      <w:r>
        <w:rPr>
          <w:rFonts w:hint="eastAsia" w:ascii="Times New Roman" w:hAnsi="Times New Roman" w:eastAsia="宋体" w:cs="Times New Roman"/>
          <w:b w:val="0"/>
          <w:i/>
          <w:sz w:val="21"/>
          <w:lang w:val="en-US" w:eastAsia="zh-CN"/>
        </w:rPr>
        <w:t>hc</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h</w:t>
      </w:r>
      <w:r>
        <w:rPr>
          <w:rFonts w:hint="eastAsia" w:ascii="Times New Roman" w:hAnsi="Times New Roman" w:eastAsia="宋体" w:cs="Times New Roman"/>
          <w:b w:val="0"/>
          <w:i w:val="0"/>
          <w:sz w:val="21"/>
        </w:rPr>
        <w:t xml:space="preserve"> 与波速比 </w:t>
      </w:r>
      <m:oMath>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。均质坡 H 组标注 </w:t>
      </w:r>
      <w:r>
        <w:rPr>
          <w:rFonts w:hint="eastAsia" w:ascii="Times New Roman" w:hAnsi="Times New Roman" w:eastAsia="宋体" w:cs="Times New Roman"/>
          <w:b w:val="0"/>
          <w:i/>
          <w:sz w:val="21"/>
        </w:rPr>
        <w:t>i</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h</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a</w:t>
      </w:r>
      <w:r>
        <w:rPr>
          <w:rFonts w:hint="eastAsia" w:ascii="Times New Roman" w:hAnsi="Times New Roman" w:eastAsia="宋体" w:cs="Times New Roman"/>
          <w:b w:val="0"/>
          <w:i w:val="0"/>
          <w:sz w:val="21"/>
        </w:rPr>
        <w:t xml:space="preserve">；成层坡 L 组及 T、V 组标注 </w:t>
      </w:r>
      <w:r>
        <w:rPr>
          <w:rFonts w:hint="eastAsia" w:ascii="Times New Roman" w:hAnsi="Times New Roman" w:eastAsia="宋体" w:cs="Times New Roman"/>
          <w:b w:val="0"/>
          <w:i/>
          <w:sz w:val="21"/>
        </w:rPr>
        <w:t>i</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d</w:t>
      </w:r>
      <w:r>
        <w:rPr>
          <w:rFonts w:hint="eastAsia" w:ascii="Times New Roman" w:hAnsi="Times New Roman" w:eastAsia="宋体" w:cs="Times New Roman"/>
          <w:b w:val="0"/>
          <w:i w:val="0"/>
          <w:sz w:val="21"/>
        </w:rPr>
        <w:t>、</w:t>
      </w:r>
      <w:r>
        <w:rPr>
          <w:rFonts w:hint="eastAsia" w:ascii="Times New Roman" w:hAnsi="Times New Roman" w:eastAsia="宋体" w:cs="Times New Roman"/>
          <w:b w:val="0"/>
          <w:i/>
          <w:sz w:val="21"/>
        </w:rPr>
        <w:t>s</w:t>
      </w:r>
      <w:r>
        <w:rPr>
          <w:rFonts w:hint="eastAsia" w:ascii="Times New Roman" w:hAnsi="Times New Roman" w:eastAsia="宋体" w:cs="Times New Roman"/>
          <w:b w:val="0"/>
          <w:i w:val="0"/>
          <w:sz w:val="21"/>
        </w:rPr>
        <w:t>（坡高与入射角为全体工况常量，仅在 H 组标出）。例如，H-i15h100a15 表示坡角 15°、坡高 100 m、入射角 15° 的均质坡；L-i60d1.4s0.3 表示坡角 60°、厚度比 1.4、波速比 0.3 的成层坡。</w:t>
      </w:r>
    </w:p>
    <w:p w14:paraId="74B22A19">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2.2.</w:t>
      </w:r>
      <w:r>
        <w:rPr>
          <w:rFonts w:hint="eastAsia" w:ascii="Times New Roman" w:hAnsi="Times New Roman" w:eastAsia="宋体" w:cs="Times New Roman"/>
          <w:b/>
          <w:i w:val="0"/>
          <w:sz w:val="21"/>
          <w:lang w:val="en-US" w:eastAsia="zh-CN"/>
        </w:rPr>
        <w:t>2</w:t>
      </w:r>
      <w:r>
        <w:rPr>
          <w:rFonts w:hint="eastAsia" w:ascii="Times New Roman" w:hAnsi="Times New Roman" w:eastAsia="宋体" w:cs="Times New Roman"/>
          <w:b/>
          <w:i w:val="0"/>
          <w:sz w:val="21"/>
        </w:rPr>
        <w:t xml:space="preserve"> 宽频输入与地表响应识别方法</w:t>
      </w:r>
    </w:p>
    <w:p w14:paraId="3AFB262B">
      <w:pPr>
        <w:spacing w:before="0" w:after="0"/>
        <w:ind w:firstLine="420"/>
        <w:jc w:val="both"/>
      </w:pPr>
      <w:r>
        <w:rPr>
          <w:rFonts w:hint="eastAsia" w:ascii="Times New Roman" w:hAnsi="Times New Roman" w:eastAsia="宋体" w:cs="Times New Roman"/>
          <w:b w:val="0"/>
          <w:i w:val="0"/>
          <w:sz w:val="21"/>
        </w:rPr>
        <w:t>G1b在0.5～10 Hz内的归一化谱幅中位数为0.921，5%分位数为0.533，在分析频带内未出现连续的近零谱谷。因此，该频带可用于复数相除及相位分析。计算时先检查频点有效性，再进行复数相除、相位展开和群时延求导，以减小分母弱谱点对结果的影响。</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2411"/>
      </w:tblGrid>
      <w:tr w14:paraId="5D7C8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10EB3F3B">
            <w:pPr>
              <w:spacing w:before="80" w:after="40"/>
              <w:jc w:val="center"/>
              <w:rPr>
                <w:rFonts w:hint="eastAsia" w:ascii="Times New Roman" w:hAnsi="Times New Roman" w:eastAsia="宋体" w:cs="Times New Roman"/>
                <w:kern w:val="0"/>
                <w:sz w:val="18"/>
                <w:szCs w:val="18"/>
                <w:vertAlign w:val="baseline"/>
                <w:lang w:val="zh-CN"/>
              </w:rPr>
            </w:pPr>
            <w:r>
              <w:drawing>
                <wp:inline distT="0" distB="0" distL="114300" distR="114300">
                  <wp:extent cx="1440180" cy="1080770"/>
                  <wp:effectExtent l="0" t="0" r="7620" b="508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7"/>
                          <a:stretch>
                            <a:fillRect/>
                          </a:stretch>
                        </pic:blipFill>
                        <pic:spPr>
                          <a:xfrm>
                            <a:off x="0" y="0"/>
                            <a:ext cx="1440180" cy="1080770"/>
                          </a:xfrm>
                          <a:prstGeom prst="rect">
                            <a:avLst/>
                          </a:prstGeom>
                          <a:noFill/>
                          <a:ln>
                            <a:noFill/>
                          </a:ln>
                        </pic:spPr>
                      </pic:pic>
                    </a:graphicData>
                  </a:graphic>
                </wp:inline>
              </w:drawing>
            </w:r>
          </w:p>
        </w:tc>
        <w:tc>
          <w:tcPr>
            <w:tcW w:w="2411" w:type="dxa"/>
          </w:tcPr>
          <w:p w14:paraId="7F67B7F1">
            <w:pPr>
              <w:spacing w:before="80" w:after="40"/>
              <w:jc w:val="center"/>
              <w:rPr>
                <w:rFonts w:hint="eastAsia" w:ascii="Times New Roman" w:hAnsi="Times New Roman" w:eastAsia="宋体" w:cs="Times New Roman"/>
                <w:kern w:val="0"/>
                <w:sz w:val="18"/>
                <w:szCs w:val="18"/>
                <w:vertAlign w:val="baseline"/>
                <w:lang w:val="zh-CN"/>
              </w:rPr>
            </w:pPr>
            <w:r>
              <w:drawing>
                <wp:inline distT="0" distB="0" distL="114300" distR="114300">
                  <wp:extent cx="1440180" cy="1080770"/>
                  <wp:effectExtent l="0" t="0" r="7620" b="508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8"/>
                          <a:stretch>
                            <a:fillRect/>
                          </a:stretch>
                        </pic:blipFill>
                        <pic:spPr>
                          <a:xfrm>
                            <a:off x="0" y="0"/>
                            <a:ext cx="1440180" cy="1080770"/>
                          </a:xfrm>
                          <a:prstGeom prst="rect">
                            <a:avLst/>
                          </a:prstGeom>
                          <a:noFill/>
                          <a:ln>
                            <a:noFill/>
                          </a:ln>
                        </pic:spPr>
                      </pic:pic>
                    </a:graphicData>
                  </a:graphic>
                </wp:inline>
              </w:drawing>
            </w:r>
          </w:p>
        </w:tc>
      </w:tr>
      <w:tr w14:paraId="7DED9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02CA73F8">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a</w:t>
            </w:r>
            <w:r>
              <w:rPr>
                <w:rFonts w:hint="eastAsia" w:ascii="Times New Roman" w:hAnsi="Times New Roman" w:eastAsia="宋体" w:cs="Times New Roman"/>
                <w:kern w:val="0"/>
                <w:sz w:val="18"/>
                <w:szCs w:val="18"/>
                <w:lang w:val="zh-CN"/>
              </w:rPr>
              <w:t>）宽频多正弦输入时程</w:t>
            </w:r>
          </w:p>
        </w:tc>
        <w:tc>
          <w:tcPr>
            <w:tcW w:w="2411" w:type="dxa"/>
          </w:tcPr>
          <w:p w14:paraId="3B2F6C6F">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b</w:t>
            </w:r>
            <w:r>
              <w:rPr>
                <w:rFonts w:hint="eastAsia" w:ascii="Times New Roman" w:hAnsi="Times New Roman" w:eastAsia="宋体" w:cs="Times New Roman"/>
                <w:kern w:val="0"/>
                <w:sz w:val="18"/>
                <w:szCs w:val="18"/>
                <w:lang w:val="zh-CN"/>
              </w:rPr>
              <w:t>）输入能量覆盖识别频带</w:t>
            </w:r>
          </w:p>
        </w:tc>
      </w:tr>
      <w:tr w14:paraId="66B70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2D6C42BA">
            <w:pPr>
              <w:spacing w:before="80" w:after="40"/>
              <w:jc w:val="center"/>
              <w:rPr>
                <w:rFonts w:hint="eastAsia" w:ascii="Times New Roman" w:hAnsi="Times New Roman" w:eastAsia="宋体" w:cs="Times New Roman"/>
                <w:kern w:val="0"/>
                <w:sz w:val="18"/>
                <w:szCs w:val="18"/>
                <w:vertAlign w:val="baseline"/>
                <w:lang w:val="zh-CN" w:eastAsia="zh-CN"/>
              </w:rPr>
            </w:pPr>
            <w:r>
              <w:drawing>
                <wp:inline distT="0" distB="0" distL="114300" distR="114300">
                  <wp:extent cx="1440180" cy="1080770"/>
                  <wp:effectExtent l="0" t="0" r="7620" b="508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9"/>
                          <a:stretch>
                            <a:fillRect/>
                          </a:stretch>
                        </pic:blipFill>
                        <pic:spPr>
                          <a:xfrm>
                            <a:off x="0" y="0"/>
                            <a:ext cx="1440180" cy="1080770"/>
                          </a:xfrm>
                          <a:prstGeom prst="rect">
                            <a:avLst/>
                          </a:prstGeom>
                          <a:noFill/>
                          <a:ln>
                            <a:noFill/>
                          </a:ln>
                        </pic:spPr>
                      </pic:pic>
                    </a:graphicData>
                  </a:graphic>
                </wp:inline>
              </w:drawing>
            </w:r>
          </w:p>
        </w:tc>
        <w:tc>
          <w:tcPr>
            <w:tcW w:w="2411" w:type="dxa"/>
          </w:tcPr>
          <w:p w14:paraId="7959DFF5">
            <w:pPr>
              <w:spacing w:before="80" w:after="40"/>
              <w:jc w:val="center"/>
              <w:rPr>
                <w:rFonts w:hint="eastAsia" w:ascii="Times New Roman" w:hAnsi="Times New Roman" w:eastAsia="宋体" w:cs="Times New Roman"/>
                <w:kern w:val="0"/>
                <w:sz w:val="18"/>
                <w:szCs w:val="18"/>
                <w:vertAlign w:val="baseline"/>
                <w:lang w:val="zh-CN"/>
              </w:rPr>
            </w:pPr>
            <w:r>
              <w:drawing>
                <wp:inline distT="0" distB="0" distL="114300" distR="114300">
                  <wp:extent cx="1440180" cy="1080770"/>
                  <wp:effectExtent l="0" t="0" r="7620"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10"/>
                          <a:stretch>
                            <a:fillRect/>
                          </a:stretch>
                        </pic:blipFill>
                        <pic:spPr>
                          <a:xfrm>
                            <a:off x="0" y="0"/>
                            <a:ext cx="1440180" cy="1080770"/>
                          </a:xfrm>
                          <a:prstGeom prst="rect">
                            <a:avLst/>
                          </a:prstGeom>
                          <a:noFill/>
                          <a:ln>
                            <a:noFill/>
                          </a:ln>
                        </pic:spPr>
                      </pic:pic>
                    </a:graphicData>
                  </a:graphic>
                </wp:inline>
              </w:drawing>
            </w:r>
          </w:p>
        </w:tc>
      </w:tr>
      <w:tr w14:paraId="48A80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768C22F">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c</w:t>
            </w:r>
            <w:r>
              <w:rPr>
                <w:rFonts w:hint="eastAsia" w:ascii="Times New Roman" w:hAnsi="Times New Roman" w:eastAsia="宋体" w:cs="Times New Roman"/>
                <w:kern w:val="0"/>
                <w:sz w:val="18"/>
                <w:szCs w:val="18"/>
                <w:lang w:val="zh-CN"/>
              </w:rPr>
              <w:t>）复比值幅值</w:t>
            </w:r>
          </w:p>
        </w:tc>
        <w:tc>
          <w:tcPr>
            <w:tcW w:w="2411" w:type="dxa"/>
          </w:tcPr>
          <w:p w14:paraId="764BEC3C">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d</w:t>
            </w:r>
            <w:r>
              <w:rPr>
                <w:rFonts w:hint="eastAsia" w:ascii="Times New Roman" w:hAnsi="Times New Roman" w:eastAsia="宋体" w:cs="Times New Roman"/>
                <w:kern w:val="0"/>
                <w:sz w:val="18"/>
                <w:szCs w:val="18"/>
                <w:lang w:val="zh-CN"/>
              </w:rPr>
              <w:t>）复比值保留相位信息</w:t>
            </w:r>
          </w:p>
        </w:tc>
      </w:tr>
    </w:tbl>
    <w:p w14:paraId="337DC015">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图3 P061宽频系统识别与复频响提取</w:t>
      </w:r>
    </w:p>
    <w:p w14:paraId="46961D0F">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3 Broadband identification of the complex FRF</w:t>
      </w:r>
    </w:p>
    <w:p w14:paraId="65C15215">
      <w:pPr>
        <w:spacing w:before="0" w:after="0"/>
        <w:ind w:firstLine="420"/>
        <w:jc w:val="both"/>
        <w:rPr>
          <w:rFonts w:hint="eastAsia" w:ascii="Times New Roman" w:hAnsi="Times New Roman" w:eastAsia="宋体" w:cs="Times New Roman"/>
          <w:b/>
          <w:i w:val="0"/>
          <w:sz w:val="24"/>
        </w:rPr>
      </w:pPr>
      <w:r>
        <w:rPr>
          <w:rFonts w:hint="eastAsia" w:ascii="Times New Roman" w:hAnsi="Times New Roman" w:eastAsia="宋体" w:cs="Times New Roman"/>
          <w:b w:val="0"/>
          <w:i w:val="0"/>
          <w:sz w:val="21"/>
        </w:rPr>
        <w:t>为了比较不同地表区段和频带的响应，将上平台A段、坡面B段和下平台C段分别定义为</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w:t>
      </w:r>
      <m:oMath>
        <m:r>
          <m:rPr/>
          <m:t>0</m:t>
        </m:r>
        <m:r>
          <m:rPr>
            <m:sty m:val="p"/>
          </m:rPr>
          <m:t>&lt;</m:t>
        </m:r>
        <m:r>
          <m:rPr/>
          <m:t>s</m:t>
        </m:r>
        <m:r>
          <m:rPr>
            <m:sty m:val="p"/>
          </m:rPr>
          <m:t>≤</m:t>
        </m:r>
        <m:r>
          <m:rPr/>
          <m:t>1</m:t>
        </m:r>
      </m:oMath>
      <w:r>
        <w:rPr>
          <w:rFonts w:hint="eastAsia" w:ascii="Times New Roman" w:hAnsi="Times New Roman" w:eastAsia="宋体" w:cs="Times New Roman"/>
          <w:b w:val="0"/>
          <w:i w:val="0"/>
          <w:sz w:val="21"/>
        </w:rPr>
        <w:t>和</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，低、中、高频分别取</w:t>
      </w:r>
      <m:oMath>
        <m:r>
          <m:rPr>
            <m:sty m:val="p"/>
          </m:rPr>
          <m:t>[</m:t>
        </m:r>
        <m:r>
          <m:rPr/>
          <m:t>0.5</m:t>
        </m:r>
        <m:r>
          <m:rPr>
            <m:sty m:val="p"/>
          </m:rPr>
          <m:t>,</m:t>
        </m:r>
        <m:r>
          <m:rPr/>
          <m:t>3</m:t>
        </m:r>
        <m:r>
          <m:rPr>
            <m:sty m:val="p"/>
          </m:rPr>
          <m:t>)</m:t>
        </m:r>
      </m:oMath>
      <w:r>
        <w:rPr>
          <w:rFonts w:hint="eastAsia" w:ascii="Times New Roman" w:hAnsi="Times New Roman" w:eastAsia="宋体" w:cs="Times New Roman"/>
          <w:b w:val="0"/>
          <w:i w:val="0"/>
          <w:sz w:val="21"/>
        </w:rPr>
        <w:t>、</w:t>
      </w:r>
      <m:oMath>
        <m:r>
          <m:rPr>
            <m:sty m:val="p"/>
          </m:rPr>
          <m:t>[</m:t>
        </m:r>
        <m:r>
          <m:rPr/>
          <m:t>3</m:t>
        </m:r>
        <m:r>
          <m:rPr>
            <m:sty m:val="p"/>
          </m:rPr>
          <m:t>,</m:t>
        </m:r>
        <m:r>
          <m:rPr/>
          <m:t>6</m:t>
        </m:r>
        <m:r>
          <m:rPr>
            <m:sty m:val="p"/>
          </m:rPr>
          <m:t>)</m:t>
        </m:r>
      </m:oMath>
      <w:r>
        <w:rPr>
          <w:rFonts w:hint="eastAsia" w:ascii="Times New Roman" w:hAnsi="Times New Roman" w:eastAsia="宋体" w:cs="Times New Roman"/>
          <w:b w:val="0"/>
          <w:i w:val="0"/>
          <w:sz w:val="21"/>
        </w:rPr>
        <w:t>和</w:t>
      </w:r>
      <m:oMath>
        <m:r>
          <m:rPr>
            <m:sty m:val="p"/>
          </m:rPr>
          <m:t>[</m:t>
        </m:r>
        <m:r>
          <m:rPr/>
          <m:t>6</m:t>
        </m:r>
        <m:r>
          <m:rPr>
            <m:sty m:val="p"/>
          </m:rPr>
          <m:t>,</m:t>
        </m:r>
        <m:r>
          <m:rPr/>
          <m:t>10</m:t>
        </m:r>
        <m:r>
          <m:rPr>
            <m:sty m:val="p"/>
          </m:rPr>
          <m:t>]</m:t>
        </m:r>
      </m:oMath>
      <w:r>
        <w:rPr>
          <w:rFonts w:hint="eastAsia" w:ascii="Times New Roman" w:hAnsi="Times New Roman" w:eastAsia="宋体" w:cs="Times New Roman"/>
          <w:b w:val="0"/>
          <w:i w:val="0"/>
          <w:sz w:val="21"/>
        </w:rPr>
        <w:t xml:space="preserve"> Hz。</w:t>
      </w:r>
    </w:p>
    <w:p w14:paraId="51CAAEE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2.</w:t>
      </w:r>
      <w:r>
        <w:rPr>
          <w:rFonts w:hint="eastAsia" w:ascii="Times New Roman" w:hAnsi="Times New Roman" w:eastAsia="宋体" w:cs="Times New Roman"/>
          <w:b/>
          <w:i w:val="0"/>
          <w:sz w:val="24"/>
          <w:lang w:val="en-US" w:eastAsia="zh-CN"/>
        </w:rPr>
        <w:t>3</w:t>
      </w:r>
      <w:r>
        <w:rPr>
          <w:rFonts w:hint="eastAsia" w:ascii="Times New Roman" w:hAnsi="Times New Roman" w:eastAsia="宋体" w:cs="Times New Roman"/>
          <w:b/>
          <w:i w:val="0"/>
          <w:sz w:val="24"/>
        </w:rPr>
        <w:t xml:space="preserve"> 数值结果校核</w:t>
      </w:r>
    </w:p>
    <w:p w14:paraId="289612A0">
      <w:pPr>
        <w:spacing w:before="0" w:after="0"/>
        <w:ind w:firstLine="420"/>
        <w:jc w:val="both"/>
      </w:pPr>
      <w:r>
        <w:rPr>
          <w:rFonts w:hint="eastAsia" w:ascii="Times New Roman" w:hAnsi="Times New Roman" w:eastAsia="宋体" w:cs="Times New Roman"/>
          <w:b w:val="0"/>
          <w:i w:val="0"/>
          <w:sz w:val="21"/>
        </w:rPr>
        <w:t>采用SPECFEM2D</w:t>
      </w:r>
      <w:r>
        <w:rPr>
          <w:rFonts w:hint="eastAsia" w:ascii="Times New Roman" w:hAnsi="Times New Roman" w:eastAsia="宋体" w:cs="Times New Roman"/>
          <w:b w:val="0"/>
          <w:i w:val="0"/>
          <w:sz w:val="21"/>
          <w:vertAlign w:val="superscript"/>
        </w:rPr>
        <w:t>[3</w:t>
      </w:r>
      <w:r>
        <w:rPr>
          <w:rFonts w:hint="default" w:ascii="Times New Roman" w:hAnsi="Times New Roman" w:eastAsia="宋体" w:cs="Times New Roman"/>
          <w:b w:val="0"/>
          <w:i w:val="0"/>
          <w:sz w:val="21"/>
          <w:vertAlign w:val="superscript"/>
          <w:lang w:val="en-US"/>
        </w:rPr>
        <w:t>5</w:t>
      </w:r>
      <w:r>
        <w:rPr>
          <w:rFonts w:hint="eastAsia" w:ascii="Times New Roman" w:hAnsi="Times New Roman" w:eastAsia="宋体" w:cs="Times New Roman"/>
          <w:b w:val="0"/>
          <w:i w:val="0"/>
          <w:sz w:val="21"/>
          <w:vertAlign w:val="superscript"/>
        </w:rPr>
        <w:t>]</w:t>
      </w:r>
      <w:r>
        <w:rPr>
          <w:rFonts w:hint="eastAsia" w:ascii="Times New Roman" w:hAnsi="Times New Roman" w:eastAsia="宋体" w:cs="Times New Roman"/>
          <w:b w:val="0"/>
          <w:i w:val="0"/>
          <w:sz w:val="21"/>
        </w:rPr>
        <w:t>计算60°均质坡H004和同坡角软厚成层坡P061，输入统一采用4 Hz Ricker脉冲。图2给出了Abaqus与SPECFEM2D计算的地表水平、竖向PGA空间曲线，归一化均方根误差（NRMSE）和峰位差见表2。</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2411"/>
      </w:tblGrid>
      <w:tr w14:paraId="7DBE8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3D10B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1"/>
                          <a:stretch>
                            <a:fillRect/>
                          </a:stretch>
                        </pic:blipFill>
                        <pic:spPr>
                          <a:xfrm>
                            <a:off x="0" y="0"/>
                            <a:ext cx="1440180" cy="1019175"/>
                          </a:xfrm>
                          <a:prstGeom prst="rect">
                            <a:avLst/>
                          </a:prstGeom>
                          <a:noFill/>
                          <a:ln>
                            <a:noFill/>
                          </a:ln>
                        </pic:spPr>
                      </pic:pic>
                    </a:graphicData>
                  </a:graphic>
                </wp:inline>
              </w:drawing>
            </w:r>
          </w:p>
        </w:tc>
        <w:tc>
          <w:tcPr>
            <w:tcW w:w="2411" w:type="dxa"/>
          </w:tcPr>
          <w:p w14:paraId="01654DF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2"/>
                          <a:stretch>
                            <a:fillRect/>
                          </a:stretch>
                        </pic:blipFill>
                        <pic:spPr>
                          <a:xfrm>
                            <a:off x="0" y="0"/>
                            <a:ext cx="1440180" cy="1019175"/>
                          </a:xfrm>
                          <a:prstGeom prst="rect">
                            <a:avLst/>
                          </a:prstGeom>
                          <a:noFill/>
                          <a:ln>
                            <a:noFill/>
                          </a:ln>
                        </pic:spPr>
                      </pic:pic>
                    </a:graphicData>
                  </a:graphic>
                </wp:inline>
              </w:drawing>
            </w:r>
          </w:p>
        </w:tc>
      </w:tr>
      <w:tr w14:paraId="6BBBB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3EDFC16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a</w:t>
            </w:r>
            <w:r>
              <w:rPr>
                <w:rFonts w:hint="eastAsia" w:ascii="Times New Roman" w:hAnsi="Times New Roman" w:eastAsia="宋体" w:cs="Times New Roman"/>
                <w:kern w:val="0"/>
                <w:sz w:val="18"/>
                <w:szCs w:val="18"/>
                <w:lang w:val="zh-CN"/>
              </w:rPr>
              <w:t>）X001：H004水平分量</w:t>
            </w:r>
          </w:p>
        </w:tc>
        <w:tc>
          <w:tcPr>
            <w:tcW w:w="2411" w:type="dxa"/>
          </w:tcPr>
          <w:p w14:paraId="0EFECA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（b）X001：H004竖向分量</w:t>
            </w:r>
          </w:p>
        </w:tc>
      </w:tr>
      <w:tr w14:paraId="63DF7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4708C6E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3"/>
                          <a:stretch>
                            <a:fillRect/>
                          </a:stretch>
                        </pic:blipFill>
                        <pic:spPr>
                          <a:xfrm>
                            <a:off x="0" y="0"/>
                            <a:ext cx="1440180" cy="1019175"/>
                          </a:xfrm>
                          <a:prstGeom prst="rect">
                            <a:avLst/>
                          </a:prstGeom>
                          <a:noFill/>
                          <a:ln>
                            <a:noFill/>
                          </a:ln>
                        </pic:spPr>
                      </pic:pic>
                    </a:graphicData>
                  </a:graphic>
                </wp:inline>
              </w:drawing>
            </w:r>
          </w:p>
        </w:tc>
        <w:tc>
          <w:tcPr>
            <w:tcW w:w="2411" w:type="dxa"/>
          </w:tcPr>
          <w:p w14:paraId="57E595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14"/>
                          <a:stretch>
                            <a:fillRect/>
                          </a:stretch>
                        </pic:blipFill>
                        <pic:spPr>
                          <a:xfrm>
                            <a:off x="0" y="0"/>
                            <a:ext cx="1440180" cy="1019175"/>
                          </a:xfrm>
                          <a:prstGeom prst="rect">
                            <a:avLst/>
                          </a:prstGeom>
                          <a:noFill/>
                          <a:ln>
                            <a:noFill/>
                          </a:ln>
                        </pic:spPr>
                      </pic:pic>
                    </a:graphicData>
                  </a:graphic>
                </wp:inline>
              </w:drawing>
            </w:r>
          </w:p>
        </w:tc>
      </w:tr>
      <w:tr w14:paraId="0D654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15243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c</w:t>
            </w:r>
            <w:r>
              <w:rPr>
                <w:rFonts w:hint="eastAsia" w:ascii="Times New Roman" w:hAnsi="Times New Roman" w:eastAsia="宋体" w:cs="Times New Roman"/>
                <w:kern w:val="0"/>
                <w:sz w:val="18"/>
                <w:szCs w:val="18"/>
                <w:lang w:val="zh-CN"/>
              </w:rPr>
              <w:t>）X002：P061水平分量</w:t>
            </w:r>
          </w:p>
        </w:tc>
        <w:tc>
          <w:tcPr>
            <w:tcW w:w="2411" w:type="dxa"/>
          </w:tcPr>
          <w:p w14:paraId="370A0B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d</w:t>
            </w:r>
            <w:r>
              <w:rPr>
                <w:rFonts w:hint="eastAsia" w:ascii="Times New Roman" w:hAnsi="Times New Roman" w:eastAsia="宋体" w:cs="Times New Roman"/>
                <w:kern w:val="0"/>
                <w:sz w:val="18"/>
                <w:szCs w:val="18"/>
                <w:lang w:val="zh-CN"/>
              </w:rPr>
              <w:t>）X002：P061竖向分量</w:t>
            </w:r>
          </w:p>
        </w:tc>
      </w:tr>
    </w:tbl>
    <w:p w14:paraId="5E3F4B12">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图2 Abaqus与SPECFEM2D地表PGA对比</w:t>
      </w:r>
    </w:p>
    <w:p w14:paraId="56FEEE1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2 Cross-software comparison of surface PGA</w:t>
      </w:r>
    </w:p>
    <w:p w14:paraId="41DE2634">
      <w:pPr>
        <w:spacing w:before="0" w:after="0"/>
        <w:ind w:firstLine="420"/>
        <w:jc w:val="both"/>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ascii="Times New Roman" w:hAnsi="Times New Roman" w:eastAsia="宋体" w:cs="Times New Roman"/>
          <w:b w:val="0"/>
          <w:i w:val="0"/>
          <w:sz w:val="21"/>
          <w:lang w:val="en-US" w:eastAsia="zh-CN"/>
        </w:rPr>
        <w:t>结果显示，两套软件计算的地表PGA空间曲线总体吻合：均质坡H004的水平与竖向PGA曲线NRMSE分别为5.6%和7.3%，软厚成层坡P061分别为3.6%和10.2%；PGA峰值位置的归一化坐标偏差不超过0.07。Abaqus与SPECFEM2D在单元离散、波动输入与边界实现上相互独立，上述量级的偏差主要来自网格离散与散射波细节的差异，不改变坡顶放大、坡面振荡与下平台干涉等主要空间特征。据此认为，本文模型的黏弹性人工边界与等效节点力输入可为后续宽频复频响分析提供可靠的数值基础。</w:t>
      </w:r>
    </w:p>
    <w:p w14:paraId="17650631">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3 成层坡地地震动放大特征与参数影响规律</w:t>
      </w:r>
    </w:p>
    <w:p w14:paraId="52ECA1B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rPr>
          <w:rFonts w:hint="eastAsia" w:ascii="Times New Roman" w:hAnsi="Times New Roman" w:eastAsia="宋体" w:cs="Times New Roman"/>
          <w:b/>
          <w:i w:val="0"/>
          <w:sz w:val="24"/>
        </w:rPr>
      </w:pPr>
      <w:r>
        <w:rPr>
          <w:rFonts w:hint="eastAsia" w:ascii="Times New Roman" w:hAnsi="Times New Roman" w:eastAsia="宋体" w:cs="Times New Roman"/>
          <w:b/>
          <w:i w:val="0"/>
          <w:sz w:val="24"/>
        </w:rPr>
        <w:t>3.1 成层坡地地震动放大的总体特征</w:t>
      </w:r>
    </w:p>
    <w:p w14:paraId="7A7CAC7A">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rPr>
          <w:rFonts w:hint="eastAsia" w:ascii="Times New Roman" w:hAnsi="Times New Roman" w:eastAsia="宋体" w:cs="Times New Roman"/>
          <w:b/>
          <w:i w:val="0"/>
          <w:sz w:val="24"/>
        </w:rPr>
      </w:pPr>
      <w:r>
        <w:rPr>
          <w:rFonts w:hint="eastAsia" w:ascii="Times New Roman" w:hAnsi="Times New Roman" w:eastAsia="宋体" w:cs="Times New Roman"/>
          <w:b/>
          <w:i w:val="0"/>
          <w:sz w:val="24"/>
        </w:rPr>
        <w:t>3.2 坡角及覆盖层参数的影响</w:t>
      </w:r>
    </w:p>
    <w:p w14:paraId="659131CA">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1"/>
        </w:rPr>
      </w:pPr>
      <w:r>
        <w:rPr>
          <w:rFonts w:hint="eastAsia" w:ascii="Times New Roman" w:hAnsi="Times New Roman" w:eastAsia="宋体" w:cs="Times New Roman"/>
          <w:b/>
          <w:i w:val="0"/>
          <w:sz w:val="21"/>
        </w:rPr>
        <w:t>3.2.1 坡角的影响</w:t>
      </w:r>
    </w:p>
    <w:p w14:paraId="58D89F96">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1"/>
        </w:rPr>
      </w:pPr>
      <w:r>
        <w:rPr>
          <w:rFonts w:hint="eastAsia" w:ascii="Times New Roman" w:hAnsi="Times New Roman" w:eastAsia="宋体" w:cs="Times New Roman"/>
          <w:b/>
          <w:i w:val="0"/>
          <w:sz w:val="21"/>
        </w:rPr>
        <w:t>3.2.2 覆盖层厚度的影响</w:t>
      </w:r>
    </w:p>
    <w:p w14:paraId="29C25970">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1"/>
        </w:rPr>
      </w:pPr>
      <w:r>
        <w:rPr>
          <w:rFonts w:hint="eastAsia" w:ascii="Times New Roman" w:hAnsi="Times New Roman" w:eastAsia="宋体" w:cs="Times New Roman"/>
          <w:b/>
          <w:i w:val="0"/>
          <w:sz w:val="21"/>
        </w:rPr>
        <w:t>3.2.3 覆盖层波速比的影响</w:t>
      </w:r>
    </w:p>
    <w:p w14:paraId="556DBE85">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rPr>
          <w:rFonts w:hint="eastAsia" w:ascii="Times New Roman" w:hAnsi="Times New Roman" w:eastAsia="宋体" w:cs="Times New Roman"/>
          <w:b/>
          <w:i w:val="0"/>
          <w:sz w:val="24"/>
        </w:rPr>
      </w:pPr>
      <w:r>
        <w:rPr>
          <w:rFonts w:hint="eastAsia" w:ascii="Times New Roman" w:hAnsi="Times New Roman" w:eastAsia="宋体" w:cs="Times New Roman"/>
          <w:b/>
          <w:i w:val="0"/>
          <w:sz w:val="24"/>
        </w:rPr>
        <w:t>3.3 参数耦合与放大机制</w:t>
      </w:r>
    </w:p>
    <w:p w14:paraId="37D63655">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1"/>
        </w:rPr>
      </w:pPr>
      <w:r>
        <w:rPr>
          <w:rFonts w:hint="eastAsia" w:ascii="Times New Roman" w:hAnsi="Times New Roman" w:eastAsia="宋体" w:cs="Times New Roman"/>
          <w:b/>
          <w:i w:val="0"/>
          <w:sz w:val="21"/>
        </w:rPr>
        <w:t>3.3.1 参数交互作用与主控因素</w:t>
      </w:r>
    </w:p>
    <w:p w14:paraId="10FB83E5">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rPr>
          <w:rFonts w:hint="eastAsia" w:ascii="Times New Roman" w:hAnsi="Times New Roman" w:eastAsia="宋体" w:cs="Times New Roman"/>
          <w:b/>
          <w:i w:val="0"/>
          <w:sz w:val="21"/>
        </w:rPr>
      </w:pPr>
      <w:r>
        <w:rPr>
          <w:rFonts w:hint="eastAsia" w:ascii="Times New Roman" w:hAnsi="Times New Roman" w:eastAsia="宋体" w:cs="Times New Roman"/>
          <w:b/>
          <w:i w:val="0"/>
          <w:sz w:val="21"/>
        </w:rPr>
        <w:t>3.3.2 非单调放大与主峰迁移</w:t>
      </w:r>
    </w:p>
    <w:p w14:paraId="7C58B547">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rPr>
          <w:rFonts w:hint="eastAsia" w:ascii="Times New Roman" w:hAnsi="Times New Roman" w:eastAsia="宋体" w:cs="Times New Roman"/>
          <w:b/>
          <w:i w:val="0"/>
          <w:sz w:val="28"/>
        </w:rPr>
      </w:pPr>
      <w:r>
        <w:rPr>
          <w:rFonts w:hint="eastAsia" w:ascii="Times New Roman" w:hAnsi="Times New Roman" w:eastAsia="宋体" w:cs="Times New Roman"/>
          <w:b/>
          <w:i w:val="0"/>
          <w:sz w:val="28"/>
        </w:rPr>
        <w:t>4 基于POD-GPR的成层坡地地震动放大预测</w:t>
      </w:r>
    </w:p>
    <w:p w14:paraId="20923AA9">
      <w:pPr>
        <w:spacing w:before="0" w:after="0"/>
        <w:ind w:firstLine="420"/>
        <w:jc w:val="both"/>
        <w:rPr>
          <w:rFonts w:hint="eastAsia" w:ascii="Times New Roman" w:hAnsi="Times New Roman" w:eastAsia="宋体" w:cs="Times New Roman"/>
          <w:b/>
          <w:i w:val="0"/>
          <w:sz w:val="28"/>
          <w:lang w:val="en-US" w:eastAsia="zh-CN"/>
        </w:rPr>
      </w:pPr>
      <w:r>
        <w:rPr>
          <w:rFonts w:hint="eastAsia" w:ascii="Times New Roman" w:hAnsi="Times New Roman" w:eastAsia="宋体" w:cs="Times New Roman"/>
          <w:b w:val="0"/>
          <w:i w:val="0"/>
          <w:sz w:val="21"/>
        </w:rPr>
        <w:t>本文采</w:t>
      </w:r>
      <w:r>
        <w:rPr>
          <w:rFonts w:hint="eastAsia" w:ascii="Times New Roman" w:hAnsi="Times New Roman" w:eastAsia="宋体" w:cs="Times New Roman"/>
          <w:b w:val="0"/>
          <w:i w:val="0"/>
          <w:sz w:val="21"/>
          <w:lang w:val="en-US" w:eastAsia="zh-CN"/>
        </w:rPr>
        <w:t>用</w:t>
      </w:r>
    </w:p>
    <w:p w14:paraId="5B6427C4">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5 结论</w:t>
      </w:r>
    </w:p>
    <w:p w14:paraId="53F88B7D">
      <w:pPr>
        <w:spacing w:before="0" w:after="0"/>
        <w:ind w:firstLine="420"/>
        <w:jc w:val="both"/>
      </w:pPr>
      <w:r>
        <w:rPr>
          <w:rFonts w:hint="eastAsia" w:ascii="Times New Roman" w:hAnsi="Times New Roman" w:eastAsia="宋体" w:cs="Times New Roman"/>
          <w:b w:val="0"/>
          <w:i w:val="0"/>
          <w:sz w:val="21"/>
        </w:rPr>
        <w:t>本文采用黏弹性人工边界和等效节点力方法，建立了地震波斜入射下的二维线弹性成层坡地模型</w:t>
      </w:r>
      <w:r>
        <w:rPr>
          <w:rFonts w:hint="eastAsia" w:ascii="Times New Roman" w:hAnsi="Times New Roman" w:eastAsia="宋体" w:cs="Times New Roman"/>
          <w:b w:val="0"/>
          <w:i w:val="0"/>
          <w:sz w:val="21"/>
          <w:lang w:eastAsia="zh-CN"/>
        </w:rPr>
        <w:t>。</w:t>
      </w:r>
      <w:r>
        <w:rPr>
          <w:rFonts w:hint="eastAsia" w:ascii="Times New Roman" w:hAnsi="Times New Roman" w:eastAsia="宋体" w:cs="Times New Roman"/>
          <w:b w:val="0"/>
          <w:i w:val="0"/>
          <w:sz w:val="21"/>
        </w:rPr>
        <w:t>在此基础上，利用宽频复频响识别研究坡角、覆盖层厚度比和波速比对地表地震动的影响，进一步构建POD-GPR代理模型并开展训练外组合评价和真实地震波闭环验证，主要得出以下结论：</w:t>
      </w:r>
    </w:p>
    <w:p w14:paraId="7236E7C7">
      <w:pPr>
        <w:spacing w:before="0" w:after="0"/>
        <w:ind w:firstLine="420"/>
        <w:jc w:val="both"/>
      </w:pPr>
      <w:r>
        <w:rPr>
          <w:rFonts w:ascii="宋体" w:hAnsi="Calibri" w:eastAsia="宋体" w:cs="宋体"/>
          <w:kern w:val="0"/>
          <w:szCs w:val="21"/>
          <w:lang w:val="zh-CN"/>
        </w:rPr>
        <w:t>1</w:t>
      </w:r>
      <w:r>
        <w:rPr>
          <w:rFonts w:hint="eastAsia" w:ascii="宋体" w:hAnsi="Calibri" w:eastAsia="宋体" w:cs="宋体"/>
          <w:kern w:val="0"/>
          <w:szCs w:val="21"/>
          <w:lang w:val="zh-CN"/>
        </w:rPr>
        <w:t>）</w:t>
      </w:r>
    </w:p>
    <w:p w14:paraId="7BF628E4">
      <w:pPr>
        <w:spacing w:before="312" w:after="60"/>
        <w:ind w:firstLine="0"/>
        <w:jc w:val="left"/>
        <w:rPr>
          <w:rFonts w:hint="eastAsia" w:eastAsia="宋体"/>
          <w:lang w:val="en-US" w:eastAsia="zh-CN"/>
        </w:rPr>
      </w:pPr>
      <w:r>
        <w:rPr>
          <w:rFonts w:hint="eastAsia" w:ascii="Times New Roman" w:hAnsi="Times New Roman" w:eastAsia="宋体" w:cs="Times New Roman"/>
          <w:b/>
          <w:i w:val="0"/>
          <w:sz w:val="28"/>
        </w:rPr>
        <w:t>参考文献</w:t>
      </w:r>
      <w:r>
        <w:rPr>
          <w:rFonts w:hint="eastAsia" w:ascii="Times New Roman" w:hAnsi="Times New Roman" w:eastAsia="宋体" w:cs="Times New Roman"/>
          <w:b/>
          <w:i w:val="0"/>
          <w:sz w:val="28"/>
          <w:lang w:val="en-US" w:eastAsia="zh-CN"/>
        </w:rPr>
        <w:t>：</w:t>
      </w:r>
    </w:p>
    <w:p w14:paraId="4A7984F5">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ascii="Times New Roman" w:hAnsi="Times New Roman"/>
          <w:sz w:val="18"/>
          <w:szCs w:val="18"/>
        </w:rPr>
      </w:pPr>
      <w:r>
        <w:rPr>
          <w:rFonts w:hint="eastAsia" w:ascii="Times New Roman" w:hAnsi="Times New Roman"/>
          <w:sz w:val="18"/>
          <w:szCs w:val="18"/>
        </w:rPr>
        <w:t>[1] DAVIS L L, WEST L R. Observed effects of topography on ground motion[J]. Bulletin of the Seismological Society of America, 1973, 63(1): 283-298.</w:t>
      </w:r>
    </w:p>
    <w:p w14:paraId="060B921C">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 ÇELEBI M. Topographical and geological amplifications determined from strong-motion and aftershock records of the 3 March 1985 Chile earthquake[J]. Bulletin of the Seismological Society of America, 1987, 77(4): 1147-1167.</w:t>
      </w:r>
    </w:p>
    <w:p w14:paraId="7C9BCEB1">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 GELI L, BARD P Y, JULLIEN B. The effect of topography on earthquake ground motion: a review and new results[J]. Bulletin of the Seismological Society of America, 1988, 78(1): 42-63.</w:t>
      </w:r>
    </w:p>
    <w:p w14:paraId="6FBF4717">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[4] 胡聿贤, 孙平善, 章在墉, 等. 场地条件对震害和地震动的影响[J]. 地震工程与工程振动, 1980(0): 34-41.</w:t>
      </w:r>
    </w:p>
    <w:p w14:paraId="16D4D317">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HU Yu-xian, SUN Ping-shan, ZHANG Zai-yong, et al. Influence of site conditions on earthquake damage and ground motion[J]. Earthquake Engineering and Engineering Vibration, 1980(0): 34-41.</w:t>
      </w:r>
    </w:p>
    <w:p w14:paraId="71F0A8F9">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[5] European Committee for Standardization. Eurocode 8: design of structures for earthquake resistance[S]. Brussels: CEN, 2004.</w:t>
      </w:r>
    </w:p>
    <w:p w14:paraId="61544678">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[6] 中华人民共和国住房和城乡建设部. 建筑抗震设计规范: GB 50011—2010（2016年版）[S]. 北京: 中国建筑工业出版社, 2016.</w:t>
      </w:r>
    </w:p>
    <w:p w14:paraId="428D791B">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Ministry of Housing and Urban-Rural Development of the People's Republic of China. Code for seismic design of buildings: GB 50011—2010 (2016 edition)[S]. Beijing: China Architecture and Building Press, 2016.</w:t>
      </w:r>
    </w:p>
    <w:p w14:paraId="090A9C2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[7] LI H, LIU Y, LIU L, et al. Numerical evaluation of topographic effects on seismic response of single-faced rock slopes[J]. Bulletin of Engineering Geology and the Environment, 2019, 78(3): 1873-1891.</w:t>
      </w:r>
    </w:p>
    <w:p w14:paraId="2E08EEA6">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[8] SHEN H, LIU Y, LI H, et al. Numerical evaluation of ground motion amplification of rock slopes under obliquely incident seismic waves[J]. Soil Dynamics and Earthquake Engineering, 2024, 178: 108488.</w:t>
      </w:r>
    </w:p>
    <w:p w14:paraId="21A3DF2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[9] 赵仕兴, 杨姝姮, 唐元旭, 等. 四川泸定6.8级地震震中区域建筑震害考察与思考[J]. 建筑结构, 2023, 53(7): 1-8.</w:t>
      </w:r>
    </w:p>
    <w:p w14:paraId="7FBF85D0">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ZHAO Shi-xing, YANG Shu-heng, TANG Yuan-xu, et al. Investigation and analysis of building damage in the epicentral area of the Luding Ms 6.8 earthquake in Sichuan[J]. Building Structure, 2023, 53(7): 1-8.</w:t>
      </w:r>
    </w:p>
    <w:p w14:paraId="2423057A">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[10]王鹏程, 罗永红, 刘红枫, 等. “9·5”四川泸定Ms6.8级地震诱发磨西台地地震响应分析[J]. 山地学报, 2024, 42(4): 576-590.</w:t>
      </w:r>
    </w:p>
    <w:p w14:paraId="05C2EBC8">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WANG Peng-cheng, LUO Yong-hong, LIU Hong-feng, et al. Seismic response of the Moxi terrace induced by the “9·5” Luding Ms 6.8 earthquake, Sichuan[J]. Journal of Mountain Science, 2024, 42(4): 576-590.</w:t>
      </w:r>
    </w:p>
    <w:p w14:paraId="54B3B4A2">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[11]潘毅, 任靖哲, 任宇, 等. 考虑台地效应的泸定6.8级地震某框架结构震害调查与分析[J]. 土木工程学报, 2024, 57(6): 136-151.</w:t>
      </w:r>
    </w:p>
    <w:p w14:paraId="5C9B20EF">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PAN Yi, REN Jing-zhe, REN Yu, et al. Seismic damage investigation and analysis of a frame structure considering the terrace effect in the Luding Ms 6.8 earthquake[J]. China Civil Engineering Journal, 2024, 57(6): 136-151.</w:t>
      </w:r>
    </w:p>
    <w:p w14:paraId="5B344D95">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[12]BOUCKOVALAS G D, PAPADIMITRIOU A G. Numerical evaluation of slope topography effects on seismic ground motion[J]. Soil Dynamics and Earthquake Engineering, 2005, 25(7-10): 547-558.</w:t>
      </w:r>
    </w:p>
    <w:p w14:paraId="47D728C2">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[13]ZHANG Z, FLEURISSON J A, PELLET F. The effects of slope topography on acceleration amplification and interaction between slope topography and seismic input motion[J]. Soil Dynamics and Earthquake Engineering, 2018, 113: 420-431.</w:t>
      </w:r>
    </w:p>
    <w:p w14:paraId="2F27D03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[14]GALLIPOLI M R, BIANCA M, MUCCIARELLI M, et al. Topographic versus stratigraphic amplification: mismatch between code provisions and observations during the L'Aquila (Italy, 2009) sequence[J]. Bulletin of Earthquake Engineering, 2013, 11(5): 1325-1336.</w:t>
      </w:r>
    </w:p>
    <w:p w14:paraId="64421C1F">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[15]HAILEMIKAEL S, LENTI L, MARTINO S, et al. Ground-motion amplification at the Colle di Roio ridge, central Italy: a combined effect of stratigraphy and topography[J]. Geophysical Journal International, 2016, 206(1): 1-18.</w:t>
      </w:r>
    </w:p>
    <w:p w14:paraId="07B6EFE5">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[16]TRIPE R, KONTOE S, WONG T K C. Slope topography effects on ground motion in the presence of deep soil layers[J]. Soil Dynamics and Earthquake Engineering, 2013, 50: 72-84.</w:t>
      </w:r>
    </w:p>
    <w:p w14:paraId="66085C7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[17]ASSIMAKI D, KAUSEL E, GAZETAS G. Soil-dependent topographic effects: a case study from the 1999 Athens Earthquake[J]. Earthquake Spectra, 2005, 21(4): 929-966.</w:t>
      </w:r>
    </w:p>
    <w:p w14:paraId="001DCE08">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[18]SHEN H, LIU Y, LI X, et al. The combined amplification effects of topography and stratigraphy of layered rock slopes under vertically and obliquely incident seismic waves[J]. Soil Dynamics and Earthquake Engineering, 2025, 193: 109331.</w:t>
      </w:r>
    </w:p>
    <w:p w14:paraId="5A5B447F">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[19]RIZZITANO S, CASCONE E, BIONDI G. Coupling of topographic and stratigraphic effects on seismic response of slopes through 2D linear and equivalent linear analyses[J]. Soil Dynamics and Earthquake Engineering, 2014, 67: 66-84.</w:t>
      </w:r>
    </w:p>
    <w:p w14:paraId="227E98FB">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[20]PELEKIS P, BATILAS A, PEFANI E, et al. Surface topography and site stratigraphy effects on the seismic response of a slope in the Achaia-Ilia (Greece) 2008 Mw6.4 earthquake[J]. Soil Dynamics and Earthquake Engineering, 2017, 100: 538-554.</w:t>
      </w:r>
    </w:p>
    <w:p w14:paraId="528235CD">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[21]LUO Y, FAN X, HUANG R, et al. Topographic and near-surface stratigraphic amplification of the seismic response of a mountain slope revealed by field monitoring and numerical simulations[J]. Engineering Geology, 2020, 271: 105607.</w:t>
      </w:r>
    </w:p>
    <w:p w14:paraId="790FBD33">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[22]VAHDANI S, WIKSTROM S. Response of the Tarzana strong motion site during the 1994 Northridge earthquake[J]. Soil Dynamics and Earthquake Engineering, 2002, 22(9): 837-848.</w:t>
      </w:r>
    </w:p>
    <w:p w14:paraId="2273D23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[23]ASHFORD S A, SITAR N. Analysis of topographic amplification of inclined shear waves in a steep coastal bluff[J]. Bulletin of the Seismological Society of America, 1997, 87(3): 692-700.</w:t>
      </w:r>
    </w:p>
    <w:p w14:paraId="14C9C2F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[24]申辉, 刘亚群, 刘博, 等. 地震波斜入射下岩质边坡放大效应的数值模拟研究[J]. 岩土力学, 2023, 44(7): 2129-2142.</w:t>
      </w:r>
    </w:p>
    <w:p w14:paraId="4DC8494F">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SHEN Hui, LIU Ya-qun, LIU Bo, et al. Numerical study on the amplification effect of rock slopes under oblique incidence of seismic waves[J]. Rock and Soil Mechanics, 2023, 44(7): 2129-2142.</w:t>
      </w:r>
    </w:p>
    <w:p w14:paraId="48E51B4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[25]陈咏珊. 基于卷积神经网络预测下哈特盆地地表地震动放大特征[D]. 广州: 广东工业大学, 2023.</w:t>
      </w:r>
    </w:p>
    <w:p w14:paraId="7CF2BA26">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CHEN Yong-shan. Prediction of surface ground motion amplification characteristics of the Lower Hutt Basin based on convolutional neural network[D]. Guangzhou: Guangdong University of Technology, 2023.</w:t>
      </w:r>
    </w:p>
    <w:p w14:paraId="0F9FC6B3">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[26]赵嘉玮. 基于机器学习算法的复杂场地地震动放大效应和非线性效应预测模型研究[D]. 天津: 天津城建大学, 2024.</w:t>
      </w:r>
    </w:p>
    <w:p w14:paraId="6295B65F">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ZHAO Jia-wei. Research on prediction models of ground motion amplification and nonlinear effects in complex sites based on machine learning algorithms[D]. Tianjin: Tianjin Chengjian University, 2024.</w:t>
      </w:r>
    </w:p>
    <w:p w14:paraId="1B852CB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[27]罗麒锐, 赵仕兴, 吴启红, 等. 基于地形参数的地震动放大系数数值分析与预测方法[J]. 建筑结构, 2025, 55(2): 50-57, 35.</w:t>
      </w:r>
    </w:p>
    <w:p w14:paraId="1652052C">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LUO Qi-rui, ZHAO Shi-xing, WU Qi-hong, et al. Numerical analysis and prediction method of ground motion amplification factor based on topographic parameters[J]. Building Structure, 2025, 55(2): 50-57, 35.</w:t>
      </w:r>
    </w:p>
    <w:p w14:paraId="596C2FFB">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[28]周红, 常莹. 利用BP神经网络技术建立自贡地区地震动地形效应模型及其在汶川地震中的效验[J]. 地球物理学报, 2022, 65(6): 2022-2034.</w:t>
      </w:r>
    </w:p>
    <w:p w14:paraId="5A91A63E">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ZHOU Hong, CHANG Ying. A ground motion topographic effect model for the Zigong area based on BP neural network and its validation in the Wenchuan earthquake[J]. Chinese Journal of Geophysics, 2022, 65(6): 2022-2034.</w:t>
      </w:r>
    </w:p>
    <w:p w14:paraId="394E9AA9">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[29]ZHOU H, LI J, CHEN X. Establishment of a seismic topographic effect prediction model in the Lushan Ms 7.0 earthquake area[J]. Geophysical Journal International, 2020, 221(1): 273-288.</w:t>
      </w:r>
    </w:p>
    <w:p w14:paraId="5C484A6D">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[30]TAVAKOLI H, SOLEIMANI KUTANAEI S. Evaluation of effect of soil characteristics on the seismic amplification factor using the neural network and reliability concept[J]. Arabian Journal of Geosciences, 2015, 8(6): 3881-3891.</w:t>
      </w:r>
    </w:p>
    <w:p w14:paraId="674F017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[31]Dassault Systèmes. Abaqus 2021 documentation[CP/OL]. Providence (RI): Dassault Systèmes SIMULIA Corp., 2021.</w:t>
      </w:r>
    </w:p>
    <w:p w14:paraId="7F1BA4A8">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[32]刘晶波, 谷音, 杜义欣. 粘弹性人工边界及粘弹性边界单元[J]. 土木工程学报, 2006, 39(2): 31-36.</w:t>
      </w:r>
    </w:p>
    <w:p w14:paraId="558632D9">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LIU Jing-bo, GU Yin, DU Yi-xin. Viscoelastic artificial boundary and viscoelastic boundary element[J]. China Civil Engineering Journal, 2006, 39(2): 31-36.</w:t>
      </w:r>
    </w:p>
    <w:p w14:paraId="188AB71A">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[33]BIELAK J, LOUKAS K, HISADA Y, et al. Domain reduction method for computing earthquake ground motions in localized regions. Part I: Theory[J]. Bulletin of the Seismological Society of America, 2003, 93(2): 817-824.</w:t>
      </w:r>
    </w:p>
    <w:p w14:paraId="046FD4E6">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default" w:ascii="Times New Roman" w:hAnsi="Times New Roman"/>
          <w:sz w:val="18"/>
          <w:szCs w:val="18"/>
          <w:lang w:val="en-US" w:eastAsia="zh-CN"/>
        </w:rPr>
      </w:pPr>
      <w:r>
        <w:rPr>
          <w:rFonts w:hint="default" w:ascii="Times New Roman" w:hAnsi="Times New Roman"/>
          <w:sz w:val="18"/>
          <w:szCs w:val="18"/>
          <w:lang w:val="en-US" w:eastAsia="zh-CN"/>
        </w:rPr>
        <w:t>[34]张季, 谭灿星, 叶国涛, 等. SV波超临界角斜入射时层状地基地震动输入在ABAQUS中的实现[J]. 工程力学, 2021, 38(4): 200-210.</w:t>
      </w:r>
    </w:p>
    <w:p w14:paraId="6499C23B">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default" w:ascii="Times New Roman" w:hAnsi="Times New Roman"/>
          <w:sz w:val="18"/>
          <w:szCs w:val="18"/>
          <w:lang w:val="en-US" w:eastAsia="zh-CN"/>
        </w:rPr>
      </w:pPr>
      <w:r>
        <w:rPr>
          <w:rFonts w:hint="default" w:ascii="Times New Roman" w:hAnsi="Times New Roman"/>
          <w:sz w:val="18"/>
          <w:szCs w:val="18"/>
          <w:lang w:val="en-US" w:eastAsia="zh-CN"/>
        </w:rPr>
        <w:t>ZHANG Ji, TAN Can-xing, YE Guo-tao, et al. Realization of ground motion input in ABAQUS for layered foundation under SV wave of oblique incidence over critical angle[J]. Engineering Mechanics, 2021, 38(4): 200-210.</w:t>
      </w:r>
    </w:p>
    <w:p w14:paraId="37137650">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w:t>
      </w:r>
      <w:r>
        <w:rPr>
          <w:rFonts w:hint="default" w:ascii="Times New Roman" w:hAnsi="Times New Roman"/>
          <w:sz w:val="18"/>
          <w:szCs w:val="18"/>
          <w:lang w:val="en-US"/>
        </w:rPr>
        <w:t>5</w:t>
      </w:r>
      <w:r>
        <w:rPr>
          <w:rFonts w:hint="eastAsia" w:ascii="Times New Roman" w:hAnsi="Times New Roman"/>
          <w:sz w:val="18"/>
          <w:szCs w:val="18"/>
        </w:rPr>
        <w:t>]SPECFEM2D Development Team. SPECFEM2D Cartesian user guide (v8.1.0)[CP/OL]. [2026-08-24]. https://github.com/geodynamics/specfem2d.</w:t>
      </w:r>
    </w:p>
    <w:sectPr>
      <w:headerReference r:id="rId4" w:type="default"/>
      <w:type w:val="continuous"/>
      <w:pgSz w:w="11906" w:h="16838"/>
      <w:pgMar w:top="1418" w:right="1134" w:bottom="1418" w:left="1134" w:header="851" w:footer="850" w:gutter="0"/>
      <w:cols w:space="425" w:num="2"/>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DDD3D9A">
      <w:pPr>
        <w:pStyle w:val="6"/>
        <w:rPr>
          <w:rFonts w:ascii="Times New Roman" w:hAnsi="Times New Roman" w:eastAsia="宋体" w:cs="Times New Roman"/>
        </w:rPr>
      </w:pPr>
      <w:r>
        <w:rPr>
          <w:rFonts w:ascii="Times New Roman" w:hAnsi="Times New Roman" w:eastAsia="宋体" w:cs="Times New Roman"/>
        </w:rPr>
        <w:t>收稿日期：2019-10-20</w:t>
      </w:r>
    </w:p>
    <w:p w14:paraId="3B912E2A">
      <w:pPr>
        <w:pStyle w:val="6"/>
        <w:rPr>
          <w:rFonts w:ascii="Times New Roman" w:hAnsi="Times New Roman" w:eastAsia="宋体" w:cs="Times New Roman"/>
        </w:rPr>
      </w:pPr>
      <w:r>
        <w:rPr>
          <w:rFonts w:ascii="Times New Roman" w:hAnsi="Times New Roman" w:eastAsia="宋体" w:cs="Times New Roman"/>
        </w:rPr>
        <w:t>基金项目：</w:t>
      </w:r>
      <w:r>
        <w:rPr>
          <w:rFonts w:hint="eastAsia" w:ascii="Times New Roman" w:hAnsi="Times New Roman" w:eastAsia="宋体" w:cs="Times New Roman"/>
        </w:rPr>
        <w:t>国家自然科学基金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；重庆市自然科学基金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p>
    <w:p w14:paraId="4BA4C657">
      <w:pPr>
        <w:pStyle w:val="6"/>
        <w:rPr>
          <w:rFonts w:ascii="Times New Roman" w:hAnsi="Times New Roman" w:eastAsia="宋体" w:cs="Times New Roman"/>
        </w:rPr>
      </w:pPr>
      <w:r>
        <w:rPr>
          <w:rFonts w:ascii="Times New Roman" w:hAnsi="Times New Roman" w:eastAsia="宋体" w:cs="Times New Roman"/>
        </w:rPr>
        <w:t>作者简介：</w:t>
      </w:r>
      <w:r>
        <w:rPr>
          <w:rFonts w:hint="eastAsia" w:ascii="Times New Roman" w:hAnsi="Times New Roman" w:eastAsia="宋体" w:cs="Times New Roman"/>
        </w:rPr>
        <w:t>李**</w:t>
      </w:r>
      <w:r>
        <w:rPr>
          <w:rFonts w:ascii="Times New Roman" w:hAnsi="Times New Roman" w:eastAsia="宋体" w:cs="Times New Roman"/>
        </w:rPr>
        <w:t>**（1985- ）</w:t>
      </w:r>
      <w:r>
        <w:rPr>
          <w:rFonts w:hint="eastAsia" w:ascii="Times New Roman" w:hAnsi="Times New Roman" w:eastAsia="宋体" w:cs="Times New Roman"/>
        </w:rPr>
        <w:t>，男，</w:t>
      </w:r>
      <w:r>
        <w:rPr>
          <w:rFonts w:ascii="Times New Roman" w:hAnsi="Times New Roman" w:eastAsia="宋体" w:cs="Times New Roman"/>
        </w:rPr>
        <w:t>博士，副教授</w:t>
      </w:r>
      <w:r>
        <w:rPr>
          <w:rFonts w:hint="eastAsia" w:ascii="Times New Roman" w:hAnsi="Times New Roman" w:eastAsia="宋体" w:cs="Times New Roman"/>
        </w:rPr>
        <w:t>，</w:t>
      </w:r>
      <w:r>
        <w:rPr>
          <w:rFonts w:ascii="Times New Roman" w:hAnsi="Times New Roman" w:eastAsia="宋体" w:cs="Times New Roman"/>
        </w:rPr>
        <w:t>主要从事</w:t>
      </w:r>
      <w:r>
        <w:rPr>
          <w:rFonts w:hint="eastAsia" w:ascii="Times New Roman" w:hAnsi="Times New Roman" w:eastAsia="宋体" w:cs="Times New Roman"/>
        </w:rPr>
        <w:t>钢筋混凝土结构</w:t>
      </w:r>
      <w:r>
        <w:rPr>
          <w:rFonts w:ascii="Times New Roman" w:hAnsi="Times New Roman" w:eastAsia="宋体" w:cs="Times New Roman"/>
        </w:rPr>
        <w:t>研究，E-mail：</w:t>
      </w:r>
      <w:r>
        <w:rPr>
          <w:rFonts w:hint="eastAsia" w:ascii="Times New Roman" w:hAnsi="Times New Roman" w:eastAsia="宋体" w:cs="Times New Roman"/>
        </w:rPr>
        <w:t>***@*******</w:t>
      </w:r>
    </w:p>
    <w:p w14:paraId="0B59E395">
      <w:pPr>
        <w:pStyle w:val="6"/>
        <w:ind w:firstLine="900" w:firstLineChars="500"/>
        <w:rPr>
          <w:rFonts w:ascii="Times New Roman" w:hAnsi="Times New Roman" w:eastAsia="宋体" w:cs="Times New Roman"/>
        </w:rPr>
      </w:pPr>
      <w:r>
        <w:rPr>
          <w:rFonts w:hint="eastAsia" w:ascii="Times New Roman" w:hAnsi="Times New Roman" w:eastAsia="宋体" w:cs="Times New Roman"/>
        </w:rPr>
        <w:t>王**</w:t>
      </w:r>
      <w:r>
        <w:rPr>
          <w:rFonts w:ascii="Times New Roman" w:hAnsi="Times New Roman" w:eastAsia="宋体" w:cs="Times New Roman"/>
        </w:rPr>
        <w:t>**（通信作者），</w:t>
      </w:r>
      <w:r>
        <w:rPr>
          <w:rFonts w:hint="eastAsia" w:ascii="Times New Roman" w:hAnsi="Times New Roman" w:eastAsia="宋体" w:cs="Times New Roman"/>
        </w:rPr>
        <w:t>男，</w:t>
      </w:r>
      <w:r>
        <w:rPr>
          <w:rFonts w:ascii="Times New Roman" w:hAnsi="Times New Roman" w:eastAsia="宋体" w:cs="Times New Roman"/>
        </w:rPr>
        <w:t>教授，</w:t>
      </w:r>
      <w:r>
        <w:rPr>
          <w:rFonts w:hint="eastAsia" w:ascii="Times New Roman" w:hAnsi="Times New Roman" w:eastAsia="宋体" w:cs="Times New Roman"/>
        </w:rPr>
        <w:t>博士生导师，</w:t>
      </w:r>
      <w:r>
        <w:rPr>
          <w:rFonts w:ascii="Times New Roman" w:hAnsi="Times New Roman" w:eastAsia="宋体" w:cs="Times New Roman"/>
        </w:rPr>
        <w:t>E-mail</w:t>
      </w:r>
      <w:r>
        <w:rPr>
          <w:rFonts w:hint="eastAsia" w:ascii="Times New Roman" w:hAnsi="Times New Roman" w:eastAsia="宋体" w:cs="Times New Roman"/>
        </w:rPr>
        <w:t>：***@*******。</w:t>
      </w:r>
    </w:p>
    <w:p w14:paraId="127C74CB">
      <w:pPr>
        <w:pStyle w:val="6"/>
        <w:rPr>
          <w:rFonts w:ascii="Times New Roman" w:hAnsi="Times New Roman" w:eastAsia="宋体" w:cs="Times New Roman"/>
        </w:rPr>
      </w:pPr>
      <w:r>
        <w:rPr>
          <w:rFonts w:ascii="Times New Roman" w:hAnsi="Times New Roman" w:eastAsia="宋体" w:cs="Times New Roman"/>
        </w:rPr>
        <w:t>Received: 2019-10-20</w:t>
      </w:r>
    </w:p>
    <w:p w14:paraId="4B9942EC">
      <w:pPr>
        <w:pStyle w:val="6"/>
        <w:ind w:left="850" w:hanging="849" w:hangingChars="472"/>
        <w:rPr>
          <w:rFonts w:ascii="Times New Roman" w:hAnsi="Times New Roman" w:eastAsia="宋体" w:cs="Times New Roman"/>
        </w:rPr>
      </w:pPr>
      <w:r>
        <w:rPr>
          <w:rFonts w:ascii="Times New Roman" w:hAnsi="Times New Roman" w:eastAsia="宋体" w:cs="Times New Roman"/>
        </w:rPr>
        <w:t xml:space="preserve">Foundation items: </w:t>
      </w:r>
      <w:r>
        <w:rPr>
          <w:rFonts w:hint="eastAsia" w:ascii="Times New Roman" w:hAnsi="Times New Roman" w:eastAsia="宋体" w:cs="Times New Roman"/>
        </w:rPr>
        <w:t>National</w:t>
      </w:r>
      <w:r>
        <w:rPr>
          <w:rFonts w:ascii="Times New Roman" w:hAnsi="Times New Roman" w:eastAsia="宋体" w:cs="Times New Roman"/>
        </w:rPr>
        <w:t xml:space="preserve"> </w:t>
      </w:r>
      <w:r>
        <w:rPr>
          <w:rFonts w:hint="eastAsia" w:ascii="Times New Roman" w:hAnsi="Times New Roman" w:eastAsia="宋体" w:cs="Times New Roman"/>
        </w:rPr>
        <w:t>Natural</w:t>
      </w:r>
      <w:r>
        <w:rPr>
          <w:rFonts w:ascii="Times New Roman" w:hAnsi="Times New Roman" w:eastAsia="宋体" w:cs="Times New Roman"/>
        </w:rPr>
        <w:t xml:space="preserve"> </w:t>
      </w:r>
      <w:r>
        <w:rPr>
          <w:rFonts w:hint="eastAsia" w:ascii="Times New Roman" w:hAnsi="Times New Roman" w:eastAsia="宋体" w:cs="Times New Roman"/>
        </w:rPr>
        <w:t>Science</w:t>
      </w:r>
      <w:r>
        <w:rPr>
          <w:rFonts w:ascii="Times New Roman" w:hAnsi="Times New Roman" w:eastAsia="宋体" w:cs="Times New Roman"/>
        </w:rPr>
        <w:t xml:space="preserve"> </w:t>
      </w:r>
      <w:r>
        <w:rPr>
          <w:rFonts w:hint="eastAsia" w:ascii="Times New Roman" w:hAnsi="Times New Roman" w:eastAsia="宋体" w:cs="Times New Roman"/>
        </w:rPr>
        <w:t>Foundation</w:t>
      </w:r>
      <w:r>
        <w:rPr>
          <w:rFonts w:ascii="Times New Roman" w:hAnsi="Times New Roman" w:eastAsia="宋体" w:cs="Times New Roman"/>
        </w:rPr>
        <w:t xml:space="preserve"> </w:t>
      </w:r>
      <w:r>
        <w:rPr>
          <w:rFonts w:hint="eastAsia" w:ascii="Times New Roman" w:hAnsi="Times New Roman" w:eastAsia="宋体" w:cs="Times New Roman"/>
        </w:rPr>
        <w:t>of</w:t>
      </w:r>
      <w:r>
        <w:rPr>
          <w:rFonts w:ascii="Times New Roman" w:hAnsi="Times New Roman" w:eastAsia="宋体" w:cs="Times New Roman"/>
        </w:rPr>
        <w:t xml:space="preserve"> </w:t>
      </w:r>
      <w:r>
        <w:rPr>
          <w:rFonts w:hint="eastAsia" w:ascii="Times New Roman" w:hAnsi="Times New Roman" w:eastAsia="宋体" w:cs="Times New Roman"/>
        </w:rPr>
        <w:t>China</w:t>
      </w:r>
      <w:r>
        <w:rPr>
          <w:rFonts w:ascii="Times New Roman" w:hAnsi="Times New Roman" w:eastAsia="宋体" w:cs="Times New Roman"/>
        </w:rPr>
        <w:t xml:space="preserve"> (No.</w:t>
      </w:r>
      <w:r>
        <w:t xml:space="preserve"> </w:t>
      </w:r>
      <w:r>
        <w:rPr>
          <w:rFonts w:hint="eastAsia"/>
        </w:rPr>
        <w:t>********</w:t>
      </w:r>
      <w:r>
        <w:rPr>
          <w:rFonts w:ascii="Times New Roman" w:hAnsi="Times New Roman" w:eastAsia="宋体" w:cs="Times New Roman"/>
        </w:rPr>
        <w:t>); Natural Science Foundation of Ch</w:t>
      </w:r>
      <w:r>
        <w:rPr>
          <w:rFonts w:hint="eastAsia" w:ascii="Times New Roman" w:hAnsi="Times New Roman" w:eastAsia="宋体" w:cs="Times New Roman"/>
        </w:rPr>
        <w:t>ongqing</w:t>
      </w:r>
      <w:r>
        <w:rPr>
          <w:rFonts w:ascii="Times New Roman" w:hAnsi="Times New Roman" w:eastAsia="宋体" w:cs="Times New Roman"/>
        </w:rPr>
        <w:t xml:space="preserve"> (No. ********)</w:t>
      </w:r>
    </w:p>
    <w:p w14:paraId="51A933E5">
      <w:pPr>
        <w:pStyle w:val="6"/>
        <w:rPr>
          <w:rFonts w:ascii="Times New Roman" w:hAnsi="Times New Roman" w:eastAsia="宋体" w:cs="Times New Roman"/>
        </w:rPr>
      </w:pPr>
      <w:r>
        <w:rPr>
          <w:rFonts w:ascii="Times New Roman" w:hAnsi="Times New Roman" w:eastAsia="宋体" w:cs="Times New Roman"/>
        </w:rPr>
        <w:t>Author brief: LI **** (1985- ),</w:t>
      </w:r>
      <w:r>
        <w:rPr>
          <w:rFonts w:hint="eastAsia" w:ascii="Times New Roman" w:hAnsi="Times New Roman" w:eastAsia="宋体" w:cs="Times New Roman"/>
        </w:rPr>
        <w:t xml:space="preserve"> PhD</w:t>
      </w:r>
      <w:r>
        <w:rPr>
          <w:rFonts w:ascii="Times New Roman" w:hAnsi="Times New Roman" w:eastAsia="宋体" w:cs="Times New Roman"/>
        </w:rPr>
        <w:t xml:space="preserve">, associate professor, </w:t>
      </w:r>
      <w:r>
        <w:rPr>
          <w:rFonts w:hint="eastAsia" w:ascii="Times New Roman" w:hAnsi="Times New Roman" w:eastAsia="宋体" w:cs="Times New Roman"/>
        </w:rPr>
        <w:t xml:space="preserve">main research interest: </w:t>
      </w:r>
      <w:r>
        <w:rPr>
          <w:rFonts w:ascii="Times New Roman" w:hAnsi="Times New Roman" w:eastAsia="宋体" w:cs="Times New Roman"/>
        </w:rPr>
        <w:t>reinforced concrete structure</w:t>
      </w:r>
      <w:r>
        <w:rPr>
          <w:rFonts w:hint="eastAsia" w:ascii="Times New Roman" w:hAnsi="Times New Roman" w:eastAsia="宋体" w:cs="Times New Roman"/>
        </w:rPr>
        <w:t>, E-mail: ***@*******</w:t>
      </w:r>
    </w:p>
    <w:p w14:paraId="24F2303A">
      <w:pPr>
        <w:pStyle w:val="6"/>
        <w:rPr>
          <w:rFonts w:ascii="Times New Roman" w:hAnsi="Times New Roman" w:eastAsia="宋体" w:cs="Times New Roman"/>
          <w:sz w:val="18"/>
        </w:rPr>
      </w:pPr>
      <w:r>
        <w:rPr>
          <w:rFonts w:ascii="Times New Roman" w:hAnsi="Times New Roman" w:eastAsia="宋体" w:cs="Times New Roman"/>
        </w:rPr>
        <w:t xml:space="preserve">           WANG **** (corresponding author), professor, doctorial supervisor, </w:t>
      </w:r>
      <w:r>
        <w:rPr>
          <w:rFonts w:hint="eastAsia" w:ascii="Times New Roman" w:hAnsi="Times New Roman" w:eastAsia="宋体" w:cs="Times New Roman"/>
        </w:rPr>
        <w:t>***@*******</w:t>
      </w:r>
      <w:r>
        <w:rPr>
          <w:rFonts w:ascii="Times New Roman" w:hAnsi="Times New Roman" w:eastAsia="宋体"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0306">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C1"/>
    <w:rsid w:val="00004B44"/>
    <w:rsid w:val="00023407"/>
    <w:rsid w:val="00027410"/>
    <w:rsid w:val="00031E8C"/>
    <w:rsid w:val="000416C9"/>
    <w:rsid w:val="000435C0"/>
    <w:rsid w:val="00044F03"/>
    <w:rsid w:val="00054A2E"/>
    <w:rsid w:val="000718DF"/>
    <w:rsid w:val="00072C77"/>
    <w:rsid w:val="000741AC"/>
    <w:rsid w:val="0008292A"/>
    <w:rsid w:val="00085045"/>
    <w:rsid w:val="000920D8"/>
    <w:rsid w:val="00094C1D"/>
    <w:rsid w:val="00095927"/>
    <w:rsid w:val="000B2582"/>
    <w:rsid w:val="000C0CD4"/>
    <w:rsid w:val="000C5221"/>
    <w:rsid w:val="000C7792"/>
    <w:rsid w:val="000D439F"/>
    <w:rsid w:val="000D5399"/>
    <w:rsid w:val="000E3AA9"/>
    <w:rsid w:val="000E3E53"/>
    <w:rsid w:val="000E60BB"/>
    <w:rsid w:val="000F2143"/>
    <w:rsid w:val="000F4E33"/>
    <w:rsid w:val="00103C2C"/>
    <w:rsid w:val="0010546E"/>
    <w:rsid w:val="00112CA7"/>
    <w:rsid w:val="00117D81"/>
    <w:rsid w:val="00120AEA"/>
    <w:rsid w:val="001235BC"/>
    <w:rsid w:val="001329D2"/>
    <w:rsid w:val="00137A65"/>
    <w:rsid w:val="00143FDA"/>
    <w:rsid w:val="0014410F"/>
    <w:rsid w:val="00146EF8"/>
    <w:rsid w:val="00151411"/>
    <w:rsid w:val="00154090"/>
    <w:rsid w:val="001565A6"/>
    <w:rsid w:val="001571D4"/>
    <w:rsid w:val="0016037C"/>
    <w:rsid w:val="00161D13"/>
    <w:rsid w:val="001769F1"/>
    <w:rsid w:val="00181824"/>
    <w:rsid w:val="00192224"/>
    <w:rsid w:val="001969AB"/>
    <w:rsid w:val="0019729A"/>
    <w:rsid w:val="001A4266"/>
    <w:rsid w:val="001B02C6"/>
    <w:rsid w:val="001B39A3"/>
    <w:rsid w:val="001B48F8"/>
    <w:rsid w:val="001B53CD"/>
    <w:rsid w:val="001C7547"/>
    <w:rsid w:val="001D0166"/>
    <w:rsid w:val="001D41AC"/>
    <w:rsid w:val="001E3B9A"/>
    <w:rsid w:val="001E3D6E"/>
    <w:rsid w:val="001F0F8A"/>
    <w:rsid w:val="001F394D"/>
    <w:rsid w:val="001F4C3E"/>
    <w:rsid w:val="0020155D"/>
    <w:rsid w:val="00202036"/>
    <w:rsid w:val="00202B43"/>
    <w:rsid w:val="00207B72"/>
    <w:rsid w:val="0021775F"/>
    <w:rsid w:val="00217F26"/>
    <w:rsid w:val="00226006"/>
    <w:rsid w:val="00226766"/>
    <w:rsid w:val="0023707E"/>
    <w:rsid w:val="00247F9C"/>
    <w:rsid w:val="0025341F"/>
    <w:rsid w:val="00262483"/>
    <w:rsid w:val="00265648"/>
    <w:rsid w:val="00271261"/>
    <w:rsid w:val="0027332E"/>
    <w:rsid w:val="00273741"/>
    <w:rsid w:val="002863E6"/>
    <w:rsid w:val="00290572"/>
    <w:rsid w:val="0029451E"/>
    <w:rsid w:val="00296326"/>
    <w:rsid w:val="002966EF"/>
    <w:rsid w:val="00296B18"/>
    <w:rsid w:val="00297A45"/>
    <w:rsid w:val="002B124B"/>
    <w:rsid w:val="002C0069"/>
    <w:rsid w:val="002C0230"/>
    <w:rsid w:val="002C04C4"/>
    <w:rsid w:val="002C3EDF"/>
    <w:rsid w:val="002D110E"/>
    <w:rsid w:val="002D156D"/>
    <w:rsid w:val="002D51EC"/>
    <w:rsid w:val="002E77B2"/>
    <w:rsid w:val="002F7ADD"/>
    <w:rsid w:val="003028DE"/>
    <w:rsid w:val="0030416B"/>
    <w:rsid w:val="003101C2"/>
    <w:rsid w:val="00310271"/>
    <w:rsid w:val="00324229"/>
    <w:rsid w:val="00327089"/>
    <w:rsid w:val="00327D15"/>
    <w:rsid w:val="003300D6"/>
    <w:rsid w:val="00335134"/>
    <w:rsid w:val="003403DB"/>
    <w:rsid w:val="00340979"/>
    <w:rsid w:val="0035415A"/>
    <w:rsid w:val="00361237"/>
    <w:rsid w:val="00362279"/>
    <w:rsid w:val="003622FF"/>
    <w:rsid w:val="00384251"/>
    <w:rsid w:val="003A3A52"/>
    <w:rsid w:val="003B1C12"/>
    <w:rsid w:val="003B5764"/>
    <w:rsid w:val="003C51CF"/>
    <w:rsid w:val="003D1D8E"/>
    <w:rsid w:val="003D1EDE"/>
    <w:rsid w:val="003D4171"/>
    <w:rsid w:val="003E4069"/>
    <w:rsid w:val="003E6DFB"/>
    <w:rsid w:val="003E724D"/>
    <w:rsid w:val="003E7A9B"/>
    <w:rsid w:val="003F09B7"/>
    <w:rsid w:val="003F1596"/>
    <w:rsid w:val="003F1C14"/>
    <w:rsid w:val="004263E7"/>
    <w:rsid w:val="0044751D"/>
    <w:rsid w:val="004479C2"/>
    <w:rsid w:val="0046548A"/>
    <w:rsid w:val="00475E88"/>
    <w:rsid w:val="00477533"/>
    <w:rsid w:val="00481361"/>
    <w:rsid w:val="00493EBA"/>
    <w:rsid w:val="004B1C07"/>
    <w:rsid w:val="004C3392"/>
    <w:rsid w:val="004C4BC5"/>
    <w:rsid w:val="004D1B5F"/>
    <w:rsid w:val="004D3B93"/>
    <w:rsid w:val="004D55A3"/>
    <w:rsid w:val="004D76E0"/>
    <w:rsid w:val="004E7637"/>
    <w:rsid w:val="004F42E9"/>
    <w:rsid w:val="004F4934"/>
    <w:rsid w:val="004F6213"/>
    <w:rsid w:val="00530B31"/>
    <w:rsid w:val="00535253"/>
    <w:rsid w:val="00540EF4"/>
    <w:rsid w:val="00541CDE"/>
    <w:rsid w:val="005534C9"/>
    <w:rsid w:val="0056351D"/>
    <w:rsid w:val="005724B9"/>
    <w:rsid w:val="0057633D"/>
    <w:rsid w:val="005915C3"/>
    <w:rsid w:val="00596F0E"/>
    <w:rsid w:val="005A016A"/>
    <w:rsid w:val="005A7E15"/>
    <w:rsid w:val="005B203B"/>
    <w:rsid w:val="005B70A7"/>
    <w:rsid w:val="005B73A5"/>
    <w:rsid w:val="005D4423"/>
    <w:rsid w:val="005E2A56"/>
    <w:rsid w:val="005E4468"/>
    <w:rsid w:val="005F0AD8"/>
    <w:rsid w:val="005F0D1B"/>
    <w:rsid w:val="005F2146"/>
    <w:rsid w:val="005F4738"/>
    <w:rsid w:val="005F7B0B"/>
    <w:rsid w:val="006040F2"/>
    <w:rsid w:val="0061409F"/>
    <w:rsid w:val="00615AC2"/>
    <w:rsid w:val="00624CD2"/>
    <w:rsid w:val="006254D1"/>
    <w:rsid w:val="00630D16"/>
    <w:rsid w:val="0063285D"/>
    <w:rsid w:val="00636386"/>
    <w:rsid w:val="006413D5"/>
    <w:rsid w:val="006417B7"/>
    <w:rsid w:val="006478E3"/>
    <w:rsid w:val="00651F2F"/>
    <w:rsid w:val="00654477"/>
    <w:rsid w:val="00656323"/>
    <w:rsid w:val="00671E8F"/>
    <w:rsid w:val="00673112"/>
    <w:rsid w:val="006948D9"/>
    <w:rsid w:val="00697DC0"/>
    <w:rsid w:val="006A4097"/>
    <w:rsid w:val="006A4AD7"/>
    <w:rsid w:val="006A6747"/>
    <w:rsid w:val="006B607E"/>
    <w:rsid w:val="006C27F1"/>
    <w:rsid w:val="006C38FB"/>
    <w:rsid w:val="006D4D16"/>
    <w:rsid w:val="006E0EE8"/>
    <w:rsid w:val="006E3AB3"/>
    <w:rsid w:val="006E5717"/>
    <w:rsid w:val="00701EB2"/>
    <w:rsid w:val="007102B0"/>
    <w:rsid w:val="00712A5C"/>
    <w:rsid w:val="0072361A"/>
    <w:rsid w:val="0073715A"/>
    <w:rsid w:val="00740F22"/>
    <w:rsid w:val="0074180F"/>
    <w:rsid w:val="0074716C"/>
    <w:rsid w:val="00752166"/>
    <w:rsid w:val="00755054"/>
    <w:rsid w:val="00762E84"/>
    <w:rsid w:val="00765174"/>
    <w:rsid w:val="00767B8C"/>
    <w:rsid w:val="007710D9"/>
    <w:rsid w:val="00772EF7"/>
    <w:rsid w:val="00776DA2"/>
    <w:rsid w:val="00780474"/>
    <w:rsid w:val="00780908"/>
    <w:rsid w:val="0078379C"/>
    <w:rsid w:val="00785775"/>
    <w:rsid w:val="00792104"/>
    <w:rsid w:val="007932F9"/>
    <w:rsid w:val="007A2794"/>
    <w:rsid w:val="007C0402"/>
    <w:rsid w:val="007C2E6C"/>
    <w:rsid w:val="007C7C22"/>
    <w:rsid w:val="007D11DA"/>
    <w:rsid w:val="007D2BE7"/>
    <w:rsid w:val="007D6BF4"/>
    <w:rsid w:val="007D767C"/>
    <w:rsid w:val="007E4044"/>
    <w:rsid w:val="007E63B1"/>
    <w:rsid w:val="007E74B2"/>
    <w:rsid w:val="007F2284"/>
    <w:rsid w:val="007F4C79"/>
    <w:rsid w:val="00806B24"/>
    <w:rsid w:val="00810147"/>
    <w:rsid w:val="0081591F"/>
    <w:rsid w:val="00827DCF"/>
    <w:rsid w:val="00830191"/>
    <w:rsid w:val="008328AC"/>
    <w:rsid w:val="00842C58"/>
    <w:rsid w:val="00846478"/>
    <w:rsid w:val="00850CC0"/>
    <w:rsid w:val="00853A59"/>
    <w:rsid w:val="00860F04"/>
    <w:rsid w:val="00874DD7"/>
    <w:rsid w:val="0088539F"/>
    <w:rsid w:val="00887C1C"/>
    <w:rsid w:val="00897CF9"/>
    <w:rsid w:val="008A66ED"/>
    <w:rsid w:val="008A7865"/>
    <w:rsid w:val="008B2271"/>
    <w:rsid w:val="008D14C1"/>
    <w:rsid w:val="008D783E"/>
    <w:rsid w:val="008E1511"/>
    <w:rsid w:val="008F098C"/>
    <w:rsid w:val="00900385"/>
    <w:rsid w:val="00901773"/>
    <w:rsid w:val="0090710A"/>
    <w:rsid w:val="00907770"/>
    <w:rsid w:val="00911189"/>
    <w:rsid w:val="0092097F"/>
    <w:rsid w:val="00926065"/>
    <w:rsid w:val="00927222"/>
    <w:rsid w:val="00930007"/>
    <w:rsid w:val="009312B7"/>
    <w:rsid w:val="009335D4"/>
    <w:rsid w:val="009347BD"/>
    <w:rsid w:val="00941434"/>
    <w:rsid w:val="009447C1"/>
    <w:rsid w:val="00950EF0"/>
    <w:rsid w:val="0095461C"/>
    <w:rsid w:val="009765BC"/>
    <w:rsid w:val="00986073"/>
    <w:rsid w:val="00986CCF"/>
    <w:rsid w:val="00990A3D"/>
    <w:rsid w:val="009940E5"/>
    <w:rsid w:val="00997D51"/>
    <w:rsid w:val="009A063D"/>
    <w:rsid w:val="009A77DB"/>
    <w:rsid w:val="009B644F"/>
    <w:rsid w:val="009C1D70"/>
    <w:rsid w:val="009C2732"/>
    <w:rsid w:val="009C2F82"/>
    <w:rsid w:val="009D545A"/>
    <w:rsid w:val="009E153B"/>
    <w:rsid w:val="009E5687"/>
    <w:rsid w:val="009E5B67"/>
    <w:rsid w:val="009E626E"/>
    <w:rsid w:val="009F4DCB"/>
    <w:rsid w:val="00A02EAC"/>
    <w:rsid w:val="00A03BA6"/>
    <w:rsid w:val="00A03E75"/>
    <w:rsid w:val="00A13F57"/>
    <w:rsid w:val="00A2005C"/>
    <w:rsid w:val="00A227E7"/>
    <w:rsid w:val="00A25EE3"/>
    <w:rsid w:val="00A35ED9"/>
    <w:rsid w:val="00A430D4"/>
    <w:rsid w:val="00A4450B"/>
    <w:rsid w:val="00A47ECA"/>
    <w:rsid w:val="00A66D19"/>
    <w:rsid w:val="00A66D2D"/>
    <w:rsid w:val="00A729A0"/>
    <w:rsid w:val="00A86F6F"/>
    <w:rsid w:val="00A91F26"/>
    <w:rsid w:val="00A931D6"/>
    <w:rsid w:val="00A93BFA"/>
    <w:rsid w:val="00AA60C2"/>
    <w:rsid w:val="00AA6CBF"/>
    <w:rsid w:val="00AC0D42"/>
    <w:rsid w:val="00AD7923"/>
    <w:rsid w:val="00AE2593"/>
    <w:rsid w:val="00AE2F57"/>
    <w:rsid w:val="00AF4CCF"/>
    <w:rsid w:val="00B0233D"/>
    <w:rsid w:val="00B02D8E"/>
    <w:rsid w:val="00B165CB"/>
    <w:rsid w:val="00B31C59"/>
    <w:rsid w:val="00B356A6"/>
    <w:rsid w:val="00B37686"/>
    <w:rsid w:val="00B54886"/>
    <w:rsid w:val="00B60D4C"/>
    <w:rsid w:val="00B74148"/>
    <w:rsid w:val="00B87CB1"/>
    <w:rsid w:val="00B9001B"/>
    <w:rsid w:val="00BA3072"/>
    <w:rsid w:val="00BA3B31"/>
    <w:rsid w:val="00BC7802"/>
    <w:rsid w:val="00BD28DB"/>
    <w:rsid w:val="00BE17AB"/>
    <w:rsid w:val="00BF3F93"/>
    <w:rsid w:val="00BF45D8"/>
    <w:rsid w:val="00BF5EC5"/>
    <w:rsid w:val="00BF6749"/>
    <w:rsid w:val="00BF735E"/>
    <w:rsid w:val="00C10698"/>
    <w:rsid w:val="00C11F5F"/>
    <w:rsid w:val="00C14B6A"/>
    <w:rsid w:val="00C211EA"/>
    <w:rsid w:val="00C300A8"/>
    <w:rsid w:val="00C37553"/>
    <w:rsid w:val="00C52281"/>
    <w:rsid w:val="00C56A98"/>
    <w:rsid w:val="00C621A8"/>
    <w:rsid w:val="00C8218A"/>
    <w:rsid w:val="00CA1E26"/>
    <w:rsid w:val="00CA5259"/>
    <w:rsid w:val="00CC0601"/>
    <w:rsid w:val="00CC421E"/>
    <w:rsid w:val="00CC75E4"/>
    <w:rsid w:val="00CD1162"/>
    <w:rsid w:val="00CD3A81"/>
    <w:rsid w:val="00CD3DC5"/>
    <w:rsid w:val="00CD4A1D"/>
    <w:rsid w:val="00CE2AC6"/>
    <w:rsid w:val="00D0118B"/>
    <w:rsid w:val="00D05248"/>
    <w:rsid w:val="00D1165D"/>
    <w:rsid w:val="00D5098E"/>
    <w:rsid w:val="00D528B1"/>
    <w:rsid w:val="00D602DD"/>
    <w:rsid w:val="00D621EE"/>
    <w:rsid w:val="00D66906"/>
    <w:rsid w:val="00D67AA9"/>
    <w:rsid w:val="00D72769"/>
    <w:rsid w:val="00D80CC6"/>
    <w:rsid w:val="00D80CE4"/>
    <w:rsid w:val="00D92873"/>
    <w:rsid w:val="00D941C5"/>
    <w:rsid w:val="00D94CAC"/>
    <w:rsid w:val="00D95784"/>
    <w:rsid w:val="00D9661F"/>
    <w:rsid w:val="00DA28AD"/>
    <w:rsid w:val="00DA5524"/>
    <w:rsid w:val="00DA6D75"/>
    <w:rsid w:val="00DB1410"/>
    <w:rsid w:val="00DB55BB"/>
    <w:rsid w:val="00DB767B"/>
    <w:rsid w:val="00DC59D9"/>
    <w:rsid w:val="00DE5075"/>
    <w:rsid w:val="00DE574B"/>
    <w:rsid w:val="00E033AA"/>
    <w:rsid w:val="00E05AA7"/>
    <w:rsid w:val="00E23206"/>
    <w:rsid w:val="00E24982"/>
    <w:rsid w:val="00E25456"/>
    <w:rsid w:val="00E25E3D"/>
    <w:rsid w:val="00E40024"/>
    <w:rsid w:val="00E420A5"/>
    <w:rsid w:val="00E473D3"/>
    <w:rsid w:val="00E47B10"/>
    <w:rsid w:val="00E51898"/>
    <w:rsid w:val="00E51EF1"/>
    <w:rsid w:val="00E52EFB"/>
    <w:rsid w:val="00E805A4"/>
    <w:rsid w:val="00E847B0"/>
    <w:rsid w:val="00E84DD0"/>
    <w:rsid w:val="00E84F9D"/>
    <w:rsid w:val="00E85B68"/>
    <w:rsid w:val="00E92CBD"/>
    <w:rsid w:val="00EA2312"/>
    <w:rsid w:val="00EA56FC"/>
    <w:rsid w:val="00EA6CED"/>
    <w:rsid w:val="00EB3C1C"/>
    <w:rsid w:val="00EB3FDD"/>
    <w:rsid w:val="00EB4B8F"/>
    <w:rsid w:val="00EC299D"/>
    <w:rsid w:val="00EC48A4"/>
    <w:rsid w:val="00ED36F8"/>
    <w:rsid w:val="00ED7C92"/>
    <w:rsid w:val="00EE176D"/>
    <w:rsid w:val="00EE7056"/>
    <w:rsid w:val="00EF0A4E"/>
    <w:rsid w:val="00EF125A"/>
    <w:rsid w:val="00EF2439"/>
    <w:rsid w:val="00F00C9F"/>
    <w:rsid w:val="00F03110"/>
    <w:rsid w:val="00F15845"/>
    <w:rsid w:val="00F16930"/>
    <w:rsid w:val="00F261C1"/>
    <w:rsid w:val="00F434C2"/>
    <w:rsid w:val="00F4464E"/>
    <w:rsid w:val="00F44AF0"/>
    <w:rsid w:val="00F60200"/>
    <w:rsid w:val="00F61C48"/>
    <w:rsid w:val="00F66FF1"/>
    <w:rsid w:val="00F72E18"/>
    <w:rsid w:val="00F744A9"/>
    <w:rsid w:val="00F74BC4"/>
    <w:rsid w:val="00F74ED8"/>
    <w:rsid w:val="00F74F87"/>
    <w:rsid w:val="00F8302C"/>
    <w:rsid w:val="00F84AB7"/>
    <w:rsid w:val="00FA176A"/>
    <w:rsid w:val="00FA350E"/>
    <w:rsid w:val="00FA4178"/>
    <w:rsid w:val="00FA6697"/>
    <w:rsid w:val="00FB1A18"/>
    <w:rsid w:val="00FB2557"/>
    <w:rsid w:val="00FB6ADF"/>
    <w:rsid w:val="00FC4A6E"/>
    <w:rsid w:val="00FD1446"/>
    <w:rsid w:val="00FD6D67"/>
    <w:rsid w:val="00FE176C"/>
    <w:rsid w:val="00FE2009"/>
    <w:rsid w:val="00FF37FE"/>
    <w:rsid w:val="00FF5137"/>
    <w:rsid w:val="00FF5303"/>
    <w:rsid w:val="02EA4873"/>
    <w:rsid w:val="03062D2F"/>
    <w:rsid w:val="05C92082"/>
    <w:rsid w:val="07BD70D6"/>
    <w:rsid w:val="09AF5E79"/>
    <w:rsid w:val="0BE8725B"/>
    <w:rsid w:val="0DFB40C3"/>
    <w:rsid w:val="12321539"/>
    <w:rsid w:val="165C0576"/>
    <w:rsid w:val="17EB6C6C"/>
    <w:rsid w:val="1A2D5C81"/>
    <w:rsid w:val="1B157B5C"/>
    <w:rsid w:val="20774953"/>
    <w:rsid w:val="240903AF"/>
    <w:rsid w:val="25B53EE3"/>
    <w:rsid w:val="27755BD7"/>
    <w:rsid w:val="33A87648"/>
    <w:rsid w:val="368F480F"/>
    <w:rsid w:val="3B4E2622"/>
    <w:rsid w:val="3DAC188B"/>
    <w:rsid w:val="3E9A59CA"/>
    <w:rsid w:val="3FC96FE3"/>
    <w:rsid w:val="45391F70"/>
    <w:rsid w:val="47DD087D"/>
    <w:rsid w:val="48D25BE3"/>
    <w:rsid w:val="4D9319A3"/>
    <w:rsid w:val="52EF1EDE"/>
    <w:rsid w:val="53D53685"/>
    <w:rsid w:val="53DC6443"/>
    <w:rsid w:val="57AE1ED0"/>
    <w:rsid w:val="5C1D45E7"/>
    <w:rsid w:val="5CC43787"/>
    <w:rsid w:val="5D2D075A"/>
    <w:rsid w:val="5EB8047A"/>
    <w:rsid w:val="6044276F"/>
    <w:rsid w:val="68F27CB8"/>
    <w:rsid w:val="69C674D9"/>
    <w:rsid w:val="6B7D1BE5"/>
    <w:rsid w:val="6D13119B"/>
    <w:rsid w:val="6DD546F2"/>
    <w:rsid w:val="6FA556CA"/>
    <w:rsid w:val="725A4959"/>
    <w:rsid w:val="755A5A0C"/>
    <w:rsid w:val="75656A7A"/>
    <w:rsid w:val="77F425A8"/>
    <w:rsid w:val="7B60511A"/>
    <w:rsid w:val="7E01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unhideWhenUsed/>
    <w:qFormat/>
    <w:uiPriority w:val="99"/>
    <w:pPr>
      <w:snapToGrid w:val="0"/>
      <w:jc w:val="left"/>
    </w:pPr>
    <w:rPr>
      <w:sz w:val="18"/>
      <w:szCs w:val="18"/>
    </w:rPr>
  </w:style>
  <w:style w:type="paragraph" w:styleId="7">
    <w:name w:val="annotation subject"/>
    <w:basedOn w:val="2"/>
    <w:next w:val="2"/>
    <w:link w:val="24"/>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w:basedOn w:val="8"/>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12">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styleId="14">
    <w:name w:val="annotation reference"/>
    <w:basedOn w:val="11"/>
    <w:semiHidden/>
    <w:unhideWhenUsed/>
    <w:qFormat/>
    <w:uiPriority w:val="99"/>
    <w:rPr>
      <w:sz w:val="21"/>
      <w:szCs w:val="21"/>
    </w:rPr>
  </w:style>
  <w:style w:type="character" w:styleId="15">
    <w:name w:val="footnote reference"/>
    <w:basedOn w:val="11"/>
    <w:unhideWhenUsed/>
    <w:qFormat/>
    <w:uiPriority w:val="99"/>
    <w:rPr>
      <w:vertAlign w:val="superscript"/>
    </w:rPr>
  </w:style>
  <w:style w:type="character" w:customStyle="1" w:styleId="16">
    <w:name w:val="批注框文本 字符"/>
    <w:basedOn w:val="11"/>
    <w:link w:val="3"/>
    <w:semiHidden/>
    <w:qFormat/>
    <w:uiPriority w:val="99"/>
    <w:rPr>
      <w:sz w:val="18"/>
      <w:szCs w:val="18"/>
    </w:rPr>
  </w:style>
  <w:style w:type="character" w:customStyle="1" w:styleId="17">
    <w:name w:val="页眉 字符"/>
    <w:basedOn w:val="11"/>
    <w:link w:val="5"/>
    <w:qFormat/>
    <w:uiPriority w:val="99"/>
    <w:rPr>
      <w:sz w:val="18"/>
      <w:szCs w:val="18"/>
    </w:rPr>
  </w:style>
  <w:style w:type="character" w:customStyle="1" w:styleId="18">
    <w:name w:val="页脚 字符"/>
    <w:basedOn w:val="11"/>
    <w:link w:val="4"/>
    <w:qFormat/>
    <w:uiPriority w:val="99"/>
    <w:rPr>
      <w:sz w:val="18"/>
      <w:szCs w:val="18"/>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0">
    <w:name w:val="Placeholder Text"/>
    <w:basedOn w:val="11"/>
    <w:semiHidden/>
    <w:qFormat/>
    <w:uiPriority w:val="99"/>
    <w:rPr>
      <w:color w:val="808080"/>
    </w:rPr>
  </w:style>
  <w:style w:type="character" w:customStyle="1" w:styleId="21">
    <w:name w:val="脚注文本 字符"/>
    <w:basedOn w:val="11"/>
    <w:link w:val="6"/>
    <w:qFormat/>
    <w:uiPriority w:val="99"/>
    <w:rPr>
      <w:sz w:val="18"/>
      <w:szCs w:val="18"/>
    </w:rPr>
  </w:style>
  <w:style w:type="character" w:customStyle="1" w:styleId="22">
    <w:name w:val="15"/>
    <w:basedOn w:val="11"/>
    <w:qFormat/>
    <w:uiPriority w:val="0"/>
    <w:rPr>
      <w:rFonts w:hint="default" w:ascii="Calibri" w:hAnsi="Calibri"/>
      <w:vertAlign w:val="superscript"/>
    </w:rPr>
  </w:style>
  <w:style w:type="character" w:customStyle="1" w:styleId="23">
    <w:name w:val="批注文字 字符"/>
    <w:basedOn w:val="11"/>
    <w:link w:val="2"/>
    <w:semiHidden/>
    <w:qFormat/>
    <w:uiPriority w:val="99"/>
  </w:style>
  <w:style w:type="character" w:customStyle="1" w:styleId="24">
    <w:name w:val="批注主题 字符"/>
    <w:basedOn w:val="23"/>
    <w:link w:val="7"/>
    <w:semiHidden/>
    <w:qFormat/>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176ED-D6A9-4185-9C44-43BA5558406B}">
  <ds:schemaRefs/>
</ds:datastoreItem>
</file>

<file path=docProps/app.xml><?xml version="1.0" encoding="utf-8"?>
<Properties xmlns="http://schemas.openxmlformats.org/officeDocument/2006/extended-properties" xmlns:vt="http://schemas.openxmlformats.org/officeDocument/2006/docPropsVTypes">
  <Template>Normal</Template>
  <Company>MS</Company>
  <Pages>7</Pages>
  <Words>3802</Words>
  <Characters>6094</Characters>
  <Lines>12</Lines>
  <Paragraphs>3</Paragraphs>
  <TotalTime>7</TotalTime>
  <ScaleCrop>false</ScaleCrop>
  <LinksUpToDate>false</LinksUpToDate>
  <CharactersWithSpaces>6523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2020-05-19T01:48:00Z</dcterms:created>
  <dc:creator>USER-</dc:creator>
  <cp:lastModifiedBy>傅宇轩</cp:lastModifiedBy>
  <dcterms:modified xsi:type="dcterms:W3CDTF">2026-09-03T04:21:13Z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95E7BBC65A2148C199F1550A590EC1DF_13</vt:lpwstr>
  </property>
  <property fmtid="{D5CDD505-2E9C-101B-9397-08002B2CF9AE}" pid="4" name="KSOTemplateDocerSaveRecord">
    <vt:lpwstr>eyJoZGlkIjoiM2YxZjgwMDdiMTY0M2JkZGU1ZmU0ZGJlZDBhOWMzN2IiLCJ1c2VySWQiOiIyMTUyODA0MCJ9</vt:lpwstr>
  </property>
</Properties>
</file>