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边坡地震动放大效应研究</w:t>
        <w:br/>
        <w:t>方法有效性、非线性与创新定位说明</w:t>
      </w:r>
    </w:p>
    <w:p>
      <w:pPr>
        <w:spacing w:after="360"/>
        <w:jc w:val="center"/>
      </w:pPr>
      <w:r>
        <w:rPr>
          <w:rFonts w:ascii="宋体" w:hAnsi="宋体" w:eastAsia="宋体"/>
          <w:sz w:val="21"/>
        </w:rPr>
        <w:t>供论文修订、开题/中期检查与答辩沟通使用</w:t>
      </w:r>
    </w:p>
    <w:p>
      <w:pPr>
        <w:keepNext/>
        <w:spacing w:before="360" w:after="200"/>
        <w:jc w:val="left"/>
      </w:pPr>
      <w:r>
        <w:rPr>
          <w:rFonts w:ascii="黑体" w:hAnsi="黑体" w:eastAsia="黑体"/>
          <w:b/>
          <w:sz w:val="28"/>
        </w:rPr>
        <w:t>1 归档结论</w:t>
      </w:r>
    </w:p>
    <w:p>
      <w:pPr>
        <w:spacing w:line="320" w:lineRule="auto" w:after="160"/>
        <w:ind w:firstLine="420"/>
        <w:jc w:val="both"/>
      </w:pPr>
      <w:r>
        <w:rPr>
          <w:rFonts w:ascii="宋体" w:hAnsi="宋体" w:eastAsia="宋体"/>
        </w:rPr>
        <w:t>本研究的切入点仍然成立，但需要从“线性有限元+机器学习直接预测TAF”调整为“斜入射成层坡地中地层放大与地形放大的频率—空间耦合机制、可分离条件及其物理约束预测”。线性有限元不是对真实强震的替代，而是用于构建机制清晰、可大范围扫描、可形成频域基线的零阶模型；等效线性强度扫描用于检验该基线何时开始受到材料强度依赖性的显著修正。</w:t>
      </w:r>
    </w:p>
    <w:p>
      <w:pPr>
        <w:spacing w:line="320" w:lineRule="auto" w:after="160"/>
        <w:ind w:firstLine="420"/>
        <w:jc w:val="both"/>
      </w:pPr>
      <w:r>
        <w:rPr>
          <w:rFonts w:ascii="宋体" w:hAnsi="宋体" w:eastAsia="宋体"/>
          <w:b/>
        </w:rPr>
        <w:t>论文不应</w:t>
      </w:r>
      <w:r>
        <w:rPr>
          <w:rFonts w:ascii="宋体" w:hAnsi="宋体" w:eastAsia="宋体"/>
        </w:rPr>
        <w:t>宣称“首次用机器学习预测坡地放大”，也不应将粘弹性人工边界描述为“完全无反射”。更稳健且可审查的贡献是：建立可复核的数值验证链；以耦合残差量化地形与地层相乘近似的失效；以POD—GPR作为小样本全曲线代理，并附带不确定性和外推预警。</w:t>
      </w:r>
    </w:p>
    <w:p>
      <w:pPr>
        <w:keepNext/>
        <w:spacing w:before="360" w:after="200"/>
        <w:jc w:val="left"/>
      </w:pPr>
      <w:r>
        <w:rPr>
          <w:rFonts w:ascii="黑体" w:hAnsi="黑体" w:eastAsia="黑体"/>
          <w:b/>
          <w:sz w:val="28"/>
        </w:rPr>
        <w:t>2 有限元方法有效性：应写成证据链，而非一句“与文献吻合”</w:t>
      </w:r>
    </w:p>
    <w:p>
      <w:pPr>
        <w:spacing w:line="320" w:lineRule="auto" w:after="160"/>
        <w:ind w:firstLine="420"/>
        <w:jc w:val="both"/>
      </w:pPr>
      <w:r>
        <w:rPr>
          <w:rFonts w:ascii="宋体" w:hAnsi="宋体" w:eastAsia="宋体"/>
        </w:rPr>
        <w:t>数值方法有效性应同时回答三个问题：波动输入是否正确、截断与离散误差是否受控、复杂坡地结果是否与独立知识一致。下表将现有证据与尚待完成的外部闭环分开列示，论文中只能将“已完成”项写成结论。</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425"/>
            <w:vAlign w:val="center"/>
            <w:shd w:fill="F4F6F9"/>
            <w:tcMar>
              <w:top w:w="80" w:type="dxa"/>
              <w:start w:w="120" w:type="dxa"/>
              <w:bottom w:w="80" w:type="dxa"/>
              <w:end w:w="120" w:type="dxa"/>
            </w:tcMar>
          </w:tcPr>
          <w:p>
            <w:pPr>
              <w:spacing w:after="0"/>
              <w:jc w:val="center"/>
            </w:pPr>
            <w:r/>
            <w:r>
              <w:rPr>
                <w:rFonts w:ascii="宋体" w:hAnsi="宋体" w:eastAsia="宋体"/>
                <w:b/>
                <w:sz w:val="19"/>
              </w:rPr>
              <w:t>层级</w:t>
            </w:r>
          </w:p>
        </w:tc>
        <w:tc>
          <w:tcPr>
            <w:tcW w:type="dxa" w:w="1134"/>
            <w:vAlign w:val="center"/>
            <w:shd w:fill="F4F6F9"/>
            <w:tcMar>
              <w:top w:w="80" w:type="dxa"/>
              <w:start w:w="120" w:type="dxa"/>
              <w:bottom w:w="80" w:type="dxa"/>
              <w:end w:w="120" w:type="dxa"/>
            </w:tcMar>
          </w:tcPr>
          <w:p>
            <w:pPr>
              <w:spacing w:after="0"/>
              <w:jc w:val="center"/>
            </w:pPr>
            <w:r/>
            <w:r>
              <w:rPr>
                <w:rFonts w:ascii="宋体" w:hAnsi="宋体" w:eastAsia="宋体"/>
                <w:b/>
                <w:sz w:val="19"/>
              </w:rPr>
              <w:t>核验对象</w:t>
            </w:r>
          </w:p>
        </w:tc>
        <w:tc>
          <w:tcPr>
            <w:tcW w:type="dxa" w:w="3969"/>
            <w:vAlign w:val="center"/>
            <w:shd w:fill="F4F6F9"/>
            <w:tcMar>
              <w:top w:w="80" w:type="dxa"/>
              <w:start w:w="120" w:type="dxa"/>
              <w:bottom w:w="80" w:type="dxa"/>
              <w:end w:w="120" w:type="dxa"/>
            </w:tcMar>
          </w:tcPr>
          <w:p>
            <w:pPr>
              <w:spacing w:after="0"/>
              <w:jc w:val="center"/>
            </w:pPr>
            <w:r/>
            <w:r>
              <w:rPr>
                <w:rFonts w:ascii="宋体" w:hAnsi="宋体" w:eastAsia="宋体"/>
                <w:b/>
                <w:sz w:val="19"/>
              </w:rPr>
              <w:t>现有证据/定量结果</w:t>
            </w:r>
          </w:p>
        </w:tc>
        <w:tc>
          <w:tcPr>
            <w:tcW w:type="dxa" w:w="2381"/>
            <w:vAlign w:val="center"/>
            <w:shd w:fill="F4F6F9"/>
            <w:tcMar>
              <w:top w:w="80" w:type="dxa"/>
              <w:start w:w="120" w:type="dxa"/>
              <w:bottom w:w="80" w:type="dxa"/>
              <w:end w:w="120" w:type="dxa"/>
            </w:tcMar>
          </w:tcPr>
          <w:p>
            <w:pPr>
              <w:spacing w:after="0"/>
              <w:jc w:val="center"/>
            </w:pPr>
            <w:r/>
            <w:r>
              <w:rPr>
                <w:rFonts w:ascii="宋体" w:hAnsi="宋体" w:eastAsia="宋体"/>
                <w:b/>
                <w:sz w:val="19"/>
              </w:rPr>
              <w:t>状态与写作口径</w:t>
            </w:r>
          </w:p>
        </w:tc>
      </w:tr>
      <w:tr>
        <w:tc>
          <w:tcPr>
            <w:tcW w:type="dxa" w:w="425"/>
            <w:vAlign w:val="center"/>
            <w:tcMar>
              <w:top w:w="80" w:type="dxa"/>
              <w:start w:w="120" w:type="dxa"/>
              <w:bottom w:w="80" w:type="dxa"/>
              <w:end w:w="120" w:type="dxa"/>
            </w:tcMar>
          </w:tcPr>
          <w:p>
            <w:pPr>
              <w:spacing w:after="0"/>
              <w:jc w:val="left"/>
            </w:pPr>
            <w:r/>
            <w:r>
              <w:rPr>
                <w:rFonts w:ascii="宋体" w:hAnsi="宋体" w:eastAsia="宋体"/>
                <w:b w:val="0"/>
                <w:sz w:val="19"/>
              </w:rPr>
              <w:t>I</w:t>
            </w:r>
          </w:p>
        </w:tc>
        <w:tc>
          <w:tcPr>
            <w:tcW w:type="dxa" w:w="1134"/>
            <w:vAlign w:val="center"/>
            <w:tcMar>
              <w:top w:w="80" w:type="dxa"/>
              <w:start w:w="120" w:type="dxa"/>
              <w:bottom w:w="80" w:type="dxa"/>
              <w:end w:w="120" w:type="dxa"/>
            </w:tcMar>
          </w:tcPr>
          <w:p>
            <w:pPr>
              <w:spacing w:after="0"/>
              <w:jc w:val="left"/>
            </w:pPr>
            <w:r/>
            <w:r>
              <w:rPr>
                <w:rFonts w:ascii="宋体" w:hAnsi="宋体" w:eastAsia="宋体"/>
                <w:b w:val="0"/>
                <w:sz w:val="19"/>
              </w:rPr>
              <w:t>自由场与波动输入</w:t>
            </w:r>
          </w:p>
        </w:tc>
        <w:tc>
          <w:tcPr>
            <w:tcW w:type="dxa" w:w="3969"/>
            <w:vAlign w:val="center"/>
            <w:tcMar>
              <w:top w:w="80" w:type="dxa"/>
              <w:start w:w="120" w:type="dxa"/>
              <w:bottom w:w="80" w:type="dxa"/>
              <w:end w:w="120" w:type="dxa"/>
            </w:tcMar>
          </w:tcPr>
          <w:p>
            <w:pPr>
              <w:spacing w:after="0"/>
              <w:jc w:val="left"/>
            </w:pPr>
            <w:r/>
            <w:r>
              <w:rPr>
                <w:rFonts w:ascii="宋体" w:hAnsi="宋体" w:eastAsia="宋体"/>
                <w:b w:val="0"/>
                <w:sz w:val="19"/>
              </w:rPr>
              <w:t>半空间解析退化；成层垂直入射与独立Thomson—Haskell对照。</w:t>
            </w:r>
          </w:p>
        </w:tc>
        <w:tc>
          <w:tcPr>
            <w:tcW w:type="dxa" w:w="2381"/>
            <w:vAlign w:val="center"/>
            <w:tcMar>
              <w:top w:w="80" w:type="dxa"/>
              <w:start w:w="120" w:type="dxa"/>
              <w:bottom w:w="80" w:type="dxa"/>
              <w:end w:w="120" w:type="dxa"/>
            </w:tcMar>
          </w:tcPr>
          <w:p>
            <w:pPr>
              <w:spacing w:after="0"/>
              <w:jc w:val="left"/>
            </w:pPr>
            <w:r/>
            <w:r>
              <w:rPr>
                <w:rFonts w:ascii="宋体" w:hAnsi="宋体" w:eastAsia="宋体"/>
                <w:b w:val="0"/>
                <w:sz w:val="19"/>
              </w:rPr>
              <w:t>已完成；证明输入算法正确性。</w:t>
            </w:r>
          </w:p>
        </w:tc>
      </w:tr>
      <w:tr>
        <w:tc>
          <w:tcPr>
            <w:tcW w:type="dxa" w:w="425"/>
            <w:vAlign w:val="center"/>
            <w:tcMar>
              <w:top w:w="80" w:type="dxa"/>
              <w:start w:w="120" w:type="dxa"/>
              <w:bottom w:w="80" w:type="dxa"/>
              <w:end w:w="120" w:type="dxa"/>
            </w:tcMar>
          </w:tcPr>
          <w:p>
            <w:pPr>
              <w:spacing w:after="0"/>
              <w:jc w:val="left"/>
            </w:pPr>
            <w:r/>
            <w:r>
              <w:rPr>
                <w:rFonts w:ascii="宋体" w:hAnsi="宋体" w:eastAsia="宋体"/>
                <w:b w:val="0"/>
                <w:sz w:val="19"/>
              </w:rPr>
              <w:t>II</w:t>
            </w:r>
          </w:p>
        </w:tc>
        <w:tc>
          <w:tcPr>
            <w:tcW w:type="dxa" w:w="1134"/>
            <w:vAlign w:val="center"/>
            <w:tcMar>
              <w:top w:w="80" w:type="dxa"/>
              <w:start w:w="120" w:type="dxa"/>
              <w:bottom w:w="80" w:type="dxa"/>
              <w:end w:w="120" w:type="dxa"/>
            </w:tcMar>
          </w:tcPr>
          <w:p>
            <w:pPr>
              <w:spacing w:after="0"/>
              <w:jc w:val="left"/>
            </w:pPr>
            <w:r/>
            <w:r>
              <w:rPr>
                <w:rFonts w:ascii="宋体" w:hAnsi="宋体" w:eastAsia="宋体"/>
                <w:b w:val="0"/>
                <w:sz w:val="19"/>
              </w:rPr>
              <w:t>外部坡地响应</w:t>
            </w:r>
          </w:p>
        </w:tc>
        <w:tc>
          <w:tcPr>
            <w:tcW w:type="dxa" w:w="3969"/>
            <w:vAlign w:val="center"/>
            <w:tcMar>
              <w:top w:w="80" w:type="dxa"/>
              <w:start w:w="120" w:type="dxa"/>
              <w:bottom w:w="80" w:type="dxa"/>
              <w:end w:w="120" w:type="dxa"/>
            </w:tcMar>
          </w:tcPr>
          <w:p>
            <w:pPr>
              <w:spacing w:after="0"/>
              <w:jc w:val="left"/>
            </w:pPr>
            <w:r/>
            <w:r>
              <w:rPr>
                <w:rFonts w:ascii="宋体" w:hAnsi="宋体" w:eastAsia="宋体"/>
                <w:b w:val="0"/>
                <w:sz w:val="19"/>
              </w:rPr>
              <w:t>复现522组均质岩坡参数化规律及成层岩坡典型工况。</w:t>
            </w:r>
          </w:p>
        </w:tc>
        <w:tc>
          <w:tcPr>
            <w:tcW w:type="dxa" w:w="2381"/>
            <w:vAlign w:val="center"/>
            <w:tcMar>
              <w:top w:w="80" w:type="dxa"/>
              <w:start w:w="120" w:type="dxa"/>
              <w:bottom w:w="80" w:type="dxa"/>
              <w:end w:w="120" w:type="dxa"/>
            </w:tcMar>
          </w:tcPr>
          <w:p>
            <w:pPr>
              <w:spacing w:after="0"/>
              <w:jc w:val="left"/>
            </w:pPr>
            <w:r/>
            <w:r>
              <w:rPr>
                <w:rFonts w:ascii="宋体" w:hAnsi="宋体" w:eastAsia="宋体"/>
                <w:b w:val="0"/>
                <w:sz w:val="19"/>
              </w:rPr>
              <w:t>已完成；写“规律和曲线一致”，不写“完全证明”。</w:t>
            </w:r>
          </w:p>
        </w:tc>
      </w:tr>
      <w:tr>
        <w:tc>
          <w:tcPr>
            <w:tcW w:type="dxa" w:w="425"/>
            <w:vAlign w:val="center"/>
            <w:tcMar>
              <w:top w:w="80" w:type="dxa"/>
              <w:start w:w="120" w:type="dxa"/>
              <w:bottom w:w="80" w:type="dxa"/>
              <w:end w:w="120" w:type="dxa"/>
            </w:tcMar>
          </w:tcPr>
          <w:p>
            <w:pPr>
              <w:spacing w:after="0"/>
              <w:jc w:val="left"/>
            </w:pPr>
            <w:r/>
            <w:r>
              <w:rPr>
                <w:rFonts w:ascii="宋体" w:hAnsi="宋体" w:eastAsia="宋体"/>
                <w:b w:val="0"/>
                <w:sz w:val="19"/>
              </w:rPr>
              <w:t>III</w:t>
            </w:r>
          </w:p>
        </w:tc>
        <w:tc>
          <w:tcPr>
            <w:tcW w:type="dxa" w:w="1134"/>
            <w:vAlign w:val="center"/>
            <w:tcMar>
              <w:top w:w="80" w:type="dxa"/>
              <w:start w:w="120" w:type="dxa"/>
              <w:bottom w:w="80" w:type="dxa"/>
              <w:end w:w="120" w:type="dxa"/>
            </w:tcMar>
          </w:tcPr>
          <w:p>
            <w:pPr>
              <w:spacing w:after="0"/>
              <w:jc w:val="left"/>
            </w:pPr>
            <w:r/>
            <w:r>
              <w:rPr>
                <w:rFonts w:ascii="宋体" w:hAnsi="宋体" w:eastAsia="宋体"/>
                <w:b w:val="0"/>
                <w:sz w:val="19"/>
              </w:rPr>
              <w:t>脚本退化与远场</w:t>
            </w:r>
          </w:p>
        </w:tc>
        <w:tc>
          <w:tcPr>
            <w:tcW w:type="dxa" w:w="3969"/>
            <w:vAlign w:val="center"/>
            <w:tcMar>
              <w:top w:w="80" w:type="dxa"/>
              <w:start w:w="120" w:type="dxa"/>
              <w:bottom w:w="80" w:type="dxa"/>
              <w:end w:w="120" w:type="dxa"/>
            </w:tcMar>
          </w:tcPr>
          <w:p>
            <w:pPr>
              <w:spacing w:after="0"/>
              <w:jc w:val="left"/>
            </w:pPr>
            <w:r/>
            <w:r>
              <w:rPr>
                <w:rFonts w:ascii="宋体" w:hAnsi="宋体" w:eastAsia="宋体"/>
                <w:b w:val="0"/>
                <w:sz w:val="19"/>
              </w:rPr>
              <w:t>多层脚本退化回均质基线；远场与一维理论偏差&lt;2%。</w:t>
            </w:r>
          </w:p>
        </w:tc>
        <w:tc>
          <w:tcPr>
            <w:tcW w:type="dxa" w:w="2381"/>
            <w:vAlign w:val="center"/>
            <w:tcMar>
              <w:top w:w="80" w:type="dxa"/>
              <w:start w:w="120" w:type="dxa"/>
              <w:bottom w:w="80" w:type="dxa"/>
              <w:end w:w="120" w:type="dxa"/>
            </w:tcMar>
          </w:tcPr>
          <w:p>
            <w:pPr>
              <w:spacing w:after="0"/>
              <w:jc w:val="left"/>
            </w:pPr>
            <w:r/>
            <w:r>
              <w:rPr>
                <w:rFonts w:ascii="宋体" w:hAnsi="宋体" w:eastAsia="宋体"/>
                <w:b w:val="0"/>
                <w:sz w:val="19"/>
              </w:rPr>
              <w:t>已完成；证明内部自洽与观测窗合理。</w:t>
            </w:r>
          </w:p>
        </w:tc>
      </w:tr>
      <w:tr>
        <w:tc>
          <w:tcPr>
            <w:tcW w:type="dxa" w:w="425"/>
            <w:vAlign w:val="center"/>
            <w:tcMar>
              <w:top w:w="80" w:type="dxa"/>
              <w:start w:w="120" w:type="dxa"/>
              <w:bottom w:w="80" w:type="dxa"/>
              <w:end w:w="120" w:type="dxa"/>
            </w:tcMar>
          </w:tcPr>
          <w:p>
            <w:pPr>
              <w:spacing w:after="0"/>
              <w:jc w:val="left"/>
            </w:pPr>
            <w:r/>
            <w:r>
              <w:rPr>
                <w:rFonts w:ascii="宋体" w:hAnsi="宋体" w:eastAsia="宋体"/>
                <w:b w:val="0"/>
                <w:sz w:val="19"/>
              </w:rPr>
              <w:t>IV</w:t>
            </w:r>
          </w:p>
        </w:tc>
        <w:tc>
          <w:tcPr>
            <w:tcW w:type="dxa" w:w="1134"/>
            <w:vAlign w:val="center"/>
            <w:tcMar>
              <w:top w:w="80" w:type="dxa"/>
              <w:start w:w="120" w:type="dxa"/>
              <w:bottom w:w="80" w:type="dxa"/>
              <w:end w:w="120" w:type="dxa"/>
            </w:tcMar>
          </w:tcPr>
          <w:p>
            <w:pPr>
              <w:spacing w:after="0"/>
              <w:jc w:val="left"/>
            </w:pPr>
            <w:r/>
            <w:r>
              <w:rPr>
                <w:rFonts w:ascii="宋体" w:hAnsi="宋体" w:eastAsia="宋体"/>
                <w:b w:val="0"/>
                <w:sz w:val="19"/>
              </w:rPr>
              <w:t>收敛与截断</w:t>
            </w:r>
          </w:p>
        </w:tc>
        <w:tc>
          <w:tcPr>
            <w:tcW w:type="dxa" w:w="3969"/>
            <w:vAlign w:val="center"/>
            <w:tcMar>
              <w:top w:w="80" w:type="dxa"/>
              <w:start w:w="120" w:type="dxa"/>
              <w:bottom w:w="80" w:type="dxa"/>
              <w:end w:w="120" w:type="dxa"/>
            </w:tcMar>
          </w:tcPr>
          <w:p>
            <w:pPr>
              <w:spacing w:after="0"/>
              <w:jc w:val="left"/>
            </w:pPr>
            <w:r/>
            <w:r>
              <w:rPr>
                <w:rFonts w:ascii="宋体" w:hAnsi="宋体" w:eastAsia="宋体"/>
                <w:b w:val="0"/>
                <w:sz w:val="19"/>
              </w:rPr>
              <w:t>代表性工况：时间步减半+0.3%，侧向外移+0.1%，底部加深−1.1%。</w:t>
            </w:r>
          </w:p>
        </w:tc>
        <w:tc>
          <w:tcPr>
            <w:tcW w:type="dxa" w:w="2381"/>
            <w:vAlign w:val="center"/>
            <w:tcMar>
              <w:top w:w="80" w:type="dxa"/>
              <w:start w:w="120" w:type="dxa"/>
              <w:bottom w:w="80" w:type="dxa"/>
              <w:end w:w="120" w:type="dxa"/>
            </w:tcMar>
          </w:tcPr>
          <w:p>
            <w:pPr>
              <w:spacing w:after="0"/>
              <w:jc w:val="left"/>
            </w:pPr>
            <w:r/>
            <w:r>
              <w:rPr>
                <w:rFonts w:ascii="宋体" w:hAnsi="宋体" w:eastAsia="宋体"/>
                <w:b w:val="0"/>
                <w:sz w:val="19"/>
              </w:rPr>
              <w:t>已完成；只对已检验频带和参数范围负责。</w:t>
            </w:r>
          </w:p>
        </w:tc>
      </w:tr>
      <w:tr>
        <w:tc>
          <w:tcPr>
            <w:tcW w:type="dxa" w:w="425"/>
            <w:vAlign w:val="center"/>
            <w:tcMar>
              <w:top w:w="80" w:type="dxa"/>
              <w:start w:w="120" w:type="dxa"/>
              <w:bottom w:w="80" w:type="dxa"/>
              <w:end w:w="120" w:type="dxa"/>
            </w:tcMar>
          </w:tcPr>
          <w:p>
            <w:pPr>
              <w:spacing w:after="0"/>
              <w:jc w:val="left"/>
            </w:pPr>
            <w:r/>
            <w:r>
              <w:rPr>
                <w:rFonts w:ascii="宋体" w:hAnsi="宋体" w:eastAsia="宋体"/>
                <w:b w:val="0"/>
                <w:sz w:val="19"/>
              </w:rPr>
              <w:t>V</w:t>
            </w:r>
          </w:p>
        </w:tc>
        <w:tc>
          <w:tcPr>
            <w:tcW w:type="dxa" w:w="1134"/>
            <w:vAlign w:val="center"/>
            <w:tcMar>
              <w:top w:w="80" w:type="dxa"/>
              <w:start w:w="120" w:type="dxa"/>
              <w:bottom w:w="80" w:type="dxa"/>
              <w:end w:w="120" w:type="dxa"/>
            </w:tcMar>
          </w:tcPr>
          <w:p>
            <w:pPr>
              <w:spacing w:after="0"/>
              <w:jc w:val="left"/>
            </w:pPr>
            <w:r/>
            <w:r>
              <w:rPr>
                <w:rFonts w:ascii="宋体" w:hAnsi="宋体" w:eastAsia="宋体"/>
                <w:b w:val="0"/>
                <w:sz w:val="19"/>
              </w:rPr>
              <w:t>人工边界</w:t>
            </w:r>
          </w:p>
        </w:tc>
        <w:tc>
          <w:tcPr>
            <w:tcW w:type="dxa" w:w="3969"/>
            <w:vAlign w:val="center"/>
            <w:tcMar>
              <w:top w:w="80" w:type="dxa"/>
              <w:start w:w="120" w:type="dxa"/>
              <w:bottom w:w="80" w:type="dxa"/>
              <w:end w:w="120" w:type="dxa"/>
            </w:tcMar>
          </w:tcPr>
          <w:p>
            <w:pPr>
              <w:spacing w:after="0"/>
              <w:jc w:val="left"/>
            </w:pPr>
            <w:r/>
            <w:r>
              <w:rPr>
                <w:rFonts w:ascii="宋体" w:hAnsi="宋体" w:eastAsia="宋体"/>
                <w:b w:val="0"/>
                <w:sz w:val="19"/>
              </w:rPr>
              <w:t>VAB剩余反射：源点2.6%；目标区+120 m为15.4%、+180 m为12.1%，固定边界对应67.3%、83.3%。</w:t>
            </w:r>
          </w:p>
        </w:tc>
        <w:tc>
          <w:tcPr>
            <w:tcW w:type="dxa" w:w="2381"/>
            <w:vAlign w:val="center"/>
            <w:tcMar>
              <w:top w:w="80" w:type="dxa"/>
              <w:start w:w="120" w:type="dxa"/>
              <w:bottom w:w="80" w:type="dxa"/>
              <w:end w:w="120" w:type="dxa"/>
            </w:tcMar>
          </w:tcPr>
          <w:p>
            <w:pPr>
              <w:spacing w:after="0"/>
              <w:jc w:val="left"/>
            </w:pPr>
            <w:r/>
            <w:r>
              <w:rPr>
                <w:rFonts w:ascii="宋体" w:hAnsi="宋体" w:eastAsia="宋体"/>
                <w:b w:val="0"/>
                <w:sz w:val="19"/>
              </w:rPr>
              <w:t>已完成；表述为“目标区可接受”，不称“零反射”。</w:t>
            </w:r>
          </w:p>
        </w:tc>
      </w:tr>
      <w:tr>
        <w:tc>
          <w:tcPr>
            <w:tcW w:type="dxa" w:w="425"/>
            <w:vAlign w:val="center"/>
            <w:tcMar>
              <w:top w:w="80" w:type="dxa"/>
              <w:start w:w="120" w:type="dxa"/>
              <w:bottom w:w="80" w:type="dxa"/>
              <w:end w:w="120" w:type="dxa"/>
            </w:tcMar>
          </w:tcPr>
          <w:p>
            <w:pPr>
              <w:spacing w:after="0"/>
              <w:jc w:val="left"/>
            </w:pPr>
            <w:r/>
            <w:r>
              <w:rPr>
                <w:rFonts w:ascii="宋体" w:hAnsi="宋体" w:eastAsia="宋体"/>
                <w:b w:val="0"/>
                <w:sz w:val="19"/>
              </w:rPr>
              <w:t>VI</w:t>
            </w:r>
          </w:p>
        </w:tc>
        <w:tc>
          <w:tcPr>
            <w:tcW w:type="dxa" w:w="1134"/>
            <w:vAlign w:val="center"/>
            <w:tcMar>
              <w:top w:w="80" w:type="dxa"/>
              <w:start w:w="120" w:type="dxa"/>
              <w:bottom w:w="80" w:type="dxa"/>
              <w:end w:w="120" w:type="dxa"/>
            </w:tcMar>
          </w:tcPr>
          <w:p>
            <w:pPr>
              <w:spacing w:after="0"/>
              <w:jc w:val="left"/>
            </w:pPr>
            <w:r/>
            <w:r>
              <w:rPr>
                <w:rFonts w:ascii="宋体" w:hAnsi="宋体" w:eastAsia="宋体"/>
                <w:b w:val="0"/>
                <w:sz w:val="19"/>
              </w:rPr>
              <w:t>独立外部闭环</w:t>
            </w:r>
          </w:p>
        </w:tc>
        <w:tc>
          <w:tcPr>
            <w:tcW w:type="dxa" w:w="3969"/>
            <w:vAlign w:val="center"/>
            <w:tcMar>
              <w:top w:w="80" w:type="dxa"/>
              <w:start w:w="120" w:type="dxa"/>
              <w:bottom w:w="80" w:type="dxa"/>
              <w:end w:w="120" w:type="dxa"/>
            </w:tcMar>
          </w:tcPr>
          <w:p>
            <w:pPr>
              <w:spacing w:after="0"/>
              <w:jc w:val="left"/>
            </w:pPr>
            <w:r/>
            <w:r>
              <w:rPr>
                <w:rFonts w:ascii="宋体" w:hAnsi="宋体" w:eastAsia="宋体"/>
                <w:b w:val="0"/>
                <w:sz w:val="19"/>
              </w:rPr>
              <w:t>二维公开地形基准盲预测；平坦成层场地与DEEPSOIL等软件交叉对照。</w:t>
            </w:r>
          </w:p>
        </w:tc>
        <w:tc>
          <w:tcPr>
            <w:tcW w:type="dxa" w:w="2381"/>
            <w:vAlign w:val="center"/>
            <w:tcMar>
              <w:top w:w="80" w:type="dxa"/>
              <w:start w:w="120" w:type="dxa"/>
              <w:bottom w:w="80" w:type="dxa"/>
              <w:end w:w="120" w:type="dxa"/>
            </w:tcMar>
          </w:tcPr>
          <w:p>
            <w:pPr>
              <w:spacing w:after="0"/>
              <w:jc w:val="left"/>
            </w:pPr>
            <w:r/>
            <w:r>
              <w:rPr>
                <w:rFonts w:ascii="宋体" w:hAnsi="宋体" w:eastAsia="宋体"/>
                <w:b w:val="0"/>
                <w:sz w:val="19"/>
              </w:rPr>
              <w:t>待完成；应列为提交前优先补强项。</w:t>
            </w:r>
          </w:p>
        </w:tc>
      </w:tr>
    </w:tbl>
    <w:p>
      <w:pPr>
        <w:spacing w:line="320" w:lineRule="auto" w:after="160"/>
        <w:ind w:firstLine="420"/>
        <w:jc w:val="both"/>
      </w:pPr>
      <w:r>
        <w:rPr>
          <w:rFonts w:ascii="宋体" w:hAnsi="宋体" w:eastAsia="宋体"/>
        </w:rPr>
        <w:t>审查时的推荐逻辑是：先用层级I证明输入正确，再用层级III—V说明模型对数值设置不敏感，最后以层级II和VI说明结果具有外部可迁移性。任何一层缺失都不必否定整体研究，但必须在论文中准确标注其证据等级和适用范围。</w:t>
      </w:r>
    </w:p>
    <w:p>
      <w:pPr>
        <w:keepNext/>
        <w:spacing w:before="360" w:after="200"/>
        <w:jc w:val="left"/>
      </w:pPr>
      <w:r>
        <w:rPr>
          <w:rFonts w:ascii="黑体" w:hAnsi="黑体" w:eastAsia="黑体"/>
          <w:b/>
          <w:sz w:val="28"/>
        </w:rPr>
        <w:t>3 非线性问题：它修正结论边界，不会否定研究问题</w:t>
      </w:r>
    </w:p>
    <w:p>
      <w:pPr>
        <w:spacing w:line="320" w:lineRule="auto" w:after="160"/>
        <w:ind w:firstLine="420"/>
        <w:jc w:val="both"/>
      </w:pPr>
      <w:r>
        <w:rPr>
          <w:rFonts w:ascii="宋体" w:hAnsi="宋体" w:eastAsia="宋体"/>
        </w:rPr>
        <w:t>代表性软土EQL扫描的线性基准坡顶/远场TAF为2.420/2.051。随输入PGA从0.05g增至0.80g，坡顶TAF由2.429降至1.692，远场TAF由1.929降至1.055；相对坡顶放大（坡顶/远场）却由线性基准约1.18升至约1.60。该组结果的正确解读不是“非线性使坡顶放大消失”，而是：在此土层、谱形和频带下，模量折减、阻尼增长与共振迁移使远场一维场地响应衰减得更快。</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1304"/>
            <w:vAlign w:val="center"/>
            <w:shd w:fill="F4F6F9"/>
            <w:tcMar>
              <w:top w:w="80" w:type="dxa"/>
              <w:start w:w="120" w:type="dxa"/>
              <w:bottom w:w="80" w:type="dxa"/>
              <w:end w:w="120" w:type="dxa"/>
            </w:tcMar>
          </w:tcPr>
          <w:p>
            <w:pPr>
              <w:spacing w:after="0"/>
              <w:jc w:val="center"/>
            </w:pPr>
            <w:r/>
            <w:r>
              <w:rPr>
                <w:rFonts w:ascii="宋体" w:hAnsi="宋体" w:eastAsia="宋体"/>
                <w:b/>
                <w:sz w:val="19"/>
              </w:rPr>
              <w:t>输入PGA</w:t>
            </w:r>
          </w:p>
        </w:tc>
        <w:tc>
          <w:tcPr>
            <w:tcW w:type="dxa" w:w="1814"/>
            <w:vAlign w:val="center"/>
            <w:shd w:fill="F4F6F9"/>
            <w:tcMar>
              <w:top w:w="80" w:type="dxa"/>
              <w:start w:w="120" w:type="dxa"/>
              <w:bottom w:w="80" w:type="dxa"/>
              <w:end w:w="120" w:type="dxa"/>
            </w:tcMar>
          </w:tcPr>
          <w:p>
            <w:pPr>
              <w:spacing w:after="0"/>
              <w:jc w:val="center"/>
            </w:pPr>
            <w:r/>
            <w:r>
              <w:rPr>
                <w:rFonts w:ascii="宋体" w:hAnsi="宋体" w:eastAsia="宋体"/>
                <w:b/>
                <w:sz w:val="19"/>
              </w:rPr>
              <w:t>坡顶TAF</w:t>
            </w:r>
          </w:p>
        </w:tc>
        <w:tc>
          <w:tcPr>
            <w:tcW w:type="dxa" w:w="1814"/>
            <w:vAlign w:val="center"/>
            <w:shd w:fill="F4F6F9"/>
            <w:tcMar>
              <w:top w:w="80" w:type="dxa"/>
              <w:start w:w="120" w:type="dxa"/>
              <w:bottom w:w="80" w:type="dxa"/>
              <w:end w:w="120" w:type="dxa"/>
            </w:tcMar>
          </w:tcPr>
          <w:p>
            <w:pPr>
              <w:spacing w:after="0"/>
              <w:jc w:val="center"/>
            </w:pPr>
            <w:r/>
            <w:r>
              <w:rPr>
                <w:rFonts w:ascii="宋体" w:hAnsi="宋体" w:eastAsia="宋体"/>
                <w:b/>
                <w:sz w:val="19"/>
              </w:rPr>
              <w:t>远场TAF</w:t>
            </w:r>
          </w:p>
        </w:tc>
        <w:tc>
          <w:tcPr>
            <w:tcW w:type="dxa" w:w="1814"/>
            <w:vAlign w:val="center"/>
            <w:shd w:fill="F4F6F9"/>
            <w:tcMar>
              <w:top w:w="80" w:type="dxa"/>
              <w:start w:w="120" w:type="dxa"/>
              <w:bottom w:w="80" w:type="dxa"/>
              <w:end w:w="120" w:type="dxa"/>
            </w:tcMar>
          </w:tcPr>
          <w:p>
            <w:pPr>
              <w:spacing w:after="0"/>
              <w:jc w:val="center"/>
            </w:pPr>
            <w:r/>
            <w:r>
              <w:rPr>
                <w:rFonts w:ascii="宋体" w:hAnsi="宋体" w:eastAsia="宋体"/>
                <w:b/>
                <w:sz w:val="19"/>
              </w:rPr>
              <w:t>坡顶/远场</w:t>
            </w:r>
          </w:p>
        </w:tc>
      </w:tr>
      <w:tr>
        <w:tc>
          <w:tcPr>
            <w:tcW w:type="dxa" w:w="1304"/>
            <w:vAlign w:val="center"/>
            <w:tcMar>
              <w:top w:w="80" w:type="dxa"/>
              <w:start w:w="120" w:type="dxa"/>
              <w:bottom w:w="80" w:type="dxa"/>
              <w:end w:w="120" w:type="dxa"/>
            </w:tcMar>
          </w:tcPr>
          <w:p>
            <w:pPr>
              <w:spacing w:after="0"/>
              <w:jc w:val="left"/>
            </w:pPr>
            <w:r/>
            <w:r>
              <w:rPr>
                <w:rFonts w:ascii="宋体" w:hAnsi="宋体" w:eastAsia="宋体"/>
                <w:b w:val="0"/>
                <w:sz w:val="19"/>
              </w:rPr>
              <w:t>线性基准</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2.420</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2.051</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1.18</w:t>
            </w:r>
          </w:p>
        </w:tc>
      </w:tr>
      <w:tr>
        <w:tc>
          <w:tcPr>
            <w:tcW w:type="dxa" w:w="1304"/>
            <w:vAlign w:val="center"/>
            <w:tcMar>
              <w:top w:w="80" w:type="dxa"/>
              <w:start w:w="120" w:type="dxa"/>
              <w:bottom w:w="80" w:type="dxa"/>
              <w:end w:w="120" w:type="dxa"/>
            </w:tcMar>
          </w:tcPr>
          <w:p>
            <w:pPr>
              <w:spacing w:after="0"/>
              <w:jc w:val="left"/>
            </w:pPr>
            <w:r/>
            <w:r>
              <w:rPr>
                <w:rFonts w:ascii="宋体" w:hAnsi="宋体" w:eastAsia="宋体"/>
                <w:b w:val="0"/>
                <w:sz w:val="19"/>
              </w:rPr>
              <w:t>0.05g</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2.429</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1.929</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1.26</w:t>
            </w:r>
          </w:p>
        </w:tc>
      </w:tr>
      <w:tr>
        <w:tc>
          <w:tcPr>
            <w:tcW w:type="dxa" w:w="1304"/>
            <w:vAlign w:val="center"/>
            <w:tcMar>
              <w:top w:w="80" w:type="dxa"/>
              <w:start w:w="120" w:type="dxa"/>
              <w:bottom w:w="80" w:type="dxa"/>
              <w:end w:w="120" w:type="dxa"/>
            </w:tcMar>
          </w:tcPr>
          <w:p>
            <w:pPr>
              <w:spacing w:after="0"/>
              <w:jc w:val="left"/>
            </w:pPr>
            <w:r/>
            <w:r>
              <w:rPr>
                <w:rFonts w:ascii="宋体" w:hAnsi="宋体" w:eastAsia="宋体"/>
                <w:b w:val="0"/>
                <w:sz w:val="19"/>
              </w:rPr>
              <w:t>0.10g</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2.374</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1.795</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1.32</w:t>
            </w:r>
          </w:p>
        </w:tc>
      </w:tr>
      <w:tr>
        <w:tc>
          <w:tcPr>
            <w:tcW w:type="dxa" w:w="1304"/>
            <w:vAlign w:val="center"/>
            <w:tcMar>
              <w:top w:w="80" w:type="dxa"/>
              <w:start w:w="120" w:type="dxa"/>
              <w:bottom w:w="80" w:type="dxa"/>
              <w:end w:w="120" w:type="dxa"/>
            </w:tcMar>
          </w:tcPr>
          <w:p>
            <w:pPr>
              <w:spacing w:after="0"/>
              <w:jc w:val="left"/>
            </w:pPr>
            <w:r/>
            <w:r>
              <w:rPr>
                <w:rFonts w:ascii="宋体" w:hAnsi="宋体" w:eastAsia="宋体"/>
                <w:b w:val="0"/>
                <w:sz w:val="19"/>
              </w:rPr>
              <w:t>0.20g</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2.211</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1.549</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1.43</w:t>
            </w:r>
          </w:p>
        </w:tc>
      </w:tr>
      <w:tr>
        <w:tc>
          <w:tcPr>
            <w:tcW w:type="dxa" w:w="1304"/>
            <w:vAlign w:val="center"/>
            <w:tcMar>
              <w:top w:w="80" w:type="dxa"/>
              <w:start w:w="120" w:type="dxa"/>
              <w:bottom w:w="80" w:type="dxa"/>
              <w:end w:w="120" w:type="dxa"/>
            </w:tcMar>
          </w:tcPr>
          <w:p>
            <w:pPr>
              <w:spacing w:after="0"/>
              <w:jc w:val="left"/>
            </w:pPr>
            <w:r/>
            <w:r>
              <w:rPr>
                <w:rFonts w:ascii="宋体" w:hAnsi="宋体" w:eastAsia="宋体"/>
                <w:b w:val="0"/>
                <w:sz w:val="19"/>
              </w:rPr>
              <w:t>0.40g</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1.906</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1.277</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1.49</w:t>
            </w:r>
          </w:p>
        </w:tc>
      </w:tr>
      <w:tr>
        <w:tc>
          <w:tcPr>
            <w:tcW w:type="dxa" w:w="1304"/>
            <w:vAlign w:val="center"/>
            <w:tcMar>
              <w:top w:w="80" w:type="dxa"/>
              <w:start w:w="120" w:type="dxa"/>
              <w:bottom w:w="80" w:type="dxa"/>
              <w:end w:w="120" w:type="dxa"/>
            </w:tcMar>
          </w:tcPr>
          <w:p>
            <w:pPr>
              <w:spacing w:after="0"/>
              <w:jc w:val="left"/>
            </w:pPr>
            <w:r/>
            <w:r>
              <w:rPr>
                <w:rFonts w:ascii="宋体" w:hAnsi="宋体" w:eastAsia="宋体"/>
                <w:b w:val="0"/>
                <w:sz w:val="19"/>
              </w:rPr>
              <w:t>0.80g</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1.692</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1.055</w:t>
            </w:r>
          </w:p>
        </w:tc>
        <w:tc>
          <w:tcPr>
            <w:tcW w:type="dxa" w:w="1814"/>
            <w:vAlign w:val="center"/>
            <w:tcMar>
              <w:top w:w="80" w:type="dxa"/>
              <w:start w:w="120" w:type="dxa"/>
              <w:bottom w:w="80" w:type="dxa"/>
              <w:end w:w="120" w:type="dxa"/>
            </w:tcMar>
          </w:tcPr>
          <w:p>
            <w:pPr>
              <w:spacing w:after="0"/>
              <w:jc w:val="left"/>
            </w:pPr>
            <w:r/>
            <w:r>
              <w:rPr>
                <w:rFonts w:ascii="宋体" w:hAnsi="宋体" w:eastAsia="宋体"/>
                <w:b w:val="0"/>
                <w:sz w:val="19"/>
              </w:rPr>
              <w:t>1.60</w:t>
            </w:r>
          </w:p>
        </w:tc>
      </w:tr>
    </w:tbl>
    <w:p>
      <w:pPr>
        <w:spacing w:line="320" w:lineRule="auto" w:after="160"/>
        <w:ind w:firstLine="420"/>
        <w:jc w:val="both"/>
      </w:pPr>
      <w:r>
        <w:rPr>
          <w:rFonts w:ascii="宋体" w:hAnsi="宋体" w:eastAsia="宋体"/>
        </w:rPr>
        <w:t>EQL可用于强度依赖的趋势与对比，但不能可靠模拟循环累积塑性、孔隙水压力、接触开裂、滑移和失稳。因而，本文采用“线性主研究+EQL边界检验”的层级是合理的：前者服务于频率—空间机制和大样本数据，后者避免把线性结果误写为强震通用结论；若研究目标转为永久位移或失稳，则必须使用真非线性时域链。</w:t>
      </w:r>
    </w:p>
    <w:p>
      <w:pPr>
        <w:keepNext/>
        <w:spacing w:before="360" w:after="200"/>
        <w:jc w:val="left"/>
      </w:pPr>
      <w:r>
        <w:rPr>
          <w:rFonts w:ascii="黑体" w:hAnsi="黑体" w:eastAsia="黑体"/>
          <w:b/>
          <w:sz w:val="28"/>
        </w:rPr>
        <w:t>4 创新定位：从“预测一个系数”转向“解释并预测耦合残差”</w:t>
      </w:r>
    </w:p>
    <w:p>
      <w:pPr>
        <w:spacing w:line="320" w:lineRule="auto" w:after="160"/>
        <w:ind w:firstLine="420"/>
        <w:jc w:val="both"/>
      </w:pPr>
      <w:r>
        <w:rPr>
          <w:rFonts w:ascii="宋体" w:hAnsi="宋体" w:eastAsia="宋体"/>
        </w:rPr>
        <w:t>核心科学问题可表述为：在斜入射成层坡地中，地层放大与地形放大在何种无量纲条件下可近似分离，何时发生显著耦合，以及该耦合如何沿频率—空间传播。建议使用耦合残差 r(f,s)=ln|H_FEM(f,s)|−ln|H_1D(f)|−ln|H_topo(f,s)|，其中H_FEM为完整成层坡地传递函数，H_1D为同一成层平地的一维传递函数，H_topo为相应均质地形传递函数。r≈0对应近似可分离，|r|显著对应简单相乘近似失效。</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1020"/>
            <w:vAlign w:val="center"/>
            <w:shd w:fill="F4F6F9"/>
            <w:tcMar>
              <w:top w:w="80" w:type="dxa"/>
              <w:start w:w="120" w:type="dxa"/>
              <w:bottom w:w="80" w:type="dxa"/>
              <w:end w:w="120" w:type="dxa"/>
            </w:tcMar>
          </w:tcPr>
          <w:p>
            <w:pPr>
              <w:spacing w:after="0"/>
              <w:jc w:val="center"/>
            </w:pPr>
            <w:r/>
            <w:r>
              <w:rPr>
                <w:rFonts w:ascii="宋体" w:hAnsi="宋体" w:eastAsia="宋体"/>
                <w:b/>
                <w:sz w:val="19"/>
              </w:rPr>
              <w:t>层级</w:t>
            </w:r>
          </w:p>
        </w:tc>
        <w:tc>
          <w:tcPr>
            <w:tcW w:type="dxa" w:w="4309"/>
            <w:vAlign w:val="center"/>
            <w:shd w:fill="F4F6F9"/>
            <w:tcMar>
              <w:top w:w="80" w:type="dxa"/>
              <w:start w:w="120" w:type="dxa"/>
              <w:bottom w:w="80" w:type="dxa"/>
              <w:end w:w="120" w:type="dxa"/>
            </w:tcMar>
          </w:tcPr>
          <w:p>
            <w:pPr>
              <w:spacing w:after="0"/>
              <w:jc w:val="center"/>
            </w:pPr>
            <w:r/>
            <w:r>
              <w:rPr>
                <w:rFonts w:ascii="宋体" w:hAnsi="宋体" w:eastAsia="宋体"/>
                <w:b/>
                <w:sz w:val="19"/>
              </w:rPr>
              <w:t>可写的创新</w:t>
            </w:r>
          </w:p>
        </w:tc>
        <w:tc>
          <w:tcPr>
            <w:tcW w:type="dxa" w:w="2551"/>
            <w:vAlign w:val="center"/>
            <w:shd w:fill="F4F6F9"/>
            <w:tcMar>
              <w:top w:w="80" w:type="dxa"/>
              <w:start w:w="120" w:type="dxa"/>
              <w:bottom w:w="80" w:type="dxa"/>
              <w:end w:w="120" w:type="dxa"/>
            </w:tcMar>
          </w:tcPr>
          <w:p>
            <w:pPr>
              <w:spacing w:after="0"/>
              <w:jc w:val="center"/>
            </w:pPr>
            <w:r/>
            <w:r>
              <w:rPr>
                <w:rFonts w:ascii="宋体" w:hAnsi="宋体" w:eastAsia="宋体"/>
                <w:b/>
                <w:sz w:val="19"/>
              </w:rPr>
              <w:t>必须避免的表述</w:t>
            </w:r>
          </w:p>
        </w:tc>
      </w:tr>
      <w:tr>
        <w:tc>
          <w:tcPr>
            <w:tcW w:type="dxa" w:w="1020"/>
            <w:vAlign w:val="center"/>
            <w:tcMar>
              <w:top w:w="80" w:type="dxa"/>
              <w:start w:w="120" w:type="dxa"/>
              <w:bottom w:w="80" w:type="dxa"/>
              <w:end w:w="120" w:type="dxa"/>
            </w:tcMar>
          </w:tcPr>
          <w:p>
            <w:pPr>
              <w:spacing w:after="0"/>
              <w:jc w:val="left"/>
            </w:pPr>
            <w:r/>
            <w:r>
              <w:rPr>
                <w:rFonts w:ascii="宋体" w:hAnsi="宋体" w:eastAsia="宋体"/>
                <w:b w:val="0"/>
                <w:sz w:val="19"/>
              </w:rPr>
              <w:t>核心科学</w:t>
            </w:r>
          </w:p>
        </w:tc>
        <w:tc>
          <w:tcPr>
            <w:tcW w:type="dxa" w:w="4309"/>
            <w:vAlign w:val="center"/>
            <w:tcMar>
              <w:top w:w="80" w:type="dxa"/>
              <w:start w:w="120" w:type="dxa"/>
              <w:bottom w:w="80" w:type="dxa"/>
              <w:end w:w="120" w:type="dxa"/>
            </w:tcMar>
          </w:tcPr>
          <w:p>
            <w:pPr>
              <w:spacing w:after="0"/>
              <w:jc w:val="left"/>
            </w:pPr>
            <w:r/>
            <w:r>
              <w:rPr>
                <w:rFonts w:ascii="宋体" w:hAnsi="宋体" w:eastAsia="宋体"/>
                <w:b w:val="0"/>
                <w:sz w:val="19"/>
              </w:rPr>
              <w:t>以[η,i,θ,d/h,α_z]及三段归一化坐标构建“近似可分离—强耦合”机制分区，并用留出工况检验。</w:t>
            </w:r>
          </w:p>
        </w:tc>
        <w:tc>
          <w:tcPr>
            <w:tcW w:type="dxa" w:w="2551"/>
            <w:vAlign w:val="center"/>
            <w:tcMar>
              <w:top w:w="80" w:type="dxa"/>
              <w:start w:w="120" w:type="dxa"/>
              <w:bottom w:w="80" w:type="dxa"/>
              <w:end w:w="120" w:type="dxa"/>
            </w:tcMar>
          </w:tcPr>
          <w:p>
            <w:pPr>
              <w:spacing w:after="0"/>
              <w:jc w:val="left"/>
            </w:pPr>
            <w:r/>
            <w:r>
              <w:rPr>
                <w:rFonts w:ascii="宋体" w:hAnsi="宋体" w:eastAsia="宋体"/>
                <w:b w:val="0"/>
                <w:sz w:val="19"/>
              </w:rPr>
              <w:t>“首次发现地形与地层耦合”。</w:t>
            </w:r>
          </w:p>
        </w:tc>
      </w:tr>
      <w:tr>
        <w:tc>
          <w:tcPr>
            <w:tcW w:type="dxa" w:w="1020"/>
            <w:vAlign w:val="center"/>
            <w:tcMar>
              <w:top w:w="80" w:type="dxa"/>
              <w:start w:w="120" w:type="dxa"/>
              <w:bottom w:w="80" w:type="dxa"/>
              <w:end w:w="120" w:type="dxa"/>
            </w:tcMar>
          </w:tcPr>
          <w:p>
            <w:pPr>
              <w:spacing w:after="0"/>
              <w:jc w:val="left"/>
            </w:pPr>
            <w:r/>
            <w:r>
              <w:rPr>
                <w:rFonts w:ascii="宋体" w:hAnsi="宋体" w:eastAsia="宋体"/>
                <w:b w:val="0"/>
                <w:sz w:val="19"/>
              </w:rPr>
              <w:t>方法证据</w:t>
            </w:r>
          </w:p>
        </w:tc>
        <w:tc>
          <w:tcPr>
            <w:tcW w:type="dxa" w:w="4309"/>
            <w:vAlign w:val="center"/>
            <w:tcMar>
              <w:top w:w="80" w:type="dxa"/>
              <w:start w:w="120" w:type="dxa"/>
              <w:bottom w:w="80" w:type="dxa"/>
              <w:end w:w="120" w:type="dxa"/>
            </w:tcMar>
          </w:tcPr>
          <w:p>
            <w:pPr>
              <w:spacing w:after="0"/>
              <w:jc w:val="left"/>
            </w:pPr>
            <w:r/>
            <w:r>
              <w:rPr>
                <w:rFonts w:ascii="宋体" w:hAnsi="宋体" w:eastAsia="宋体"/>
                <w:b w:val="0"/>
                <w:sz w:val="19"/>
              </w:rPr>
              <w:t>频域全局矩阵自由场、衰减一致化、分层V&amp;V和全表面H(f,s)数据管线。</w:t>
            </w:r>
          </w:p>
        </w:tc>
        <w:tc>
          <w:tcPr>
            <w:tcW w:type="dxa" w:w="2551"/>
            <w:vAlign w:val="center"/>
            <w:tcMar>
              <w:top w:w="80" w:type="dxa"/>
              <w:start w:w="120" w:type="dxa"/>
              <w:bottom w:w="80" w:type="dxa"/>
              <w:end w:w="120" w:type="dxa"/>
            </w:tcMar>
          </w:tcPr>
          <w:p>
            <w:pPr>
              <w:spacing w:after="0"/>
              <w:jc w:val="left"/>
            </w:pPr>
            <w:r/>
            <w:r>
              <w:rPr>
                <w:rFonts w:ascii="宋体" w:hAnsi="宋体" w:eastAsia="宋体"/>
                <w:b w:val="0"/>
                <w:sz w:val="19"/>
              </w:rPr>
              <w:t>“提出了频域全局矩阵法”。</w:t>
            </w:r>
          </w:p>
        </w:tc>
      </w:tr>
      <w:tr>
        <w:tc>
          <w:tcPr>
            <w:tcW w:type="dxa" w:w="1020"/>
            <w:vAlign w:val="center"/>
            <w:tcMar>
              <w:top w:w="80" w:type="dxa"/>
              <w:start w:w="120" w:type="dxa"/>
              <w:bottom w:w="80" w:type="dxa"/>
              <w:end w:w="120" w:type="dxa"/>
            </w:tcMar>
          </w:tcPr>
          <w:p>
            <w:pPr>
              <w:spacing w:after="0"/>
              <w:jc w:val="left"/>
            </w:pPr>
            <w:r/>
            <w:r>
              <w:rPr>
                <w:rFonts w:ascii="宋体" w:hAnsi="宋体" w:eastAsia="宋体"/>
                <w:b w:val="0"/>
                <w:sz w:val="19"/>
              </w:rPr>
              <w:t>应用代理</w:t>
            </w:r>
          </w:p>
        </w:tc>
        <w:tc>
          <w:tcPr>
            <w:tcW w:type="dxa" w:w="4309"/>
            <w:vAlign w:val="center"/>
            <w:tcMar>
              <w:top w:w="80" w:type="dxa"/>
              <w:start w:w="120" w:type="dxa"/>
              <w:bottom w:w="80" w:type="dxa"/>
              <w:end w:w="120" w:type="dxa"/>
            </w:tcMar>
          </w:tcPr>
          <w:p>
            <w:pPr>
              <w:spacing w:after="0"/>
              <w:jc w:val="left"/>
            </w:pPr>
            <w:r/>
            <w:r>
              <w:rPr>
                <w:rFonts w:ascii="宋体" w:hAnsi="宋体" w:eastAsia="宋体"/>
                <w:b w:val="0"/>
                <w:sz w:val="19"/>
              </w:rPr>
              <w:t>POD—GPR全曲线残差代理、预测方差/OOD预警、主动学习补点。</w:t>
            </w:r>
          </w:p>
        </w:tc>
        <w:tc>
          <w:tcPr>
            <w:tcW w:type="dxa" w:w="2551"/>
            <w:vAlign w:val="center"/>
            <w:tcMar>
              <w:top w:w="80" w:type="dxa"/>
              <w:start w:w="120" w:type="dxa"/>
              <w:bottom w:w="80" w:type="dxa"/>
              <w:end w:w="120" w:type="dxa"/>
            </w:tcMar>
          </w:tcPr>
          <w:p>
            <w:pPr>
              <w:spacing w:after="0"/>
              <w:jc w:val="left"/>
            </w:pPr>
            <w:r/>
            <w:r>
              <w:rPr>
                <w:rFonts w:ascii="宋体" w:hAnsi="宋体" w:eastAsia="宋体"/>
                <w:b w:val="0"/>
                <w:sz w:val="19"/>
              </w:rPr>
              <w:t>“首次用机器学习预测坡地放大”。</w:t>
            </w:r>
          </w:p>
        </w:tc>
      </w:tr>
    </w:tbl>
    <w:p>
      <w:pPr>
        <w:spacing w:line="320" w:lineRule="auto" w:after="160"/>
        <w:ind w:firstLine="420"/>
        <w:jc w:val="both"/>
      </w:pPr>
      <w:r>
        <w:rPr>
          <w:rFonts w:ascii="宋体" w:hAnsi="宋体" w:eastAsia="宋体"/>
        </w:rPr>
        <w:t>论文的比较设计应覆盖：直接几何—频率回归（代表已有经验式/直接ML）、简单H_1D×H_topo相乘、黑箱代理和物理残差代理。只有在同一留出集上证明残差模型同时改善精度、可解释性和适用域提示，机器学习部分才会成为核心问题的有效支撑，而非独立卖点。</w:t>
      </w:r>
    </w:p>
    <w:p>
      <w:pPr>
        <w:keepNext/>
        <w:spacing w:before="360" w:after="200"/>
        <w:jc w:val="left"/>
      </w:pPr>
      <w:r>
        <w:rPr>
          <w:rFonts w:ascii="黑体" w:hAnsi="黑体" w:eastAsia="黑体"/>
          <w:b/>
          <w:sz w:val="28"/>
        </w:rPr>
        <w:t>5 机器学习路线：线性基线与非线性修正分开建模</w:t>
      </w:r>
    </w:p>
    <w:p>
      <w:pPr>
        <w:spacing w:line="320" w:lineRule="auto" w:after="160"/>
        <w:ind w:firstLine="420"/>
        <w:jc w:val="both"/>
      </w:pPr>
      <w:r>
        <w:rPr>
          <w:rFonts w:ascii="宋体" w:hAnsi="宋体" w:eastAsia="宋体"/>
        </w:rPr>
        <w:t>当前522组线性数据适合POD—GPR：161点TAF曲线经15阶POD压缩，按几何分组交叉验证得到MAE 0.0244、R² 0.947。该结果说明小样本、昂贵有限元数据下，经典模型优于测试的端到端深度模型；它不是非线性土体响应模型。</w:t>
      </w:r>
    </w:p>
    <w:p>
      <w:pPr>
        <w:spacing w:line="320" w:lineRule="auto" w:after="160"/>
        <w:ind w:firstLine="420"/>
        <w:jc w:val="both"/>
      </w:pPr>
      <w:r>
        <w:rPr>
          <w:rFonts w:ascii="宋体" w:hAnsi="宋体" w:eastAsia="宋体"/>
        </w:rPr>
        <w:t>向成层与强度依赖扩展时，第一阶段以η、i、θ、d/h、α_z及输入PGA、Arias强度、显著持时、Sa(T_site)等事前可得变量预测线性基线或EQL修正；第二阶段可学习耦合残差或强度修正。G/G_max、阻尼比和有效应变若来自计算后处理，不能直接作为输入，否则会构成信息泄漏；如确有必要，应先建立其预测子模型。</w:t>
      </w:r>
    </w:p>
    <w:p>
      <w:pPr>
        <w:spacing w:line="320" w:lineRule="auto" w:after="160"/>
        <w:ind w:firstLine="420"/>
        <w:jc w:val="both"/>
      </w:pPr>
      <w:r>
        <w:rPr>
          <w:rFonts w:ascii="宋体" w:hAnsi="宋体" w:eastAsia="宋体"/>
        </w:rPr>
        <w:t>建议在现有P3e强度扫描之外，至少形成40~60组覆盖强度—地层—几何交互的EQL对比样本，并按预测方差和耦合残差优先级主动补点。在达到该样本量和独立测试要求前，只把非线性结果用于物理对比，不报告“非线性机器学习”的泛化精度。</w:t>
      </w:r>
    </w:p>
    <w:p>
      <w:pPr>
        <w:keepNext/>
        <w:spacing w:before="360" w:after="200"/>
        <w:jc w:val="left"/>
      </w:pPr>
      <w:r>
        <w:rPr>
          <w:rFonts w:ascii="黑体" w:hAnsi="黑体" w:eastAsia="黑体"/>
          <w:b/>
          <w:sz w:val="28"/>
        </w:rPr>
        <w:t>6 本次论文修订已落实的要点</w:t>
      </w:r>
    </w:p>
    <w:tbl>
      <w:tblPr>
        <w:tblStyle w:val="TableGrid"/>
        <w:tblW w:type="auto" w:w="0"/>
        <w:jc w:val="center"/>
        <w:tblLayout w:type="fixed"/>
        <w:tblLook w:firstColumn="1" w:firstRow="1" w:lastColumn="0" w:lastRow="0" w:noHBand="0" w:noVBand="1" w:val="04A0"/>
      </w:tblPr>
      <w:tblGrid>
        <w:gridCol w:w="4513"/>
        <w:gridCol w:w="4513"/>
      </w:tblGrid>
      <w:tr>
        <w:tc>
          <w:tcPr>
            <w:tcW w:type="dxa" w:w="1701"/>
            <w:vAlign w:val="center"/>
            <w:shd w:fill="F4F6F9"/>
            <w:tcMar>
              <w:top w:w="80" w:type="dxa"/>
              <w:start w:w="120" w:type="dxa"/>
              <w:bottom w:w="80" w:type="dxa"/>
              <w:end w:w="120" w:type="dxa"/>
            </w:tcMar>
          </w:tcPr>
          <w:p>
            <w:pPr>
              <w:spacing w:after="0"/>
              <w:jc w:val="center"/>
            </w:pPr>
            <w:r/>
            <w:r>
              <w:rPr>
                <w:rFonts w:ascii="宋体" w:hAnsi="宋体" w:eastAsia="宋体"/>
                <w:b/>
                <w:sz w:val="19"/>
              </w:rPr>
              <w:t>论文位置</w:t>
            </w:r>
          </w:p>
        </w:tc>
        <w:tc>
          <w:tcPr>
            <w:tcW w:type="dxa" w:w="6236"/>
            <w:vAlign w:val="center"/>
            <w:shd w:fill="F4F6F9"/>
            <w:tcMar>
              <w:top w:w="80" w:type="dxa"/>
              <w:start w:w="120" w:type="dxa"/>
              <w:bottom w:w="80" w:type="dxa"/>
              <w:end w:w="120" w:type="dxa"/>
            </w:tcMar>
          </w:tcPr>
          <w:p>
            <w:pPr>
              <w:spacing w:after="0"/>
              <w:jc w:val="center"/>
            </w:pPr>
            <w:r/>
            <w:r>
              <w:rPr>
                <w:rFonts w:ascii="宋体" w:hAnsi="宋体" w:eastAsia="宋体"/>
                <w:b/>
                <w:sz w:val="19"/>
              </w:rPr>
              <w:t>已落实的修订</w:t>
            </w:r>
          </w:p>
        </w:tc>
      </w:tr>
      <w:tr>
        <w:tc>
          <w:tcPr>
            <w:tcW w:type="dxa" w:w="1701"/>
            <w:vAlign w:val="center"/>
            <w:tcMar>
              <w:top w:w="80" w:type="dxa"/>
              <w:start w:w="120" w:type="dxa"/>
              <w:bottom w:w="80" w:type="dxa"/>
              <w:end w:w="120" w:type="dxa"/>
            </w:tcMar>
          </w:tcPr>
          <w:p>
            <w:pPr>
              <w:spacing w:after="0"/>
              <w:jc w:val="left"/>
            </w:pPr>
            <w:r/>
            <w:r>
              <w:rPr>
                <w:rFonts w:ascii="宋体" w:hAnsi="宋体" w:eastAsia="宋体"/>
                <w:b w:val="0"/>
                <w:sz w:val="19"/>
              </w:rPr>
              <w:t>摘要与第1章</w:t>
            </w:r>
          </w:p>
        </w:tc>
        <w:tc>
          <w:tcPr>
            <w:tcW w:type="dxa" w:w="6236"/>
            <w:vAlign w:val="center"/>
            <w:tcMar>
              <w:top w:w="80" w:type="dxa"/>
              <w:start w:w="120" w:type="dxa"/>
              <w:bottom w:w="80" w:type="dxa"/>
              <w:end w:w="120" w:type="dxa"/>
            </w:tcMar>
          </w:tcPr>
          <w:p>
            <w:pPr>
              <w:spacing w:after="0"/>
              <w:jc w:val="left"/>
            </w:pPr>
            <w:r/>
            <w:r>
              <w:rPr>
                <w:rFonts w:ascii="宋体" w:hAnsi="宋体" w:eastAsia="宋体"/>
                <w:b w:val="0"/>
                <w:sz w:val="19"/>
              </w:rPr>
              <w:t>明确线性主研究、EQL边界检验和核心科学问题；删除“ML首次应用”式隐含表述。</w:t>
            </w:r>
          </w:p>
        </w:tc>
      </w:tr>
      <w:tr>
        <w:tc>
          <w:tcPr>
            <w:tcW w:type="dxa" w:w="1701"/>
            <w:vAlign w:val="center"/>
            <w:tcMar>
              <w:top w:w="80" w:type="dxa"/>
              <w:start w:w="120" w:type="dxa"/>
              <w:bottom w:w="80" w:type="dxa"/>
              <w:end w:w="120" w:type="dxa"/>
            </w:tcMar>
          </w:tcPr>
          <w:p>
            <w:pPr>
              <w:spacing w:after="0"/>
              <w:jc w:val="left"/>
            </w:pPr>
            <w:r/>
            <w:r>
              <w:rPr>
                <w:rFonts w:ascii="宋体" w:hAnsi="宋体" w:eastAsia="宋体"/>
                <w:b w:val="0"/>
                <w:sz w:val="19"/>
              </w:rPr>
              <w:t>第3章</w:t>
            </w:r>
          </w:p>
        </w:tc>
        <w:tc>
          <w:tcPr>
            <w:tcW w:type="dxa" w:w="6236"/>
            <w:vAlign w:val="center"/>
            <w:tcMar>
              <w:top w:w="80" w:type="dxa"/>
              <w:start w:w="120" w:type="dxa"/>
              <w:bottom w:w="80" w:type="dxa"/>
              <w:end w:w="120" w:type="dxa"/>
            </w:tcMar>
          </w:tcPr>
          <w:p>
            <w:pPr>
              <w:spacing w:after="0"/>
              <w:jc w:val="left"/>
            </w:pPr>
            <w:r/>
            <w:r>
              <w:rPr>
                <w:rFonts w:ascii="宋体" w:hAnsi="宋体" w:eastAsia="宋体"/>
                <w:b w:val="0"/>
                <w:sz w:val="19"/>
              </w:rPr>
              <w:t>补入五层有效性证据链、收敛定量结果、VAB残余反射口径及独立验证待办。</w:t>
            </w:r>
          </w:p>
        </w:tc>
      </w:tr>
      <w:tr>
        <w:tc>
          <w:tcPr>
            <w:tcW w:type="dxa" w:w="1701"/>
            <w:vAlign w:val="center"/>
            <w:tcMar>
              <w:top w:w="80" w:type="dxa"/>
              <w:start w:w="120" w:type="dxa"/>
              <w:bottom w:w="80" w:type="dxa"/>
              <w:end w:w="120" w:type="dxa"/>
            </w:tcMar>
          </w:tcPr>
          <w:p>
            <w:pPr>
              <w:spacing w:after="0"/>
              <w:jc w:val="left"/>
            </w:pPr>
            <w:r/>
            <w:r>
              <w:rPr>
                <w:rFonts w:ascii="宋体" w:hAnsi="宋体" w:eastAsia="宋体"/>
                <w:b w:val="0"/>
                <w:sz w:val="19"/>
              </w:rPr>
              <w:t>第4章</w:t>
            </w:r>
          </w:p>
        </w:tc>
        <w:tc>
          <w:tcPr>
            <w:tcW w:type="dxa" w:w="6236"/>
            <w:vAlign w:val="center"/>
            <w:tcMar>
              <w:top w:w="80" w:type="dxa"/>
              <w:start w:w="120" w:type="dxa"/>
              <w:bottom w:w="80" w:type="dxa"/>
              <w:end w:w="120" w:type="dxa"/>
            </w:tcMar>
          </w:tcPr>
          <w:p>
            <w:pPr>
              <w:spacing w:after="0"/>
              <w:jc w:val="left"/>
            </w:pPr>
            <w:r/>
            <w:r>
              <w:rPr>
                <w:rFonts w:ascii="宋体" w:hAnsi="宋体" w:eastAsia="宋体"/>
                <w:b w:val="0"/>
                <w:sz w:val="19"/>
              </w:rPr>
              <w:t>把“耦合”与“本构非线性”区分；用r(f,s)定义可检验的耦合残差。</w:t>
            </w:r>
          </w:p>
        </w:tc>
      </w:tr>
      <w:tr>
        <w:tc>
          <w:tcPr>
            <w:tcW w:type="dxa" w:w="1701"/>
            <w:vAlign w:val="center"/>
            <w:tcMar>
              <w:top w:w="80" w:type="dxa"/>
              <w:start w:w="120" w:type="dxa"/>
              <w:bottom w:w="80" w:type="dxa"/>
              <w:end w:w="120" w:type="dxa"/>
            </w:tcMar>
          </w:tcPr>
          <w:p>
            <w:pPr>
              <w:spacing w:after="0"/>
              <w:jc w:val="left"/>
            </w:pPr>
            <w:r/>
            <w:r>
              <w:rPr>
                <w:rFonts w:ascii="宋体" w:hAnsi="宋体" w:eastAsia="宋体"/>
                <w:b w:val="0"/>
                <w:sz w:val="19"/>
              </w:rPr>
              <w:t>第5章</w:t>
            </w:r>
          </w:p>
        </w:tc>
        <w:tc>
          <w:tcPr>
            <w:tcW w:type="dxa" w:w="6236"/>
            <w:vAlign w:val="center"/>
            <w:tcMar>
              <w:top w:w="80" w:type="dxa"/>
              <w:start w:w="120" w:type="dxa"/>
              <w:bottom w:w="80" w:type="dxa"/>
              <w:end w:w="120" w:type="dxa"/>
            </w:tcMar>
          </w:tcPr>
          <w:p>
            <w:pPr>
              <w:spacing w:after="0"/>
              <w:jc w:val="left"/>
            </w:pPr>
            <w:r/>
            <w:r>
              <w:rPr>
                <w:rFonts w:ascii="宋体" w:hAnsi="宋体" w:eastAsia="宋体"/>
                <w:b w:val="0"/>
                <w:sz w:val="19"/>
              </w:rPr>
              <w:t>补入软土EQL强度扫描及其正确解释；明确EQL与真非线性的边界。</w:t>
            </w:r>
          </w:p>
        </w:tc>
      </w:tr>
      <w:tr>
        <w:tc>
          <w:tcPr>
            <w:tcW w:type="dxa" w:w="1701"/>
            <w:vAlign w:val="center"/>
            <w:tcMar>
              <w:top w:w="80" w:type="dxa"/>
              <w:start w:w="120" w:type="dxa"/>
              <w:bottom w:w="80" w:type="dxa"/>
              <w:end w:w="120" w:type="dxa"/>
            </w:tcMar>
          </w:tcPr>
          <w:p>
            <w:pPr>
              <w:spacing w:after="0"/>
              <w:jc w:val="left"/>
            </w:pPr>
            <w:r/>
            <w:r>
              <w:rPr>
                <w:rFonts w:ascii="宋体" w:hAnsi="宋体" w:eastAsia="宋体"/>
                <w:b w:val="0"/>
                <w:sz w:val="19"/>
              </w:rPr>
              <w:t>第6章</w:t>
            </w:r>
          </w:p>
        </w:tc>
        <w:tc>
          <w:tcPr>
            <w:tcW w:type="dxa" w:w="6236"/>
            <w:vAlign w:val="center"/>
            <w:tcMar>
              <w:top w:w="80" w:type="dxa"/>
              <w:start w:w="120" w:type="dxa"/>
              <w:bottom w:w="80" w:type="dxa"/>
              <w:end w:w="120" w:type="dxa"/>
            </w:tcMar>
          </w:tcPr>
          <w:p>
            <w:pPr>
              <w:spacing w:after="0"/>
              <w:jc w:val="left"/>
            </w:pPr>
            <w:r/>
            <w:r>
              <w:rPr>
                <w:rFonts w:ascii="宋体" w:hAnsi="宋体" w:eastAsia="宋体"/>
                <w:b w:val="0"/>
                <w:sz w:val="19"/>
              </w:rPr>
              <w:t>将代理模型限定为线性基线；新增物理残差、两阶段强度修正和主动补点条件。</w:t>
            </w:r>
          </w:p>
        </w:tc>
      </w:tr>
      <w:tr>
        <w:tc>
          <w:tcPr>
            <w:tcW w:type="dxa" w:w="1701"/>
            <w:vAlign w:val="center"/>
            <w:tcMar>
              <w:top w:w="80" w:type="dxa"/>
              <w:start w:w="120" w:type="dxa"/>
              <w:bottom w:w="80" w:type="dxa"/>
              <w:end w:w="120" w:type="dxa"/>
            </w:tcMar>
          </w:tcPr>
          <w:p>
            <w:pPr>
              <w:spacing w:after="0"/>
              <w:jc w:val="left"/>
            </w:pPr>
            <w:r/>
            <w:r>
              <w:rPr>
                <w:rFonts w:ascii="宋体" w:hAnsi="宋体" w:eastAsia="宋体"/>
                <w:b w:val="0"/>
                <w:sz w:val="19"/>
              </w:rPr>
              <w:t>第7章</w:t>
            </w:r>
          </w:p>
        </w:tc>
        <w:tc>
          <w:tcPr>
            <w:tcW w:type="dxa" w:w="6236"/>
            <w:vAlign w:val="center"/>
            <w:tcMar>
              <w:top w:w="80" w:type="dxa"/>
              <w:start w:w="120" w:type="dxa"/>
              <w:bottom w:w="80" w:type="dxa"/>
              <w:end w:w="120" w:type="dxa"/>
            </w:tcMar>
          </w:tcPr>
          <w:p>
            <w:pPr>
              <w:spacing w:after="0"/>
              <w:jc w:val="left"/>
            </w:pPr>
            <w:r/>
            <w:r>
              <w:rPr>
                <w:rFonts w:ascii="宋体" w:hAnsi="宋体" w:eastAsia="宋体"/>
                <w:b w:val="0"/>
                <w:sz w:val="19"/>
              </w:rPr>
              <w:t>把创新点重排为机制—方法证据—可信代理，并将未完成验证明确列为展望。</w:t>
            </w:r>
          </w:p>
        </w:tc>
      </w:tr>
    </w:tbl>
    <w:p>
      <w:pPr>
        <w:keepNext/>
        <w:spacing w:before="360" w:after="200"/>
        <w:jc w:val="left"/>
      </w:pPr>
      <w:r>
        <w:rPr>
          <w:rFonts w:ascii="黑体" w:hAnsi="黑体" w:eastAsia="黑体"/>
          <w:b/>
          <w:sz w:val="28"/>
        </w:rPr>
        <w:t>参考文献定位</w:t>
      </w:r>
    </w:p>
    <w:p>
      <w:pPr>
        <w:spacing w:line="320" w:lineRule="auto" w:after="160"/>
        <w:jc w:val="both"/>
      </w:pPr>
      <w:r>
        <w:rPr>
          <w:rFonts w:ascii="宋体" w:hAnsi="宋体" w:eastAsia="宋体"/>
        </w:rPr>
        <w:t>[1] RIZZITANO S, CASCONE E, BIONDI G. Coupling of topographic and stratigraphic effects on seismic response of slopes through 2D linear and equivalent linear analyses[J]. Soil Dynamics and Earthquake Engineering, 2014.（论文原参考文献[66]）</w:t>
      </w:r>
    </w:p>
    <w:p>
      <w:pPr>
        <w:spacing w:line="320" w:lineRule="auto" w:after="160"/>
        <w:jc w:val="both"/>
      </w:pPr>
      <w:r>
        <w:rPr>
          <w:rFonts w:ascii="宋体" w:hAnsi="宋体" w:eastAsia="宋体"/>
        </w:rPr>
        <w:t>[2] SHEN H, LIU Y, LI X, et al. The combined amplification effects of topography and stratigraphy of layered rock slopes under vertically and obliquely incident seismic waves[J]. Soil Dynamics and Earthquake Engineering.（论文原参考文献[65]）</w:t>
      </w:r>
    </w:p>
    <w:p>
      <w:pPr>
        <w:spacing w:line="320" w:lineRule="auto" w:after="160"/>
        <w:jc w:val="both"/>
      </w:pPr>
      <w:r>
        <w:rPr>
          <w:rFonts w:ascii="宋体" w:hAnsi="宋体" w:eastAsia="宋体"/>
        </w:rPr>
        <w:t>[3] 罗麒锐, 赵仕兴, 吴启红, 等. 基于地形参数的地震动放大系数数值分析与预测方法[J]. 建筑结构, 2025, 55(2): 50-57, 35.（论文原参考文献[87]）</w:t>
      </w:r>
    </w:p>
    <w:p>
      <w:pPr>
        <w:spacing w:line="320" w:lineRule="auto" w:after="160"/>
        <w:jc w:val="both"/>
      </w:pPr>
      <w:r>
        <w:rPr>
          <w:rFonts w:ascii="宋体" w:hAnsi="宋体" w:eastAsia="宋体"/>
        </w:rPr>
        <w:t>注：本说明归档的是本轮论文定位与方法论口径。具体数值应以相应自动化验证报告和可复现算例为准；未完成项不得在论文中表述为既有结论。</w:t>
      </w:r>
    </w:p>
    <w:sectPr w:rsidR="00FC693F" w:rsidRPr="0006063C" w:rsidSect="00034616">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after="1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