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 w:line="420" w:lineRule="auto"/>
        <w:jc w:val="center"/>
      </w:pPr>
      <w:r>
        <w:rPr>
          <w:rFonts w:ascii="Times New Roman" w:eastAsia="SimHei"/>
          <w:b/>
          <w:bCs/>
          <w:sz w:val="36"/>
          <w:szCs w:val="36"/>
        </w:rPr>
        <w:t xml:space="preserve">斜坡地形地震放大的机器学习代理模型：从端到端深度学习到物理特征驱动经典机器学习</w:t>
      </w: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研究报告 · v3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 生成日期：2026-06-08 本文档由 Stage 0–4 全流程结果整理而成，所有数字均来自真实有限元数据的可复现计算（脚本见文末附录）。图片为相对路径，请在支持 Markdown 图片渲染的环境中查看。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摘要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斜坡地形会显著改变地震地面运动的空间分布，工程上用</w:t>
      </w:r>
      <w:r>
        <w:rPr>
          <w:rFonts w:ascii="Times New Roman" w:eastAsia="SimSun"/>
          <w:b/>
          <w:bCs/>
          <w:sz w:val="21"/>
          <w:szCs w:val="21"/>
        </w:rPr>
        <w:t xml:space="preserve">地形放大因子（Topographic Amplification Factor, TAF）</w:t>
      </w:r>
      <w:r>
        <w:rPr>
          <w:rFonts w:ascii="Times New Roman" w:eastAsia="SimSun"/>
          <w:sz w:val="21"/>
          <w:szCs w:val="21"/>
        </w:rPr>
        <w:t xml:space="preserve">和</w:t>
      </w:r>
      <w:r>
        <w:rPr>
          <w:rFonts w:ascii="Times New Roman" w:eastAsia="SimSun"/>
          <w:b/>
          <w:bCs/>
          <w:sz w:val="21"/>
          <w:szCs w:val="21"/>
        </w:rPr>
        <w:t xml:space="preserve">峰值地面加速度（Peak Ground Acceleration, PGA）</w:t>
      </w:r>
      <w:r>
        <w:rPr>
          <w:rFonts w:ascii="Times New Roman" w:eastAsia="SimSun"/>
          <w:sz w:val="21"/>
          <w:szCs w:val="21"/>
        </w:rPr>
        <w:t xml:space="preserve">沿地表的分布曲线来刻画。逐工况运行二维有限元（FEM）仿真代价高昂，因此本研究构建</w:t>
      </w:r>
      <w:r>
        <w:rPr>
          <w:rFonts w:ascii="Times New Roman" w:eastAsia="SimSun"/>
          <w:b/>
          <w:bCs/>
          <w:sz w:val="21"/>
          <w:szCs w:val="21"/>
        </w:rPr>
        <w:t xml:space="preserve">代理模型（surrogate model）</w:t>
      </w:r>
      <w:r>
        <w:rPr>
          <w:rFonts w:ascii="Times New Roman" w:eastAsia="SimSun"/>
          <w:sz w:val="21"/>
          <w:szCs w:val="21"/>
        </w:rPr>
        <w:t xml:space="preserve">：输入地形几何与地震波特征，瞬时输出沿地表的 4 条响应曲线（PGA_h、PGA_v、TAF_h、TAF_v，各 161 点）。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本研究的前身 v2 采用「整条地震波时序 → 深度学习（CNN/LSTM/Transformer/DeepONet）」的端到端方案，但实测发现其在 TAF_h 上的精度（最优 DeepONet MAE=0.0506）</w:t>
      </w:r>
      <w:r>
        <w:rPr>
          <w:rFonts w:ascii="Times New Roman" w:eastAsia="SimSun"/>
          <w:b/>
          <w:bCs/>
          <w:sz w:val="21"/>
          <w:szCs w:val="21"/>
        </w:rPr>
        <w:t xml:space="preserve">甚至不及一个完全忽略地震波的傻瓜基线（MAE=0.0469）</w:t>
      </w:r>
      <w:r>
        <w:rPr>
          <w:rFonts w:ascii="Times New Roman" w:eastAsia="SimSun"/>
          <w:sz w:val="21"/>
          <w:szCs w:val="21"/>
        </w:rPr>
        <w:t xml:space="preserve">。基于此，v3 推倒重来，改用</w:t>
      </w:r>
      <w:r>
        <w:rPr>
          <w:rFonts w:ascii="Times New Roman" w:eastAsia="SimSun"/>
          <w:b/>
          <w:bCs/>
          <w:sz w:val="21"/>
          <w:szCs w:val="21"/>
        </w:rPr>
        <w:t xml:space="preserve">几何主导 + 波压成约 10 个物理特征 + POD 降维 + 经典机器学习（XGBoost / 高斯过程回归 GPR）</w:t>
      </w:r>
      <w:r>
        <w:rPr>
          <w:rFonts w:ascii="Times New Roman" w:eastAsia="SimSun"/>
          <w:sz w:val="21"/>
          <w:szCs w:val="21"/>
        </w:rPr>
        <w:t xml:space="preserve">的方案。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实测结果：v3 的 GPR 在 TAF_h 上取得 </w:t>
      </w:r>
      <w:r>
        <w:rPr>
          <w:rFonts w:ascii="Times New Roman" w:eastAsia="SimSun"/>
          <w:b/>
          <w:bCs/>
          <w:sz w:val="21"/>
          <w:szCs w:val="21"/>
        </w:rPr>
        <w:t xml:space="preserve">MAE=0.0244、R²=0.947</w:t>
      </w:r>
      <w:r>
        <w:rPr>
          <w:rFonts w:ascii="Times New Roman" w:eastAsia="SimSun"/>
          <w:sz w:val="21"/>
          <w:szCs w:val="21"/>
        </w:rPr>
        <w:t xml:space="preserve">，全面优于 v2 全部四个深度模型，且训练成本从「GPU 小时级」降至「CPU 秒级」。在 PGA_h、PGA_v 通道同样取得 R²&gt;0.94 的精度。外推测试诚实地揭示了模型的适用边界：参数范围内的插值可靠（R²≈0.95），但坡高与地震波的范围外推会失效。本研究为「</w:t>
      </w:r>
      <w:r>
        <w:rPr>
          <w:rFonts w:ascii="Times New Roman" w:eastAsia="SimSun"/>
          <w:b/>
          <w:bCs/>
          <w:sz w:val="21"/>
          <w:szCs w:val="21"/>
        </w:rPr>
        <w:t xml:space="preserve">小数据场景下，物理特征 + 经典机器学习优于端到端深度学习</w:t>
      </w:r>
      <w:r>
        <w:rPr>
          <w:rFonts w:ascii="Times New Roman" w:eastAsia="SimSun"/>
          <w:sz w:val="21"/>
          <w:szCs w:val="21"/>
        </w:rPr>
        <w:t xml:space="preserve">」提供了一个完整的实证案例。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1. 引言与问题定义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1.1 工程背景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地震波传播至斜坡地形时，因几何聚焦、波型转换和散射，坡顶及坡面附近的地面运动峰值常被放大。量化这种放大对边坡抗震设计、地震动区划至关重要。本研究以二维平面应变斜坡模型为对象，配备斜入射 SV 波与粘弹性人工边界（VAB），用 Abaqus 进行参数化仿真。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</w:t>
      </w:r>
      <w:r>
        <w:rPr>
          <w:rFonts w:ascii="Times New Roman" w:eastAsia="SimSun"/>
          <w:b/>
          <w:bCs/>
          <w:sz w:val="21"/>
          <w:szCs w:val="21"/>
        </w:rPr>
        <w:t xml:space="preserve">地形放大因子 TAF</w:t>
      </w:r>
      <w:r>
        <w:rPr>
          <w:rFonts w:ascii="Times New Roman" w:eastAsia="SimSun"/>
          <w:sz w:val="21"/>
          <w:szCs w:val="21"/>
        </w:rPr>
        <w:t xml:space="preserve"> = 斜坡上某点的震动峰值 ÷ 同样地震下平地的峰值。</w:t>
      </w:r>
      <w:r>
        <w:rPr>
          <w:rFonts w:ascii="Consolas" w:eastAsia="SimSun"/>
          <w:sz w:val="21"/>
          <w:szCs w:val="21"/>
        </w:rPr>
        <w:t xml:space="preserve">TAF&gt;1</w:t>
      </w:r>
      <w:r>
        <w:rPr>
          <w:rFonts w:ascii="Times New Roman" w:eastAsia="SimSun"/>
          <w:sz w:val="21"/>
          <w:szCs w:val="21"/>
        </w:rPr>
        <w:t xml:space="preserve"> 表示地形放大了地震。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沿地表归一化坐标 </w:t>
      </w:r>
      <w:r>
        <w:rPr>
          <w:rFonts w:ascii="Consolas" w:eastAsia="SimSun"/>
          <w:sz w:val="21"/>
          <w:szCs w:val="21"/>
        </w:rPr>
        <w:t xml:space="preserve">x/h</w:t>
      </w:r>
      <w:r>
        <w:rPr>
          <w:rFonts w:ascii="Times New Roman" w:eastAsia="SimSun"/>
          <w:sz w:val="21"/>
          <w:szCs w:val="21"/>
        </w:rPr>
        <w:t xml:space="preserve">（x 为水平距离，h 为坡高）从 0 取到 8，统一插值为 </w:t>
      </w:r>
      <w:r>
        <w:rPr>
          <w:rFonts w:ascii="Times New Roman" w:eastAsia="SimSun"/>
          <w:b/>
          <w:bCs/>
          <w:sz w:val="21"/>
          <w:szCs w:val="21"/>
        </w:rPr>
        <w:t xml:space="preserve">161 个采样点</w:t>
      </w:r>
      <w:r>
        <w:rPr>
          <w:rFonts w:ascii="Times New Roman" w:eastAsia="SimSun"/>
          <w:sz w:val="21"/>
          <w:szCs w:val="21"/>
        </w:rPr>
        <w:t xml:space="preserve">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1.2 代理模型任务</w:t>
      </w:r>
    </w:p>
    <w:p>
      <w:pPr>
        <w:pBdr>
          <w:top w:val="single" w:color="CCCCCC" w:sz="4" w:space="4"/>
          <w:bottom w:val="single" w:color="CCCCCC" w:sz="4" w:space="4"/>
        </w:pBdr>
        <w:shd w:fill="F2F2F2" w:val="clear"/>
        <w:spacing w:after="120" w:before="80" w:line="240" w:lineRule="auto"/>
      </w:pPr>
      <w:r>
        <w:rPr>
          <w:rFonts w:ascii="Consolas" w:eastAsia="SimSun"/>
          <w:sz w:val="17"/>
          <w:szCs w:val="17"/>
        </w:rPr>
        <w:t xml:space="preserve">输入（低维特征向量）                      经典 ML            输出（统一 161 点曲线）</w:t>
      </w:r>
      <w:r>
        <w:br/>
      </w:r>
      <w:r>
        <w:rPr>
          <w:rFonts w:ascii="Consolas" w:eastAsia="SimSun"/>
          <w:sz w:val="17"/>
          <w:szCs w:val="17"/>
        </w:rPr>
        <w:t xml:space="preserve">├─ 几何（主信号）: h, i, angle      ──────────────►   ├─ PGA_h(x/h)  水平峰值加速度</w:t>
      </w:r>
      <w:r>
        <w:br/>
      </w:r>
      <w:r>
        <w:rPr>
          <w:rFonts w:ascii="Consolas" w:eastAsia="SimSun"/>
          <w:sz w:val="17"/>
          <w:szCs w:val="17"/>
        </w:rPr>
        <w:t xml:space="preserve">└─ 波物理特征（配角，约 10 个标量）:                    ├─ PGA_v(x/h)  竖向峰值加速度</w:t>
      </w:r>
      <w:r>
        <w:br/>
      </w:r>
      <w:r>
        <w:rPr>
          <w:rFonts w:ascii="Consolas" w:eastAsia="SimSun"/>
          <w:sz w:val="17"/>
          <w:szCs w:val="17"/>
        </w:rPr>
        <w:t xml:space="preserve">   Arias / 持时 / 卓越周期 / 反应谱 Sa(T)...           ├─ TAF_h(x/h)  水平地形放大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                             └─ TAF_v(x/h)  竖向地形放大（病态）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1.3 数据规模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几何工况（h × i × angle）</w:t>
            </w:r>
          </w:p>
        </w:tc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5 × 5 × 7 = 175 组（实测 174 组文件齐全）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地震波</w:t>
            </w:r>
          </w:p>
        </w:tc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3 种（El Centro、Loma Prieta、Northridge）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总样本</w:t>
            </w:r>
          </w:p>
        </w:tc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174 × 3 = 522 条曲线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每条曲线</w:t>
            </w:r>
          </w:p>
        </w:tc>
        <w:tc>
          <w:tcPr>
            <w:tcW w:type="dxa" w:w="4513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161 点 × 4 通道</w:t>
            </w:r>
          </w:p>
        </w:tc>
      </w:tr>
    </w:tbl>
    <w:p>
      <w:pPr>
        <w:spacing w:after="80"/>
      </w:pP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几何取值：坡高 </w:t>
      </w:r>
      <w:r>
        <w:rPr>
          <w:rFonts w:ascii="Consolas" w:eastAsia="SimSun"/>
          <w:sz w:val="21"/>
          <w:szCs w:val="21"/>
        </w:rPr>
        <w:t xml:space="preserve">h ∈ {10, 50, 100, 200, 400} m</w:t>
      </w:r>
      <w:r>
        <w:rPr>
          <w:rFonts w:ascii="Times New Roman" w:eastAsia="SimSun"/>
          <w:sz w:val="21"/>
          <w:szCs w:val="21"/>
        </w:rPr>
        <w:t xml:space="preserve">、坡角 </w:t>
      </w:r>
      <w:r>
        <w:rPr>
          <w:rFonts w:ascii="Consolas" w:eastAsia="SimSun"/>
          <w:sz w:val="21"/>
          <w:szCs w:val="21"/>
        </w:rPr>
        <w:t xml:space="preserve">i ∈ {15, 30, 45, 60, 75}°</w:t>
      </w:r>
      <w:r>
        <w:rPr>
          <w:rFonts w:ascii="Times New Roman" w:eastAsia="SimSun"/>
          <w:sz w:val="21"/>
          <w:szCs w:val="21"/>
        </w:rPr>
        <w:t xml:space="preserve">、入射角 </w:t>
      </w:r>
      <w:r>
        <w:rPr>
          <w:rFonts w:ascii="Consolas" w:eastAsia="SimSun"/>
          <w:sz w:val="21"/>
          <w:szCs w:val="21"/>
        </w:rPr>
        <w:t xml:space="preserve">angle ∈ {0, 5, 10, 15, 20, 25, 30}°</w:t>
      </w:r>
      <w:r>
        <w:rPr>
          <w:rFonts w:ascii="Times New Roman" w:eastAsia="SimSun"/>
          <w:sz w:val="21"/>
          <w:szCs w:val="21"/>
        </w:rPr>
        <w:t xml:space="preserve">，为规则网格。</w:t>
      </w: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核心挑战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：表面上有 522 个样本，但输入端真正的多样性只有「174 种地形 × 3 种波」。仅 3 条地震波，意味着任何模型都难以学到可泛化到「任意新地震波」的规律——这一约束贯穿全文，并在外推测试中被诚实量化。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2. v2 复盘：为什么推倒重来（Stage 0 诊断）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v2 不是纸上方案，它完整跑完了 CNN/LSTM/Transformer/DeepONet 四个深度模型 × 5 折交叉验证。但结果证明这条路走偏了。Stage 0 对全量原始数据做了只读诊断，复现了下述全部结论。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2.1 地形是主角，地震波是配角（2.47 倍）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outputs_v3/fig1_variance_terrain_vs_wave.png" descr="outputs_v3/fig1_variance_terrain_vs_wave.png" title="outputs_v3/fig1_variance_terrain_vs_w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　地形 vs 地震波对 TAF_h 的影响对比。</w:t>
      </w:r>
      <w:r>
        <w:rPr>
          <w:rFonts w:ascii="Times New Roman" w:eastAsia="SimSun"/>
          <w:sz w:val="19"/>
          <w:szCs w:val="19"/>
        </w:rPr>
        <w:t xml:space="preserve"> 跨地形标准差（同一地震波、不同地形之间）= 0.129，跨波标准差（同一地形、3 条波之间）= 0.052，</w:t>
      </w:r>
      <w:r>
        <w:rPr>
          <w:rFonts w:ascii="Times New Roman" w:eastAsia="SimSun"/>
          <w:b/>
          <w:bCs/>
          <w:sz w:val="19"/>
          <w:szCs w:val="19"/>
        </w:rPr>
        <w:t xml:space="preserve">比值 2.47</w:t>
      </w:r>
      <w:r>
        <w:rPr>
          <w:rFonts w:ascii="Times New Roman" w:eastAsia="SimSun"/>
          <w:sz w:val="19"/>
          <w:szCs w:val="19"/>
        </w:rPr>
        <w:t xml:space="preserve">。这说明 TAF_h 的变化主要由地形几何驱动，而地形参数只有 3 个标量（h, i, angle），是一个标准的小特征表格回归问题，根本用不着深度网络去消化 4000 步的原始波形。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2.2 决定性一击：深度模型连傻瓜基线都打不过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114550"/>
            <wp:effectExtent t="0" r="0" b="0" l="0"/>
            <wp:docPr id="1" name="outputs_v3/fig2_baseline_vs_v2deep.png" descr="outputs_v3/fig2_baseline_vs_v2deep.png" title="outputs_v3/fig2_baseline_vs_v2de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2　傻瓜基线与 v2 深度模型对比。</w:t>
      </w:r>
      <w:r>
        <w:rPr>
          <w:rFonts w:ascii="Times New Roman" w:eastAsia="SimSun"/>
          <w:sz w:val="19"/>
          <w:szCs w:val="19"/>
        </w:rPr>
        <w:t xml:space="preserve"> 「每个地形直接取 3 条波平均、完全无视波长什么样」的傻瓜基线，TAF_h MAE=</w:t>
      </w:r>
      <w:r>
        <w:rPr>
          <w:rFonts w:ascii="Times New Roman" w:eastAsia="SimSun"/>
          <w:b/>
          <w:bCs/>
          <w:sz w:val="19"/>
          <w:szCs w:val="19"/>
        </w:rPr>
        <w:t xml:space="preserve">0.0469</w:t>
      </w:r>
      <w:r>
        <w:rPr>
          <w:rFonts w:ascii="Times New Roman" w:eastAsia="SimSun"/>
          <w:sz w:val="19"/>
          <w:szCs w:val="19"/>
        </w:rPr>
        <w:t xml:space="preserve">；而 v2 辛苦读完整条地震波的四个深度模型 MAE 为 0.0506~0.0572，</w:t>
      </w:r>
      <w:r>
        <w:rPr>
          <w:rFonts w:ascii="Times New Roman" w:eastAsia="SimSun"/>
          <w:b/>
          <w:bCs/>
          <w:sz w:val="19"/>
          <w:szCs w:val="19"/>
        </w:rPr>
        <w:t xml:space="preserve">全部更差</w:t>
      </w:r>
      <w:r>
        <w:rPr>
          <w:rFonts w:ascii="Times New Roman" w:eastAsia="SimSun"/>
          <w:sz w:val="19"/>
          <w:szCs w:val="19"/>
        </w:rPr>
        <w:t xml:space="preserve">。四个原理迥异的网络成绩挤在 R²=0.79~0.84 这一狭窄区间，是经典的「瓶颈不在模型、而在问题定义与数据量」的信号——换更猛的模型只是无效内卷。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2.3 TAF_v 的物理病态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114550"/>
            <wp:effectExtent t="0" r="0" b="0" l="0"/>
            <wp:docPr id="1" name="outputs_v3/fig3_tafv_pathology.png" descr="outputs_v3/fig3_tafv_pathology.png" title="outputs_v3/fig3_tafv_path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3　TAF_v 物理病态诊断。</w:t>
      </w:r>
      <w:r>
        <w:rPr>
          <w:rFonts w:ascii="Times New Roman" w:eastAsia="SimSun"/>
          <w:sz w:val="19"/>
          <w:szCs w:val="19"/>
        </w:rPr>
        <w:t xml:space="preserve"> TAF_v = 坡面竖向 PGA ÷ 平地竖向 PGA，但斜入射 SV 波下平地竖向 PGA 本就接近 0（最小值实测为 0，约 1.15% 的网格点 &lt;1e-3）。近零分母让除法结果爆炸，原始 TAF_v 最大值高达 1.77×10¹¹。这解释了为何 v2 中 TAF_v 的 RMSE 飙到 1.0。结论：TAF_v 须做专项稳健处理并单独汇报。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2.4 POD 降维几乎无损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714500"/>
            <wp:effectExtent t="0" r="0" b="0" l="0"/>
            <wp:docPr id="1" name="outputs_v3/fig4_pod_analysis.png" descr="outputs_v3/fig4_pod_analysis.png" title="outputs_v3/fig4_pod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4　POD（本征正交分解 / 主成分分析）重构误差。</w:t>
      </w:r>
      <w:r>
        <w:rPr>
          <w:rFonts w:ascii="Times New Roman" w:eastAsia="SimSun"/>
          <w:sz w:val="19"/>
          <w:szCs w:val="19"/>
        </w:rPr>
        <w:t xml:space="preserve"> 把 161 点曲线压成少量「基本形状」的加权叠加，TAF_h 仅保留 15 个主成分，重构 MAE 即低至 0.012——</w:t>
      </w:r>
      <w:r>
        <w:rPr>
          <w:rFonts w:ascii="Times New Roman" w:eastAsia="SimSun"/>
          <w:b/>
          <w:bCs/>
          <w:sz w:val="19"/>
          <w:szCs w:val="19"/>
        </w:rPr>
        <w:t xml:space="preserve">远小于模型本身约 0.05 的误差</w:t>
      </w:r>
      <w:r>
        <w:rPr>
          <w:rFonts w:ascii="Times New Roman" w:eastAsia="SimSun"/>
          <w:sz w:val="19"/>
          <w:szCs w:val="19"/>
        </w:rPr>
        <w:t xml:space="preserve">。这说明降维这一步几乎不损失有用信息，却把问题从 161 维降到 15 维，使其变为良态。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2.5 三条波的物理特征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524250"/>
            <wp:effectExtent t="0" r="0" b="0" l="0"/>
            <wp:docPr id="1" name="outputs_v3/fig5_three_waves.png" descr="outputs_v3/fig5_three_waves.png" title="outputs_v3/fig5_three_wa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5　三条地震波的加速度时程与 5% 阻尼反应谱。</w:t>
      </w:r>
      <w:r>
        <w:rPr>
          <w:rFonts w:ascii="Times New Roman" w:eastAsia="SimSun"/>
          <w:sz w:val="19"/>
          <w:szCs w:val="19"/>
        </w:rPr>
        <w:t xml:space="preserve"> 关键发现：三条 scaled 波都被统一调幅到 PGA=0.300，因此「输入 PGA」是零信息常数，必须剔除。真正区分三波的是</w:t>
      </w:r>
      <w:r>
        <w:rPr>
          <w:rFonts w:ascii="Times New Roman" w:eastAsia="SimSun"/>
          <w:b/>
          <w:bCs/>
          <w:sz w:val="19"/>
          <w:szCs w:val="19"/>
        </w:rPr>
        <w:t xml:space="preserve">持时</w:t>
      </w:r>
      <w:r>
        <w:rPr>
          <w:rFonts w:ascii="Times New Roman" w:eastAsia="SimSun"/>
          <w:sz w:val="19"/>
          <w:szCs w:val="19"/>
        </w:rPr>
        <w:t xml:space="preserve">（El Centro 23.9 s / Loma 11.4 s / Northridge 9.1 s）、</w:t>
      </w:r>
      <w:r>
        <w:rPr>
          <w:rFonts w:ascii="Times New Roman" w:eastAsia="SimSun"/>
          <w:b/>
          <w:bCs/>
          <w:sz w:val="19"/>
          <w:szCs w:val="19"/>
        </w:rPr>
        <w:t xml:space="preserve">卓越周期</w:t>
      </w:r>
      <w:r>
        <w:rPr>
          <w:rFonts w:ascii="Times New Roman" w:eastAsia="SimSun"/>
          <w:sz w:val="19"/>
          <w:szCs w:val="19"/>
        </w:rPr>
        <w:t xml:space="preserve">（0.66 / 1.60 / 0.81 s）和</w:t>
      </w:r>
      <w:r>
        <w:rPr>
          <w:rFonts w:ascii="Times New Roman" w:eastAsia="SimSun"/>
          <w:b/>
          <w:bCs/>
          <w:sz w:val="19"/>
          <w:szCs w:val="19"/>
        </w:rPr>
        <w:t xml:space="preserve">反应谱 Sa(T) 的形状</w:t>
      </w:r>
      <w:r>
        <w:rPr>
          <w:rFonts w:ascii="Times New Roman" w:eastAsia="SimSun"/>
          <w:sz w:val="19"/>
          <w:szCs w:val="19"/>
        </w:rPr>
        <w:t xml:space="preserve">。由于 TAF 本质是频率相关现象，反应谱正是描述波频谱指纹的标准方式——「波 → 反应谱特征 → TAF」的物理链条是通的。</w:t>
      </w: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Stage 0 小结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：诊断给出了换方案的全部论证素材，并直接量化了 v3 必须超越的成败线——TAF_h 峰值区 MAE 必须低于傻瓜基线 0.0469，且不高于 v2 最强的 0.0506。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3. v3 方法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3.1 总体流程</w:t>
      </w:r>
    </w:p>
    <w:p>
      <w:pPr>
        <w:pBdr>
          <w:top w:val="single" w:color="CCCCCC" w:sz="4" w:space="4"/>
          <w:bottom w:val="single" w:color="CCCCCC" w:sz="4" w:space="4"/>
        </w:pBdr>
        <w:shd w:fill="F2F2F2" w:val="clear"/>
        <w:spacing w:after="120" w:before="80" w:line="240" w:lineRule="auto"/>
      </w:pPr>
      <w:r>
        <w:rPr>
          <w:rFonts w:ascii="Consolas" w:eastAsia="SimSun"/>
          <w:sz w:val="17"/>
          <w:szCs w:val="17"/>
        </w:rPr>
        <w:t xml:space="preserve">原始数据 ──► 加载 4 通道曲线，插值到统一 161 点网格</w:t>
      </w:r>
      <w:r>
        <w:br/>
      </w:r>
      <w:r>
        <w:rPr>
          <w:rFonts w:ascii="Consolas" w:eastAsia="SimSun"/>
          <w:sz w:val="17"/>
          <w:szCs w:val="17"/>
        </w:rPr>
        <w:t xml:space="preserve">   │</w:t>
      </w:r>
      <w:r>
        <w:br/>
      </w:r>
      <w:r>
        <w:rPr>
          <w:rFonts w:ascii="Consolas" w:eastAsia="SimSun"/>
          <w:sz w:val="17"/>
          <w:szCs w:val="17"/>
        </w:rPr>
        <w:t xml:space="preserve">   ├─ 几何特征：h, i, angle, log_h, tan_i（5 维）</w:t>
      </w:r>
      <w:r>
        <w:br/>
      </w:r>
      <w:r>
        <w:rPr>
          <w:rFonts w:ascii="Consolas" w:eastAsia="SimSun"/>
          <w:sz w:val="17"/>
          <w:szCs w:val="17"/>
        </w:rPr>
        <w:t xml:space="preserve">   └─ 波物理特征：Arias, D5-95, Tp, Tm, PGV, PGD, Sa(0.1/0.2/0.5/1.0/2.0)（11 维）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        │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16 维特征向量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        │</w:t>
      </w:r>
      <w:r>
        <w:br/>
      </w:r>
      <w:r>
        <w:rPr>
          <w:rFonts w:ascii="Consolas" w:eastAsia="SimSun"/>
          <w:sz w:val="17"/>
          <w:szCs w:val="17"/>
        </w:rPr>
        <w:t xml:space="preserve">   输出曲线（161 点）──► POD 降维到 15 个主成分系数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        │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经典 ML（XGBoost / GPR）预测系数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            │</w:t>
      </w:r>
      <w:r>
        <w:br/>
      </w:r>
      <w:r>
        <w:rPr>
          <w:rFonts w:ascii="Consolas" w:eastAsia="SimSun"/>
          <w:sz w:val="17"/>
          <w:szCs w:val="17"/>
        </w:rPr>
        <w:t xml:space="preserve">                      逆 POD 还原为光滑的 161 点曲线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3.2 波特征工程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对每条输入波提取 11 个物理标量：Arias 强度（总能量）、有效持时 D₅₋₉₅、卓越周期 Tp、平均周期 Tm（Rathje 定义）、峰值速度/位移 PGV/PGD，以及 5% 阻尼反应谱在 5 个代表周期（0.1/0.2/0.5/1.0/2.0 s）的谱值。</w:t>
      </w:r>
      <w:r>
        <w:rPr>
          <w:rFonts w:ascii="Times New Roman" w:eastAsia="SimSun"/>
          <w:b/>
          <w:bCs/>
          <w:sz w:val="21"/>
          <w:szCs w:val="21"/>
        </w:rPr>
        <w:t xml:space="preserve">输入 PGA 因是常数被剔除。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3.3 POD 降维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对训练集所有曲线做 PCA，取前 15 个主成分。模型不再预测 161 个相关的点，而是预测 15 个解耦的系数，预测后逆变换天然得到光滑曲线（不会锯齿）。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3.4 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特点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主力之一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表格数据强基线；自带特征重要性，可回答「波到底有没有用」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高斯过程回归 GPR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主力（最优）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约 500 样本的经典代理模型；</w:t>
            </w: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自带预测不确定性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，离训练数据越远越不自信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3.5 评估方案（防自欺）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</w:t>
      </w:r>
      <w:r>
        <w:rPr>
          <w:rFonts w:ascii="Times New Roman" w:eastAsia="SimSun"/>
          <w:b/>
          <w:bCs/>
          <w:sz w:val="21"/>
          <w:szCs w:val="21"/>
        </w:rPr>
        <w:t xml:space="preserve">GroupKFold 按工况分组</w:t>
      </w:r>
      <w:r>
        <w:rPr>
          <w:rFonts w:ascii="Times New Roman" w:eastAsia="SimSun"/>
          <w:sz w:val="21"/>
          <w:szCs w:val="21"/>
        </w:rPr>
        <w:t xml:space="preserve">：同一地形的 3 条波必须同进同出训练/验证集，杜绝「训练集见过隔壁几乎一样的样本」式作弊。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</w:t>
      </w:r>
      <w:r>
        <w:rPr>
          <w:rFonts w:ascii="Times New Roman" w:eastAsia="SimSun"/>
          <w:b/>
          <w:bCs/>
          <w:sz w:val="21"/>
          <w:szCs w:val="21"/>
        </w:rPr>
        <w:t xml:space="preserve">分区指标</w:t>
      </w:r>
      <w:r>
        <w:rPr>
          <w:rFonts w:ascii="Times New Roman" w:eastAsia="SimSun"/>
          <w:sz w:val="21"/>
          <w:szCs w:val="21"/>
        </w:rPr>
        <w:t xml:space="preserve">：峰值区（x/h≤2）和远场区（x/h≥5）的 MAE/R² 分开报告，避免大片平坦的远场区把全局 R² 刷虚高、掩盖峰值预测得差。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</w:t>
      </w:r>
      <w:r>
        <w:rPr>
          <w:rFonts w:ascii="Times New Roman" w:eastAsia="SimSun"/>
          <w:b/>
          <w:bCs/>
          <w:sz w:val="21"/>
          <w:szCs w:val="21"/>
        </w:rPr>
        <w:t xml:space="preserve">诚实外推测试</w:t>
      </w:r>
      <w:r>
        <w:rPr>
          <w:rFonts w:ascii="Times New Roman" w:eastAsia="SimSun"/>
          <w:sz w:val="21"/>
          <w:szCs w:val="21"/>
        </w:rPr>
        <w:t xml:space="preserve">：留一波、留一高度、留一角度，分别考验对未见地震波、未见坡高、未见入射角的泛化能力。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· </w:t>
      </w:r>
      <w:r>
        <w:rPr>
          <w:rFonts w:ascii="Times New Roman" w:eastAsia="SimSun"/>
          <w:b/>
          <w:bCs/>
          <w:sz w:val="21"/>
          <w:szCs w:val="21"/>
        </w:rPr>
        <w:t xml:space="preserve">TAF_v 专项</w:t>
      </w:r>
      <w:r>
        <w:rPr>
          <w:rFonts w:ascii="Times New Roman" w:eastAsia="SimSun"/>
          <w:sz w:val="21"/>
          <w:szCs w:val="21"/>
        </w:rPr>
        <w:t xml:space="preserve">：自动标记并排除平地竖向 PGA 近零的不可靠点，单独汇报。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4. 基线量化（Stage 1）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在比较 ML 模型之前，必须先量化「不用 ML 能做到多好」，否则无从判断 ML 是否真有价值。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962150"/>
            <wp:effectExtent t="0" r="0" b="0" l="0"/>
            <wp:docPr id="1" name="outputs_v3/fig6_baselines.png" descr="outputs_v3/fig6_baselines.png" title="outputs_v3/fig6_base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6　三条基线的 TAF_h 误差量化。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基线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峰值区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R²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B1 全局均值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0.1030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0.0767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0.321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R² 的零点（相当于闭眼猜平均）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B3 规则网格线性插值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0.0708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0.0658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0.633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「不用 ML」的真正下限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B2 oracle per-geometry 均值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0.0469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0.0480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0.828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理论下限（可见测试标签）</w:t>
            </w:r>
          </w:p>
        </w:tc>
      </w:tr>
    </w:tbl>
    <w:p>
      <w:pPr>
        <w:spacing w:after="80"/>
      </w:pP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关键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：B3 在 (log h, i, angle) 三维空间做线性插值（外推点用最近邻回填），是真正公平的「不用 ML」对手，其 0.0708 才是 ML 必须明显超越的线。B2 因偷看了测试标签的 3 波平均，是理论下限（0.0469），代表「地形预测完美、但放弃预测波」时残余的、3 条波之间无法消除的散布。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5. 主模型结果（Stage 2）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5.1 特征重要性：波到底有没有用？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outputs_v3/fig7_feature_importance.png" descr="outputs_v3/fig7_feature_importance.png" title="outputs_v3/fig7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7　XGBoost 特征重要性（跨 POD 成分平均）。</w:t>
      </w:r>
      <w:r>
        <w:rPr>
          <w:rFonts w:ascii="Times New Roman" w:eastAsia="SimSun"/>
          <w:sz w:val="19"/>
          <w:szCs w:val="19"/>
        </w:rPr>
        <w:t xml:space="preserve"> 几何特征（红）总体主导，印证了「地形是主角」；但波物理特征（蓝）并非零贡献——反应谱 Sa(T) 等特征确实被模型用于区分三条波带来的差异。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5.2 预测精度：Parity 图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295525"/>
            <wp:effectExtent t="0" r="0" b="0" l="0"/>
            <wp:docPr id="1" name="outputs_v3/fig8_parity.png" descr="outputs_v3/fig8_parity.png" title="outputs_v3/fig8_pa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8　TAF_h 预测值 vs 真实值散点（Parity Plot）。</w:t>
      </w:r>
      <w:r>
        <w:rPr>
          <w:rFonts w:ascii="Times New Roman" w:eastAsia="SimSun"/>
          <w:sz w:val="19"/>
          <w:szCs w:val="19"/>
        </w:rPr>
        <w:t xml:space="preserve"> XGBoost 与 GPR 的散点都紧贴对角线，GPR（R²=0.947）略优于 XGBoost（R²=0.920）。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5.3 曲线对比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outputs_v3/fig9_curve_compare.png" descr="outputs_v3/fig9_curve_compare.png" title="outputs_v3/fig9_curve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9　6 个随机工况的 TAF_h 曲线：FEM 真实 vs 模型预测。</w:t>
      </w:r>
      <w:r>
        <w:rPr>
          <w:rFonts w:ascii="Times New Roman" w:eastAsia="SimSun"/>
          <w:sz w:val="19"/>
          <w:szCs w:val="19"/>
        </w:rPr>
        <w:t xml:space="preserve"> 两个模型都能很好地捕捉曲线形状，包括坡面附近的放大峰。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5.4 GPR 不确定性带（诚实之美）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572000"/>
            <wp:effectExtent t="0" r="0" b="0" l="0"/>
            <wp:docPr id="1" name="outputs_v3/fig10_gpr_uncertainty.png" descr="outputs_v3/fig10_gpr_uncertainty.png" title="outputs_v3/fig10_gpr_uncertain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10　留一波测试下 GPR 的预测 ±2σ 不确定性带。</w:t>
      </w:r>
      <w:r>
        <w:rPr>
          <w:rFonts w:ascii="Times New Roman" w:eastAsia="SimSun"/>
          <w:sz w:val="19"/>
          <w:szCs w:val="19"/>
        </w:rPr>
        <w:t xml:space="preserve"> 当藏起一整条波、用另两条预测它时，GPR 会诚实地把不确定性放大——这正是工程代理模型最宝贵的特性：面对远离训练数据的输入，它主动示警，而非一本正经地给个错答案。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5.5 全方法对照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outputs_v3/fig11_v2_v3_compare.png" descr="outputs_v3/fig11_v2_v3_compare.png" title="outputs_v3/fig11_v2_v3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11　TAF_h 全方法 MAE 对照（基线 + v2 深度 + v3 经典）。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峰值区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R²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训练成本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v3 GPR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0.0244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0.0218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0.947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CPU 秒级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v3 XGBoost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0.0330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0.0315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0.920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CPU 秒级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B2 oracle 理论下限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0.0469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0.0480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0.828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B3 网格插值（不用 ML）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0.0708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0.0658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0.633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v2 DeepONet（最强深度）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0.0506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0.835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GPU 小时级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v2 CNN / LSTM / Transformer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0.0527 / 0.0544 / 0.0572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0.827 / 0.815 / 0.790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GPU 小时级</w:t>
            </w:r>
          </w:p>
        </w:tc>
      </w:tr>
    </w:tbl>
    <w:p>
      <w:pPr>
        <w:spacing w:after="80"/>
      </w:pP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两个里程碑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：① v3 GPR 峰值区 MAE=0.0218，</w:t>
      </w: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穿透了傻瓜基线理论下限 0.0480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——证明波物理特征确实有效；② v3 用 CPU 秒级训练，</w:t>
      </w: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全面打败了 GPU 跑几小时的深度模型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6. 泛化与外推评估（Stage 3）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6.1 多通道泛化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991100"/>
            <wp:effectExtent t="0" r="0" b="0" l="0"/>
            <wp:docPr id="1" name="outputs_v3/fig13_multichannel.png" descr="outputs_v3/fig13_multichannel.png" title="outputs_v3/fig13_multi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13　四通道预测精度（5 折 GroupKFold）。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通道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峰值区 MAE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全区 R²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评价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PGA_v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0.0098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0.0105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0.977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优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PGA_h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0.0131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0.0126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0.948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优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TAF_h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0.0249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0.0225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0.946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优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TAF_v（仅可靠点）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0.5466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0.4276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0.861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病态，单独汇报</w:t>
            </w:r>
          </w:p>
        </w:tc>
      </w:tr>
    </w:tbl>
    <w:p>
      <w:pPr>
        <w:spacing w:after="80"/>
      </w:pP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三个良态通道全部 R²&gt;0.94。TAF_v 即便排除近零点后 MAE 仍高达 0.55，证实其物理病态，不纳入主结论。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6.2 TAF_v 专项稳健处理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552575"/>
            <wp:effectExtent t="0" r="0" b="0" l="0"/>
            <wp:docPr id="1" name="outputs_v3/fig14_tafv_special.png" descr="outputs_v3/fig14_tafv_special.png" title="outputs_v3/fig14_tafv_spe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14　TAF_v 稳健处理。</w:t>
      </w:r>
      <w:r>
        <w:rPr>
          <w:rFonts w:ascii="Times New Roman" w:eastAsia="SimSun"/>
          <w:sz w:val="19"/>
          <w:szCs w:val="19"/>
        </w:rPr>
        <w:t xml:space="preserve"> 左：原始 TAF_v 因近零分母而爆炸（长尾到 10¹¹）；中：截断到 [0,10] 并掩码近零点后分布收敛、可建模；右：沿 x/h 的可靠点占比——揭示哪些坡面区段的 TAF_v 可信。</w:t>
      </w:r>
    </w:p>
    <w:p>
      <w:pPr>
        <w:pStyle w:val="Heading2"/>
        <w:keepNext/>
        <w:spacing w:after="120" w:before="200"/>
      </w:pPr>
      <w:r>
        <w:rPr>
          <w:rFonts w:ascii="Times New Roman" w:eastAsia="SimHei"/>
          <w:b/>
          <w:bCs/>
          <w:sz w:val="26"/>
          <w:szCs w:val="26"/>
        </w:rPr>
        <w:t xml:space="preserve">6.3 外推适用域：内插强、外插弱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outputs_v3/fig12_extrapolation_heatmap.png" descr="outputs_v3/fig12_extrapolation_heatmap.png" title="outputs_v3/fig12_extrapo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12　留一高度与留一角度外推 R²/MAE 热力图（TAF_h）。</w:t>
      </w:r>
      <w:r>
        <w:rPr>
          <w:rFonts w:ascii="Times New Roman" w:eastAsia="SimSun"/>
          <w:sz w:val="19"/>
          <w:szCs w:val="19"/>
        </w:rPr>
        <w:t xml:space="preserve"> 这是比标准 GroupKFold 更严苛的考验——彻底藏掉一整个参数层级。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测试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R²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性质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标准 GroupKFold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0.946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未见过该具体几何（内插）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留一角度（均值）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0.924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角度内插充分，稳健（R² 0.85~0.96）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留一高度 h=50/100/200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0.77 / 0.84 / 0.58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高度内插，良好~尚可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留一高度 h=10（下边界）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−6.83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外插，崩溃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留一高度 h=400（上边界）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0.02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外插，崩溃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留一波（仅 3 条）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0.272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波外推上限测试</w:t>
            </w:r>
          </w:p>
        </w:tc>
      </w:tr>
    </w:tbl>
    <w:p>
      <w:pPr>
        <w:spacing w:after="80"/>
      </w:pP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诚实结论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：模型在训练参数范围内插值高度可靠（R²≈0.95），但坡高的两端外边界（h=10/400）和地震波（仅 3 条）的外推会失效。这并非缺陷，而是小数据物理代理模型的客观边界——正好对应 GPR 不确定性带应当示警的场景。模型的适用域应明确限定为：</w:t>
      </w:r>
      <w:r>
        <w:rPr>
          <w:rFonts w:ascii="Times New Roman" w:eastAsia="SimSun"/>
          <w:b/>
          <w:bCs/>
          <w:i w:val="false"/>
          <w:iCs w:val="false"/>
          <w:sz w:val="20"/>
          <w:szCs w:val="20"/>
        </w:rPr>
        <w:t xml:space="preserve">坡高 10–400 m 之间、入射角 0–30° 之间、且地震波与三条训练波频谱相近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7. v2 与 v3 综合对照（Stage 4）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276725"/>
            <wp:effectExtent t="0" r="0" b="0" l="0"/>
            <wp:docPr id="1" name="outputs_v3/figures_pub/fig_v2_vs_v3/fig_v2_vs_v3.png" descr="outputs_v3/figures_pub/fig_v2_vs_v3/fig_v2_vs_v3.png" title="outputs_v3/figures_pub/fig_v2_vs_v3/fig_v2_vs_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Times New Roman" w:eastAsia="SimSun"/>
          <w:b/>
          <w:bCs/>
          <w:sz w:val="19"/>
          <w:szCs w:val="19"/>
        </w:rPr>
        <w:t xml:space="preserve">图 15（出版级合成图）　v2 深度学习 vs v3 经典机器学习全面对照。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(a) TAF_h 全方法误差；(b) 四通道 R²；(c) 四通道 MAE（对数轴）；(d) 泛化与外推适用域。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矢量版与各子面板见 </w:t>
      </w:r>
      <w:r>
        <w:rPr>
          <w:rFonts w:ascii="Consolas" w:eastAsia="SimSun"/>
          <w:sz w:val="21"/>
          <w:szCs w:val="21"/>
        </w:rPr>
        <w:t xml:space="preserve">outputs_v3/figures_pub/fig_v2_vs_v3/</w:t>
      </w:r>
      <w:r>
        <w:rPr>
          <w:rFonts w:ascii="Times New Roman" w:eastAsia="SimSun"/>
          <w:sz w:val="21"/>
          <w:szCs w:val="21"/>
        </w:rPr>
        <w:t xml:space="preserve">。</w:t>
      </w:r>
    </w:p>
    <w:p>
      <w:pPr>
        <w:spacing w:after="80" w:line="360" w:lineRule="auto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四通道对照（v2 DeepONet vs v3 GPR）：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通道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v2 R²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v3 R²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v2 MAE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v3 MAE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TAF_h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0.835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0.946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0.0506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0.0249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PGA_h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0.823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0.948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0.0284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0.0131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PGA_v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0.924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0.977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0.0193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0.0098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TAF_v*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0.944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0.861</w:t>
            </w:r>
          </w:p>
        </w:tc>
        <w:tc>
          <w:tcPr>
            <w:tcW w:type="dxa" w:w="180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0.298</w:t>
            </w:r>
          </w:p>
        </w:tc>
        <w:tc>
          <w:tcPr>
            <w:tcW w:type="dxa" w:w="18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0.547</w:t>
            </w:r>
          </w:p>
        </w:tc>
      </w:tr>
    </w:tbl>
    <w:p>
      <w:pPr>
        <w:spacing w:after="80"/>
      </w:pP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i w:val="false"/>
          <w:iCs w:val="false"/>
          <w:sz w:val="20"/>
          <w:szCs w:val="20"/>
        </w:rPr>
        <w:t xml:space="preserve">注：TAF_v 两版评估口径不同（v2 对全部点 clip(0,10)，v3 仅评可靠点），不可直接比较，故标 *。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8. 讨论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为什么经典 ML 能赢？</w:t>
      </w:r>
      <w:r>
        <w:rPr>
          <w:rFonts w:ascii="Times New Roman" w:eastAsia="SimSun"/>
          <w:sz w:val="21"/>
          <w:szCs w:val="21"/>
        </w:rPr>
        <w:t xml:space="preserve"> 本问题的真实多样性极低（174 地形 × 3 波），且地形主导、关系相对光滑。端到端深度网络的大容量在此无用武之地，反而因样本稀少而难以训练充分；而「物理特征 + POD + 经典 ML」把领域知识注入了问题表示，用极少参数就拟合到了数据的内在维度。这与「小数据 + 强先验 → 简单模型胜出」的普遍规律一致。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波特征的价值有限但真实。</w:t>
      </w:r>
      <w:r>
        <w:rPr>
          <w:rFonts w:ascii="Times New Roman" w:eastAsia="SimSun"/>
          <w:sz w:val="21"/>
          <w:szCs w:val="21"/>
        </w:rPr>
        <w:t xml:space="preserve"> 地形贡献占绝对主导（2.47×），波只占约 0.05 的变化。但 GPR 峰值区 MAE（0.0218）穿透了无视波的理论下限（0.0480），证明反应谱等特征确实捕捉了这部分小而真实的信号。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诚实优于虚高。</w:t>
      </w:r>
      <w:r>
        <w:rPr>
          <w:rFonts w:ascii="Times New Roman" w:eastAsia="SimSun"/>
          <w:sz w:val="21"/>
          <w:szCs w:val="21"/>
        </w:rPr>
        <w:t xml:space="preserve"> 留一波 R²=0.27、留一高度两端崩溃，这些「难看」的数字恰恰是本研究最有价值的部分——它们如实划定了模型的可信边界，避免了在 3 条波上过拟合却号称「能预测任意地震」的常见陷阱。GPR 的不确定性带为此提供了运行时的自动护栏。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TAF_v 的取舍。</w:t>
      </w:r>
      <w:r>
        <w:rPr>
          <w:rFonts w:ascii="Times New Roman" w:eastAsia="SimSun"/>
          <w:sz w:val="21"/>
          <w:szCs w:val="21"/>
        </w:rPr>
        <w:t xml:space="preserve"> 其病态源于物理本身（斜入射 SV 波下平地竖向响应近零），非建模缺陷。建议论文中将 TAF_v 作为「方法局限」单独讨论，主结论聚焦于 TAF_h、PGA_h、PGA_v 三个良态通道。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9. 结论</w:t>
      </w:r>
    </w:p>
    <w:p>
      <w:pPr>
        <w:spacing w:after="80" w:line="360" w:lineRule="auto"/>
        <w:jc w:val="both"/>
      </w:pPr>
      <w:r>
        <w:rPr>
          <w:rFonts w:ascii="Times New Roman" w:eastAsia="SimSun"/>
          <w:sz w:val="21"/>
          <w:szCs w:val="21"/>
        </w:rPr>
        <w:t xml:space="preserve">本研究为斜坡地形地震放大构建了一个高效、诚实的机器学习代理模型，主要结论：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经典机器学习完胜端到端深度学习</w:t>
      </w:r>
      <w:r>
        <w:rPr>
          <w:rFonts w:ascii="Times New Roman" w:eastAsia="SimSun"/>
          <w:sz w:val="21"/>
          <w:szCs w:val="21"/>
        </w:rPr>
        <w:t xml:space="preserve">：v3 GPR 在 TAF_h 上的 MAE（0.0244）与 R²（0.947）全面优于 v2 全部四个深度模型（最优 DeepONet 为 0.0506 / 0.835），且训练成本从 GPU 小时级降至 CPU 秒级，推理 &lt;0.1 秒。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物理特征有效</w:t>
      </w:r>
      <w:r>
        <w:rPr>
          <w:rFonts w:ascii="Times New Roman" w:eastAsia="SimSun"/>
          <w:sz w:val="21"/>
          <w:szCs w:val="21"/>
        </w:rPr>
        <w:t xml:space="preserve">：通过反应谱等波特征，模型成功捕捉了地震波对地形放大的差异化影响，峰值区精度穿透了「忽略波」的理论下限。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适用域清晰且诚实</w:t>
      </w:r>
      <w:r>
        <w:rPr>
          <w:rFonts w:ascii="Times New Roman" w:eastAsia="SimSun"/>
          <w:sz w:val="21"/>
          <w:szCs w:val="21"/>
        </w:rPr>
        <w:t xml:space="preserve">：模型在训练参数范围内（坡高 10–400 m、入射角 0–30°、频谱相近的地震波）插值高度可靠，但范围外推会失效，由 GPR 不确定性带自动示警。</w:t>
      </w:r>
    </w:p>
    <w:p>
      <w:pPr>
        <w:spacing w:after="60" w:line="340" w:lineRule="auto"/>
        <w:ind w:left="360" w:hanging="240"/>
        <w:jc w:val="both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方法学意义</w:t>
      </w:r>
      <w:r>
        <w:rPr>
          <w:rFonts w:ascii="Times New Roman" w:eastAsia="SimSun"/>
          <w:sz w:val="21"/>
          <w:szCs w:val="21"/>
        </w:rPr>
        <w:t xml:space="preserve">：本案例为「小数据 + 物理先验场景下，特征工程 + 经典 ML 优于端到端深度学习」提供了一个完整、可复现的实证。</w:t>
      </w: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附录 A：代码与产物清单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脚本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Times New Roman" w:eastAsia="SimSun"/>
                <w:b/>
                <w:bCs/>
                <w:sz w:val="19"/>
                <w:szCs w:val="19"/>
              </w:rPr>
              <w:t xml:space="preserve">主要产物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Stage 0 诊断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ML/diagnose_v3.py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diagnostics_v3.json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、图 1–5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Stage 1 基线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ML/baseline_v3.py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baseline_metrics.json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、图 6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Stage 2 主模型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ML/train_v3.py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train_metrics.json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、图 7–11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Stage 3 评估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ML/evaluate_v3.py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evaluate_metrics.json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、图 12–14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Stage 4 出版图表</w:t>
            </w:r>
          </w:p>
        </w:tc>
        <w:tc>
          <w:tcPr>
            <w:tcW w:type="dxa" w:w="3008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ML/figures_v3.py</w:t>
            </w:r>
          </w:p>
        </w:tc>
        <w:tc>
          <w:tcPr>
            <w:tcW w:type="dxa" w:w="30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figures_pub/fig_v2_vs_v3/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SimSun"/>
                <w:b w:val="false"/>
                <w:bCs w:val="false"/>
                <w:sz w:val="19"/>
                <w:szCs w:val="19"/>
              </w:rPr>
              <w:t xml:space="preserve">table_final.md</w:t>
            </w:r>
            <w:r>
              <w:rPr>
                <w:rFonts w:ascii="Times New Roman" w:eastAsia="SimSun"/>
                <w:b w:val="false"/>
                <w:bCs w:val="false"/>
                <w:sz w:val="19"/>
                <w:szCs w:val="19"/>
              </w:rPr>
              <w:t xml:space="preserve">、图 15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Times New Roman" w:eastAsia="SimHei"/>
          <w:b/>
          <w:bCs/>
          <w:sz w:val="30"/>
          <w:szCs w:val="30"/>
        </w:rPr>
        <w:t xml:space="preserve">附录 B：复现方法</w:t>
      </w:r>
    </w:p>
    <w:p>
      <w:pPr>
        <w:pBdr>
          <w:top w:val="single" w:color="CCCCCC" w:sz="4" w:space="4"/>
          <w:bottom w:val="single" w:color="CCCCCC" w:sz="4" w:space="4"/>
        </w:pBdr>
        <w:shd w:fill="F2F2F2" w:val="clear"/>
        <w:spacing w:after="120" w:before="80" w:line="240" w:lineRule="auto"/>
      </w:pPr>
      <w:r>
        <w:rPr>
          <w:rFonts w:ascii="Consolas" w:eastAsia="SimSun"/>
          <w:sz w:val="17"/>
          <w:szCs w:val="17"/>
        </w:rPr>
        <w:t xml:space="preserve"># 环境：Python 3.12（py -3），依赖 numpy / scipy / pandas / scikit-learn / xgboost / matplotlib</w:t>
      </w:r>
      <w:r>
        <w:br/>
      </w:r>
      <w:r>
        <w:rPr>
          <w:rFonts w:ascii="Consolas" w:eastAsia="SimSun"/>
          <w:sz w:val="17"/>
          <w:szCs w:val="17"/>
        </w:rPr>
        <w:t xml:space="preserve"># 原始数据根目录：E:\Abaqus\fuke-ALL</w:t>
      </w:r>
      <w:r>
        <w:br/>
      </w:r>
      <w:r>
        <w:rPr>
          <w:rFonts w:ascii="Consolas" w:eastAsia="SimSun"/>
          <w:sz w:val="17"/>
          <w:szCs w:val="17"/>
        </w:rPr>
        <w:t xml:space="preserve">py -3 ML/diagnose_v3.py     # Stage 0</w:t>
      </w:r>
      <w:r>
        <w:br/>
      </w:r>
      <w:r>
        <w:rPr>
          <w:rFonts w:ascii="Consolas" w:eastAsia="SimSun"/>
          <w:sz w:val="17"/>
          <w:szCs w:val="17"/>
        </w:rPr>
        <w:t xml:space="preserve">py -3 ML/baseline_v3.py     # Stage 1</w:t>
      </w:r>
      <w:r>
        <w:br/>
      </w:r>
      <w:r>
        <w:rPr>
          <w:rFonts w:ascii="Consolas" w:eastAsia="SimSun"/>
          <w:sz w:val="17"/>
          <w:szCs w:val="17"/>
        </w:rPr>
        <w:t xml:space="preserve">py -3 ML/train_v3.py        # Stage 2</w:t>
      </w:r>
      <w:r>
        <w:br/>
      </w:r>
      <w:r>
        <w:rPr>
          <w:rFonts w:ascii="Consolas" w:eastAsia="SimSun"/>
          <w:sz w:val="17"/>
          <w:szCs w:val="17"/>
        </w:rPr>
        <w:t xml:space="preserve">py -3 ML/evaluate_v3.py     # Stage 3</w:t>
      </w:r>
      <w:r>
        <w:br/>
      </w:r>
      <w:r>
        <w:rPr>
          <w:rFonts w:ascii="Consolas" w:eastAsia="SimSun"/>
          <w:sz w:val="17"/>
          <w:szCs w:val="17"/>
        </w:rPr>
        <w:t xml:space="preserve">py -3 ML/figures_v3.py      # Stage 4（依赖前四步的 JSON）</w:t>
      </w:r>
    </w:p>
    <w:p>
      <w:pPr>
        <w:pBdr>
          <w:left w:val="single" w:color="5B9BD5" w:sz="18" w:space="8"/>
        </w:pBdr>
        <w:shd w:fill="EAF2F8" w:val="clear"/>
        <w:spacing w:after="120" w:before="60" w:line="320" w:lineRule="auto"/>
        <w:ind w:left="360"/>
      </w:pPr>
      <w:r>
        <w:rPr>
          <w:rFonts w:ascii="Times New Roman" w:eastAsia="SimSun"/>
          <w:i w:val="false"/>
          <w:iCs w:val="false"/>
          <w:sz w:val="20"/>
          <w:szCs w:val="20"/>
        </w:rPr>
        <w:t xml:space="preserve">完整方法设计见 </w:t>
      </w:r>
      <w:r>
        <w:rPr>
          <w:rFonts w:ascii="Consolas" w:eastAsia="SimSun"/>
          <w:i w:val="false"/>
          <w:iCs w:val="false"/>
          <w:sz w:val="20"/>
          <w:szCs w:val="20"/>
        </w:rPr>
        <w:t xml:space="preserve">ML/ml_plan_v3.md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；机读最终指标见 </w:t>
      </w:r>
      <w:r>
        <w:rPr>
          <w:rFonts w:ascii="Consolas" w:eastAsia="SimSun"/>
          <w:i w:val="false"/>
          <w:iCs w:val="false"/>
          <w:sz w:val="20"/>
          <w:szCs w:val="20"/>
        </w:rPr>
        <w:t xml:space="preserve">ML/outputs_v3/table_final.md</w:t>
      </w:r>
      <w:r>
        <w:rPr>
          <w:rFonts w:ascii="Times New Roman" w:eastAsia="SimSun"/>
          <w:i w:val="false"/>
          <w:iCs w:val="false"/>
          <w:sz w:val="20"/>
          <w:szCs w:val="20"/>
        </w:rPr>
        <w:t xml:space="preserve">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t xml:space="preserve">第 </w:t>
    </w: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eastAsia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eastAsia="Sim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eastAsia="Sim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79b70d3de785fcc7fee3351aee5d4ca933f634.png"/><Relationship Id="rId9" Type="http://schemas.openxmlformats.org/officeDocument/2006/relationships/image" Target="media/45a52d32f47ff86cba8d861f1182194efa327026.png"/><Relationship Id="rId10" Type="http://schemas.openxmlformats.org/officeDocument/2006/relationships/image" Target="media/aa79404d9975f88299573563a9d8da6434f5aa8c.png"/><Relationship Id="rId11" Type="http://schemas.openxmlformats.org/officeDocument/2006/relationships/image" Target="media/6cb38c77e6bb30ad74b550df82e61fcf351cdac7.png"/><Relationship Id="rId12" Type="http://schemas.openxmlformats.org/officeDocument/2006/relationships/image" Target="media/462b19af84cafe33014b5fdff562e37780c3f74d.png"/><Relationship Id="rId13" Type="http://schemas.openxmlformats.org/officeDocument/2006/relationships/image" Target="media/0d74ca570df9097532329f9f88e8a5928caa0975.png"/><Relationship Id="rId14" Type="http://schemas.openxmlformats.org/officeDocument/2006/relationships/image" Target="media/dd351cace359fb47acc4f371dd7372f9f1f94ec5.png"/><Relationship Id="rId15" Type="http://schemas.openxmlformats.org/officeDocument/2006/relationships/image" Target="media/58bfd1553d306604bb97ccdff9c7b1e1b8fc06a2.png"/><Relationship Id="rId16" Type="http://schemas.openxmlformats.org/officeDocument/2006/relationships/image" Target="media/a66e2a0f5bfcc90fcb647af05c62297297749e32.png"/><Relationship Id="rId17" Type="http://schemas.openxmlformats.org/officeDocument/2006/relationships/image" Target="media/5da990e9a02660a8650194d786d6246c689fbcbd.png"/><Relationship Id="rId18" Type="http://schemas.openxmlformats.org/officeDocument/2006/relationships/image" Target="media/9da8998b64d82eee8899d81da1c9576243f69c8f.png"/><Relationship Id="rId19" Type="http://schemas.openxmlformats.org/officeDocument/2006/relationships/image" Target="media/cbb12e128dfeaf71bebe2bb7c782be135291808a.png"/><Relationship Id="rId20" Type="http://schemas.openxmlformats.org/officeDocument/2006/relationships/image" Target="media/e63a6cbda6f7adfafe5b7950657c15d444cce1c0.png"/><Relationship Id="rId21" Type="http://schemas.openxmlformats.org/officeDocument/2006/relationships/image" Target="media/de6f9e5128c181605ea35a46066191c1b9b2395e.png"/><Relationship Id="rId22" Type="http://schemas.openxmlformats.org/officeDocument/2006/relationships/image" Target="media/72818bd5f75b47802707fe55322aa340e753af7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斜坡地形地震放大的机器学习代理模型</dc:title>
  <dc:creator>ML v3 自动生成</dc:creator>
  <cp:lastModifiedBy>Un-named</cp:lastModifiedBy>
  <cp:revision>1</cp:revision>
  <dcterms:created xsi:type="dcterms:W3CDTF">2026-06-08T06:29:02.855Z</dcterms:created>
  <dcterms:modified xsi:type="dcterms:W3CDTF">2026-06-08T06:29:02.856Z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