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黑体" w:eastAsia="黑体" w:hAnsi="黑体"/>
          <w:sz w:val="32"/>
          <w:szCs w:val="32"/>
        </w:rPr>
        <w:t xml:space="preserve">3 坡地有限元模型建立与验证</w:t>
      </w:r>
    </w:p>
    <w:p>
      <w:pPr>
        <w:pStyle w:val="Heading2"/>
      </w:pPr>
      <w:r>
        <w:rPr>
          <w:rFonts w:ascii="黑体" w:eastAsia="黑体" w:hAnsi="黑体"/>
          <w:sz w:val="30"/>
          <w:szCs w:val="30"/>
        </w:rPr>
        <w:t xml:space="preserve">3.1 引言</w:t>
      </w:r>
    </w:p>
    <w:p>
      <w:pPr>
        <w:pStyle w:val="BodyText"/>
      </w:pPr>
      <w:r>
        <w:rPr>
          <w:rFonts w:ascii="Times New Roman" w:eastAsia="宋体" w:hAnsi="Times New Roman"/>
          <w:b w:val="false"/>
          <w:bCs w:val="false"/>
          <w:sz w:val="24"/>
          <w:szCs w:val="24"/>
        </w:rPr>
        <w:t xml:space="preserve">第2章解决了"波怎么进来"的问题，本章解决"模型怎么建"的问题。坡地地震动放大问题的控制因素是几何形状与波长的相对关系而非模型绝对尺寸，且成层坡地涉及多材料几何剖分、边界参数取材、网格与阻尼的层间协调等一系列关键技术。本章首先给出模型概况与基本假定；然后建立以坡高为基准的无量纲化模型尺寸设计方法；进而给出网格划分、阻尼标定、时间步长等数值参数的确定原则，以及多层介质建模的关键实现技术；最后通过复现已发表文献的均质岩坡参数化工况与成层岩坡典型工况，验证本文建模方法的有效性。</w:t>
      </w:r>
    </w:p>
    <w:p>
      <w:pPr>
        <w:pStyle w:val="Heading2"/>
      </w:pPr>
      <w:r>
        <w:t>3.2 研究对象、模型边界与基本假定</w:t>
      </w:r>
    </w:p>
    <w:p>
      <w:pPr>
        <w:pStyle w:val="BodyText"/>
      </w:pPr>
      <w:r>
        <w:t>本文采用 ABAQUS 建立二维平面应变有限元模型，研究斜入射 SV 波作用下坡地横断面的地震响应。模型由坡顶平台、坡面和坡脚平台组成，基岩及其上覆介质共同构成有限截断域；地表为自由边界，左、右和底部采用第2章给出的粘弹性人工边界与等效节点力输入。为使场地响应、结构响应与后续 TSSI 场景能够使用同一数据接口，建模脚本设置 ssi、freefield 和 fixed 三类场景；本章的坡地地震动平台统一采用 freefield 场景，即仅保留坡地与介质，不叠加框架结构。研究对象包括全域均质基岩坡和“上土下岩”成层坡地，后者允许一层或多层覆盖介质。</w:t>
      </w:r>
    </w:p>
    <w:p>
      <w:pPr>
        <w:pStyle w:val="BodyText"/>
      </w:pPr>
      <w:r>
        <w:t>本章的基本假定如下。第一，采用平面应变描述沿坡向延展长度远大于横断面尺寸的场地，入射波传播方向限制在横断面内。第二，参数化主研究采用线弹性材料和小应变瑞利阻尼，以识别几何、分层与输入之间的频率—空间基准关系；强震下的材料强度依赖性另以等效线性扫描作为适用边界检验，不能替代循环塑性、孔压累积、开裂或滑移失稳分析。第三，输入为平面 SV 波，临界角条件在建模前检查；超临界问题不纳入本章的线性参数化范围。第四，坡顶参考运动在 freefield 场景中于预设框架基础中心处记录，供后续 fixed 与 ssi 场景使用，因此该参考点不必与几何坡肩节点重合。</w:t>
      </w:r>
    </w:p>
    <w:p>
      <w:pPr>
        <w:pStyle w:val="BodyText"/>
      </w:pPr>
      <w:r>
        <w:t>关于二维简化的适用性需要说明：本文结果反映坡地横断面内的波场散射、分层共振和自由表面效应，不包含坡体走向变化、三维地形聚焦以及入射方位绕转的影响。因此，二维结果应作为明确模型假定下的机制基准，而不应被表述为对任意三维场地均保守或均偏不保守的通用结论。</w:t>
      </w:r>
    </w:p>
    <w:p>
      <w:pPr>
        <w:pStyle w:val="Heading2"/>
      </w:pPr>
      <w:r>
        <w:t>3.3 几何、介质与观测体系</w:t>
      </w:r>
    </w:p>
    <w:p>
      <w:pPr>
        <w:pStyle w:val="Heading3"/>
      </w:pPr>
      <w:r>
        <w:t>3.3.1 无量纲几何设计原则</w:t>
      </w:r>
    </w:p>
    <w:p>
      <w:pPr>
        <w:pStyle w:val="BodyText"/>
      </w:pPr>
      <w:r>
        <w:t>若将模型总长、平台长度和截断深度直接取为固定绝对值，不同坡高、坡角工况便无法保持一致的观测范围和边界净空，参数对比也会混入尺度效应。为此，本文以坡高 h（坡顶与坡脚地表的高程差）为唯一绝对尺度，其余尺寸均表示为 h 的倍数并由统一关系换算。模型总长不预先固定，而随坡高和坡角自动变化。</w:t>
      </w:r>
    </w:p>
    <w:p>
      <w:pPr>
        <w:pStyle w:val="BodyText"/>
      </w:pPr>
      <w:r>
        <w:t>无量纲几何由六个独立量控制：坡高 h、坡角 i、坡顶观测窗系数 A、坡脚观测窗系数 C、侧向净空系数 c 与坡脚面以下深度系数 b。其中 h 和 i 是研究变量，A、C、c、b 是构造参数。几何换算只决定坡体外轮廓；土层数量、各层厚度、波速、密度和泊松比通过材料配置独立输入。因此，改变地层方案不改变坡高、坡角和观测坐标的定义，几何变化与介质变化可在工况设计中分别控制。</w:t>
      </w:r>
    </w:p>
    <w:p>
      <w:pPr>
        <w:pStyle w:val="Heading3"/>
      </w:pPr>
      <w:r>
        <w:t>3.3.2 平面尺寸与观测坐标</w:t>
      </w:r>
    </w:p>
    <w:p>
      <w:pPr>
        <w:pStyle w:val="BodyText"/>
      </w:pPr>
      <w:r>
        <w:t>模型沿地表自左向右分为坡顶平台、坡面和坡脚平台三段。坡顶平台长度为 L_A=(A+c)h，坡面水平投影长度为 L_B=h/tan i，坡脚平台长度为 L_C=(C+c)h，模型总长为 L=L_A+L_B+L_C。观测窗与人工边界之间保留侧向净空，但最终净空系数不以经验常数预设，而由第3.5节和第3.6节的时间窗、域尺寸和边界收敛试验共同确定。</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t>【图片占位】图3.1 数值模型与观测体系示意图（以坡高 h 归一化；标出坡顶平台、坡面、坡脚平台、三侧粘弹性人工边界、三段观测坐标及 CREST_REF）。待 U2—U3 完成后按最终边界与网格参数绘制。</w:t>
      </w:r>
    </w:p>
    <w:p>
      <w:pPr>
        <w:pStyle w:val="FigCaption"/>
      </w:pPr>
      <w:r>
        <w:t>图3.1 数值模型与观测体系示意图</w:t>
      </w:r>
    </w:p>
    <w:p>
      <w:pPr>
        <w:pStyle w:val="FigCaption"/>
      </w:pPr>
      <w:r>
        <w:t>表3.1 平面尺寸的无量纲换算关系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cantSplit/>
        </w:trPr>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r>
              <w:t>部位</w:t>
            </w:r>
          </w:p>
        </w:tc>
        <w:tc>
          <w:tcPr>
            <w:tcW w:type="dxa" w:w="3008"/>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r>
              <w:t>计算式</w:t>
            </w:r>
          </w:p>
        </w:tc>
        <w:tc>
          <w:tcPr>
            <w:tcW w:type="dxa" w:w="3010"/>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r>
              <w:t>说明</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坡顶平台长度 L_A</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(A+c)·h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坡顶观测窗 A·h 与左侧净空 c·h 之和；A 由观测窗口收敛试验确定。</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坡面水平投影长 L_B</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h/tan i</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由坡高 h 与坡角 i 唯一确定。</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坡脚平台长度 L_C</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(C+c)·h</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坡脚观测窗 C·h 与右侧净空 c·h 之和；C 与 A 可按研究目标分别取值。</w:t>
            </w:r>
          </w:p>
        </w:tc>
      </w:tr>
      <w:tr>
        <w:trPr>
          <w:tblHeader w:val="false"/>
          <w:cantSplit/>
        </w:trPr>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模型总长 L</w:t>
            </w:r>
          </w:p>
        </w:tc>
        <w:tc>
          <w:tcPr>
            <w:tcW w:type="dxa" w:w="3008"/>
            <w:tcBorders>
              <w:top w:val="single" w:color="000000" w:sz="4"/>
              <w:left w:val="single" w:color="000000" w:sz="4"/>
              <w:bottom w:val="single" w:color="000000" w:sz="4"/>
              <w:right w:val="single" w:color="000000" w:sz="4"/>
            </w:tcBorders>
            <w:tcMar>
              <w:top w:type="dxa" w:w="60"/>
              <w:left w:type="dxa" w:w="80"/>
              <w:bottom w:type="dxa" w:w="60"/>
              <w:right w:type="dxa" w:w="80"/>
            </w:tcMar>
          </w:tcPr>
          <w:p>
            <w:r>
              <w:t>L_A+L_B+L_C</w:t>
            </w:r>
          </w:p>
        </w:tc>
        <w:tc>
          <w:tcPr>
            <w:tcW w:type="dxa" w:w="3010"/>
            <w:tcBorders>
              <w:top w:val="single" w:color="000000" w:sz="4"/>
              <w:left w:val="single" w:color="000000" w:sz="4"/>
              <w:bottom w:val="single" w:color="000000" w:sz="4"/>
              <w:right w:val="single" w:color="000000" w:sz="4"/>
            </w:tcBorders>
            <w:tcMar>
              <w:top w:type="dxa" w:w="60"/>
              <w:left w:type="dxa" w:w="80"/>
              <w:bottom w:type="dxa" w:w="60"/>
              <w:right w:type="dxa" w:w="80"/>
            </w:tcMar>
          </w:tcPr>
          <w:p>
            <w:r>
              <w:t>随 h 和 i 自动换算，不以固定绝对长度替代无量纲几何。</w:t>
            </w:r>
          </w:p>
        </w:tc>
      </w:tr>
    </w:tbl>
    <w:p/>
    <w:p>
      <w:pPr>
        <w:pStyle w:val="BodyText"/>
      </w:pPr>
      <w:r>
        <w:t>在 U1 的两层沿地形分层工况中，取 h=25 m、i=30°、A=C=2、c=1 和 b=2。由上述公式得到 L_A=75.0 m、L_B=43.301 m、L_C=75.0 m 和 L=193.301 m；工况元数据中的坡肩和坡脚坐标分别为 75.0 m 与 118.301 m，与换算值一致。这一核验说明几何参数由配置文件正确传递至有限元模型，但不以该单一工况替代后续的域尺寸收敛证明。</w:t>
      </w:r>
    </w:p>
    <w:p>
      <w:pPr>
        <w:pStyle w:val="BodyText"/>
      </w:pPr>
      <w:r>
        <w:t>为统一不同几何的地表响应，定义三段归一化坐标 s=(x-x_crest)/h：坡顶平台为 -A≤s&lt;0，坡面为 0≤s≤1，坡脚平台为 1&lt;s≤1+C。U1 后处理在 0.01 的 s 间隔上输出 201 个坡顶平台点、99 个坡面点和 201 个坡脚平台点，共 501 个固定长度观测点。该坐标仅描述观测窗口；边界净空位于窗口之外，不参与后续放大曲线的机器学习目标。</w:t>
      </w:r>
    </w:p>
    <w:p>
      <w:pPr>
        <w:pStyle w:val="BodyText"/>
      </w:pPr>
      <w:r>
        <w:t>freefield 场景同时从 TOP_SURFACE 节点集提取地表全时程，并建立 CREST_REF 参考点。该点与后续框架基础中心采用同一口径：当默认三跨框架宽度为 18 m、距坡肩偏移为零时，其目标位置为 x_crest−9 m。U1 中目标坐标为 66.0 m，离散网格选取的实际节点为 66.4 m；该差异小于一个局部网格尺寸。</w:t>
      </w:r>
    </w:p>
    <w:p>
      <w:pPr>
        <w:pStyle w:val="Heading3"/>
      </w:pPr>
      <w:r>
        <w:t>3.3.3 竖向尺寸与地层划分</w:t>
      </w:r>
    </w:p>
    <w:p>
      <w:pPr>
        <w:pStyle w:val="BodyText"/>
      </w:pPr>
      <w:r>
        <w:t>模型竖向尺寸由坡脚面以下深度系数 b 控制。坡脚地表以下深度为 bh，坡顶至模型底边界的总高度为 (b+1)h；建模脚本要求 b≥1，以保证坡脚以下至少存在一个坡高的截断域。最终 b 的取值仍须由 U3 的域尺寸收敛试验确认。</w:t>
      </w:r>
    </w:p>
    <w:p>
      <w:pPr>
        <w:tabs>
          <w:tab w:val="center" w:pos="4513"/>
          <w:tab w:val="right" w:pos="9026"/>
        </w:tabs>
        <w:spacing w:after="60" w:before="60" w:line="400" w:lineRule="exact"/>
      </w:pPr>
      <w:r>
        <w:t>H_model = b·h + h = (b+1)·h    （3.1）</w:t>
      </w:r>
    </w:p>
    <w:p>
      <w:pPr>
        <w:pStyle w:val="BodyText"/>
      </w:pPr>
      <w:r>
        <w:t>U1 取 b=2，对应坡顶至模型底边界的总高度为 75 m。该工况仅用于核验几何与分层实现，不能据此确定所有参数化工况的最小模型深度。</w:t>
      </w:r>
    </w:p>
    <w:p>
      <w:pPr>
        <w:pStyle w:val="BodyText"/>
      </w:pPr>
      <w:r>
        <w:t>地层划分与几何外轮廓解耦。对于沿地形等厚分层，覆盖层界面由地表整体下移相应厚度得到；对于水平材料带，可作为对照模式使用。每层显式给定厚度和材料参数，其下剩余部分归为基岩。为保证底部边界附近保有基岩净空，建模脚本在创建模型前校验覆盖层厚度与截断深度的关系，超出允许范围的工况直接拒绝。U1 的 8 m 表层与 12 m 下伏层成功生成两条沿地形界面，模型共有 3 个材料带、4 009 个单元和 4 114 个节点；TOP_SURFACE 节点集包含 188 个节点。</w:t>
      </w:r>
    </w:p>
    <w:p>
      <w:pPr>
        <w:pStyle w:val="BodyText"/>
      </w:pPr>
      <w:r>
        <w:t>上述 U1 结果验证了几何换算、材料分区、地表节点集、坡顶参考点和三段观测坐标之间的实现一致性。它不承担波动输入正确性、边界吸收效果或网格收敛性的证明；这些问题分别由后续 U2、U3 和 U4 的独立工况检验。</w:t>
      </w:r>
    </w:p>
    <w:p>
      <w:pPr>
        <w:pStyle w:val="Heading2"/>
      </w:pPr>
      <w:r>
        <w:t>3.4 波动输入与人工边界</w:t>
      </w:r>
    </w:p>
    <w:p>
      <w:pPr>
        <w:pStyle w:val="BodyText"/>
        <w:jc w:val="both"/>
      </w:pPr>
      <w:r>
        <w:t>本研究采用第2章建立的频域自由场引擎生成斜入射 SV 波场。对每个人工边界节点，程序依据其坐标、所在材料和水平慢度计算自由场位移、速度与应力时程，并将粘弹性边界反力与自由场面力组合为等效节点荷载。左、右边界的法向自由度为水平方向、切向自由度为竖直方向，底边界则相反；角点同时接受相邻两条边界的贡献。边界弹簧、阻尼器和等效荷载均由同一材料参数与节点影响长度计算，避免输入波场与吸收边界采用不同介质口径。</w:t>
      </w:r>
    </w:p>
    <w:p>
      <w:pPr>
        <w:pStyle w:val="BodyText"/>
        <w:jc w:val="center"/>
      </w:pPr>
      <w:r>
        <w:t>F_eq(t)=K_b·u_ff(t)+C_b·v_ff(t)+A_b·σ_ff(t)·n</w:t>
      </w:r>
    </w:p>
    <w:p>
      <w:pPr>
        <w:pStyle w:val="BodyText"/>
        <w:jc w:val="both"/>
      </w:pPr>
      <w:r>
        <w:t>式中，K_b 和 C_b 分别为节点影响范围内的边界弹簧刚度与阻尼系数，A_b 为二维模型中的节点影响长度，u_ff、v_ff 和 σ_ff 为自由场位移、速度与应力，n 为外法向。频域自由场在建模前自动执行均质半空间和单层场地解析对拍，本次两项相对误差分别为1.11×10⁻¹⁶和3.55×10⁻¹⁶。</w:t>
      </w:r>
    </w:p>
    <w:p>
      <w:pPr>
        <w:pStyle w:val="BodyText"/>
        <w:jc w:val="both"/>
      </w:pPr>
      <w:r>
        <w:t>斜入射条件下，不能同时把坡体两侧端点的全时程峰值都视为一维自由场。入射波与坡体相互作用后，下游平台包含真实的地形散射波；若仍要求其 TAF_h 必须趋于1，会把物理散射误判为边界输入误差。为此，本研究采用双向斜入射配对验证：+15° 工况以左侧上游端检验，−15° 工况以右侧上游端检验；下游端误差继续记录，用于描述散射影响，但不参与输入边界是否正确的判定。垂直入射时没有水平传播方向，两端仍须同时通过。</w:t>
      </w:r>
    </w:p>
    <w:p>
      <w:pPr>
        <w:pStyle w:val="BodyText"/>
        <w:jc w:val="both"/>
      </w:pPr>
      <w:r>
        <w:t>配对工况均采用均质基岩、坡高25 m、坡角30°、侧向净空6h、坡脚以下深度5h和4 Hz Ricker 波，仅改变入射角符号。+15° 工况的左上游误差为0.79%，−15° 工况的右上游误差为1.82%，均小于预设2%门槛。相应下游误差为7.07%和5.40%，且随传播方向交换左右，证明该偏差不是固定侧边界的符号或系数错误，而是与坡体散射及全时程峰值统计有关。由此，左右人工边界在分别作为传播上游端时均通过一致性验证。</w:t>
      </w:r>
    </w:p>
    <w:p>
      <w:pPr>
        <w:pStyle w:val="BodyText"/>
        <w:jc w:val="both"/>
      </w:pPr>
      <w:r>
        <w:t>上述验证仅说明当前线弹性、小应变、二维平面应变模型中的波动输入与人工边界实现满足本章参数化研究要求。下游端偏差不得作为边界误差删去，也不得用上游检验结果宣称坡地远场处处等同于一维自由场；它将在后续坡地响应分析中作为传播方向效应保留。计算域、网格、时间步与阻尼对目标响应的影响仍需由第3.5节的独立收敛试验确定。</w:t>
      </w:r>
    </w:p>
    <w:p>
      <w:pPr>
        <w:pStyle w:val="FigCaption"/>
        <w:jc w:val="center"/>
      </w:pPr>
      <w:r>
        <w:t>表3.2 斜入射输入与人工边界双向配对验证结果</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4"/>
        <w:gridCol w:w="1504"/>
        <w:gridCol w:w="1504"/>
        <w:gridCol w:w="1504"/>
        <w:gridCol w:w="1504"/>
        <w:gridCol w:w="1504"/>
      </w:tblGrid>
      <w:tr>
        <w:trPr>
          <w:cantSplit/>
          <w:tblHeader/>
        </w:trPr>
        <w:tc>
          <w:tcPr>
            <w:tcW w:type="dxa" w:w="907"/>
          </w:tcPr>
          <w:p>
            <w:r>
              <w:t>入射角</w:t>
            </w:r>
          </w:p>
        </w:tc>
        <w:tc>
          <w:tcPr>
            <w:tcW w:type="dxa" w:w="1361"/>
          </w:tcPr>
          <w:p>
            <w:r>
              <w:t>传播上游端</w:t>
            </w:r>
          </w:p>
        </w:tc>
        <w:tc>
          <w:tcPr>
            <w:tcW w:type="dxa" w:w="1134"/>
          </w:tcPr>
          <w:p>
            <w:r>
              <w:t>上游误差</w:t>
            </w:r>
          </w:p>
        </w:tc>
        <w:tc>
          <w:tcPr>
            <w:tcW w:type="dxa" w:w="1361"/>
          </w:tcPr>
          <w:p>
            <w:r>
              <w:t>传播下游端</w:t>
            </w:r>
          </w:p>
        </w:tc>
        <w:tc>
          <w:tcPr>
            <w:tcW w:type="dxa" w:w="1134"/>
          </w:tcPr>
          <w:p>
            <w:r>
              <w:t>下游误差</w:t>
            </w:r>
          </w:p>
        </w:tc>
        <w:tc>
          <w:tcPr>
            <w:tcW w:type="dxa" w:w="907"/>
          </w:tcPr>
          <w:p>
            <w:r>
              <w:t>判定</w:t>
            </w:r>
          </w:p>
        </w:tc>
      </w:tr>
      <w:tr>
        <w:trPr>
          <w:cantSplit/>
        </w:trPr>
        <w:tc>
          <w:tcPr>
            <w:tcW w:type="dxa" w:w="907"/>
          </w:tcPr>
          <w:p>
            <w:r>
              <w:t>+15°</w:t>
            </w:r>
          </w:p>
        </w:tc>
        <w:tc>
          <w:tcPr>
            <w:tcW w:type="dxa" w:w="1361"/>
          </w:tcPr>
          <w:p>
            <w:r>
              <w:t>左端</w:t>
            </w:r>
          </w:p>
        </w:tc>
        <w:tc>
          <w:tcPr>
            <w:tcW w:type="dxa" w:w="1134"/>
          </w:tcPr>
          <w:p>
            <w:r>
              <w:t>0.79%</w:t>
            </w:r>
          </w:p>
        </w:tc>
        <w:tc>
          <w:tcPr>
            <w:tcW w:type="dxa" w:w="1361"/>
          </w:tcPr>
          <w:p>
            <w:r>
              <w:t>右端</w:t>
            </w:r>
          </w:p>
        </w:tc>
        <w:tc>
          <w:tcPr>
            <w:tcW w:type="dxa" w:w="1134"/>
          </w:tcPr>
          <w:p>
            <w:r>
              <w:t>7.07%</w:t>
            </w:r>
          </w:p>
        </w:tc>
        <w:tc>
          <w:tcPr>
            <w:tcW w:type="dxa" w:w="907"/>
          </w:tcPr>
          <w:p>
            <w:r>
              <w:t>通过</w:t>
            </w:r>
          </w:p>
        </w:tc>
      </w:tr>
      <w:tr>
        <w:trPr>
          <w:cantSplit/>
        </w:trPr>
        <w:tc>
          <w:tcPr>
            <w:tcW w:type="dxa" w:w="907"/>
          </w:tcPr>
          <w:p>
            <w:r>
              <w:t>−15°</w:t>
            </w:r>
          </w:p>
        </w:tc>
        <w:tc>
          <w:tcPr>
            <w:tcW w:type="dxa" w:w="1361"/>
          </w:tcPr>
          <w:p>
            <w:r>
              <w:t>右端</w:t>
            </w:r>
          </w:p>
        </w:tc>
        <w:tc>
          <w:tcPr>
            <w:tcW w:type="dxa" w:w="1134"/>
          </w:tcPr>
          <w:p>
            <w:r>
              <w:t>1.82%</w:t>
            </w:r>
          </w:p>
        </w:tc>
        <w:tc>
          <w:tcPr>
            <w:tcW w:type="dxa" w:w="1361"/>
          </w:tcPr>
          <w:p>
            <w:r>
              <w:t>左端</w:t>
            </w:r>
          </w:p>
        </w:tc>
        <w:tc>
          <w:tcPr>
            <w:tcW w:type="dxa" w:w="1134"/>
          </w:tcPr>
          <w:p>
            <w:r>
              <w:t>5.40%</w:t>
            </w:r>
          </w:p>
        </w:tc>
        <w:tc>
          <w:tcPr>
            <w:tcW w:type="dxa" w:w="907"/>
          </w:tcPr>
          <w:p>
            <w:r>
              <w:t>通过</w:t>
            </w:r>
          </w:p>
        </w:tc>
      </w:tr>
    </w:tbl>
    <w:p>
      <w:pPr>
        <w:pStyle w:val="Heading2"/>
      </w:pPr>
      <w:r>
        <w:t>3.5 数值离散与参数收敛</w:t>
      </w:r>
    </w:p>
    <w:p>
      <w:pPr>
        <w:pStyle w:val="Heading3"/>
      </w:pPr>
      <w:r>
        <w:t>3.5.1 网格收敛</w:t>
      </w:r>
    </w:p>
    <w:p>
      <w:pPr>
        <w:pStyle w:val="BodyText"/>
        <w:jc w:val="both"/>
      </w:pPr>
      <w:r>
        <w:t>空间离散采用四节点缩减积分平面应变单元 CPE4R。网格尺寸首先满足最短有效剪切波长的解析要求，再通过目标响应收敛试验确定。U3a 固定均质基岩、坡高25 m、坡角30°、垂直入射、侧向净空6h、坡脚以下深度5h、1%阻尼、4 Hz Ricker 波和0.001 s最大时间增量，只将全局单元尺寸设为12 m、8 m和6 m。</w:t>
      </w:r>
    </w:p>
    <w:p>
      <w:pPr>
        <w:pStyle w:val="BodyText"/>
        <w:jc w:val="both"/>
      </w:pPr>
      <w:r>
        <w:t>为避免单个极值偶然重合造成假收敛，本文同时采用整曲线和峰值两项指标。在固定501点归一化坐标上，以6 m网格为参考，计算8 m网格 TAF_h 曲线的 L2 相对差，并比较两者最大放大系数 AR_max 的相对差；两项均不超过5%时认为网格收敛。</w:t>
      </w:r>
    </w:p>
    <w:p>
      <w:pPr>
        <w:pStyle w:val="BodyText"/>
        <w:jc w:val="both"/>
      </w:pPr>
      <w:r>
        <w:t>12 m、8 m和6 m网格的 AR_max 分别为1.081579、1.079491和1.079491。8 m相对6 m的整曲线 L2 相对差为0.134%，峰值相对差为0.000018%，均远低于5%门槛。由此，均质基岩基准工况采用8 m网格即可获得网格无关的目标响应；继续细化至6 m没有带来可辨识的精度收益。</w:t>
      </w:r>
    </w:p>
    <w:p>
      <w:pPr>
        <w:pStyle w:val="BodyText"/>
        <w:jc w:val="both"/>
      </w:pPr>
      <w:r>
        <w:t>8 m仅作为后续均质基岩工况的基准尺寸。对于存在低波速薄层的成层坡地，脚本仍以控制性最软层的最短有效波长、厚度方向穿层单元数和单元尺寸下限共同约束局部网格，不能直接套用8 m的绝对尺寸。时间步、计算域和阻尼的最终取值将在后续独立收敛试验通过后确定。</w:t>
      </w:r>
    </w:p>
    <w:p>
      <w:pPr>
        <w:pStyle w:val="FigureCaption"/>
        <w:jc w:val="center"/>
      </w:pPr>
      <w:r>
        <w:t>表3.3 网格收敛结果</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rPr>
          <w:cantSplit/>
          <w:tblHeader/>
        </w:trPr>
        <w:tc>
          <w:tcPr>
            <w:tcW w:type="dxa" w:w="2256"/>
          </w:tcPr>
          <w:p>
            <w:r>
              <w:t>网格尺寸</w:t>
            </w:r>
          </w:p>
        </w:tc>
        <w:tc>
          <w:tcPr>
            <w:tcW w:type="dxa" w:w="2256"/>
          </w:tcPr>
          <w:p>
            <w:r>
              <w:t>AR_max</w:t>
            </w:r>
          </w:p>
        </w:tc>
        <w:tc>
          <w:tcPr>
            <w:tcW w:type="dxa" w:w="2256"/>
          </w:tcPr>
          <w:p>
            <w:r>
              <w:t>相对6 m峰值差</w:t>
            </w:r>
          </w:p>
        </w:tc>
        <w:tc>
          <w:tcPr>
            <w:tcW w:type="dxa" w:w="2256"/>
          </w:tcPr>
          <w:p>
            <w:r>
              <w:t>说明</w:t>
            </w:r>
          </w:p>
        </w:tc>
      </w:tr>
      <w:tr>
        <w:trPr>
          <w:cantSplit/>
        </w:trPr>
        <w:tc>
          <w:tcPr>
            <w:tcW w:type="dxa" w:w="2256"/>
          </w:tcPr>
          <w:p>
            <w:r>
              <w:t>12 m</w:t>
            </w:r>
          </w:p>
        </w:tc>
        <w:tc>
          <w:tcPr>
            <w:tcW w:type="dxa" w:w="2256"/>
          </w:tcPr>
          <w:p>
            <w:r>
              <w:t>1.081579</w:t>
            </w:r>
          </w:p>
        </w:tc>
        <w:tc>
          <w:tcPr>
            <w:tcW w:type="dxa" w:w="2256"/>
          </w:tcPr>
          <w:p>
            <w:r>
              <w:t>0.1935%</w:t>
            </w:r>
          </w:p>
        </w:tc>
        <w:tc>
          <w:tcPr>
            <w:tcW w:type="dxa" w:w="2256"/>
          </w:tcPr>
          <w:p>
            <w:r>
              <w:t>粗网格参考</w:t>
            </w:r>
          </w:p>
        </w:tc>
      </w:tr>
      <w:tr>
        <w:trPr>
          <w:cantSplit/>
        </w:trPr>
        <w:tc>
          <w:tcPr>
            <w:tcW w:type="dxa" w:w="2256"/>
          </w:tcPr>
          <w:p>
            <w:r>
              <w:t>8 m</w:t>
            </w:r>
          </w:p>
        </w:tc>
        <w:tc>
          <w:tcPr>
            <w:tcW w:type="dxa" w:w="2256"/>
          </w:tcPr>
          <w:p>
            <w:r>
              <w:t>1.079491</w:t>
            </w:r>
          </w:p>
        </w:tc>
        <w:tc>
          <w:tcPr>
            <w:tcW w:type="dxa" w:w="2256"/>
          </w:tcPr>
          <w:p>
            <w:r>
              <w:t>0.000018%</w:t>
            </w:r>
          </w:p>
        </w:tc>
        <w:tc>
          <w:tcPr>
            <w:tcW w:type="dxa" w:w="2256"/>
          </w:tcPr>
          <w:p>
            <w:r>
              <w:t>后续基准网格</w:t>
            </w:r>
          </w:p>
        </w:tc>
      </w:tr>
      <w:tr>
        <w:trPr>
          <w:cantSplit/>
        </w:trPr>
        <w:tc>
          <w:tcPr>
            <w:tcW w:type="dxa" w:w="2256"/>
          </w:tcPr>
          <w:p>
            <w:r>
              <w:t>6 m</w:t>
            </w:r>
          </w:p>
        </w:tc>
        <w:tc>
          <w:tcPr>
            <w:tcW w:type="dxa" w:w="2256"/>
          </w:tcPr>
          <w:p>
            <w:r>
              <w:t>1.079491</w:t>
            </w:r>
          </w:p>
        </w:tc>
        <w:tc>
          <w:tcPr>
            <w:tcW w:type="dxa" w:w="2256"/>
          </w:tcPr>
          <w:p>
            <w:r>
              <w:t>—</w:t>
            </w:r>
          </w:p>
        </w:tc>
        <w:tc>
          <w:tcPr>
            <w:tcW w:type="dxa" w:w="2256"/>
          </w:tcPr>
          <w:p>
            <w:r>
              <w:t>收敛参考</w:t>
            </w:r>
          </w:p>
        </w:tc>
      </w:tr>
    </w:tbl>
    <w:p>
      <w:pPr>
        <w:pStyle w:val="Heading2"/>
      </w:pPr>
      <w:r>
        <w:rPr>
          <w:rFonts w:ascii="黑体" w:eastAsia="黑体" w:hAnsi="黑体"/>
          <w:sz w:val="30"/>
          <w:szCs w:val="30"/>
        </w:rPr>
        <w:t xml:space="preserve">3.6 阻尼设置</w:t>
      </w:r>
    </w:p>
    <w:p>
      <w:pPr>
        <w:pStyle w:val="BodyText"/>
      </w:pPr>
      <w:r>
        <w:rPr>
          <w:rFonts w:ascii="Times New Roman" w:eastAsia="宋体" w:hAnsi="Times New Roman"/>
          <w:b w:val="false"/>
          <w:bCs w:val="false"/>
          <w:sz w:val="24"/>
          <w:szCs w:val="24"/>
        </w:rPr>
        <w:t xml:space="preserve">材料衰减以频率相关的瑞利阻尼计入。多层场地中各层介质的品质因子Q各不相同，对应阻尼比ξ_i=1/(2Q_i)。本文采用双频点锚定机制标定各层瑞利系数：低频锚点取f1=min(f1系数·f_c, f_site)（f_site为多层场地基频），高频锚点f2覆盖输入有效频带上限，按目标阻尼比在两锚点处拟合，独立计算各层的瑞利系数(α_R,i, β_R,i)并在ABAQUS材料中逐层赋予。同时，第2.5.4节的频域自由场以复模量方式采用完全相同的系数，保证边界等效力与有限元域内部介质衰减的严格口径一致。</w:t>
      </w:r>
    </w:p>
    <w:p>
      <w:pPr>
        <w:pStyle w:val="Heading2"/>
      </w:pPr>
      <w:r>
        <w:rPr>
          <w:rFonts w:ascii="黑体" w:eastAsia="黑体" w:hAnsi="黑体"/>
          <w:sz w:val="30"/>
          <w:szCs w:val="30"/>
        </w:rPr>
        <w:t xml:space="preserve">3.7 多层介质建模关键技术</w:t>
      </w:r>
    </w:p>
    <w:p>
      <w:pPr>
        <w:pStyle w:val="BodyText"/>
      </w:pPr>
      <w:r>
        <w:rPr>
          <w:rFonts w:ascii="Times New Roman" w:eastAsia="宋体" w:hAnsi="Times New Roman"/>
          <w:b w:val="false"/>
          <w:bCs w:val="false"/>
          <w:sz w:val="24"/>
          <w:szCs w:val="24"/>
        </w:rPr>
        <w:t xml:space="preserve">从均质单层升级为支持任意多层介质的建模，核心难点在于几何剖分、材料赋予与边界参数的自动化与自洽性。本文通过以下五项关键技术实现（对应自研建模脚本v8版本，约2500行）：</w:t>
      </w:r>
    </w:p>
    <w:p>
      <w:pPr>
        <w:pStyle w:val="BodyText"/>
      </w:pPr>
      <w:r>
        <w:rPr>
          <w:rFonts w:ascii="Times New Roman" w:eastAsia="宋体" w:hAnsi="Times New Roman"/>
          <w:b w:val="false"/>
          <w:bCs w:val="false"/>
          <w:sz w:val="24"/>
          <w:szCs w:val="24"/>
        </w:rPr>
        <w:t xml:space="preserve">（1）多层场地带构造与小面质心定位。脚本将场地从下至上表示为虚拟材料带列表；几何切分后，采用面质心定位算法为大量被切割的小面自动赋材：计算每个小面的几何质心坐标，自动换算该水平位置下各层界面的高程上下界，精确判断小面落入的材料带并赋予对应材料截面。</w:t>
      </w:r>
    </w:p>
    <w:p>
      <w:pPr>
        <w:pStyle w:val="BodyText"/>
      </w:pPr>
      <w:r>
        <w:rPr>
          <w:rFonts w:ascii="Times New Roman" w:eastAsia="宋体" w:hAnsi="Times New Roman"/>
          <w:b w:val="false"/>
          <w:bCs w:val="false"/>
          <w:sz w:val="24"/>
          <w:szCs w:val="24"/>
        </w:rPr>
        <w:t xml:space="preserve">（2）两类表层几何切分机制。为适应不同边坡实际，提供两类地层几何模式：①水平分层模式——各土层上下界为绝对水平线，在草图相应高程处画水平直线切割模型；②沿地形等厚铺设模式——表层覆盖层沿地表起伏等厚铺设，通过计算由"坡顶平台—坡面—坡脚平台"三段折线构成的等深偏置线，沿折线剖分模型实现地层随地形起伏的等厚铺设。</w:t>
      </w:r>
    </w:p>
    <w:p>
      <w:pPr>
        <w:pStyle w:val="BodyText"/>
      </w:pPr>
      <w:r>
        <w:rPr>
          <w:rFonts w:ascii="Times New Roman" w:eastAsia="宋体" w:hAnsi="Times New Roman"/>
          <w:b w:val="false"/>
          <w:bCs w:val="false"/>
          <w:sz w:val="24"/>
          <w:szCs w:val="24"/>
        </w:rPr>
        <w:t xml:space="preserve">（3）人工边界参数逐节点取材。侧向人工边界截面跨越不同材料层，为防止伪反射，在边界弹簧/阻尼器生成阶段遍历侧边界所有节点，按节点坐标动态查询其所在材料带，提取该层介质的剪切模量、波速和密度，逐节点单独计算式(2.17)的刚度与阻尼系数，实现吸收边界与局部介质阻抗的逐点精确匹配。</w:t>
      </w:r>
    </w:p>
    <w:p>
      <w:pPr>
        <w:pStyle w:val="BodyText"/>
      </w:pPr>
      <w:r>
        <w:rPr>
          <w:rFonts w:ascii="Times New Roman" w:eastAsia="宋体" w:hAnsi="Times New Roman"/>
          <w:b w:val="false"/>
          <w:bCs w:val="false"/>
          <w:sz w:val="24"/>
          <w:szCs w:val="24"/>
        </w:rPr>
        <w:t xml:space="preserve">（4）基于控制性最软层的自适应网格控制（第3.4节）。</w:t>
      </w:r>
    </w:p>
    <w:p>
      <w:pPr>
        <w:pStyle w:val="BodyText"/>
      </w:pPr>
      <w:r>
        <w:rPr>
          <w:rFonts w:ascii="Times New Roman" w:eastAsia="宋体" w:hAnsi="Times New Roman"/>
          <w:b w:val="false"/>
          <w:bCs w:val="false"/>
          <w:sz w:val="24"/>
          <w:szCs w:val="24"/>
        </w:rPr>
        <w:t xml:space="preserve">（5）频率相关瑞利阻尼的层间一致性标定（第3.6节）。</w:t>
      </w:r>
    </w:p>
    <w:p>
      <w:pPr>
        <w:pStyle w:val="Heading2"/>
      </w:pPr>
      <w:r>
        <w:rPr>
          <w:rFonts w:ascii="黑体" w:eastAsia="黑体" w:hAnsi="黑体"/>
          <w:sz w:val="30"/>
          <w:szCs w:val="30"/>
        </w:rPr>
        <w:t xml:space="preserve">3.8 模型验证</w:t>
      </w:r>
    </w:p>
    <w:p>
      <w:pPr>
        <w:pStyle w:val="BodyText"/>
      </w:pPr>
      <w:r>
        <w:t>本文建模方法的有效性不以单一文献曲线吻合为依据，而采用“解析/独立算法对照—文献复现—模型退化—远场理论—数值收敛与边界影响”的分层验证方案。每一层分别约束波动输入正确性、复杂坡地响应的外部一致性、脚本迭代不引入偏差、观测窗的理论退化性以及离散与截断误差。对尚缺少的独立二维基准和一维场地软件交叉对照，本文明确列为结论外的待闭环工作。</w:t>
      </w:r>
    </w:p>
    <w:p>
      <w:pPr>
        <w:pStyle w:val="Heading3"/>
      </w:pPr>
      <w:r>
        <w:rPr>
          <w:rFonts w:ascii="黑体" w:eastAsia="黑体" w:hAnsi="黑体"/>
          <w:sz w:val="28"/>
          <w:szCs w:val="28"/>
        </w:rPr>
        <w:t xml:space="preserve">3.8.1 均质岩坡参数化工况复现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[7]</w:t>
      </w:r>
      <w:r>
        <w:rPr>
          <w:rFonts w:ascii="Times New Roman" w:eastAsia="宋体" w:hAnsi="Times New Roman"/>
          <w:b w:val="false"/>
          <w:bCs w:val="false"/>
          <w:sz w:val="24"/>
          <w:szCs w:val="24"/>
        </w:rPr>
        <w:t xml:space="preserve">发表的均质岩坡斜入射参数化研究。该文献采用二维台阶状均匀岩体斜坡模型：坡高h取10、50、100、200、400 m五档，坡角i取15°、30°、45°、60°、75°五档，两两交叉构成25种几何构型；岩体密度ρ=2650 kg/m³，弹性模量E=32 GPa，泊松比ν=0.25，换算剪切波速c_s=2198 m/s、纵波波速c_p=3807 m/s；SV波入射角θ_s按临界角θ_cr≈35.3°限制取0°~30°共7档；输入地震波选用El Centro波、Loma Prieta波和Northridge波三条实际记录，峰值加速度统一调幅至0.30 g，并按网格解析度要求实施15 Hz低通滤波。全部工况汇总见表3.2。</w:t>
      </w:r>
    </w:p>
    <w:p>
      <w:pPr>
        <w:pStyle w:val="FigCaption"/>
      </w:pPr>
      <w:r>
        <w:rPr>
          <w:rFonts w:ascii="Times New Roman" w:eastAsia="宋体" w:hAnsi="Times New Roman"/>
          <w:b w:val="false"/>
          <w:bCs w:val="false"/>
          <w:sz w:val="21"/>
          <w:szCs w:val="21"/>
        </w:rPr>
        <w:t xml:space="preserve">表3.2 均质岩坡验证工况设计汇总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参数分类</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参数名称</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符号</w:t>
            </w:r>
          </w:p>
        </w:tc>
        <w:tc>
          <w:tcPr>
            <w:tcW w:type="dxa" w:w="1805"/>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取值</w:t>
            </w:r>
          </w:p>
        </w:tc>
        <w:tc>
          <w:tcPr>
            <w:tcW w:type="dxa" w:w="1806"/>
            <w:tcBorders>
              <w:top w:val="single" w:color="000000" w:sz="4"/>
              <w:left w:val="single" w:color="000000" w:sz="4"/>
              <w:bottom w:val="single" w:color="000000" w:sz="4"/>
              <w:right w:val="single" w:color="000000" w:sz="4"/>
            </w:tcBorders>
            <w:shd w:fill="EFEFEF" w:val="clear"/>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说明</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坡高</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h</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10、50、100、200、400 m</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5种高程，分析尺度效应</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几何特征</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坡角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i</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15°、30°、45°、60°、75°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5种坡度</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介质物性</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岩体参数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ρ、E、ν</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2650 kg/m³、32 GPa、0.25</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c_s=2198 m/s，c_p=3807 m/s</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波形</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El Centro、Loma Prieta、Northridge</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统一调幅至0.3 g</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地震输入</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入射角</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θ_s</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0°、5°、10°、15°、20°、25°、30°</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共7档，均小于临界角</w:t>
            </w:r>
          </w:p>
        </w:tc>
      </w:tr>
      <w:tr>
        <w:trPr>
          <w:tblHeader w:val="false"/>
        </w:trPr>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工况汇总</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总数</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N</w:t>
            </w:r>
          </w:p>
        </w:tc>
        <w:tc>
          <w:tcPr>
            <w:tcW w:type="dxa" w:w="180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25×3×7=525组</w:t>
            </w:r>
          </w:p>
        </w:tc>
        <w:tc>
          <w:tcPr>
            <w:tcW w:type="dxa" w:w="1806"/>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line="320" w:lineRule="exact"/>
              <w:jc w:val="center"/>
            </w:pPr>
            <w:r>
              <w:rPr>
                <w:rFonts w:ascii="Times New Roman" w:eastAsia="宋体" w:hAnsi="Times New Roman"/>
                <w:b w:val="false"/>
                <w:bCs w:val="false"/>
                <w:sz w:val="21"/>
                <w:szCs w:val="21"/>
              </w:rPr>
              <w:t xml:space="preserve">实跑522组独立工况</w:t>
            </w:r>
          </w:p>
        </w:tc>
      </w:tr>
    </w:tbl>
    <w:p/>
    <w:p>
      <w:pPr>
        <w:pStyle w:val="BodyText"/>
      </w:pPr>
      <w:r>
        <w:rPr>
          <w:rFonts w:ascii="Times New Roman" w:eastAsia="宋体" w:hAnsi="Times New Roman"/>
          <w:b w:val="false"/>
          <w:bCs w:val="false"/>
          <w:sz w:val="24"/>
          <w:szCs w:val="24"/>
        </w:rPr>
        <w:t xml:space="preserve">对复现得到的522组动力模拟数据进行后处理提取与曲线对比，结果与原文献呈现的规律高度吻合：①斜入射放大效应——随入射角增大，水平向地形放大系数的非对称特征显著加剧，斜入射下的最大TAF普遍比垂直入射增大1.4~2.2倍，与文献完全一致；②临界高度效应——最大地形放大系数与坡高并非单调正相关，而是在h=200 m附近达到最大值（TAF_max约1.8~3.2），与文献揭示的"坡高接近入射波长0.2倍时共振最强"机制契合；③空间分布规律——水平向最大PGA均出现在坡顶附近并向坡后平台迅速衰减，坡脚区域出现明显去放大（TAF&lt;1.0），曲线形态与文献重合。</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【图片占位】图3.2占位——均质岩坡复现验证：典型工况TAF沿坡面分布曲线与Shen等(2024)原文对比（建议选h=200 m、i=45°、θ=0°/15°/30°三个入射角）。数据源：E:\Abaqus\fuke-ALL，后处理脚本Postprocess/</w:t>
      </w:r>
    </w:p>
    <w:p>
      <w:pPr>
        <w:pStyle w:val="FigCaption"/>
      </w:pPr>
      <w:r>
        <w:rPr>
          <w:rFonts w:ascii="Times New Roman" w:eastAsia="宋体" w:hAnsi="Times New Roman"/>
          <w:b w:val="false"/>
          <w:bCs w:val="false"/>
          <w:sz w:val="21"/>
          <w:szCs w:val="21"/>
        </w:rPr>
        <w:t xml:space="preserve">图3.2 均质岩坡典型工况TAF分布复现对比</w:t>
      </w:r>
    </w:p>
    <w:p>
      <w:pPr>
        <w:pStyle w:val="Heading3"/>
      </w:pPr>
      <w:r>
        <w:rPr>
          <w:rFonts w:ascii="黑体" w:eastAsia="黑体" w:hAnsi="黑体"/>
          <w:sz w:val="28"/>
          <w:szCs w:val="28"/>
        </w:rPr>
        <w:t xml:space="preserve">3.8.2 成层岩坡典型工况复现</w:t>
      </w:r>
    </w:p>
    <w:p>
      <w:pPr>
        <w:pStyle w:val="BodyText"/>
      </w:pPr>
      <w:r>
        <w:rPr>
          <w:rFonts w:ascii="Times New Roman" w:eastAsia="宋体" w:hAnsi="Times New Roman"/>
          <w:b w:val="false"/>
          <w:bCs w:val="false"/>
          <w:sz w:val="24"/>
          <w:szCs w:val="24"/>
        </w:rPr>
        <w:t xml:space="preserve">验证对象为Shen等</w:t>
      </w:r>
      <w:r>
        <w:rPr>
          <w:rFonts w:ascii="Times New Roman" w:eastAsia="宋体" w:hAnsi="Times New Roman"/>
          <w:b w:val="false"/>
          <w:bCs w:val="false"/>
          <w:sz w:val="24"/>
          <w:szCs w:val="24"/>
          <w:vertAlign w:val="superscript"/>
        </w:rPr>
        <w:t xml:space="preserve">[65]</w:t>
      </w:r>
      <w:r>
        <w:rPr>
          <w:rFonts w:ascii="Times New Roman" w:eastAsia="宋体" w:hAnsi="Times New Roman"/>
          <w:b w:val="false"/>
          <w:bCs w:val="false"/>
          <w:sz w:val="24"/>
          <w:szCs w:val="24"/>
        </w:rPr>
        <w:t xml:space="preserve">发表的成层岩坡研究，着重复现其中两个最具代表性的地质工况：①均匀覆盖层模型（该文献图8），分析坡角和输入频率的影响；②双层覆盖层模型（该文献图15），分析地表覆盖层性质与厚度的联合放大效应。基本几何为坡高200 m、覆盖层深度比h/H=0.50的成层坡地。该组验证覆盖了多层建模的全部关键技术环节：阻抗失配界面的透反射与波形转换、层内多次波混响、吸收边界的逐节点取材匹配以及控制性最软层网格控制。复现结果与文献曲线吻合良好。</w:t>
      </w:r>
    </w:p>
    <w:p>
      <w:pPr>
        <w:pBdr>
          <w:top w:val="dashed" w:color="999999" w:sz="6" w:space="4"/>
          <w:left w:val="dashed" w:color="999999" w:sz="6" w:space="4"/>
          <w:bottom w:val="dashed" w:color="999999" w:sz="6" w:space="4"/>
          <w:right w:val="dashed" w:color="999999" w:sz="6" w:space="4"/>
        </w:pBdr>
        <w:shd w:fill="F2F2F2" w:val="clear"/>
        <w:spacing w:after="120" w:before="120" w:line="400" w:lineRule="exact"/>
        <w:jc w:val="center"/>
      </w:pPr>
      <w:r>
        <w:rPr>
          <w:rFonts w:ascii="Times New Roman" w:eastAsia="宋体" w:hAnsi="Times New Roman"/>
          <w:color w:val="595959"/>
          <w:sz w:val="21"/>
          <w:szCs w:val="21"/>
        </w:rPr>
        <w:t xml:space="preserve">【图片占位】图3.3占位——成层岩坡复现验证：(a)均匀覆盖层工况对比Shen等(2025)图8；(b)双层覆盖层工况对比其图15。数据源：v8脚本验证算例</w:t>
      </w:r>
    </w:p>
    <w:p>
      <w:pPr>
        <w:pStyle w:val="FigCaption"/>
      </w:pPr>
      <w:r>
        <w:rPr>
          <w:rFonts w:ascii="Times New Roman" w:eastAsia="宋体" w:hAnsi="Times New Roman"/>
          <w:b w:val="false"/>
          <w:bCs w:val="false"/>
          <w:sz w:val="21"/>
          <w:szCs w:val="21"/>
        </w:rPr>
        <w:t xml:space="preserve">图3.3 成层岩坡典型工况复现对比</w:t>
      </w:r>
    </w:p>
    <w:p>
      <w:pPr>
        <w:pStyle w:val="Heading3"/>
      </w:pPr>
      <w:r>
        <w:rPr>
          <w:rFonts w:ascii="黑体" w:eastAsia="黑体" w:hAnsi="黑体"/>
          <w:sz w:val="28"/>
          <w:szCs w:val="28"/>
        </w:rPr>
        <w:t xml:space="preserve">3.8.3 均质退化回归验证</w:t>
      </w:r>
    </w:p>
    <w:p>
      <w:pPr>
        <w:pStyle w:val="BodyText"/>
      </w:pPr>
      <w:r>
        <w:rPr>
          <w:rFonts w:ascii="Times New Roman" w:eastAsia="宋体" w:hAnsi="Times New Roman"/>
          <w:b w:val="false"/>
          <w:bCs w:val="false"/>
          <w:sz w:val="24"/>
          <w:szCs w:val="24"/>
        </w:rPr>
        <w:t xml:space="preserve">令多层脚本的地层列表为空（N=0），对同一几何跑均质基岩工况，与既有均质基线脚本的结果对拍，二者TAF曲线的偏差小于网格离散误差，证明多层版本在退化情形下与均质基线完全一致，多层机制未引入系统偏差。</w:t>
      </w:r>
    </w:p>
    <w:p>
      <w:pPr>
        <w:pStyle w:val="Heading3"/>
      </w:pPr>
      <w:r>
        <w:rPr>
          <w:rFonts w:ascii="黑体" w:eastAsia="黑体" w:hAnsi="黑体"/>
          <w:sz w:val="28"/>
          <w:szCs w:val="28"/>
        </w:rPr>
        <w:t xml:space="preserve">3.8.4 远场一维理论对拍</w:t>
      </w:r>
    </w:p>
    <w:p>
      <w:pPr>
        <w:pStyle w:val="BodyText"/>
      </w:pPr>
      <w:r>
        <w:t>模型尺寸设计（第3.3节）的有效性由逐工况的自动化定量校核保证：远离坡体的模型左、右边界附近，地表响应应退化为一维水平成层自由场。本文在每个工况建模时，同步以频域传递矩阵法计算左、右边界土柱的一维粘弹性自由场理论解并写入工况元数据；后处理时将有限元远场台阶值与理论值对比，偏差超过5%的工况自动告警并排查。既有算例中该偏差均在2%以内，表明本文尺寸设计对观测区精度是充分的，边界净空、阻尼标定与网格设计均满足要求。</w:t>
      </w:r>
    </w:p>
    <w:p>
      <w:pPr>
        <w:pStyle w:val="Heading3"/>
      </w:pPr>
      <w:r>
        <w:t>3.8.5 数值收敛与边界影响检验</w:t>
      </w:r>
    </w:p>
    <w:p>
      <w:pPr>
        <w:pStyle w:val="BodyText"/>
      </w:pPr>
      <w:r>
        <w:t>在代表性成层坡地工况上，分别实施时间步减半、侧向边界外移和底部加深的单因素扰动，以坡顶TAF为统一判据。相对基准模型，时间步减半后坡顶TAF变化为+0.3%，侧向边界外移后变化为+0.1%，底部加深后变化为−1.1%，均小于预设的5%工程容许阈值。该结果说明当前网格—时间步—计算域组合对目标观测区已达到数值收敛；这里的结论仅针对已检验的频带、材料与几何范围，不能外推为所有极端工况的通用证明。</w:t>
      </w:r>
    </w:p>
    <w:p>
      <w:pPr>
        <w:pStyle w:val="BodyText"/>
      </w:pPr>
      <w:r>
        <w:t>对粘弹性人工边界另行开展反射性检验。结果显示，源点处剩余反射约为2.6%；在距源+120 m和+180 m的目标观测区，剩余反射分别约为15.4%和12.1%，显著低于固定边界对应的67.3%和83.3%。因此，本文不将该边界表述为“完全无反射”，而以目标观测区对边界处理不敏感、并通过远场一维理论对拍作为可接受性判据。</w:t>
      </w:r>
    </w:p>
    <w:p>
      <w:pPr>
        <w:pStyle w:val="Heading3"/>
      </w:pPr>
      <w:r>
        <w:t>3.8.6 验证边界与后续闭环</w:t>
      </w:r>
    </w:p>
    <w:p>
      <w:pPr>
        <w:pStyle w:val="BodyText"/>
      </w:pPr>
      <w:r>
        <w:t>现有证据已覆盖自由场算法、文献工况、退化回归、远场理论、数值收敛及边界影响，足以支撑本文线性参数化研究的内部可信性。为进一步增强外部有效性，后续应选取一组不参与参数标定的二维地形公开基准进行盲预测，并以DEEPSOIL等一维场地响应软件交叉校核平坦成层场地；这两项属于论文提交前应优先补强的独立验证，而非当前已完成的结果。</w:t>
      </w:r>
    </w:p>
    <w:p>
      <w:pPr>
        <w:pStyle w:val="Heading2"/>
      </w:pPr>
      <w:r>
        <w:rPr>
          <w:rFonts w:ascii="黑体" w:eastAsia="黑体" w:hAnsi="黑体"/>
          <w:sz w:val="30"/>
          <w:szCs w:val="30"/>
        </w:rPr>
        <w:t xml:space="preserve">3.9 本章小结</w:t>
      </w:r>
    </w:p>
    <w:p>
      <w:pPr>
        <w:pStyle w:val="BodyText"/>
      </w:pPr>
      <w:r>
        <w:rPr>
          <w:rFonts w:ascii="Times New Roman" w:eastAsia="宋体" w:hAnsi="Times New Roman"/>
          <w:b w:val="false"/>
          <w:bCs w:val="false"/>
          <w:sz w:val="24"/>
          <w:szCs w:val="24"/>
        </w:rPr>
        <w:t xml:space="preserve">本章建立并验证了坡地地震动放大分析的有限元建模方法，主要内容如下：</w:t>
      </w:r>
    </w:p>
    <w:p>
      <w:pPr>
        <w:pStyle w:val="BodyText"/>
      </w:pPr>
      <w:r>
        <w:rPr>
          <w:rFonts w:ascii="Times New Roman" w:eastAsia="宋体" w:hAnsi="Times New Roman"/>
          <w:b w:val="false"/>
          <w:bCs w:val="false"/>
          <w:sz w:val="24"/>
          <w:szCs w:val="24"/>
        </w:rPr>
        <w:t xml:space="preserve">（1）建立了以坡高h为唯一绝对尺度的无量纲化模型尺寸设计方法：坡顶平台(A_max+c)h、坡面h/tan i、坡脚平台(C_max+c)h、模型深度(s+1)h，观测窗与边界净空分离设计，几何外形与地层配置完全解耦，保证了参数化研究的跨尺度可比性。</w:t>
      </w:r>
    </w:p>
    <w:p>
      <w:pPr>
        <w:pStyle w:val="BodyText"/>
      </w:pPr>
      <w:r>
        <w:rPr>
          <w:rFonts w:ascii="Times New Roman" w:eastAsia="宋体" w:hAnsi="Times New Roman"/>
          <w:b w:val="false"/>
          <w:bCs w:val="false"/>
          <w:sz w:val="24"/>
          <w:szCs w:val="24"/>
        </w:rPr>
        <w:t xml:space="preserve">（2）确定了数值参数设计原则：网格按控制性最软层波速与Kuhlemeyer-Lysmer判据控制并分层渐变，时间步长按采样定理校验，分析时长附加静默尾段保障频域提取精度，瑞利阻尼按双频点锚定逐层标定并与边界自由场严格同口径。</w:t>
      </w:r>
    </w:p>
    <w:p>
      <w:pPr>
        <w:pStyle w:val="BodyText"/>
      </w:pPr>
      <w:r>
        <w:rPr>
          <w:rFonts w:ascii="Times New Roman" w:eastAsia="宋体" w:hAnsi="Times New Roman"/>
          <w:b w:val="false"/>
          <w:bCs w:val="false"/>
          <w:sz w:val="24"/>
          <w:szCs w:val="24"/>
        </w:rPr>
        <w:t xml:space="preserve">（3）给出了多层介质建模的五项关键技术：材料带构造与小面质心定位赋材、两类表层几何切分机制、人工边界参数逐节点取材、控制性最软层网格控制、频率相关阻尼层间一致标定。</w:t>
      </w:r>
    </w:p>
    <w:p>
      <w:pPr>
        <w:pStyle w:val="BodyText"/>
      </w:pPr>
      <w:r>
        <w:t>（4）采用分层证据链验证了模型可信性：522组均质岩坡与成层岩坡典型工况复现用于外部规律对照，均质退化回归与远场一维理论对拍（偏差&lt;2%）用于内部自洽性检验，代表性工况的时间步、侧向净空和模型深度扰动分别仅引起+0.3%、+0.1%和−1.1%的坡顶TAF变化；粘弹性边界在目标观测区的剩余反射显著低于固定边界。独立二维公开基准和DEEPSOIL交叉对照仍列为后续闭环任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CN"/>
    <w:basedOn w:val="Normal"/>
    <w:next w:val="BodyText"/>
    <w:pPr>
      <w:spacing w:line="400" w:lineRule="exact"/>
      <w:ind w:firstLine="480"/>
    </w:pPr>
    <w:rPr>
      <w:rFonts w:ascii="Times New Roman" w:eastAsia="宋体" w:hAnsi="Times New Roman"/>
      <w:sz w:val="24"/>
      <w:szCs w:val="24"/>
    </w:rPr>
  </w:style>
  <w:style w:type="paragraph" w:styleId="Heading1">
    <w:name w:val="Heading 1"/>
    <w:basedOn w:val="Normal"/>
    <w:next w:val="BodyText"/>
    <w:qFormat/>
    <w:pPr>
      <w:spacing w:after="360" w:before="480" w:line="400" w:lineRule="exact"/>
      <w:jc w:val="center"/>
      <w:outlineLvl w:val="0"/>
    </w:pPr>
    <w:rPr>
      <w:rFonts w:ascii="黑体" w:eastAsia="黑体" w:hAnsi="黑体"/>
      <w:sz w:val="32"/>
      <w:szCs w:val="32"/>
    </w:rPr>
  </w:style>
  <w:style w:type="paragraph" w:styleId="Heading2">
    <w:name w:val="Heading 2"/>
    <w:basedOn w:val="Normal"/>
    <w:next w:val="BodyText"/>
    <w:qFormat/>
    <w:pPr>
      <w:spacing w:after="240" w:before="360" w:line="400" w:lineRule="exact"/>
      <w:outlineLvl w:val="1"/>
    </w:pPr>
    <w:rPr>
      <w:rFonts w:ascii="黑体" w:eastAsia="黑体" w:hAnsi="黑体"/>
      <w:sz w:val="30"/>
      <w:szCs w:val="30"/>
    </w:rPr>
  </w:style>
  <w:style w:type="paragraph" w:styleId="Heading3">
    <w:name w:val="Heading 3"/>
    <w:basedOn w:val="Normal"/>
    <w:next w:val="BodyText"/>
    <w:qFormat/>
    <w:pPr>
      <w:spacing w:after="180" w:before="240" w:line="400" w:lineRule="exact"/>
      <w:outlineLvl w:val="2"/>
    </w:pPr>
    <w:rPr>
      <w:rFonts w:ascii="黑体" w:eastAsia="黑体" w:hAnsi="黑体"/>
      <w:sz w:val="28"/>
      <w:szCs w:val="28"/>
    </w:rPr>
  </w:style>
  <w:style w:type="paragraph" w:styleId="FigCaption">
    <w:name w:val="Figure Caption CN"/>
    <w:basedOn w:val="Normal"/>
    <w:next w:val="BodyText"/>
    <w:pPr>
      <w:spacing w:after="120" w:before="60" w:line="400" w:lineRule="exact"/>
      <w:jc w:val="center"/>
    </w:pPr>
    <w:rPr>
      <w:rFonts w:ascii="Times New Roman" w:eastAsia="宋体" w:hAnsi="Times New Roman"/>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dc:creator>
  <cp:lastModifiedBy>Un-named</cp:lastModifiedBy>
  <cp:revision>1</cp:revision>
  <dcterms:created xsi:type="dcterms:W3CDTF">2026-07-02T08:34:05.150Z</dcterms:created>
  <dcterms:modified xsi:type="dcterms:W3CDTF">2026-07-02T08:34:05.150Z</dcterms:modified>
</cp:coreProperties>
</file>

<file path=docProps/custom.xml><?xml version="1.0" encoding="utf-8"?>
<Properties xmlns="http://schemas.openxmlformats.org/officeDocument/2006/custom-properties" xmlns:vt="http://schemas.openxmlformats.org/officeDocument/2006/docPropsVTypes"/>
</file>