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2025-03-11</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Ivanlu</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luivan@qq.com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https://www.hk-pkc.com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Ivanlu</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Ivanlu</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