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2025/3/5</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luda@gmail.com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