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f3b07057-b220-4b8d-83c9-22d4c66c5cb6" w:name="contract_num"/>
      <w:r>
        <w:t xml:space="preserve"/>
      </w:r>
      <w:bookmarkEnd xmlns:w="http://schemas.openxmlformats.org/wordprocessingml/2006/main" w:id="f3b07057-b220-4b8d-83c9-22d4c66c5cb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bookmarkStart xmlns:w="http://schemas.openxmlformats.org/wordprocessingml/2006/main" w:id="f163c2d6-8004-4d98-885a-47177a51104b" w:name="theme"/>
      <w:r>
        <w:t xml:space="preserve"/>
      </w:r>
      <w:bookmarkEnd xmlns:w="http://schemas.openxmlformats.org/wordprocessingml/2006/main" w:id="f163c2d6-8004-4d98-885a-47177a51104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4e0b83ad-74dc-4161-a0a3-2b2c52b8133f" w:name="date"/>
      <w:r>
        <w:t xml:space="preserve"/>
      </w:r>
      <w:bookmarkEnd xmlns:w="http://schemas.openxmlformats.org/wordprocessingml/2006/main" w:id="4e0b83ad-74dc-4161-a0a3-2b2c52b8133f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r>
        <w:t xml:space="preserve">pre_read_ft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载体构建信息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靶序列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载体图谱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结果质控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质粒酶切验证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测序比对验证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病毒滴度测定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附录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测序引物序列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分子实验数据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分子实验数据文件夹内含有质粒图谱、质粒示意图、测序比对文件及酶切鉴定照片等分子实验原始数据。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病毒实验数据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病毒实验数据文件夹内含有质粒转染和慢病毒感染的原始图片。（注：质粒转染图片和滴度检测图片命名规则：载体编号-时间-物镜倍数-荧光类型。eg. LW429-48h-4×-G（G:绿光，R:红光，W：白光））</w:t>
      </w:r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15</cp:revision>
  <dcterms:created xsi:type="dcterms:W3CDTF">2019-11-27T06:36:00Z</dcterms:created>
  <dcterms:modified xsi:type="dcterms:W3CDTF">2020-05-03T17:13:33Z</dcterms:modified>
</cp:coreProperties>
</file>