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1" w:name="dermassist-ai-final-project-report"/>
    <w:p>
      <w:pPr>
        <w:pStyle w:val="Heading1"/>
      </w:pPr>
      <w:r>
        <w:t xml:space="preserve">DermAssist AI — Final Project Report</w:t>
      </w:r>
    </w:p>
    <w:p>
      <w:pPr>
        <w:pStyle w:val="FirstParagraph"/>
      </w:pPr>
      <w:r>
        <w:rPr>
          <w:bCs/>
          <w:b/>
        </w:rPr>
        <w:t xml:space="preserve">Document type:</w:t>
      </w:r>
      <w:r>
        <w:t xml:space="preserve"> </w:t>
      </w:r>
      <w:r>
        <w:t xml:space="preserve">Technical summary for reviewers, recruiters, faculty, and AI researchers</w:t>
      </w:r>
      <w:r>
        <w:br/>
      </w:r>
      <w:r>
        <w:rPr>
          <w:bCs/>
          <w:b/>
        </w:rPr>
        <w:t xml:space="preserve">Version:</w:t>
      </w:r>
      <w:r>
        <w:t xml:space="preserve"> </w:t>
      </w:r>
      <w:r>
        <w:t xml:space="preserve">Research prototype</w:t>
      </w:r>
      <w:r>
        <w:br/>
      </w:r>
      <w:r>
        <w:rPr>
          <w:bCs/>
          <w:b/>
        </w:rPr>
        <w:t xml:space="preserve">Last updated:</w:t>
      </w:r>
      <w:r>
        <w:t xml:space="preserve"> </w:t>
      </w:r>
      <w:r>
        <w:t xml:space="preserve">May 2026</w:t>
      </w:r>
    </w:p>
    <w:p>
      <w:r>
        <w:pict>
          <v:rect style="width:0;height:1.5pt" o:hralign="center" o:hrstd="t" o:hr="t"/>
        </w:pict>
      </w:r>
    </w:p>
    <w:bookmarkStart w:id="2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DermAssist AI is a full-stack</w:t>
      </w:r>
      <w:r>
        <w:t xml:space="preserve"> </w:t>
      </w:r>
      <w:r>
        <w:rPr>
          <w:bCs/>
          <w:b/>
        </w:rPr>
        <w:t xml:space="preserve">research prototype</w:t>
      </w:r>
      <w:r>
        <w:t xml:space="preserve"> </w:t>
      </w:r>
      <w:r>
        <w:t xml:space="preserve">that demonstrates binary skin-lesion</w:t>
      </w:r>
      <w:r>
        <w:t xml:space="preserve"> </w:t>
      </w:r>
      <w:r>
        <w:rPr>
          <w:bCs/>
          <w:b/>
        </w:rPr>
        <w:t xml:space="preserve">risk screening</w:t>
      </w:r>
      <w:r>
        <w:t xml:space="preserve"> </w:t>
      </w:r>
      <w:r>
        <w:t xml:space="preserve">(research labels) on the public</w:t>
      </w:r>
      <w:r>
        <w:t xml:space="preserve"> </w:t>
      </w:r>
      <w:r>
        <w:rPr>
          <w:bCs/>
          <w:b/>
        </w:rPr>
        <w:t xml:space="preserve">HAM10000</w:t>
      </w:r>
      <w:r>
        <w:t xml:space="preserve"> </w:t>
      </w:r>
      <w:r>
        <w:t xml:space="preserve">dermoscopy dataset using deep convolutional networks—primarily</w:t>
      </w:r>
      <w:r>
        <w:t xml:space="preserve"> </w:t>
      </w:r>
      <w:r>
        <w:rPr>
          <w:bCs/>
          <w:b/>
        </w:rPr>
        <w:t xml:space="preserve">EfficientNet-B0</w:t>
      </w:r>
      <w:r>
        <w:t xml:space="preserve"> </w:t>
      </w:r>
      <w:r>
        <w:t xml:space="preserve">with ImageNet transfer learning—paired with optional</w:t>
      </w:r>
      <w:r>
        <w:t xml:space="preserve"> </w:t>
      </w:r>
      <w:r>
        <w:rPr>
          <w:bCs/>
          <w:b/>
        </w:rPr>
        <w:t xml:space="preserve">Grad-CAM</w:t>
      </w:r>
      <w:r>
        <w:t xml:space="preserve"> </w:t>
      </w:r>
      <w:r>
        <w:t xml:space="preserve">explainability and a</w:t>
      </w:r>
      <w:r>
        <w:t xml:space="preserve"> </w:t>
      </w:r>
      <w:r>
        <w:rPr>
          <w:bCs/>
          <w:b/>
        </w:rPr>
        <w:t xml:space="preserve">Next.js</w:t>
      </w:r>
      <w:r>
        <w:t xml:space="preserve"> </w:t>
      </w:r>
      <w:r>
        <w:t xml:space="preserve">/</w:t>
      </w:r>
      <w:r>
        <w:t xml:space="preserve"> </w:t>
      </w:r>
      <w:r>
        <w:rPr>
          <w:bCs/>
          <w:b/>
        </w:rPr>
        <w:t xml:space="preserve">FastAPI</w:t>
      </w:r>
      <w:r>
        <w:t xml:space="preserve"> </w:t>
      </w:r>
      <w:r>
        <w:t xml:space="preserve">demonstration stack. This report documents motivation, architecture, data protocol, training, quantitative evaluation on a held-out patient-aware split, explainability, deployment-oriented software design, ethics, limitations, and future work.</w:t>
      </w:r>
      <w:r>
        <w:t xml:space="preserve"> </w:t>
      </w:r>
      <w:r>
        <w:rPr>
          <w:bCs/>
          <w:b/>
        </w:rPr>
        <w:t xml:space="preserve">The system is not a medical device and not intended for clinical diagnosis.</w:t>
      </w:r>
    </w:p>
    <w:p>
      <w:r>
        <w:pict>
          <v:rect style="width:0;height:1.5pt" o:hralign="center" o:hrstd="t" o:hr="t"/>
        </w:pict>
      </w:r>
    </w:p>
    <w:bookmarkEnd w:id="20"/>
    <w:bookmarkStart w:id="24" w:name="introduction"/>
    <w:p>
      <w:pPr>
        <w:pStyle w:val="Heading2"/>
      </w:pPr>
      <w:r>
        <w:t xml:space="preserve">1. Introduction</w:t>
      </w:r>
    </w:p>
    <w:bookmarkStart w:id="21" w:name="project-overview"/>
    <w:p>
      <w:pPr>
        <w:pStyle w:val="Heading3"/>
      </w:pPr>
      <w:r>
        <w:t xml:space="preserve">1.1 Project overview</w:t>
      </w:r>
    </w:p>
    <w:p>
      <w:pPr>
        <w:pStyle w:val="FirstParagraph"/>
      </w:pPr>
      <w:r>
        <w:t xml:space="preserve">DermAssist AI combines:</w:t>
      </w:r>
    </w:p>
    <w:p>
      <w:pPr>
        <w:numPr>
          <w:ilvl w:val="0"/>
          <w:numId w:val="1001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browser-based UI</w:t>
      </w:r>
      <w:r>
        <w:t xml:space="preserve"> </w:t>
      </w:r>
      <w:r>
        <w:t xml:space="preserve">for uploading dermoscopy-style images and viewing predictions with disclaimers.</w:t>
      </w:r>
    </w:p>
    <w:p>
      <w:pPr>
        <w:numPr>
          <w:ilvl w:val="0"/>
          <w:numId w:val="1001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FastAPI</w:t>
      </w:r>
      <w:r>
        <w:t xml:space="preserve"> </w:t>
      </w:r>
      <w:r>
        <w:t xml:space="preserve">service that preprocesses images, runs PyTorch inference, and optionally returns Grad-CAM heatmaps as base64-encoded PNGs.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Training and evaluation scripts</w:t>
      </w:r>
      <w:r>
        <w:t xml:space="preserve"> </w:t>
      </w:r>
      <w:r>
        <w:t xml:space="preserve">(</w:t>
      </w:r>
      <w:r>
        <w:rPr>
          <w:rStyle w:val="VerbatimChar"/>
        </w:rPr>
        <w:t xml:space="preserve">models/train.py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models/evaluate.py</w:t>
      </w:r>
      <w:r>
        <w:t xml:space="preserve">) for reproducible experiments on HAM10000 with stratified,</w:t>
      </w:r>
      <w:r>
        <w:t xml:space="preserve"> </w:t>
      </w:r>
      <w:r>
        <w:rPr>
          <w:bCs/>
          <w:b/>
        </w:rPr>
        <w:t xml:space="preserve">patient-aware</w:t>
      </w:r>
      <w:r>
        <w:t xml:space="preserve"> </w:t>
      </w:r>
      <w:r>
        <w:t xml:space="preserve">cross-validation.</w:t>
      </w:r>
    </w:p>
    <w:p>
      <w:pPr>
        <w:pStyle w:val="FirstParagraph"/>
      </w:pPr>
      <w:r>
        <w:t xml:space="preserve">The recommended serving checkpoint is</w:t>
      </w:r>
      <w:r>
        <w:t xml:space="preserve"> </w:t>
      </w:r>
      <w:r>
        <w:rPr>
          <w:bCs/>
          <w:b/>
        </w:rPr>
        <w:t xml:space="preserve">EfficientNet-B0</w:t>
      </w:r>
      <w:r>
        <w:t xml:space="preserve"> </w:t>
      </w:r>
      <w:r>
        <w:t xml:space="preserve">fine-tuned for the binary task (vs. a ResNet-50 baseline documented for comparison).</w:t>
      </w:r>
    </w:p>
    <w:bookmarkEnd w:id="21"/>
    <w:bookmarkStart w:id="22" w:name="why-skin-lesion-screening-matters"/>
    <w:p>
      <w:pPr>
        <w:pStyle w:val="Heading3"/>
      </w:pPr>
      <w:r>
        <w:t xml:space="preserve">1.2 Why skin lesion screening matters</w:t>
      </w:r>
    </w:p>
    <w:p>
      <w:pPr>
        <w:pStyle w:val="FirstParagraph"/>
      </w:pPr>
      <w:r>
        <w:t xml:space="preserve">Melanoma and other skin cancers contribute substantially to morbidity and mortality. Early detection improves outcomes. At population scale, access to dermatology is uneven; tools that</w:t>
      </w:r>
      <w:r>
        <w:t xml:space="preserve"> </w:t>
      </w:r>
      <w:r>
        <w:rPr>
          <w:bCs/>
          <w:b/>
        </w:rPr>
        <w:t xml:space="preserve">assist triage or education</w:t>
      </w:r>
      <w:r>
        <w:t xml:space="preserve"> </w:t>
      </w:r>
      <w:r>
        <w:t xml:space="preserve">are widely discussed—provided they are validated, regulated where appropriate, and never substitute professional judgment.</w:t>
      </w:r>
    </w:p>
    <w:bookmarkEnd w:id="22"/>
    <w:bookmarkStart w:id="23" w:name="research-motivation"/>
    <w:p>
      <w:pPr>
        <w:pStyle w:val="Heading3"/>
      </w:pPr>
      <w:r>
        <w:t xml:space="preserve">1.3 Research motivation</w:t>
      </w:r>
    </w:p>
    <w:p>
      <w:pPr>
        <w:pStyle w:val="FirstParagraph"/>
      </w:pPr>
      <w:r>
        <w:t xml:space="preserve">This project explores whether</w:t>
      </w:r>
      <w:r>
        <w:t xml:space="preserve"> </w:t>
      </w:r>
      <w:r>
        <w:rPr>
          <w:bCs/>
          <w:b/>
        </w:rPr>
        <w:t xml:space="preserve">modern CNNs plus transparent visualization</w:t>
      </w:r>
      <w:r>
        <w:t xml:space="preserve"> </w:t>
      </w:r>
      <w:r>
        <w:t xml:space="preserve">can support</w:t>
      </w:r>
      <w:r>
        <w:t xml:space="preserve"> </w:t>
      </w:r>
      <w:r>
        <w:rPr>
          <w:bCs/>
          <w:b/>
        </w:rPr>
        <w:t xml:space="preserve">educational and workflow prototyping</w:t>
      </w:r>
      <w:r>
        <w:t xml:space="preserve">: clear metrics on public data, explicit limitations, and UI patterns that reinforce</w:t>
      </w:r>
      <w:r>
        <w:t xml:space="preserve"> </w:t>
      </w:r>
      <w:r>
        <w:t xml:space="preserve">“</w:t>
      </w:r>
      <w:r>
        <w:t xml:space="preserve">screening-style output only.</w:t>
      </w:r>
      <w:r>
        <w:t xml:space="preserve">”</w:t>
      </w:r>
      <w:r>
        <w:t xml:space="preserve"> </w:t>
      </w:r>
      <w:r>
        <w:t xml:space="preserve">It is positioned as a</w:t>
      </w:r>
      <w:r>
        <w:t xml:space="preserve"> </w:t>
      </w:r>
      <w:r>
        <w:rPr>
          <w:bCs/>
          <w:b/>
        </w:rPr>
        <w:t xml:space="preserve">course-grade / portfolio-grade research artifact</w:t>
      </w:r>
      <w:r>
        <w:t xml:space="preserve">, not a deployed clinical product.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problem-statement"/>
    <w:p>
      <w:pPr>
        <w:pStyle w:val="Heading2"/>
      </w:pPr>
      <w:r>
        <w:t xml:space="preserve">2. Problem Statement</w:t>
      </w:r>
    </w:p>
    <w:bookmarkStart w:id="25" w:name="challenges-in-early-screening"/>
    <w:p>
      <w:pPr>
        <w:pStyle w:val="Heading3"/>
      </w:pPr>
      <w:r>
        <w:t xml:space="preserve">2.1 Challenges in early screening</w:t>
      </w:r>
    </w:p>
    <w:p>
      <w:pPr>
        <w:pStyle w:val="FirstParagraph"/>
      </w:pPr>
      <w:r>
        <w:t xml:space="preserve">Lesions vary in appearance; imaging quality and lighting differ; malignant cases may be rare relative to benign mimics. Reliable screening requires clinical correlation (history, full-body exam, dermoscopy expertise, biopsy when indicated).</w:t>
      </w:r>
    </w:p>
    <w:bookmarkEnd w:id="25"/>
    <w:bookmarkStart w:id="26" w:name="limitations-of-self-assessment"/>
    <w:p>
      <w:pPr>
        <w:pStyle w:val="Heading3"/>
      </w:pPr>
      <w:r>
        <w:t xml:space="preserve">2.2 Limitations of self-assessment</w:t>
      </w:r>
    </w:p>
    <w:p>
      <w:pPr>
        <w:pStyle w:val="FirstParagraph"/>
      </w:pPr>
      <w:r>
        <w:t xml:space="preserve">Patients may rely on apps or informal photos without standardized imaging or follow-up. Self-assessment</w:t>
      </w:r>
      <w:r>
        <w:t xml:space="preserve"> </w:t>
      </w:r>
      <w:r>
        <w:rPr>
          <w:bCs/>
          <w:b/>
        </w:rPr>
        <w:t xml:space="preserve">cannot</w:t>
      </w:r>
      <w:r>
        <w:t xml:space="preserve"> </w:t>
      </w:r>
      <w:r>
        <w:t xml:space="preserve">replace examination and diagnostic workup.</w:t>
      </w:r>
    </w:p>
    <w:bookmarkEnd w:id="26"/>
    <w:bookmarkStart w:id="27" w:name="X89f096f580cedc542aa25f8cb81185d1573ae81"/>
    <w:p>
      <w:pPr>
        <w:pStyle w:val="Heading3"/>
      </w:pPr>
      <w:r>
        <w:t xml:space="preserve">2.3 Why AI-assisted workflows are being explored</w:t>
      </w:r>
    </w:p>
    <w:p>
      <w:pPr>
        <w:pStyle w:val="FirstParagraph"/>
      </w:pPr>
      <w:r>
        <w:t xml:space="preserve">AI may help prioritize education, flag uncertain cases for review in controlled studies, or accelerate research datasets—but only with rigorous validation, fairness analysis, and governance. This prototype illustrates</w:t>
      </w:r>
      <w:r>
        <w:t xml:space="preserve"> </w:t>
      </w:r>
      <w:r>
        <w:rPr>
          <w:bCs/>
          <w:b/>
        </w:rPr>
        <w:t xml:space="preserve">technical plumbing and metrics</w:t>
      </w:r>
      <w:r>
        <w:t xml:space="preserve">, not validated clinical utility.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system-architecture"/>
    <w:p>
      <w:pPr>
        <w:pStyle w:val="Heading2"/>
      </w:pPr>
      <w:r>
        <w:t xml:space="preserve">3. System Architecture</w:t>
      </w:r>
    </w:p>
    <w:p>
      <w:pPr>
        <w:pStyle w:val="FirstParagraph"/>
      </w:pPr>
      <w:r>
        <w:t xml:space="preserve">End-to-end flow:</w:t>
      </w:r>
    </w:p>
    <w:p>
      <w:pPr>
        <w:pStyle w:val="BodyText"/>
      </w:pPr>
      <w:r>
        <w:rPr>
          <w:bCs/>
          <w:b/>
        </w:rPr>
        <w:t xml:space="preserve">Frontend (React / Next.js)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FastAPI backend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Preprocessing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EfficientNet-B0 (or ResNet-50)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Prediction + confidence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Grad-CAM (optional)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JSON response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UI rendering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017"/>
        <w:gridCol w:w="490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uploads JPG/PNG; optional toggles (e.g., Grad-CAM); displays label band, confidence, disclaimers, and heatmap when returned.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/predict</w:t>
            </w:r>
            <w:r>
              <w:t xml:space="preserve"> </w:t>
            </w:r>
            <w:r>
              <w:t xml:space="preserve">accepts</w:t>
            </w:r>
            <w:r>
              <w:t xml:space="preserve"> </w:t>
            </w:r>
            <w:r>
              <w:rPr>
                <w:rStyle w:val="VerbatimChar"/>
              </w:rPr>
              <w:t xml:space="preserve">multipart/form-data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file</w:t>
            </w:r>
            <w:r>
              <w:t xml:space="preserve">), optional</w:t>
            </w:r>
            <w:r>
              <w:t xml:space="preserve"> </w:t>
            </w:r>
            <w:r>
              <w:rPr>
                <w:rStyle w:val="VerbatimChar"/>
              </w:rPr>
              <w:t xml:space="preserve">include_gradcam</w:t>
            </w:r>
            <w:r>
              <w:t xml:space="preserve">. Returns structured JSON including prediction metadata and optional base64 heatmap.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Resize to</w:t>
            </w:r>
            <w:r>
              <w:t xml:space="preserve"> </w:t>
            </w:r>
            <w:r>
              <w:rPr>
                <w:bCs/>
                <w:b/>
              </w:rPr>
              <w:t xml:space="preserve">224×224</w:t>
            </w:r>
            <w:r>
              <w:t xml:space="preserve">, RGB,</w:t>
            </w:r>
            <w:r>
              <w:t xml:space="preserve"> </w:t>
            </w:r>
            <w:r>
              <w:rPr>
                <w:bCs/>
                <w:b/>
              </w:rPr>
              <w:t xml:space="preserve">ImageNet normalization</w:t>
            </w:r>
            <w:r>
              <w:t xml:space="preserve">—aligned with training and Grad-CAM tensor paths.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CNN loaded from</w:t>
            </w:r>
            <w:r>
              <w:t xml:space="preserve"> </w:t>
            </w:r>
            <w:r>
              <w:rPr>
                <w:rStyle w:val="VerbatimChar"/>
              </w:rPr>
              <w:t xml:space="preserve">train.py</w:t>
            </w:r>
            <w:r>
              <w:t xml:space="preserve"> </w:t>
            </w:r>
            <w:r>
              <w:t xml:space="preserve">checkpoint (</w:t>
            </w:r>
            <w:r>
              <w:rPr>
                <w:rStyle w:val="VerbatimChar"/>
              </w:rPr>
              <w:t xml:space="preserve">DERMASSIST_CHECKPOINT</w:t>
            </w:r>
            <w:r>
              <w:t xml:space="preserve">); binary logits → softmax → class and confidence.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Grad-CAM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Computes class-discriminative localization on the last convolutional stage appropriate to the architecture (e.g., EfficientNet MBConv block path used in code).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Presents</w:t>
            </w:r>
            <w:r>
              <w:t xml:space="preserve"> </w:t>
            </w:r>
            <w:r>
              <w:t xml:space="preserve">“</w:t>
            </w:r>
            <w:r>
              <w:t xml:space="preserve">model attention</w:t>
            </w:r>
            <w:r>
              <w:t xml:space="preserve">”</w:t>
            </w:r>
            <w:r>
              <w:t xml:space="preserve"> </w:t>
            </w:r>
            <w:r>
              <w:t xml:space="preserve">language and disclaimers that the heatmap reflects</w:t>
            </w:r>
            <w:r>
              <w:t xml:space="preserve"> </w:t>
            </w:r>
            <w:r>
              <w:rPr>
                <w:bCs/>
                <w:b/>
              </w:rPr>
              <w:t xml:space="preserve">model internals</w:t>
            </w:r>
            <w:r>
              <w:t xml:space="preserve">, not pathology.</w:t>
            </w:r>
          </w:p>
        </w:tc>
      </w:tr>
    </w:tbl>
    <w:p>
      <w:pPr>
        <w:pStyle w:val="BodyText"/>
      </w:pPr>
      <w:r>
        <w:t xml:space="preserve">Further detail:</w:t>
      </w:r>
      <w:r>
        <w:t xml:space="preserve"> </w:t>
      </w:r>
      <w:hyperlink r:id="rId29">
        <w:r>
          <w:rPr>
            <w:rStyle w:val="VerbatimChar"/>
          </w:rPr>
          <w:t xml:space="preserve">system_architecture.md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Start w:id="36" w:name="dataset-ham10000"/>
    <w:p>
      <w:pPr>
        <w:pStyle w:val="Heading2"/>
      </w:pPr>
      <w:r>
        <w:t xml:space="preserve">4. Dataset — HAM10000</w:t>
      </w:r>
    </w:p>
    <w:bookmarkStart w:id="31" w:name="scale-and-format"/>
    <w:p>
      <w:pPr>
        <w:pStyle w:val="Heading3"/>
      </w:pPr>
      <w:r>
        <w:t xml:space="preserve">4.1 Scale and format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HAM10000</w:t>
      </w:r>
      <w:r>
        <w:t xml:space="preserve"> </w:t>
      </w:r>
      <w:r>
        <w:t xml:space="preserve">contains</w:t>
      </w:r>
      <w:r>
        <w:t xml:space="preserve"> </w:t>
      </w:r>
      <w:r>
        <w:rPr>
          <w:bCs/>
          <w:b/>
        </w:rPr>
        <w:t xml:space="preserve">10,015</w:t>
      </w:r>
      <w:r>
        <w:t xml:space="preserve"> </w:t>
      </w:r>
      <w:r>
        <w:t xml:space="preserve">labeled dermoscopic images (after standard filtering with valid paths in this project’s pipeline).</w:t>
      </w:r>
    </w:p>
    <w:p>
      <w:pPr>
        <w:numPr>
          <w:ilvl w:val="0"/>
          <w:numId w:val="1002"/>
        </w:numPr>
        <w:pStyle w:val="Compact"/>
      </w:pPr>
      <w:r>
        <w:t xml:space="preserve">Images span multiple diagnostic categories in the metadata (</w:t>
      </w:r>
      <w:r>
        <w:rPr>
          <w:rStyle w:val="VerbatimChar"/>
        </w:rPr>
        <w:t xml:space="preserve">dx</w:t>
      </w:r>
      <w:r>
        <w:t xml:space="preserve">).</w:t>
      </w:r>
    </w:p>
    <w:bookmarkEnd w:id="31"/>
    <w:bookmarkStart w:id="32" w:name="diagnosis-categories-multiclass-origin"/>
    <w:p>
      <w:pPr>
        <w:pStyle w:val="Heading3"/>
      </w:pPr>
      <w:r>
        <w:t xml:space="preserve">4.2 Diagnosis categories (multiclass origin)</w:t>
      </w:r>
    </w:p>
    <w:p>
      <w:pPr>
        <w:pStyle w:val="FirstParagraph"/>
      </w:pPr>
      <w:r>
        <w:t xml:space="preserve">HAM10000 uses seven coarse diagnostic codes (e.g., melanoma, basal cell carcinoma, benign nevus, etc.). Full multiclass training is optional in this codebase; the reported evaluation foregrounds the</w:t>
      </w:r>
      <w:r>
        <w:t xml:space="preserve"> </w:t>
      </w:r>
      <w:r>
        <w:rPr>
          <w:bCs/>
          <w:b/>
        </w:rPr>
        <w:t xml:space="preserve">binary mapping</w:t>
      </w:r>
      <w:r>
        <w:t xml:space="preserve"> </w:t>
      </w:r>
      <w:r>
        <w:t xml:space="preserve">below.</w:t>
      </w:r>
    </w:p>
    <w:bookmarkEnd w:id="32"/>
    <w:bookmarkStart w:id="33" w:name="binary-label-mapping-research-design"/>
    <w:p>
      <w:pPr>
        <w:pStyle w:val="Heading3"/>
      </w:pPr>
      <w:r>
        <w:t xml:space="preserve">4.3 Binary label mapping (research design)</w:t>
      </w:r>
    </w:p>
    <w:p>
      <w:pPr>
        <w:pStyle w:val="FirstParagraph"/>
      </w:pPr>
      <w:r>
        <w:t xml:space="preserve">For the binary experiment: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911"/>
        <w:gridCol w:w="2594"/>
        <w:gridCol w:w="341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Binary 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 (research)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diagnoses (</w:t>
            </w:r>
            <w:r>
              <w:rPr>
                <w:rStyle w:val="VerbatimChar"/>
              </w:rPr>
              <w:t xml:space="preserve">dx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 — Benign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Lower-risk group for screening-style experiments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bkl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vasc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 — Potentially Malignant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Higher-risk group for screening-style experiments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bcc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akiec</w:t>
            </w:r>
          </w:p>
        </w:tc>
      </w:tr>
    </w:tbl>
    <w:p>
      <w:pPr>
        <w:pStyle w:val="BodyText"/>
      </w:pPr>
      <w:r>
        <w:t xml:space="preserve">This aggregation is a</w:t>
      </w:r>
      <w:r>
        <w:t xml:space="preserve"> </w:t>
      </w:r>
      <w:r>
        <w:rPr>
          <w:bCs/>
          <w:b/>
        </w:rPr>
        <w:t xml:space="preserve">research convenience</w:t>
      </w:r>
      <w:r>
        <w:t xml:space="preserve">, not a clinical definition of malignancy.</w:t>
      </w:r>
    </w:p>
    <w:bookmarkEnd w:id="33"/>
    <w:bookmarkStart w:id="34" w:name="train-validation-split"/>
    <w:p>
      <w:pPr>
        <w:pStyle w:val="Heading3"/>
      </w:pPr>
      <w:r>
        <w:t xml:space="preserve">4.4 Train / validation split</w:t>
      </w:r>
    </w:p>
    <w:p>
      <w:pPr>
        <w:pStyle w:val="FirstParagraph"/>
      </w:pPr>
      <w:r>
        <w:t xml:space="preserve">Training uses</w:t>
      </w:r>
      <w:r>
        <w:t xml:space="preserve"> </w:t>
      </w:r>
      <w:r>
        <w:rPr>
          <w:bCs/>
          <w:b/>
        </w:rPr>
        <w:t xml:space="preserve">StratifiedGroupKFold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  <w:bCs/>
          <w:b/>
        </w:rPr>
        <w:t xml:space="preserve">n_splits = 5</w:t>
      </w:r>
      <w:r>
        <w:t xml:space="preserve">,</w:t>
      </w:r>
      <w:r>
        <w:t xml:space="preserve"> </w:t>
      </w:r>
      <w:r>
        <w:rPr>
          <w:rStyle w:val="VerbatimChar"/>
          <w:bCs/>
          <w:b/>
        </w:rPr>
        <w:t xml:space="preserve">shuffle = True</w:t>
      </w:r>
      <w:r>
        <w:t xml:space="preserve">,</w:t>
      </w:r>
      <w:r>
        <w:t xml:space="preserve"> </w:t>
      </w:r>
      <w:r>
        <w:rPr>
          <w:rStyle w:val="VerbatimChar"/>
          <w:bCs/>
          <w:b/>
        </w:rPr>
        <w:t xml:space="preserve">random_state = 42</w:t>
      </w:r>
      <w:r>
        <w:t xml:space="preserve">. Reported numbers use</w:t>
      </w:r>
      <w:r>
        <w:t xml:space="preserve"> </w:t>
      </w:r>
      <w:r>
        <w:rPr>
          <w:bCs/>
          <w:b/>
        </w:rPr>
        <w:t xml:space="preserve">fold 0</w:t>
      </w:r>
      <w:r>
        <w:t xml:space="preserve">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Training images (fold 0):</w:t>
      </w:r>
      <w:r>
        <w:t xml:space="preserve"> </w:t>
      </w:r>
      <w:r>
        <w:t xml:space="preserve">8,012</w:t>
      </w:r>
      <w:r>
        <w:br/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Validation images (fold 0):</w:t>
      </w:r>
      <w:r>
        <w:t xml:space="preserve"> </w:t>
      </w:r>
      <w:r>
        <w:t xml:space="preserve">2,003</w:t>
      </w:r>
    </w:p>
    <w:p>
      <w:pPr>
        <w:pStyle w:val="FirstParagraph"/>
      </w:pPr>
      <w:r>
        <w:t xml:space="preserve">Evaluation runs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on validation indices; training rows are excluded (</w:t>
      </w:r>
      <w:r>
        <w:rPr>
          <w:rStyle w:val="VerbatimChar"/>
        </w:rPr>
        <w:t xml:space="preserve">evaluate.py</w:t>
      </w:r>
      <w:r>
        <w:t xml:space="preserve"> </w:t>
      </w:r>
      <w:r>
        <w:t xml:space="preserve">asserts disjoint splits).</w:t>
      </w:r>
    </w:p>
    <w:bookmarkEnd w:id="34"/>
    <w:bookmarkStart w:id="35" w:name="patient-aware-split"/>
    <w:p>
      <w:pPr>
        <w:pStyle w:val="Heading3"/>
      </w:pPr>
      <w:r>
        <w:t xml:space="preserve">4.5 Patient-aware split</w:t>
      </w:r>
    </w:p>
    <w:p>
      <w:pPr>
        <w:pStyle w:val="FirstParagraph"/>
      </w:pPr>
      <w:r>
        <w:t xml:space="preserve">Splits group by</w:t>
      </w:r>
      <w:r>
        <w:t xml:space="preserve"> </w:t>
      </w:r>
      <w:r>
        <w:rPr>
          <w:rStyle w:val="VerbatimChar"/>
          <w:bCs/>
          <w:b/>
        </w:rPr>
        <w:t xml:space="preserve">lesion_id</w:t>
      </w:r>
      <w:r>
        <w:t xml:space="preserve"> </w:t>
      </w:r>
      <w:r>
        <w:t xml:space="preserve">so that lesions from the</w:t>
      </w:r>
      <w:r>
        <w:t xml:space="preserve"> </w:t>
      </w:r>
      <w:r>
        <w:rPr>
          <w:bCs/>
          <w:b/>
        </w:rPr>
        <w:t xml:space="preserve">same patient</w:t>
      </w:r>
      <w:r>
        <w:t xml:space="preserve"> </w:t>
      </w:r>
      <w:r>
        <w:t xml:space="preserve">do not appear in both training and validation folds—reducing optimistic leakage that would inflate metrics.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model-training"/>
    <w:p>
      <w:pPr>
        <w:pStyle w:val="Heading2"/>
      </w:pPr>
      <w:r>
        <w:t xml:space="preserve">5. Model Training</w:t>
      </w:r>
    </w:p>
    <w:bookmarkStart w:id="37" w:name="efficientnet-b0"/>
    <w:p>
      <w:pPr>
        <w:pStyle w:val="Heading3"/>
      </w:pPr>
      <w:r>
        <w:t xml:space="preserve">5.1 EfficientNet-B0</w:t>
      </w:r>
    </w:p>
    <w:p>
      <w:pPr>
        <w:pStyle w:val="FirstParagraph"/>
      </w:pPr>
      <w:r>
        <w:t xml:space="preserve">EfficientNet-B0 balances accuracy and efficiency via compound scaling; it serves as the</w:t>
      </w:r>
      <w:r>
        <w:t xml:space="preserve"> </w:t>
      </w:r>
      <w:r>
        <w:rPr>
          <w:bCs/>
          <w:b/>
        </w:rPr>
        <w:t xml:space="preserve">primary</w:t>
      </w:r>
      <w:r>
        <w:t xml:space="preserve"> </w:t>
      </w:r>
      <w:r>
        <w:t xml:space="preserve">architecture for deployment-oriented experiments in this repository.</w:t>
      </w:r>
    </w:p>
    <w:bookmarkEnd w:id="37"/>
    <w:bookmarkStart w:id="38" w:name="transfer-learning"/>
    <w:p>
      <w:pPr>
        <w:pStyle w:val="Heading3"/>
      </w:pPr>
      <w:r>
        <w:t xml:space="preserve">5.2 Transfer learning</w:t>
      </w:r>
    </w:p>
    <w:p>
      <w:pPr>
        <w:pStyle w:val="FirstParagraph"/>
      </w:pPr>
      <w:r>
        <w:t xml:space="preserve">Weights are initialized from</w:t>
      </w:r>
      <w:r>
        <w:t xml:space="preserve"> </w:t>
      </w:r>
      <w:r>
        <w:rPr>
          <w:bCs/>
          <w:b/>
        </w:rPr>
        <w:t xml:space="preserve">torchvision ImageNet-pretrained</w:t>
      </w:r>
      <w:r>
        <w:t xml:space="preserve"> </w:t>
      </w:r>
      <w:r>
        <w:t xml:space="preserve">backbones, then fine-tuned end-to-end on HAM10000 binary labels.</w:t>
      </w:r>
    </w:p>
    <w:bookmarkEnd w:id="38"/>
    <w:bookmarkStart w:id="39" w:name="preprocessing-pipeline"/>
    <w:p>
      <w:pPr>
        <w:pStyle w:val="Heading3"/>
      </w:pPr>
      <w:r>
        <w:t xml:space="preserve">5.3 Preprocessing pipeline</w:t>
      </w:r>
    </w:p>
    <w:p>
      <w:pPr>
        <w:numPr>
          <w:ilvl w:val="0"/>
          <w:numId w:val="1004"/>
        </w:numPr>
        <w:pStyle w:val="Compact"/>
      </w:pPr>
      <w:r>
        <w:t xml:space="preserve">Resize to</w:t>
      </w:r>
      <w:r>
        <w:t xml:space="preserve"> </w:t>
      </w:r>
      <w:r>
        <w:rPr>
          <w:bCs/>
          <w:b/>
        </w:rPr>
        <w:t xml:space="preserve">224×224</w:t>
      </w:r>
      <w:r>
        <w:t xml:space="preserve">; training uses light augmentation suitable for dermoscopy (see</w:t>
      </w:r>
      <w:r>
        <w:t xml:space="preserve"> </w:t>
      </w:r>
      <w:r>
        <w:rPr>
          <w:rStyle w:val="VerbatimChar"/>
        </w:rPr>
        <w:t xml:space="preserve">train.py</w:t>
      </w:r>
      <w:r>
        <w:t xml:space="preserve">); validation uses deterministic eval transforms.</w:t>
      </w:r>
    </w:p>
    <w:bookmarkEnd w:id="39"/>
    <w:bookmarkStart w:id="40" w:name="hyperparameters-efficientnet-b0-fold-0"/>
    <w:p>
      <w:pPr>
        <w:pStyle w:val="Heading3"/>
      </w:pPr>
      <w:r>
        <w:t xml:space="preserve">5.4 Hyperparameters (EfficientNet-B0, fold 0)</w:t>
      </w:r>
    </w:p>
    <w:p>
      <w:pPr>
        <w:pStyle w:val="FirstParagraph"/>
      </w:pPr>
      <w:r>
        <w:t xml:space="preserve">Representative values from saved training config: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4192"/>
        <w:gridCol w:w="37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Epochs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 size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Learning 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3e-4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Optimizer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AdamW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Weight decay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1e-4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CrossEntropyLoss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bCs/>
                <w:b/>
              </w:rPr>
              <w:t xml:space="preserve">inverse-frequency class weights</w:t>
            </w:r>
            <w:r>
              <w:t xml:space="preserve"> </w:t>
            </w:r>
            <w:r>
              <w:t xml:space="preserve">from the training fold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42</w:t>
            </w:r>
          </w:p>
        </w:tc>
      </w:tr>
    </w:tbl>
    <w:p>
      <w:pPr>
        <w:pStyle w:val="BodyText"/>
      </w:pPr>
      <w:r>
        <w:t xml:space="preserve">(ResNet-50 was trained under the same protocol for comparison.)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53" w:name="model-evaluation"/>
    <w:p>
      <w:pPr>
        <w:pStyle w:val="Heading2"/>
      </w:pPr>
      <w:r>
        <w:t xml:space="preserve">6. Model Evaluation</w:t>
      </w:r>
    </w:p>
    <w:p>
      <w:pPr>
        <w:pStyle w:val="FirstParagraph"/>
      </w:pPr>
      <w:r>
        <w:t xml:space="preserve">Unless noted, metrics below are for</w:t>
      </w:r>
      <w:r>
        <w:t xml:space="preserve"> </w:t>
      </w:r>
      <w:r>
        <w:rPr>
          <w:bCs/>
          <w:b/>
        </w:rPr>
        <w:t xml:space="preserve">EfficientNet-B0 on fold 0 validation only</w:t>
      </w:r>
      <w:r>
        <w:t xml:space="preserve"> </w:t>
      </w:r>
      <w:r>
        <w:t xml:space="preserve">(</w:t>
      </w:r>
      <w:r>
        <w:rPr>
          <w:bCs/>
          <w:b/>
        </w:rPr>
        <w:t xml:space="preserve">N = 2,003</w:t>
      </w:r>
      <w:r>
        <w:t xml:space="preserve"> </w:t>
      </w:r>
      <w:r>
        <w:t xml:space="preserve">images). They are</w:t>
      </w:r>
      <w:r>
        <w:t xml:space="preserve"> </w:t>
      </w:r>
      <w:r>
        <w:rPr>
          <w:bCs/>
          <w:b/>
        </w:rPr>
        <w:t xml:space="preserve">research metrics on public data</w:t>
      </w:r>
      <w:r>
        <w:t xml:space="preserve">, not clinical performance.</w:t>
      </w:r>
    </w:p>
    <w:bookmarkStart w:id="42" w:name="primary-metrics-efficientnet-b0"/>
    <w:p>
      <w:pPr>
        <w:pStyle w:val="Heading3"/>
      </w:pPr>
      <w:r>
        <w:t xml:space="preserve">6.1 Primary metrics (EfficientNet-B0)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043"/>
        <w:gridCol w:w="1788"/>
        <w:gridCol w:w="408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 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Accuracy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0.8782</w:t>
            </w:r>
            <w:r>
              <w:t xml:space="preserve"> </w:t>
            </w:r>
            <w:r>
              <w:t xml:space="preserve">(87.82%)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of validation images where the predicted class matches the research label.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Precision (class 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0.6503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 all images predicted</w:t>
            </w:r>
            <w:r>
              <w:t xml:space="preserve"> </w:t>
            </w:r>
            <w:r>
              <w:t xml:space="preserve">“</w:t>
            </w:r>
            <w:r>
              <w:t xml:space="preserve">Potentially Malignant,</w:t>
            </w:r>
            <w:r>
              <w:t xml:space="preserve">”</w:t>
            </w:r>
            <w:r>
              <w:t xml:space="preserve"> </w:t>
            </w:r>
            <w:r>
              <w:t xml:space="preserve">about</w:t>
            </w:r>
            <w:r>
              <w:t xml:space="preserve"> </w:t>
            </w:r>
            <w:r>
              <w:rPr>
                <w:bCs/>
                <w:b/>
              </w:rPr>
              <w:t xml:space="preserve">65%</w:t>
            </w:r>
            <w:r>
              <w:t xml:space="preserve"> </w:t>
            </w:r>
            <w:r>
              <w:t xml:space="preserve">truly carried that label—many benigns predicted as malignant inflate false alarms.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Recall (class 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0.8133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 all true</w:t>
            </w:r>
            <w:r>
              <w:t xml:space="preserve"> </w:t>
            </w:r>
            <w:r>
              <w:t xml:space="preserve">“</w:t>
            </w:r>
            <w:r>
              <w:t xml:space="preserve">Potentially Malignant</w:t>
            </w:r>
            <w:r>
              <w:t xml:space="preserve">”</w:t>
            </w:r>
            <w:r>
              <w:t xml:space="preserve"> </w:t>
            </w:r>
            <w:r>
              <w:t xml:space="preserve">images in this split, about</w:t>
            </w:r>
            <w:r>
              <w:t xml:space="preserve"> </w:t>
            </w:r>
            <w:r>
              <w:rPr>
                <w:bCs/>
                <w:b/>
              </w:rPr>
              <w:t xml:space="preserve">81%</w:t>
            </w:r>
            <w:r>
              <w:t xml:space="preserve"> </w:t>
            </w:r>
            <w:r>
              <w:t xml:space="preserve">were caught—some high-risk labels were missed (</w:t>
            </w:r>
            <w:r>
              <w:rPr>
                <w:bCs/>
                <w:b/>
              </w:rPr>
              <w:t xml:space="preserve">false negatives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F1 (class 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0.7227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Harmonic balance of precision and recall for the positive class.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ROC-AUC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0.9296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Ability to rank malignant vs benign (threshold-independent discrimination). Higher is better;</w:t>
            </w:r>
            <w:r>
              <w:t xml:space="preserve"> </w:t>
            </w:r>
            <w:r>
              <w:rPr>
                <w:bCs/>
                <w:b/>
              </w:rPr>
              <w:t xml:space="preserve">not</w:t>
            </w:r>
            <w:r>
              <w:t xml:space="preserve"> </w:t>
            </w:r>
            <w:r>
              <w:t xml:space="preserve">a substitute for calibration or clinical validation.</w:t>
            </w:r>
          </w:p>
        </w:tc>
      </w:tr>
    </w:tbl>
    <w:bookmarkEnd w:id="42"/>
    <w:bookmarkStart w:id="43" w:name="confusion-matrix-counts"/>
    <w:p>
      <w:pPr>
        <w:pStyle w:val="Heading3"/>
      </w:pPr>
      <w:r>
        <w:t xml:space="preserve">6.2 Confusion matrix (counts)</w:t>
      </w:r>
    </w:p>
    <w:p>
      <w:pPr>
        <w:pStyle w:val="FirstParagraph"/>
      </w:pPr>
      <w:r>
        <w:t xml:space="preserve">Rows = true label; columns = predicted label (</w:t>
      </w:r>
      <w:r>
        <w:rPr>
          <w:bCs/>
          <w:b/>
        </w:rPr>
        <w:t xml:space="preserve">0 = Benign</w:t>
      </w:r>
      <w:r>
        <w:t xml:space="preserve">,</w:t>
      </w:r>
      <w:r>
        <w:t xml:space="preserve"> </w:t>
      </w:r>
      <w:r>
        <w:rPr>
          <w:bCs/>
          <w:b/>
        </w:rPr>
        <w:t xml:space="preserve">1 = Potentially Malignant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Predicted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Predicted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True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TN =</w:t>
            </w:r>
            <w:r>
              <w:t xml:space="preserve"> </w:t>
            </w:r>
            <w:r>
              <w:rPr>
                <w:bCs/>
                <w:b/>
              </w:rPr>
              <w:t xml:space="preserve">1441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FP =</w:t>
            </w:r>
            <w:r>
              <w:t xml:space="preserve"> </w:t>
            </w:r>
            <w:r>
              <w:rPr>
                <w:bCs/>
                <w:b/>
              </w:rPr>
              <w:t xml:space="preserve">171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True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FN =</w:t>
            </w:r>
            <w:r>
              <w:t xml:space="preserve"> </w:t>
            </w:r>
            <w:r>
              <w:rPr>
                <w:bCs/>
                <w:b/>
              </w:rPr>
              <w:t xml:space="preserve">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 =</w:t>
            </w:r>
            <w:r>
              <w:t xml:space="preserve"> </w:t>
            </w:r>
            <w:r>
              <w:rPr>
                <w:bCs/>
                <w:b/>
              </w:rPr>
              <w:t xml:space="preserve">318</w:t>
            </w:r>
          </w:p>
        </w:tc>
      </w:tr>
    </w:tbl>
    <w:bookmarkEnd w:id="43"/>
    <w:bookmarkStart w:id="44" w:name="false-positives-and-false-negatives"/>
    <w:p>
      <w:pPr>
        <w:pStyle w:val="Heading3"/>
      </w:pPr>
      <w:r>
        <w:t xml:space="preserve">6.3 False positives and false negatives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False positives (171):</w:t>
      </w:r>
      <w:r>
        <w:t xml:space="preserve"> </w:t>
      </w:r>
      <w:r>
        <w:t xml:space="preserve">Benign-labeled images predicted as</w:t>
      </w:r>
      <w:r>
        <w:t xml:space="preserve"> </w:t>
      </w:r>
      <w:r>
        <w:t xml:space="preserve">“</w:t>
      </w:r>
      <w:r>
        <w:t xml:space="preserve">Potentially Malignant</w:t>
      </w:r>
      <w:r>
        <w:t xml:space="preserve">”</w:t>
      </w:r>
      <w:r>
        <w:t xml:space="preserve"> </w:t>
      </w:r>
      <w:r>
        <w:t xml:space="preserve">— unnecessary alarm / follow-up pressure in a hypothetical workflow.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False negatives (73):</w:t>
      </w:r>
      <w:r>
        <w:t xml:space="preserve"> </w:t>
      </w:r>
      <w:r>
        <w:t xml:space="preserve">“</w:t>
      </w:r>
      <w:r>
        <w:t xml:space="preserve">Potentially Malignant</w:t>
      </w:r>
      <w:r>
        <w:t xml:space="preserve">”</w:t>
      </w:r>
      <w:r>
        <w:t xml:space="preserve">–labeled images predicted benign —</w:t>
      </w:r>
      <w:r>
        <w:t xml:space="preserve"> </w:t>
      </w:r>
      <w:r>
        <w:rPr>
          <w:bCs/>
          <w:b/>
        </w:rPr>
        <w:t xml:space="preserve">dangerous if the tool were trusted as definitive</w:t>
      </w:r>
      <w:r>
        <w:t xml:space="preserve">.</w:t>
      </w:r>
    </w:p>
    <w:bookmarkEnd w:id="44"/>
    <w:bookmarkStart w:id="46" w:name="comparison-model-resnet-50-same-split"/>
    <w:p>
      <w:pPr>
        <w:pStyle w:val="Heading3"/>
      </w:pPr>
      <w:r>
        <w:t xml:space="preserve">6.4 Comparison model (ResNet-50, same split)</w:t>
      </w:r>
    </w:p>
    <w:p>
      <w:pPr>
        <w:pStyle w:val="FirstParagraph"/>
      </w:pPr>
      <w:r>
        <w:t xml:space="preserve">ResNet-50 achieves slightly lower accuracy and ROC-AUC,</w:t>
      </w:r>
      <w:r>
        <w:t xml:space="preserve"> </w:t>
      </w:r>
      <w:r>
        <w:rPr>
          <w:bCs/>
          <w:b/>
        </w:rPr>
        <w:t xml:space="preserve">fewer false positives (87)</w:t>
      </w:r>
      <w:r>
        <w:t xml:space="preserve"> </w:t>
      </w:r>
      <w:r>
        <w:t xml:space="preserve">but</w:t>
      </w:r>
      <w:r>
        <w:t xml:space="preserve"> </w:t>
      </w:r>
      <w:r>
        <w:rPr>
          <w:bCs/>
          <w:b/>
        </w:rPr>
        <w:t xml:space="preserve">more false negatives (161)</w:t>
      </w:r>
      <w:r>
        <w:t xml:space="preserve"> </w:t>
      </w:r>
      <w:r>
        <w:t xml:space="preserve">on this fold. See</w:t>
      </w:r>
      <w:r>
        <w:t xml:space="preserve"> </w:t>
      </w:r>
      <w:hyperlink r:id="rId45">
        <w:r>
          <w:rPr>
            <w:rStyle w:val="VerbatimChar"/>
          </w:rPr>
          <w:t xml:space="preserve">model_evaluation.md</w:t>
        </w:r>
      </w:hyperlink>
      <w:r>
        <w:t xml:space="preserve"> </w:t>
      </w:r>
      <w:r>
        <w:t xml:space="preserve">and JSON artifacts below.</w:t>
      </w:r>
    </w:p>
    <w:bookmarkEnd w:id="46"/>
    <w:bookmarkStart w:id="52" w:name="figures-and-machine-readable-results"/>
    <w:p>
      <w:pPr>
        <w:pStyle w:val="Heading3"/>
      </w:pPr>
      <w:r>
        <w:t xml:space="preserve">6.5 Figures and machine-readable results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772"/>
        <w:gridCol w:w="51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7">
              <w:r>
                <w:rPr>
                  <w:rStyle w:val="VerbatimChar"/>
                </w:rPr>
                <w:t xml:space="preserve">assets/eval_efficientnet_b0_fold0.json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Full EfficientNet-B0 metrics JSON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8">
              <w:r>
                <w:rPr>
                  <w:rStyle w:val="VerbatimChar"/>
                </w:rPr>
                <w:t xml:space="preserve">assets/eval_resnet50_fold0.json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Full ResNet-50 metrics JSON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9">
              <w:r>
                <w:rPr>
                  <w:rStyle w:val="VerbatimChar"/>
                </w:rPr>
                <w:t xml:space="preserve">assets/confusion_matrix_efficientnet_b0_fold0.png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Confusion matrix plot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0">
              <w:r>
                <w:rPr>
                  <w:rStyle w:val="VerbatimChar"/>
                </w:rPr>
                <w:t xml:space="preserve">assets/roc_curve_efficientnet_b0_fold0.png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ROC curve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1">
              <w:r>
                <w:rPr>
                  <w:rStyle w:val="VerbatimChar"/>
                </w:rPr>
                <w:t xml:space="preserve">assets/pr_curve_efficientnet_b0_fold0.png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Precision–recall curve</w:t>
            </w:r>
          </w:p>
        </w:tc>
      </w:tr>
    </w:tbl>
    <w:p>
      <w:pPr>
        <w:pStyle w:val="BodyText"/>
      </w:pPr>
      <w:r>
        <w:rPr>
          <w:bCs/>
          <w:b/>
        </w:rPr>
        <w:t xml:space="preserve">Placeholder — screenshot:</w:t>
      </w:r>
      <w:r>
        <w:t xml:space="preserve"> </w:t>
      </w:r>
      <w:r>
        <w:rPr>
          <w:iCs/>
          <w:i/>
        </w:rPr>
        <w:t xml:space="preserve">Insert UI screenshot of evaluation summary or dashboard here (</w:t>
      </w:r>
      <w:r>
        <w:rPr>
          <w:rStyle w:val="VerbatimChar"/>
          <w:iCs/>
          <w:i/>
        </w:rPr>
        <w:t xml:space="preserve">docs/screenshots/</w:t>
      </w:r>
      <w:r>
        <w:rPr>
          <w:iCs/>
          <w:i/>
        </w:rPr>
        <w:t xml:space="preserve">).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8" w:name="grad-cam-explainability"/>
    <w:p>
      <w:pPr>
        <w:pStyle w:val="Heading2"/>
      </w:pPr>
      <w:r>
        <w:t xml:space="preserve">7. Grad-CAM Explainability</w:t>
      </w:r>
    </w:p>
    <w:bookmarkStart w:id="54" w:name="what-grad-cam-is"/>
    <w:p>
      <w:pPr>
        <w:pStyle w:val="Heading3"/>
      </w:pPr>
      <w:r>
        <w:t xml:space="preserve">7.1 What Grad-CAM is</w:t>
      </w:r>
    </w:p>
    <w:p>
      <w:pPr>
        <w:pStyle w:val="FirstParagraph"/>
      </w:pPr>
      <w:r>
        <w:rPr>
          <w:bCs/>
          <w:b/>
        </w:rPr>
        <w:t xml:space="preserve">Gradient-weighted Class Activation Mapping (Grad-CAM)</w:t>
      </w:r>
      <w:r>
        <w:t xml:space="preserve"> </w:t>
      </w:r>
      <w:r>
        <w:t xml:space="preserve">visualizes which spatial regions of the input image most influenced the model’s score for a chosen class by combining feature-map activations with gradients of the class score.</w:t>
      </w:r>
    </w:p>
    <w:bookmarkEnd w:id="54"/>
    <w:bookmarkStart w:id="55" w:name="X167b147aa08c1549371f87e626bef375a5028d7"/>
    <w:p>
      <w:pPr>
        <w:pStyle w:val="Heading3"/>
      </w:pPr>
      <w:r>
        <w:t xml:space="preserve">7.2 Why explainability matters in healthcare AI</w:t>
      </w:r>
    </w:p>
    <w:p>
      <w:pPr>
        <w:pStyle w:val="FirstParagraph"/>
      </w:pPr>
      <w:r>
        <w:t xml:space="preserve">Stakeholders expect transparency:</w:t>
      </w:r>
      <w:r>
        <w:t xml:space="preserve"> </w:t>
      </w:r>
      <w:r>
        <w:rPr>
          <w:bCs/>
          <w:b/>
        </w:rPr>
        <w:t xml:space="preserve">what drove the score?</w:t>
      </w:r>
      <w:r>
        <w:t xml:space="preserve"> </w:t>
      </w:r>
      <w:r>
        <w:t xml:space="preserve">Explainability supports debugging and communication—but must not be mistaken for causal medical reasoning.</w:t>
      </w:r>
    </w:p>
    <w:bookmarkEnd w:id="55"/>
    <w:bookmarkStart w:id="56" w:name="what-the-heatmap-means-here"/>
    <w:p>
      <w:pPr>
        <w:pStyle w:val="Heading3"/>
      </w:pPr>
      <w:r>
        <w:t xml:space="preserve">7.3 What the heatmap means here</w:t>
      </w:r>
    </w:p>
    <w:p>
      <w:pPr>
        <w:pStyle w:val="FirstParagraph"/>
      </w:pPr>
      <w:r>
        <w:t xml:space="preserve">The overlay highlights regions that</w:t>
      </w:r>
      <w:r>
        <w:t xml:space="preserve"> </w:t>
      </w:r>
      <w:r>
        <w:rPr>
          <w:bCs/>
          <w:b/>
        </w:rPr>
        <w:t xml:space="preserve">increased the model’s activation path</w:t>
      </w:r>
      <w:r>
        <w:t xml:space="preserve"> </w:t>
      </w:r>
      <w:r>
        <w:t xml:space="preserve">toward the predicted class under this architecture and preprocessing. It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 biomarker map or histopathology explanation.</w:t>
      </w:r>
    </w:p>
    <w:bookmarkEnd w:id="56"/>
    <w:bookmarkStart w:id="57" w:name="limitations-of-heatmaps"/>
    <w:p>
      <w:pPr>
        <w:pStyle w:val="Heading3"/>
      </w:pPr>
      <w:r>
        <w:t xml:space="preserve">7.4 Limitations of heatmaps</w:t>
      </w:r>
    </w:p>
    <w:p>
      <w:pPr>
        <w:pStyle w:val="FirstParagraph"/>
      </w:pPr>
      <w:r>
        <w:t xml:space="preserve">Heatmaps can be</w:t>
      </w:r>
      <w:r>
        <w:t xml:space="preserve"> </w:t>
      </w:r>
      <w:r>
        <w:rPr>
          <w:bCs/>
          <w:b/>
        </w:rPr>
        <w:t xml:space="preserve">unstable</w:t>
      </w:r>
      <w:r>
        <w:t xml:space="preserve">, sensitive to preprocessing,</w:t>
      </w:r>
      <w:r>
        <w:t xml:space="preserve"> </w:t>
      </w:r>
      <w:r>
        <w:rPr>
          <w:bCs/>
          <w:b/>
        </w:rPr>
        <w:t xml:space="preserve">not faithful</w:t>
      </w:r>
      <w:r>
        <w:t xml:space="preserve"> </w:t>
      </w:r>
      <w:r>
        <w:t xml:space="preserve">to pixel-level causality, and</w:t>
      </w:r>
      <w:r>
        <w:t xml:space="preserve"> </w:t>
      </w:r>
      <w:r>
        <w:rPr>
          <w:bCs/>
          <w:b/>
        </w:rPr>
        <w:t xml:space="preserve">misleading</w:t>
      </w:r>
      <w:r>
        <w:t xml:space="preserve"> </w:t>
      </w:r>
      <w:r>
        <w:t xml:space="preserve">if shown without disclaimers. They must not replace clinician judgment.</w:t>
      </w:r>
    </w:p>
    <w:p>
      <w:pPr>
        <w:pStyle w:val="BodyText"/>
      </w:pPr>
      <w:r>
        <w:rPr>
          <w:bCs/>
          <w:b/>
        </w:rPr>
        <w:t xml:space="preserve">Placeholder — Grad-CAM figure:</w:t>
      </w:r>
      <w:r>
        <w:t xml:space="preserve"> </w:t>
      </w:r>
      <w:r>
        <w:rPr>
          <w:iCs/>
          <w:i/>
        </w:rPr>
        <w:t xml:space="preserve">Insert example heatmap pair (input + overlay) for EfficientNet-B0 here.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3" w:name="frontend-and-backend"/>
    <w:p>
      <w:pPr>
        <w:pStyle w:val="Heading2"/>
      </w:pPr>
      <w:r>
        <w:t xml:space="preserve">8. Frontend and Backend</w:t>
      </w:r>
    </w:p>
    <w:bookmarkStart w:id="59" w:name="frontend"/>
    <w:p>
      <w:pPr>
        <w:pStyle w:val="Heading3"/>
      </w:pPr>
      <w:r>
        <w:t xml:space="preserve">8.1 Frontend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Framework:</w:t>
      </w:r>
      <w:r>
        <w:t xml:space="preserve"> </w:t>
      </w:r>
      <w:r>
        <w:t xml:space="preserve">Next.js (React).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Role:</w:t>
      </w:r>
      <w:r>
        <w:t xml:space="preserve"> </w:t>
      </w:r>
      <w:r>
        <w:t xml:space="preserve">Image upload, API calls, results presentation, disclaimer banners, optional heatmap display.</w:t>
      </w:r>
    </w:p>
    <w:bookmarkEnd w:id="59"/>
    <w:bookmarkStart w:id="60" w:name="backend"/>
    <w:p>
      <w:pPr>
        <w:pStyle w:val="Heading3"/>
      </w:pPr>
      <w:r>
        <w:t xml:space="preserve">8.2 Backend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Framework:</w:t>
      </w:r>
      <w:r>
        <w:t xml:space="preserve"> </w:t>
      </w:r>
      <w:r>
        <w:t xml:space="preserve">FastAPI.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Inference:</w:t>
      </w:r>
      <w:r>
        <w:t xml:space="preserve"> </w:t>
      </w:r>
      <w:r>
        <w:t xml:space="preserve">Loads checkpoint from</w:t>
      </w:r>
      <w:r>
        <w:t xml:space="preserve"> </w:t>
      </w:r>
      <w:r>
        <w:rPr>
          <w:rStyle w:val="VerbatimChar"/>
        </w:rPr>
        <w:t xml:space="preserve">DERMASSIST_CHECKPOINT</w:t>
      </w:r>
      <w:r>
        <w:t xml:space="preserve"> </w:t>
      </w:r>
      <w:r>
        <w:t xml:space="preserve">when valid; otherwise falls back to placeholder inference for UI wiring (documented in</w:t>
      </w:r>
      <w:r>
        <w:t xml:space="preserve"> </w:t>
      </w:r>
      <w:r>
        <w:rPr>
          <w:rStyle w:val="VerbatimChar"/>
        </w:rPr>
        <w:t xml:space="preserve">backend/README.md</w:t>
      </w:r>
      <w:r>
        <w:t xml:space="preserve">).</w:t>
      </w:r>
    </w:p>
    <w:bookmarkEnd w:id="60"/>
    <w:bookmarkStart w:id="61" w:name="image-upload-flow"/>
    <w:p>
      <w:pPr>
        <w:pStyle w:val="Heading3"/>
      </w:pPr>
      <w:r>
        <w:t xml:space="preserve">8.3 Image upload flow</w:t>
      </w:r>
    </w:p>
    <w:p>
      <w:pPr>
        <w:pStyle w:val="FirstParagraph"/>
      </w:pPr>
      <w:r>
        <w:t xml:space="preserve">User selects file → frontend posts to</w:t>
      </w:r>
      <w:r>
        <w:t xml:space="preserve"> </w:t>
      </w:r>
      <w:r>
        <w:rPr>
          <w:rStyle w:val="VerbatimChar"/>
        </w:rPr>
        <w:t xml:space="preserve">/predict</w:t>
      </w:r>
      <w:r>
        <w:t xml:space="preserve"> </w:t>
      </w:r>
      <w:r>
        <w:t xml:space="preserve">→ backend preprocesses → model forward pass → JSON returned → UI renders prediction and optional Grad-CAM image.</w:t>
      </w:r>
    </w:p>
    <w:bookmarkEnd w:id="61"/>
    <w:bookmarkStart w:id="62" w:name="api-and-inference-pipeline"/>
    <w:p>
      <w:pPr>
        <w:pStyle w:val="Heading3"/>
      </w:pPr>
      <w:r>
        <w:t xml:space="preserve">8.4 API and inference pipeline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POST /predict</w:t>
      </w:r>
      <w:r>
        <w:t xml:space="preserve"> </w:t>
      </w:r>
      <w:r>
        <w:t xml:space="preserve">(</w:t>
      </w:r>
      <w:r>
        <w:rPr>
          <w:rStyle w:val="VerbatimChar"/>
        </w:rPr>
        <w:t xml:space="preserve">multipart/form-data</w:t>
      </w:r>
      <w:r>
        <w:t xml:space="preserve">, field</w:t>
      </w:r>
      <w:r>
        <w:t xml:space="preserve"> </w:t>
      </w:r>
      <w:r>
        <w:rPr>
          <w:rStyle w:val="VerbatimChar"/>
        </w:rPr>
        <w:t xml:space="preserve">file</w:t>
      </w:r>
      <w:r>
        <w:t xml:space="preserve">; optional</w:t>
      </w:r>
      <w:r>
        <w:t xml:space="preserve"> </w:t>
      </w:r>
      <w:r>
        <w:rPr>
          <w:rStyle w:val="VerbatimChar"/>
        </w:rPr>
        <w:t xml:space="preserve">include_gradcam</w:t>
      </w:r>
      <w:r>
        <w:t xml:space="preserve">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Pipeline:</w:t>
      </w:r>
      <w:r>
        <w:t xml:space="preserve"> </w:t>
      </w:r>
      <w:r>
        <w:t xml:space="preserve">decode bytes → preprocess tensor → forward → softmax → optional Grad-CAM → JSON schema documented in backend README.</w:t>
      </w:r>
    </w:p>
    <w:p>
      <w:pPr>
        <w:pStyle w:val="FirstParagraph"/>
      </w:pPr>
      <w:r>
        <w:rPr>
          <w:bCs/>
          <w:b/>
        </w:rPr>
        <w:t xml:space="preserve">Placeholder — screenshot:</w:t>
      </w:r>
      <w:r>
        <w:t xml:space="preserve"> </w:t>
      </w:r>
      <w:r>
        <w:rPr>
          <w:iCs/>
          <w:i/>
        </w:rPr>
        <w:t xml:space="preserve">Insert sequence diagram or API screenshot (</w:t>
      </w:r>
      <w:r>
        <w:rPr>
          <w:rStyle w:val="VerbatimChar"/>
          <w:iCs/>
          <w:i/>
        </w:rPr>
        <w:t xml:space="preserve">docs/screenshots/</w:t>
      </w:r>
      <w:r>
        <w:rPr>
          <w:iCs/>
          <w:i/>
        </w:rPr>
        <w:t xml:space="preserve">).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ethical-considerations"/>
    <w:p>
      <w:pPr>
        <w:pStyle w:val="Heading2"/>
      </w:pPr>
      <w:r>
        <w:t xml:space="preserve">9. Ethical Considerations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261"/>
        <w:gridCol w:w="465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 a diagnosis 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Outputs are educational / research screening-style only.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False-negative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negative or low-risk presentation</w:t>
            </w:r>
            <w:r>
              <w:t xml:space="preserve"> </w:t>
            </w:r>
            <w:r>
              <w:rPr>
                <w:bCs/>
                <w:b/>
              </w:rPr>
              <w:t xml:space="preserve">does not</w:t>
            </w:r>
            <w:r>
              <w:t xml:space="preserve"> </w:t>
            </w:r>
            <w:r>
              <w:t xml:space="preserve">exclude malignancy.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Dataset bias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HAM10000 may under-represent demographics, devices, and lesion distributions vs. real clinics.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Public dataset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Single-source training cannot establish generalization or fairness.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Research-only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regulatory clearance; no deployment claim.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Start w:id="65" w:name="limitations"/>
    <w:p>
      <w:pPr>
        <w:pStyle w:val="Heading2"/>
      </w:pPr>
      <w:r>
        <w:t xml:space="preserve">10. Limitations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No prospective clinical validation</w:t>
      </w:r>
      <w:r>
        <w:t xml:space="preserve"> </w:t>
      </w:r>
      <w:r>
        <w:t xml:space="preserve">— Metrics are retrospective on public data.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Single-dataset training</w:t>
      </w:r>
      <w:r>
        <w:t xml:space="preserve"> </w:t>
      </w:r>
      <w:r>
        <w:t xml:space="preserve">— Limited external validity.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Single-fold spotlight</w:t>
      </w:r>
      <w:r>
        <w:t xml:space="preserve"> </w:t>
      </w:r>
      <w:r>
        <w:t xml:space="preserve">— Best practice would report</w:t>
      </w:r>
      <w:r>
        <w:t xml:space="preserve"> </w:t>
      </w:r>
      <w:r>
        <w:rPr>
          <w:bCs/>
          <w:b/>
        </w:rPr>
        <w:t xml:space="preserve">full cross-validation</w:t>
      </w:r>
      <w:r>
        <w:t xml:space="preserve"> </w:t>
      </w:r>
      <w:r>
        <w:t xml:space="preserve">and uncertainty across folds.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No deployment approval</w:t>
      </w:r>
      <w:r>
        <w:t xml:space="preserve"> </w:t>
      </w:r>
      <w:r>
        <w:t xml:space="preserve">— Not FDA-cleared / CE-marked; not intended for patient-facing diagnosis.</w:t>
      </w:r>
    </w:p>
    <w:p>
      <w:r>
        <w:pict>
          <v:rect style="width:0;height:1.5pt" o:hralign="center" o:hrstd="t" o:hr="t"/>
        </w:pict>
      </w:r>
    </w:p>
    <w:bookmarkEnd w:id="65"/>
    <w:bookmarkStart w:id="66" w:name="future-work"/>
    <w:p>
      <w:pPr>
        <w:pStyle w:val="Heading2"/>
      </w:pPr>
      <w:r>
        <w:t xml:space="preserve">11. Future Work</w:t>
      </w:r>
    </w:p>
    <w:p>
      <w:pPr>
        <w:numPr>
          <w:ilvl w:val="0"/>
          <w:numId w:val="1010"/>
        </w:numPr>
        <w:pStyle w:val="Compact"/>
      </w:pPr>
      <w:r>
        <w:t xml:space="preserve">Additional</w:t>
      </w:r>
      <w:r>
        <w:t xml:space="preserve"> </w:t>
      </w:r>
      <w:r>
        <w:rPr>
          <w:bCs/>
          <w:b/>
        </w:rPr>
        <w:t xml:space="preserve">datasets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external validation</w:t>
      </w:r>
      <w:r>
        <w:t xml:space="preserve"> </w:t>
      </w:r>
      <w:r>
        <w:t xml:space="preserve">cohorts.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Full k-fold reporting</w:t>
      </w:r>
      <w:r>
        <w:t xml:space="preserve">, calibration (temperature scaling / Platt), and threshold optimization with explicit cost matrices.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Clinician-in-the-loop</w:t>
      </w:r>
      <w:r>
        <w:t xml:space="preserve"> </w:t>
      </w:r>
      <w:r>
        <w:t xml:space="preserve">studies for usability and safety.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Prospective</w:t>
      </w:r>
      <w:r>
        <w:t xml:space="preserve"> </w:t>
      </w:r>
      <w:r>
        <w:t xml:space="preserve">acquisition protocols.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Mobile</w:t>
      </w:r>
      <w:r>
        <w:t xml:space="preserve"> </w:t>
      </w:r>
      <w:r>
        <w:t xml:space="preserve">optimization and latency-aware deployment research.</w:t>
      </w:r>
    </w:p>
    <w:p>
      <w:pPr>
        <w:numPr>
          <w:ilvl w:val="0"/>
          <w:numId w:val="1010"/>
        </w:numPr>
        <w:pStyle w:val="Compact"/>
      </w:pPr>
      <w:r>
        <w:t xml:space="preserve">Stronger</w:t>
      </w:r>
      <w:r>
        <w:t xml:space="preserve"> </w:t>
      </w:r>
      <w:r>
        <w:rPr>
          <w:bCs/>
          <w:b/>
        </w:rPr>
        <w:t xml:space="preserve">explainability</w:t>
      </w:r>
      <w:r>
        <w:t xml:space="preserve"> </w:t>
      </w:r>
      <w:r>
        <w:t xml:space="preserve">(uncertainty quantification, ensemble disagreement, sanity checks).</w:t>
      </w:r>
    </w:p>
    <w:p>
      <w:r>
        <w:pict>
          <v:rect style="width:0;height:1.5pt" o:hralign="center" o:hrstd="t" o:hr="t"/>
        </w:pict>
      </w:r>
    </w:p>
    <w:bookmarkEnd w:id="66"/>
    <w:bookmarkStart w:id="67" w:name="conclusion"/>
    <w:p>
      <w:pPr>
        <w:pStyle w:val="Heading2"/>
      </w:pPr>
      <w:r>
        <w:t xml:space="preserve">12. Conclusion</w:t>
      </w:r>
    </w:p>
    <w:p>
      <w:pPr>
        <w:pStyle w:val="FirstParagraph"/>
      </w:pPr>
      <w:r>
        <w:t xml:space="preserve">DermAssist AI demonstrates an</w:t>
      </w:r>
      <w:r>
        <w:t xml:space="preserve"> </w:t>
      </w:r>
      <w:r>
        <w:rPr>
          <w:bCs/>
          <w:b/>
        </w:rPr>
        <w:t xml:space="preserve">end-to-end research stack</w:t>
      </w:r>
      <w:r>
        <w:t xml:space="preserve">—HAM10000 binary screening experiments with EfficientNet-B0, quantitative evaluation on a patient-aware split, Grad-CAM overlays, and a modern web demo—with</w:t>
      </w:r>
      <w:r>
        <w:t xml:space="preserve"> </w:t>
      </w:r>
      <w:r>
        <w:rPr>
          <w:bCs/>
          <w:b/>
        </w:rPr>
        <w:t xml:space="preserve">explicit ethical framing</w:t>
      </w:r>
      <w:r>
        <w:t xml:space="preserve">. The contribution is</w:t>
      </w:r>
      <w:r>
        <w:t xml:space="preserve"> </w:t>
      </w:r>
      <w:r>
        <w:rPr>
          <w:bCs/>
          <w:b/>
        </w:rPr>
        <w:t xml:space="preserve">engineering and reporting transparency</w:t>
      </w:r>
      <w:r>
        <w:t xml:space="preserve"> </w:t>
      </w:r>
      <w:r>
        <w:t xml:space="preserve">for education and discussion, not clinical efficacy. Responsible next steps are external validation, broader fairness analysis, and regulated pathways only where legally required.</w:t>
      </w:r>
    </w:p>
    <w:p>
      <w:r>
        <w:pict>
          <v:rect style="width:0;height:1.5pt" o:hralign="center" o:hrstd="t" o:hr="t"/>
        </w:pict>
      </w:r>
    </w:p>
    <w:bookmarkEnd w:id="67"/>
    <w:bookmarkStart w:id="69" w:name="references-and-artifacts"/>
    <w:p>
      <w:pPr>
        <w:pStyle w:val="Heading2"/>
      </w:pPr>
      <w:r>
        <w:t xml:space="preserve">References and artifacts</w:t>
      </w:r>
    </w:p>
    <w:p>
      <w:pPr>
        <w:numPr>
          <w:ilvl w:val="0"/>
          <w:numId w:val="1011"/>
        </w:numPr>
        <w:pStyle w:val="Compact"/>
      </w:pPr>
      <w:r>
        <w:t xml:space="preserve">Tschandl, P., Rosendahl, C., Kittler, H. HAM10000 dataset (see dataset license and citation requirements when publishing).</w:t>
      </w:r>
    </w:p>
    <w:p>
      <w:pPr>
        <w:numPr>
          <w:ilvl w:val="0"/>
          <w:numId w:val="1011"/>
        </w:numPr>
        <w:pStyle w:val="Compact"/>
      </w:pPr>
      <w:r>
        <w:t xml:space="preserve">Internal:</w:t>
      </w:r>
      <w:r>
        <w:t xml:space="preserve"> </w:t>
      </w:r>
      <w:hyperlink r:id="rId45">
        <w:r>
          <w:rPr>
            <w:rStyle w:val="VerbatimChar"/>
          </w:rPr>
          <w:t xml:space="preserve">model_evaluation.md</w:t>
        </w:r>
      </w:hyperlink>
      <w:r>
        <w:t xml:space="preserve">,</w:t>
      </w:r>
      <w:r>
        <w:t xml:space="preserve"> </w:t>
      </w:r>
      <w:hyperlink r:id="rId29">
        <w:r>
          <w:rPr>
            <w:rStyle w:val="VerbatimChar"/>
          </w:rPr>
          <w:t xml:space="preserve">system_architecture.md</w:t>
        </w:r>
      </w:hyperlink>
      <w:r>
        <w:t xml:space="preserve">,</w:t>
      </w:r>
      <w:r>
        <w:t xml:space="preserve"> </w:t>
      </w:r>
      <w:hyperlink r:id="rId68">
        <w:r>
          <w:rPr>
            <w:rStyle w:val="VerbatimChar"/>
          </w:rPr>
          <w:t xml:space="preserve">disclaimer.md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69"/>
    <w:bookmarkStart w:id="70" w:name="appendix-metric-glossary-simple-english"/>
    <w:p>
      <w:pPr>
        <w:pStyle w:val="Heading2"/>
      </w:pPr>
      <w:r>
        <w:t xml:space="preserve">Appendix — Metric glossary (simple English)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168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Overall fraction correct—can hide imbalance.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the model says</w:t>
            </w:r>
            <w:r>
              <w:t xml:space="preserve"> </w:t>
            </w:r>
            <w:r>
              <w:t xml:space="preserve">“</w:t>
            </w:r>
            <w:r>
              <w:t xml:space="preserve">malignant,</w:t>
            </w:r>
            <w:r>
              <w:t xml:space="preserve">”</w:t>
            </w:r>
            <w:r>
              <w:t xml:space="preserve"> </w:t>
            </w:r>
            <w:r>
              <w:t xml:space="preserve">how often it is right (for that label definition).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 all true malignants (under the label mapping), how many the model finds.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of precision and recall for a class.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ROC-AUC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Rank quality across thresholds when separating the two classes.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This document is part of the DermAssist AI research prototype repository and does not constitute medical or regulatory advice.</w:t>
      </w:r>
    </w:p>
    <w:bookmarkEnd w:id="70"/>
    <w:bookmarkEnd w:id="7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9" Target="assets/confusion_matrix_efficientnet_b0_fold0.png" TargetMode="External" /><Relationship Type="http://schemas.openxmlformats.org/officeDocument/2006/relationships/hyperlink" Id="rId47" Target="assets/eval_efficientnet_b0_fold0.json" TargetMode="External" /><Relationship Type="http://schemas.openxmlformats.org/officeDocument/2006/relationships/hyperlink" Id="rId48" Target="assets/eval_resnet50_fold0.json" TargetMode="External" /><Relationship Type="http://schemas.openxmlformats.org/officeDocument/2006/relationships/hyperlink" Id="rId51" Target="assets/pr_curve_efficientnet_b0_fold0.png" TargetMode="External" /><Relationship Type="http://schemas.openxmlformats.org/officeDocument/2006/relationships/hyperlink" Id="rId50" Target="assets/roc_curve_efficientnet_b0_fold0.png" TargetMode="External" /><Relationship Type="http://schemas.openxmlformats.org/officeDocument/2006/relationships/hyperlink" Id="rId68" Target="disclaimer.md" TargetMode="External" /><Relationship Type="http://schemas.openxmlformats.org/officeDocument/2006/relationships/hyperlink" Id="rId45" Target="model_evaluation.md" TargetMode="External" /><Relationship Type="http://schemas.openxmlformats.org/officeDocument/2006/relationships/hyperlink" Id="rId29" Target="system_architectur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assets/confusion_matrix_efficientnet_b0_fold0.png" TargetMode="External" /><Relationship Type="http://schemas.openxmlformats.org/officeDocument/2006/relationships/hyperlink" Id="rId47" Target="assets/eval_efficientnet_b0_fold0.json" TargetMode="External" /><Relationship Type="http://schemas.openxmlformats.org/officeDocument/2006/relationships/hyperlink" Id="rId48" Target="assets/eval_resnet50_fold0.json" TargetMode="External" /><Relationship Type="http://schemas.openxmlformats.org/officeDocument/2006/relationships/hyperlink" Id="rId51" Target="assets/pr_curve_efficientnet_b0_fold0.png" TargetMode="External" /><Relationship Type="http://schemas.openxmlformats.org/officeDocument/2006/relationships/hyperlink" Id="rId50" Target="assets/roc_curve_efficientnet_b0_fold0.png" TargetMode="External" /><Relationship Type="http://schemas.openxmlformats.org/officeDocument/2006/relationships/hyperlink" Id="rId68" Target="disclaimer.md" TargetMode="External" /><Relationship Type="http://schemas.openxmlformats.org/officeDocument/2006/relationships/hyperlink" Id="rId45" Target="model_evaluation.md" TargetMode="External" /><Relationship Type="http://schemas.openxmlformats.org/officeDocument/2006/relationships/hyperlink" Id="rId29" Target="system_architectur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2026-05-10T03:00:39Z</dcterms:created>
  <dcterms:modified xsi:type="dcterms:W3CDTF">2026-05-10T03:00:39Z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