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5D229" w14:textId="71356884" w:rsidR="00AD7AFD" w:rsidRPr="002B7D25" w:rsidRDefault="00AD7AFD" w:rsidP="002B7D25">
      <w:pPr>
        <w:pStyle w:val="Heading1"/>
        <w:jc w:val="center"/>
        <w:rPr>
          <w:b/>
          <w:bCs/>
          <w:i/>
          <w:iCs/>
          <w:color w:val="156082" w:themeColor="accent1"/>
        </w:rPr>
      </w:pPr>
      <w:r w:rsidRPr="002B7D25">
        <w:rPr>
          <w:b/>
          <w:bCs/>
          <w:i/>
          <w:iCs/>
          <w:color w:val="156082" w:themeColor="accent1"/>
        </w:rPr>
        <w:t xml:space="preserve">Limits of Explainable Machine Learning Pavement Deterioration Prediction: </w:t>
      </w:r>
      <w:r w:rsidRPr="002B7D25">
        <w:rPr>
          <w:b/>
          <w:bCs/>
          <w:i/>
          <w:iCs/>
          <w:color w:val="156082" w:themeColor="accent1"/>
          <w:kern w:val="0"/>
          <w:lang w:val="en-GB"/>
        </w:rPr>
        <w:t>Lessons from LTPP data</w:t>
      </w:r>
    </w:p>
    <w:p w14:paraId="7462A77E" w14:textId="77777777" w:rsidR="00AD7AFD" w:rsidRPr="00AD7AFD" w:rsidRDefault="00AD7AFD" w:rsidP="00AD7AFD">
      <w:pPr>
        <w:spacing w:before="100" w:beforeAutospacing="1" w:after="100" w:afterAutospacing="1"/>
        <w:outlineLvl w:val="2"/>
        <w:rPr>
          <w:rFonts w:ascii="Times New Roman" w:eastAsia="Times New Roman" w:hAnsi="Times New Roman" w:cs="Times New Roman"/>
          <w:b/>
          <w:bCs/>
          <w:kern w:val="0"/>
          <w:sz w:val="20"/>
          <w:szCs w:val="20"/>
          <w14:ligatures w14:val="none"/>
        </w:rPr>
      </w:pPr>
      <w:r w:rsidRPr="00AD7AFD">
        <w:rPr>
          <w:rFonts w:ascii="Times New Roman" w:eastAsia="Times New Roman" w:hAnsi="Times New Roman" w:cs="Times New Roman"/>
          <w:b/>
          <w:bCs/>
          <w:kern w:val="0"/>
          <w:sz w:val="20"/>
          <w:szCs w:val="20"/>
          <w14:ligatures w14:val="none"/>
        </w:rPr>
        <w:t>1. Introduction</w:t>
      </w:r>
    </w:p>
    <w:p w14:paraId="07C08C3B" w14:textId="77777777" w:rsidR="00AD7AFD" w:rsidRPr="00AD7AFD" w:rsidRDefault="00AD7AFD" w:rsidP="00AD7AFD">
      <w:p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kern w:val="0"/>
          <w:sz w:val="20"/>
          <w:szCs w:val="20"/>
          <w14:ligatures w14:val="none"/>
        </w:rPr>
        <w:t>One job: establish that the field has conflated operational forecasting accuracy with design-stage generalizability, and that this paper separates them.</w:t>
      </w:r>
    </w:p>
    <w:p w14:paraId="00D065DD" w14:textId="77777777" w:rsidR="00AD7AFD" w:rsidRPr="00AD7AFD" w:rsidRDefault="00AD7AFD" w:rsidP="00AD7AFD">
      <w:pPr>
        <w:numPr>
          <w:ilvl w:val="0"/>
          <w:numId w:val="2"/>
        </w:num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kern w:val="0"/>
          <w:sz w:val="20"/>
          <w:szCs w:val="20"/>
          <w14:ligatures w14:val="none"/>
        </w:rPr>
        <w:t>ML in pavement engineering — tight, 3–4 citations, no AI market statistics</w:t>
      </w:r>
    </w:p>
    <w:p w14:paraId="55E08C20" w14:textId="77777777" w:rsidR="00AD7AFD" w:rsidRPr="00AD7AFD" w:rsidRDefault="00AD7AFD" w:rsidP="00AD7AFD">
      <w:pPr>
        <w:numPr>
          <w:ilvl w:val="0"/>
          <w:numId w:val="2"/>
        </w:num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kern w:val="0"/>
          <w:sz w:val="20"/>
          <w:szCs w:val="20"/>
          <w14:ligatures w14:val="none"/>
        </w:rPr>
        <w:t>The conflation problem: most studies report in-sample or short-horizon accuracy without testing cross-climate transfer</w:t>
      </w:r>
    </w:p>
    <w:p w14:paraId="226C9459" w14:textId="77777777" w:rsidR="00AD7AFD" w:rsidRPr="00AD7AFD" w:rsidRDefault="00AD7AFD" w:rsidP="00AD7AFD">
      <w:pPr>
        <w:numPr>
          <w:ilvl w:val="0"/>
          <w:numId w:val="2"/>
        </w:num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kern w:val="0"/>
          <w:sz w:val="20"/>
          <w:szCs w:val="20"/>
          <w14:ligatures w14:val="none"/>
        </w:rPr>
        <w:t>The specific gap: no prior work has rigorously separated monitoring from design prediction tasks using climate-contrasted LTPP data</w:t>
      </w:r>
    </w:p>
    <w:p w14:paraId="3A83EEC7" w14:textId="77777777" w:rsidR="00AD7AFD" w:rsidRPr="00AD7AFD" w:rsidRDefault="00AD7AFD" w:rsidP="00AD7AFD">
      <w:pPr>
        <w:numPr>
          <w:ilvl w:val="0"/>
          <w:numId w:val="2"/>
        </w:num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kern w:val="0"/>
          <w:sz w:val="20"/>
          <w:szCs w:val="20"/>
          <w14:ligatures w14:val="none"/>
        </w:rPr>
        <w:t>Three research questions, stated as questions not objectives — forces the paper to answer them honestly rather than just report results</w:t>
      </w:r>
    </w:p>
    <w:p w14:paraId="726C16F7" w14:textId="77777777" w:rsidR="00AD7AFD" w:rsidRPr="00AD7AFD" w:rsidRDefault="00543FD3" w:rsidP="00AD7AFD">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noProof/>
          <w:kern w:val="0"/>
          <w:sz w:val="20"/>
          <w:szCs w:val="20"/>
        </w:rPr>
        <w:pict w14:anchorId="0BB01C39">
          <v:rect id="_x0000_i1030" alt="" style="width:468pt;height:.05pt;mso-width-percent:0;mso-height-percent:0;mso-width-percent:0;mso-height-percent:0" o:hralign="center" o:hrstd="t" o:hr="t" fillcolor="#a0a0a0" stroked="f"/>
        </w:pict>
      </w:r>
    </w:p>
    <w:p w14:paraId="37B9F74B" w14:textId="77777777" w:rsidR="00AD7AFD" w:rsidRPr="00AD7AFD" w:rsidRDefault="00AD7AFD" w:rsidP="00AD7AFD">
      <w:pPr>
        <w:spacing w:before="100" w:beforeAutospacing="1" w:after="100" w:afterAutospacing="1"/>
        <w:outlineLvl w:val="2"/>
        <w:rPr>
          <w:rFonts w:ascii="Times New Roman" w:eastAsia="Times New Roman" w:hAnsi="Times New Roman" w:cs="Times New Roman"/>
          <w:b/>
          <w:bCs/>
          <w:kern w:val="0"/>
          <w:sz w:val="20"/>
          <w:szCs w:val="20"/>
          <w14:ligatures w14:val="none"/>
        </w:rPr>
      </w:pPr>
      <w:r w:rsidRPr="00AD7AFD">
        <w:rPr>
          <w:rFonts w:ascii="Times New Roman" w:eastAsia="Times New Roman" w:hAnsi="Times New Roman" w:cs="Times New Roman"/>
          <w:b/>
          <w:bCs/>
          <w:kern w:val="0"/>
          <w:sz w:val="20"/>
          <w:szCs w:val="20"/>
          <w14:ligatures w14:val="none"/>
        </w:rPr>
        <w:t>2. Data and Experimental Design</w:t>
      </w:r>
    </w:p>
    <w:p w14:paraId="7450D1EF" w14:textId="77777777" w:rsidR="00AD7AFD" w:rsidRPr="00AD7AFD" w:rsidRDefault="00AD7AFD" w:rsidP="00AD7AFD">
      <w:p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kern w:val="0"/>
          <w:sz w:val="20"/>
          <w:szCs w:val="20"/>
          <w14:ligatures w14:val="none"/>
        </w:rPr>
        <w:t>One job: describe what was built and be honest about its constraints upfront.</w:t>
      </w:r>
    </w:p>
    <w:p w14:paraId="5B92A7EC" w14:textId="77777777" w:rsidR="00AD7AFD" w:rsidRPr="00AD7AFD" w:rsidRDefault="00AD7AFD" w:rsidP="00AD7AFD">
      <w:pPr>
        <w:numPr>
          <w:ilvl w:val="0"/>
          <w:numId w:val="3"/>
        </w:num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kern w:val="0"/>
          <w:sz w:val="20"/>
          <w:szCs w:val="20"/>
          <w14:ligatures w14:val="none"/>
        </w:rPr>
        <w:t>LTPP program and the 48-section dataset — why GPS flexible sections, 1989–2021</w:t>
      </w:r>
    </w:p>
    <w:p w14:paraId="2440EA5E" w14:textId="77777777" w:rsidR="00AD7AFD" w:rsidRPr="00AD7AFD" w:rsidRDefault="00AD7AFD" w:rsidP="00AD7AFD">
      <w:pPr>
        <w:numPr>
          <w:ilvl w:val="0"/>
          <w:numId w:val="3"/>
        </w:num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kern w:val="0"/>
          <w:sz w:val="20"/>
          <w:szCs w:val="20"/>
          <w14:ligatures w14:val="none"/>
        </w:rPr>
        <w:t>Four regions and why they were chosen: designed climate contrast, not convenience. Arizona / Georgia / Ohio / Ontario as an arid-to-extreme-freeze gradient</w:t>
      </w:r>
    </w:p>
    <w:p w14:paraId="696BE59F" w14:textId="77777777" w:rsidR="00AD7AFD" w:rsidRPr="00AD7AFD" w:rsidRDefault="00AD7AFD" w:rsidP="00AD7AFD">
      <w:pPr>
        <w:numPr>
          <w:ilvl w:val="0"/>
          <w:numId w:val="3"/>
        </w:num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kern w:val="0"/>
          <w:sz w:val="20"/>
          <w:szCs w:val="20"/>
          <w14:ligatures w14:val="none"/>
        </w:rPr>
        <w:t>Three deterioration targets: IRI primary, rutting and distress secondary — with explicit statement that confidence levels differ across targets given sample sizes</w:t>
      </w:r>
    </w:p>
    <w:p w14:paraId="6B54FDEB" w14:textId="77777777" w:rsidR="00AD7AFD" w:rsidRPr="00AD7AFD" w:rsidRDefault="00AD7AFD" w:rsidP="00AD7AFD">
      <w:pPr>
        <w:numPr>
          <w:ilvl w:val="0"/>
          <w:numId w:val="3"/>
        </w:num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kern w:val="0"/>
          <w:sz w:val="20"/>
          <w:szCs w:val="20"/>
          <w14:ligatures w14:val="none"/>
        </w:rPr>
        <w:t>Feature engineering: 183 → 114–118 after Spearman clustering, four domains, nine physics-based composites</w:t>
      </w:r>
    </w:p>
    <w:p w14:paraId="369E158F" w14:textId="77777777" w:rsidR="00AD7AFD" w:rsidRPr="00AD7AFD" w:rsidRDefault="00AD7AFD" w:rsidP="00AD7AFD">
      <w:pPr>
        <w:numPr>
          <w:ilvl w:val="0"/>
          <w:numId w:val="3"/>
        </w:num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b/>
          <w:bCs/>
          <w:kern w:val="0"/>
          <w:sz w:val="20"/>
          <w:szCs w:val="20"/>
          <w14:ligatures w14:val="none"/>
        </w:rPr>
        <w:t>Closing paragraph</w:t>
      </w:r>
      <w:r w:rsidRPr="00AD7AFD">
        <w:rPr>
          <w:rFonts w:ascii="Times New Roman" w:eastAsia="Times New Roman" w:hAnsi="Times New Roman" w:cs="Times New Roman"/>
          <w:kern w:val="0"/>
          <w:sz w:val="20"/>
          <w:szCs w:val="20"/>
          <w14:ligatures w14:val="none"/>
        </w:rPr>
        <w:t>: honest statement of sample constraints. 48 sections is not a large ML dataset. Repeated measures increase rows but not infrastructure diversity. Regional imbalance toward Arizona. These constraints scope all subsequent claims.</w:t>
      </w:r>
    </w:p>
    <w:p w14:paraId="69ADEC15" w14:textId="77777777" w:rsidR="00AD7AFD" w:rsidRPr="00AD7AFD" w:rsidRDefault="00543FD3" w:rsidP="00AD7AFD">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noProof/>
          <w:kern w:val="0"/>
          <w:sz w:val="20"/>
          <w:szCs w:val="20"/>
        </w:rPr>
        <w:pict w14:anchorId="03FCCEE5">
          <v:rect id="_x0000_i1029" alt="" style="width:468pt;height:.05pt;mso-width-percent:0;mso-height-percent:0;mso-width-percent:0;mso-height-percent:0" o:hralign="center" o:hrstd="t" o:hr="t" fillcolor="#a0a0a0" stroked="f"/>
        </w:pict>
      </w:r>
    </w:p>
    <w:p w14:paraId="5046D95D" w14:textId="77777777" w:rsidR="00AD7AFD" w:rsidRPr="00AD7AFD" w:rsidRDefault="00AD7AFD" w:rsidP="00AD7AFD">
      <w:pPr>
        <w:spacing w:before="100" w:beforeAutospacing="1" w:after="100" w:afterAutospacing="1"/>
        <w:outlineLvl w:val="2"/>
        <w:rPr>
          <w:rFonts w:ascii="Times New Roman" w:eastAsia="Times New Roman" w:hAnsi="Times New Roman" w:cs="Times New Roman"/>
          <w:b/>
          <w:bCs/>
          <w:kern w:val="0"/>
          <w:sz w:val="20"/>
          <w:szCs w:val="20"/>
          <w14:ligatures w14:val="none"/>
        </w:rPr>
      </w:pPr>
      <w:r w:rsidRPr="00AD7AFD">
        <w:rPr>
          <w:rFonts w:ascii="Times New Roman" w:eastAsia="Times New Roman" w:hAnsi="Times New Roman" w:cs="Times New Roman"/>
          <w:b/>
          <w:bCs/>
          <w:kern w:val="0"/>
          <w:sz w:val="20"/>
          <w:szCs w:val="20"/>
          <w14:ligatures w14:val="none"/>
        </w:rPr>
        <w:t>3. Methods</w:t>
      </w:r>
    </w:p>
    <w:p w14:paraId="490DA8AA" w14:textId="77777777" w:rsidR="00AD7AFD" w:rsidRPr="00AD7AFD" w:rsidRDefault="00AD7AFD" w:rsidP="00AD7AFD">
      <w:p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kern w:val="0"/>
          <w:sz w:val="20"/>
          <w:szCs w:val="20"/>
          <w14:ligatures w14:val="none"/>
        </w:rPr>
        <w:t>One job: describe the analytical decisions made to stress-test generalization, not to maximize reported accuracy.</w:t>
      </w:r>
    </w:p>
    <w:p w14:paraId="2C0C6078" w14:textId="77777777" w:rsidR="00AD7AFD" w:rsidRPr="00AD7AFD" w:rsidRDefault="00AD7AFD" w:rsidP="00AD7AFD">
      <w:pPr>
        <w:numPr>
          <w:ilvl w:val="0"/>
          <w:numId w:val="4"/>
        </w:num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b/>
          <w:bCs/>
          <w:kern w:val="0"/>
          <w:sz w:val="20"/>
          <w:szCs w:val="20"/>
          <w14:ligatures w14:val="none"/>
        </w:rPr>
        <w:t>3.1 Two prediction tasks</w:t>
      </w:r>
      <w:r w:rsidRPr="00AD7AFD">
        <w:rPr>
          <w:rFonts w:ascii="Times New Roman" w:eastAsia="Times New Roman" w:hAnsi="Times New Roman" w:cs="Times New Roman"/>
          <w:kern w:val="0"/>
          <w:sz w:val="20"/>
          <w:szCs w:val="20"/>
          <w14:ligatures w14:val="none"/>
        </w:rPr>
        <w:t xml:space="preserve"> — Design task (structural + traffic + climate inputs only, no prior condition, represents greenfield planning) vs. Monitoring task (adds lagged prior condition, represents operational forecasting). This distinction is the conceptual spine of the paper and must be clear here before results appear.</w:t>
      </w:r>
    </w:p>
    <w:p w14:paraId="71DDA5D8" w14:textId="77777777" w:rsidR="00AD7AFD" w:rsidRPr="00AD7AFD" w:rsidRDefault="00AD7AFD" w:rsidP="00AD7AFD">
      <w:pPr>
        <w:numPr>
          <w:ilvl w:val="0"/>
          <w:numId w:val="4"/>
        </w:num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b/>
          <w:bCs/>
          <w:kern w:val="0"/>
          <w:sz w:val="20"/>
          <w:szCs w:val="20"/>
          <w14:ligatures w14:val="none"/>
        </w:rPr>
        <w:t>3.2 Benchmarks</w:t>
      </w:r>
      <w:r w:rsidRPr="00AD7AFD">
        <w:rPr>
          <w:rFonts w:ascii="Times New Roman" w:eastAsia="Times New Roman" w:hAnsi="Times New Roman" w:cs="Times New Roman"/>
          <w:kern w:val="0"/>
          <w:sz w:val="20"/>
          <w:szCs w:val="20"/>
          <w14:ligatures w14:val="none"/>
        </w:rPr>
        <w:t xml:space="preserve"> — Mean predictor, age-only AASHTO exponential, persistence model (IRI_t = IRI_{t−k}) at 1-, 2-, and 3-year horizons. The persistence model is essential. Without it the monitoring R² is uninterpretable.</w:t>
      </w:r>
    </w:p>
    <w:p w14:paraId="5F304FE5" w14:textId="77777777" w:rsidR="00AD7AFD" w:rsidRPr="00AD7AFD" w:rsidRDefault="00AD7AFD" w:rsidP="00AD7AFD">
      <w:pPr>
        <w:numPr>
          <w:ilvl w:val="0"/>
          <w:numId w:val="4"/>
        </w:num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b/>
          <w:bCs/>
          <w:kern w:val="0"/>
          <w:sz w:val="20"/>
          <w:szCs w:val="20"/>
          <w14:ligatures w14:val="none"/>
        </w:rPr>
        <w:t>3.3 Ensemble models</w:t>
      </w:r>
      <w:r w:rsidRPr="00AD7AFD">
        <w:rPr>
          <w:rFonts w:ascii="Times New Roman" w:eastAsia="Times New Roman" w:hAnsi="Times New Roman" w:cs="Times New Roman"/>
          <w:kern w:val="0"/>
          <w:sz w:val="20"/>
          <w:szCs w:val="20"/>
          <w14:ligatures w14:val="none"/>
        </w:rPr>
        <w:t xml:space="preserve"> — XGBoost and Random Forest, hyperparameter optimization via Optuna, section-wise data partition, GroupKFold CV. Concise. Readers know these methods.</w:t>
      </w:r>
    </w:p>
    <w:p w14:paraId="5B75EAC4" w14:textId="77777777" w:rsidR="00AD7AFD" w:rsidRPr="00AD7AFD" w:rsidRDefault="00AD7AFD" w:rsidP="00AD7AFD">
      <w:pPr>
        <w:numPr>
          <w:ilvl w:val="0"/>
          <w:numId w:val="4"/>
        </w:num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b/>
          <w:bCs/>
          <w:kern w:val="0"/>
          <w:sz w:val="20"/>
          <w:szCs w:val="20"/>
          <w14:ligatures w14:val="none"/>
        </w:rPr>
        <w:lastRenderedPageBreak/>
        <w:t>3.4 Validation strategy</w:t>
      </w:r>
      <w:r w:rsidRPr="00AD7AFD">
        <w:rPr>
          <w:rFonts w:ascii="Times New Roman" w:eastAsia="Times New Roman" w:hAnsi="Times New Roman" w:cs="Times New Roman"/>
          <w:kern w:val="0"/>
          <w:sz w:val="20"/>
          <w:szCs w:val="20"/>
          <w14:ligatures w14:val="none"/>
        </w:rPr>
        <w:t xml:space="preserve"> — Section-wise splits prevent temporal leakage. Leave-one-region-out as the primary generalization test. Bootstrap confidence intervals on R² via section-level resampling — framed explicitly as uncertainty quantification, with the expectation that intervals will be wide given 7 test sections.</w:t>
      </w:r>
    </w:p>
    <w:p w14:paraId="55BC5497" w14:textId="77777777" w:rsidR="00AD7AFD" w:rsidRPr="00AD7AFD" w:rsidRDefault="00AD7AFD" w:rsidP="00AD7AFD">
      <w:pPr>
        <w:numPr>
          <w:ilvl w:val="0"/>
          <w:numId w:val="4"/>
        </w:num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b/>
          <w:bCs/>
          <w:kern w:val="0"/>
          <w:sz w:val="20"/>
          <w:szCs w:val="20"/>
          <w14:ligatures w14:val="none"/>
        </w:rPr>
        <w:t>3.5 Interpretability framework</w:t>
      </w:r>
      <w:r w:rsidRPr="00AD7AFD">
        <w:rPr>
          <w:rFonts w:ascii="Times New Roman" w:eastAsia="Times New Roman" w:hAnsi="Times New Roman" w:cs="Times New Roman"/>
          <w:kern w:val="0"/>
          <w:sz w:val="20"/>
          <w:szCs w:val="20"/>
          <w14:ligatures w14:val="none"/>
        </w:rPr>
        <w:t xml:space="preserve"> — SHAP TreeExplainer, beeswarm, waterfall, PDP. One explicit sentence: SHAP describes associations within model behavior, not causal effects. Cross-model SHAP rank correlation as a stability check with pre-specified threshold.</w:t>
      </w:r>
    </w:p>
    <w:p w14:paraId="35061A92" w14:textId="77777777" w:rsidR="00AD7AFD" w:rsidRPr="00AD7AFD" w:rsidRDefault="00543FD3" w:rsidP="00AD7AFD">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noProof/>
          <w:kern w:val="0"/>
          <w:sz w:val="20"/>
          <w:szCs w:val="20"/>
        </w:rPr>
        <w:pict w14:anchorId="4576A124">
          <v:rect id="_x0000_i1028" alt="" style="width:468pt;height:.05pt;mso-width-percent:0;mso-height-percent:0;mso-width-percent:0;mso-height-percent:0" o:hralign="center" o:hrstd="t" o:hr="t" fillcolor="#a0a0a0" stroked="f"/>
        </w:pict>
      </w:r>
    </w:p>
    <w:p w14:paraId="4636143A" w14:textId="77777777" w:rsidR="00AD7AFD" w:rsidRPr="00AD7AFD" w:rsidRDefault="00AD7AFD" w:rsidP="00AD7AFD">
      <w:pPr>
        <w:spacing w:before="100" w:beforeAutospacing="1" w:after="100" w:afterAutospacing="1"/>
        <w:outlineLvl w:val="2"/>
        <w:rPr>
          <w:rFonts w:ascii="Times New Roman" w:eastAsia="Times New Roman" w:hAnsi="Times New Roman" w:cs="Times New Roman"/>
          <w:b/>
          <w:bCs/>
          <w:kern w:val="0"/>
          <w:sz w:val="20"/>
          <w:szCs w:val="20"/>
          <w14:ligatures w14:val="none"/>
        </w:rPr>
      </w:pPr>
      <w:r w:rsidRPr="00AD7AFD">
        <w:rPr>
          <w:rFonts w:ascii="Times New Roman" w:eastAsia="Times New Roman" w:hAnsi="Times New Roman" w:cs="Times New Roman"/>
          <w:b/>
          <w:bCs/>
          <w:kern w:val="0"/>
          <w:sz w:val="20"/>
          <w:szCs w:val="20"/>
          <w14:ligatures w14:val="none"/>
        </w:rPr>
        <w:t>4. Results</w:t>
      </w:r>
    </w:p>
    <w:p w14:paraId="23B2CFF6" w14:textId="77777777" w:rsidR="00AD7AFD" w:rsidRPr="00AD7AFD" w:rsidRDefault="00AD7AFD" w:rsidP="00AD7AFD">
      <w:p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kern w:val="0"/>
          <w:sz w:val="20"/>
          <w:szCs w:val="20"/>
          <w14:ligatures w14:val="none"/>
        </w:rPr>
        <w:t>One job: answer the three research questions in order. Not in order of model complexity or impressiveness.</w:t>
      </w:r>
    </w:p>
    <w:p w14:paraId="1DE0D082" w14:textId="77777777" w:rsidR="00AD7AFD" w:rsidRPr="00AD7AFD" w:rsidRDefault="00AD7AFD" w:rsidP="00AD7AFD">
      <w:pPr>
        <w:numPr>
          <w:ilvl w:val="0"/>
          <w:numId w:val="5"/>
        </w:num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b/>
          <w:bCs/>
          <w:kern w:val="0"/>
          <w:sz w:val="20"/>
          <w:szCs w:val="20"/>
          <w14:ligatures w14:val="none"/>
        </w:rPr>
        <w:t>4.1 Do ensemble models capture physically interpretable deterioration drivers?</w:t>
      </w:r>
      <w:r w:rsidRPr="00AD7AFD">
        <w:rPr>
          <w:rFonts w:ascii="Times New Roman" w:eastAsia="Times New Roman" w:hAnsi="Times New Roman" w:cs="Times New Roman"/>
          <w:kern w:val="0"/>
          <w:sz w:val="20"/>
          <w:szCs w:val="20"/>
          <w14:ligatures w14:val="none"/>
        </w:rPr>
        <w:t xml:space="preserve"> SHAP top features, regional stratification, PDP interactions. Honest framing: cross-model consistency holds for ranks 1–3 only (ρ = 0.594). Below that, treat as unstable.</w:t>
      </w:r>
    </w:p>
    <w:p w14:paraId="54ABD149" w14:textId="77777777" w:rsidR="00AD7AFD" w:rsidRPr="00AD7AFD" w:rsidRDefault="00AD7AFD" w:rsidP="00AD7AFD">
      <w:pPr>
        <w:numPr>
          <w:ilvl w:val="0"/>
          <w:numId w:val="5"/>
        </w:num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b/>
          <w:bCs/>
          <w:kern w:val="0"/>
          <w:sz w:val="20"/>
          <w:szCs w:val="20"/>
          <w14:ligatures w14:val="none"/>
        </w:rPr>
        <w:t>4.2 Can the monitoring model generalize — and what is driving its accuracy?</w:t>
      </w:r>
      <w:r w:rsidRPr="00AD7AFD">
        <w:rPr>
          <w:rFonts w:ascii="Times New Roman" w:eastAsia="Times New Roman" w:hAnsi="Times New Roman" w:cs="Times New Roman"/>
          <w:kern w:val="0"/>
          <w:sz w:val="20"/>
          <w:szCs w:val="20"/>
          <w14:ligatures w14:val="none"/>
        </w:rPr>
        <w:t xml:space="preserve"> R² = 0.996 presented alongside persistence benchmark results across 1-, 2-, and 3-year horizons. If performance degrades sharply with lag horizon, say so plainly. This section answers whether the monitoring model has genuine forecast skill or is largely tracking temporal continuity.</w:t>
      </w:r>
    </w:p>
    <w:p w14:paraId="5E88B0FD" w14:textId="77777777" w:rsidR="00AD7AFD" w:rsidRPr="00AD7AFD" w:rsidRDefault="00AD7AFD" w:rsidP="00AD7AFD">
      <w:pPr>
        <w:numPr>
          <w:ilvl w:val="0"/>
          <w:numId w:val="5"/>
        </w:num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b/>
          <w:bCs/>
          <w:kern w:val="0"/>
          <w:sz w:val="20"/>
          <w:szCs w:val="20"/>
          <w14:ligatures w14:val="none"/>
        </w:rPr>
        <w:t>4.3 Does the design model generalize across climate zones?</w:t>
      </w:r>
      <w:r w:rsidRPr="00AD7AFD">
        <w:rPr>
          <w:rFonts w:ascii="Times New Roman" w:eastAsia="Times New Roman" w:hAnsi="Times New Roman" w:cs="Times New Roman"/>
          <w:kern w:val="0"/>
          <w:sz w:val="20"/>
          <w:szCs w:val="20"/>
          <w14:ligatures w14:val="none"/>
        </w:rPr>
        <w:t xml:space="preserve"> LOO validation is the empirical center of the paper. Full table of LOO R² and RMSE by region. Ontario failure (R² = −0.669) is the headline result. Ohio's partial success is explained mechanistically — moderate freeze index sits within training envelope. Residual diagnostics show systematic freeze-zone under-prediction.</w:t>
      </w:r>
    </w:p>
    <w:p w14:paraId="3CFAC116" w14:textId="77777777" w:rsidR="00AD7AFD" w:rsidRPr="00AD7AFD" w:rsidRDefault="00AD7AFD" w:rsidP="00AD7AFD">
      <w:pPr>
        <w:numPr>
          <w:ilvl w:val="0"/>
          <w:numId w:val="5"/>
        </w:num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b/>
          <w:bCs/>
          <w:kern w:val="0"/>
          <w:sz w:val="20"/>
          <w:szCs w:val="20"/>
          <w14:ligatures w14:val="none"/>
        </w:rPr>
        <w:t>4.4 What does the rutting collapse reveal?</w:t>
      </w:r>
      <w:r w:rsidRPr="00AD7AFD">
        <w:rPr>
          <w:rFonts w:ascii="Times New Roman" w:eastAsia="Times New Roman" w:hAnsi="Times New Roman" w:cs="Times New Roman"/>
          <w:kern w:val="0"/>
          <w:sz w:val="20"/>
          <w:szCs w:val="20"/>
          <w14:ligatures w14:val="none"/>
        </w:rPr>
        <w:t xml:space="preserve"> Validation R² 0.993 → test R² 0.540. Framed not as a failure but as evidence that a single target variable encodes two physically distinct mechanisms — high-temperature softening in Arizona and freeze-induced subgrade deformation in Ontario. This is a finding about target variable construction, not just a model performance result.</w:t>
      </w:r>
    </w:p>
    <w:p w14:paraId="7ACE4766" w14:textId="77777777" w:rsidR="00AD7AFD" w:rsidRPr="00AD7AFD" w:rsidRDefault="00543FD3" w:rsidP="00AD7AFD">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noProof/>
          <w:kern w:val="0"/>
          <w:sz w:val="20"/>
          <w:szCs w:val="20"/>
        </w:rPr>
        <w:pict w14:anchorId="28D240DE">
          <v:rect id="_x0000_i1027" alt="" style="width:468pt;height:.05pt;mso-width-percent:0;mso-height-percent:0;mso-width-percent:0;mso-height-percent:0" o:hralign="center" o:hrstd="t" o:hr="t" fillcolor="#a0a0a0" stroked="f"/>
        </w:pict>
      </w:r>
    </w:p>
    <w:p w14:paraId="56960F29" w14:textId="77777777" w:rsidR="00AD7AFD" w:rsidRPr="00AD7AFD" w:rsidRDefault="00AD7AFD" w:rsidP="00AD7AFD">
      <w:pPr>
        <w:spacing w:before="100" w:beforeAutospacing="1" w:after="100" w:afterAutospacing="1"/>
        <w:outlineLvl w:val="2"/>
        <w:rPr>
          <w:rFonts w:ascii="Times New Roman" w:eastAsia="Times New Roman" w:hAnsi="Times New Roman" w:cs="Times New Roman"/>
          <w:b/>
          <w:bCs/>
          <w:kern w:val="0"/>
          <w:sz w:val="20"/>
          <w:szCs w:val="20"/>
          <w14:ligatures w14:val="none"/>
        </w:rPr>
      </w:pPr>
      <w:r w:rsidRPr="00AD7AFD">
        <w:rPr>
          <w:rFonts w:ascii="Times New Roman" w:eastAsia="Times New Roman" w:hAnsi="Times New Roman" w:cs="Times New Roman"/>
          <w:b/>
          <w:bCs/>
          <w:kern w:val="0"/>
          <w:sz w:val="20"/>
          <w:szCs w:val="20"/>
          <w14:ligatures w14:val="none"/>
        </w:rPr>
        <w:t>5. Discussion</w:t>
      </w:r>
    </w:p>
    <w:p w14:paraId="55D08284" w14:textId="77777777" w:rsidR="00AD7AFD" w:rsidRPr="00AD7AFD" w:rsidRDefault="00AD7AFD" w:rsidP="00AD7AFD">
      <w:p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kern w:val="0"/>
          <w:sz w:val="20"/>
          <w:szCs w:val="20"/>
          <w14:ligatures w14:val="none"/>
        </w:rPr>
        <w:t>One job: synthesize what the results mean together, address limitations as part of the argument, and say something the field can use.</w:t>
      </w:r>
    </w:p>
    <w:p w14:paraId="3B2BEE00" w14:textId="77777777" w:rsidR="00AD7AFD" w:rsidRPr="00AD7AFD" w:rsidRDefault="00AD7AFD" w:rsidP="00AD7AFD">
      <w:pPr>
        <w:numPr>
          <w:ilvl w:val="0"/>
          <w:numId w:val="6"/>
        </w:num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b/>
          <w:bCs/>
          <w:kern w:val="0"/>
          <w:sz w:val="20"/>
          <w:szCs w:val="20"/>
          <w14:ligatures w14:val="none"/>
        </w:rPr>
        <w:t>5.1 Operational forecasting and design prediction are different problems</w:t>
      </w:r>
      <w:r w:rsidRPr="00AD7AFD">
        <w:rPr>
          <w:rFonts w:ascii="Times New Roman" w:eastAsia="Times New Roman" w:hAnsi="Times New Roman" w:cs="Times New Roman"/>
          <w:kern w:val="0"/>
          <w:sz w:val="20"/>
          <w:szCs w:val="20"/>
          <w14:ligatures w14:val="none"/>
        </w:rPr>
        <w:t xml:space="preserve"> The monitoring-design distinction the paper establishes has implications beyond this dataset. Many published pavement ML papers do not make this distinction — their accuracy claims may be monitoring-task results mistakenly framed as design-task evidence.</w:t>
      </w:r>
    </w:p>
    <w:p w14:paraId="1F564CFE" w14:textId="77777777" w:rsidR="00AD7AFD" w:rsidRPr="00AD7AFD" w:rsidRDefault="00AD7AFD" w:rsidP="00AD7AFD">
      <w:pPr>
        <w:numPr>
          <w:ilvl w:val="0"/>
          <w:numId w:val="6"/>
        </w:num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b/>
          <w:bCs/>
          <w:kern w:val="0"/>
          <w:sz w:val="20"/>
          <w:szCs w:val="20"/>
          <w14:ligatures w14:val="none"/>
        </w:rPr>
        <w:t>5.2 High accuracy can mislead</w:t>
      </w:r>
      <w:r w:rsidRPr="00AD7AFD">
        <w:rPr>
          <w:rFonts w:ascii="Times New Roman" w:eastAsia="Times New Roman" w:hAnsi="Times New Roman" w:cs="Times New Roman"/>
          <w:kern w:val="0"/>
          <w:sz w:val="20"/>
          <w:szCs w:val="20"/>
          <w14:ligatures w14:val="none"/>
        </w:rPr>
        <w:t xml:space="preserve"> Three mechanisms in this paper: lag-driven temporal continuity, Arizona overrepresentation in the training distribution, and SHAP consistency failure masking instability behind clean visualizations. Each inflates apparent success in a different way.</w:t>
      </w:r>
    </w:p>
    <w:p w14:paraId="4CD481B1" w14:textId="77777777" w:rsidR="00AD7AFD" w:rsidRPr="00AD7AFD" w:rsidRDefault="00AD7AFD" w:rsidP="00AD7AFD">
      <w:pPr>
        <w:numPr>
          <w:ilvl w:val="0"/>
          <w:numId w:val="6"/>
        </w:num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b/>
          <w:bCs/>
          <w:kern w:val="0"/>
          <w:sz w:val="20"/>
          <w:szCs w:val="20"/>
          <w14:ligatures w14:val="none"/>
        </w:rPr>
        <w:t>5.3 Climate as distribution shift</w:t>
      </w:r>
      <w:r w:rsidRPr="00AD7AFD">
        <w:rPr>
          <w:rFonts w:ascii="Times New Roman" w:eastAsia="Times New Roman" w:hAnsi="Times New Roman" w:cs="Times New Roman"/>
          <w:kern w:val="0"/>
          <w:sz w:val="20"/>
          <w:szCs w:val="20"/>
          <w14:ligatures w14:val="none"/>
        </w:rPr>
        <w:t xml:space="preserve"> The LOO failure is not a modeling failure in the conventional sense. It is a distributional mismatch. A model trained in Arizona has never seen freeze-thaw subgrade deformation and cannot extrapolate to it regardless of architecture. This reframes the problem: it is a data coverage problem, not a model complexity problem.</w:t>
      </w:r>
    </w:p>
    <w:p w14:paraId="0F803FD7" w14:textId="77777777" w:rsidR="00AD7AFD" w:rsidRPr="00AD7AFD" w:rsidRDefault="00AD7AFD" w:rsidP="00AD7AFD">
      <w:pPr>
        <w:numPr>
          <w:ilvl w:val="0"/>
          <w:numId w:val="6"/>
        </w:num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b/>
          <w:bCs/>
          <w:kern w:val="0"/>
          <w:sz w:val="20"/>
          <w:szCs w:val="20"/>
          <w14:ligatures w14:val="none"/>
        </w:rPr>
        <w:t>5.4 Implications for agencies</w:t>
      </w:r>
      <w:r w:rsidRPr="00AD7AFD">
        <w:rPr>
          <w:rFonts w:ascii="Times New Roman" w:eastAsia="Times New Roman" w:hAnsi="Times New Roman" w:cs="Times New Roman"/>
          <w:kern w:val="0"/>
          <w:sz w:val="20"/>
          <w:szCs w:val="20"/>
          <w14:ligatures w14:val="none"/>
        </w:rPr>
        <w:t xml:space="preserve"> Direct and practical. Use ML for maintenance forecasting and prioritization on monitored networks. Do not use current models for cross-climate design standards or unrepresented regions. SHAP insights at ranks 1–3 are actionable; below that, treat with caution.</w:t>
      </w:r>
    </w:p>
    <w:p w14:paraId="461DDB18" w14:textId="77777777" w:rsidR="00AD7AFD" w:rsidRPr="00AD7AFD" w:rsidRDefault="00AD7AFD" w:rsidP="00AD7AFD">
      <w:pPr>
        <w:numPr>
          <w:ilvl w:val="0"/>
          <w:numId w:val="6"/>
        </w:num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b/>
          <w:bCs/>
          <w:kern w:val="0"/>
          <w:sz w:val="20"/>
          <w:szCs w:val="20"/>
          <w14:ligatures w14:val="none"/>
        </w:rPr>
        <w:lastRenderedPageBreak/>
        <w:t>5.5 Limitations</w:t>
      </w:r>
      <w:r w:rsidRPr="00AD7AFD">
        <w:rPr>
          <w:rFonts w:ascii="Times New Roman" w:eastAsia="Times New Roman" w:hAnsi="Times New Roman" w:cs="Times New Roman"/>
          <w:kern w:val="0"/>
          <w:sz w:val="20"/>
          <w:szCs w:val="20"/>
          <w14:ligatures w14:val="none"/>
        </w:rPr>
        <w:t xml:space="preserve"> Woven in here, not as a separate section. 48 sections, four regions, observational data, SHAP non-causal, coarse climate variables, rutting sample imbalance. Stated plainly, connected to specific results rather than listed generically.</w:t>
      </w:r>
    </w:p>
    <w:p w14:paraId="026B0635" w14:textId="77777777" w:rsidR="00AD7AFD" w:rsidRPr="00AD7AFD" w:rsidRDefault="00543FD3" w:rsidP="00AD7AFD">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noProof/>
          <w:kern w:val="0"/>
          <w:sz w:val="20"/>
          <w:szCs w:val="20"/>
        </w:rPr>
        <w:pict w14:anchorId="34E59684">
          <v:rect id="_x0000_i1026" alt="" style="width:468pt;height:.05pt;mso-width-percent:0;mso-height-percent:0;mso-width-percent:0;mso-height-percent:0" o:hralign="center" o:hrstd="t" o:hr="t" fillcolor="#a0a0a0" stroked="f"/>
        </w:pict>
      </w:r>
    </w:p>
    <w:p w14:paraId="5ED9D49A" w14:textId="77777777" w:rsidR="00AD7AFD" w:rsidRPr="00AD7AFD" w:rsidRDefault="00AD7AFD" w:rsidP="00AD7AFD">
      <w:pPr>
        <w:spacing w:before="100" w:beforeAutospacing="1" w:after="100" w:afterAutospacing="1"/>
        <w:outlineLvl w:val="2"/>
        <w:rPr>
          <w:rFonts w:ascii="Times New Roman" w:eastAsia="Times New Roman" w:hAnsi="Times New Roman" w:cs="Times New Roman"/>
          <w:b/>
          <w:bCs/>
          <w:kern w:val="0"/>
          <w:sz w:val="20"/>
          <w:szCs w:val="20"/>
          <w14:ligatures w14:val="none"/>
        </w:rPr>
      </w:pPr>
      <w:r w:rsidRPr="00AD7AFD">
        <w:rPr>
          <w:rFonts w:ascii="Times New Roman" w:eastAsia="Times New Roman" w:hAnsi="Times New Roman" w:cs="Times New Roman"/>
          <w:b/>
          <w:bCs/>
          <w:kern w:val="0"/>
          <w:sz w:val="20"/>
          <w:szCs w:val="20"/>
          <w14:ligatures w14:val="none"/>
        </w:rPr>
        <w:t>6. Conclusions</w:t>
      </w:r>
    </w:p>
    <w:p w14:paraId="65BDFE5F" w14:textId="77777777" w:rsidR="00AD7AFD" w:rsidRPr="00AD7AFD" w:rsidRDefault="00AD7AFD" w:rsidP="00AD7AFD">
      <w:p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kern w:val="0"/>
          <w:sz w:val="20"/>
          <w:szCs w:val="20"/>
          <w14:ligatures w14:val="none"/>
        </w:rPr>
        <w:t>Four conclusions maximum, each answering one research question or resolving one tension the paper raised. No new information.</w:t>
      </w:r>
    </w:p>
    <w:p w14:paraId="44D47EF8" w14:textId="77777777" w:rsidR="00AD7AFD" w:rsidRPr="00AD7AFD" w:rsidRDefault="00AD7AFD" w:rsidP="00AD7AFD">
      <w:pPr>
        <w:numPr>
          <w:ilvl w:val="0"/>
          <w:numId w:val="7"/>
        </w:num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kern w:val="0"/>
          <w:sz w:val="20"/>
          <w:szCs w:val="20"/>
          <w14:ligatures w14:val="none"/>
        </w:rPr>
        <w:t>Monitoring models achieve high short-term forecasting accuracy, but performance is substantially driven by prior-condition persistence — genuine forecast skill diminishes at longer lag horizons.</w:t>
      </w:r>
    </w:p>
    <w:p w14:paraId="2717BE9F" w14:textId="77777777" w:rsidR="00AD7AFD" w:rsidRPr="00AD7AFD" w:rsidRDefault="00AD7AFD" w:rsidP="00AD7AFD">
      <w:pPr>
        <w:numPr>
          <w:ilvl w:val="0"/>
          <w:numId w:val="7"/>
        </w:num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kern w:val="0"/>
          <w:sz w:val="20"/>
          <w:szCs w:val="20"/>
          <w14:ligatures w14:val="none"/>
        </w:rPr>
        <w:t>Design-stage models fail to generalize reliably across climate zones. LOO validation confirms this is systematic, driven by underrepresentation of freeze-thaw deterioration physics, not random error.</w:t>
      </w:r>
    </w:p>
    <w:p w14:paraId="54F89B06" w14:textId="77777777" w:rsidR="00AD7AFD" w:rsidRPr="00AD7AFD" w:rsidRDefault="00AD7AFD" w:rsidP="00AD7AFD">
      <w:pPr>
        <w:numPr>
          <w:ilvl w:val="0"/>
          <w:numId w:val="7"/>
        </w:num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kern w:val="0"/>
          <w:sz w:val="20"/>
          <w:szCs w:val="20"/>
          <w14:ligatures w14:val="none"/>
        </w:rPr>
        <w:t>Explainability outputs are robust for the top three predictors but unstable for mid-ranked features in small datasets — a methodological caution applicable beyond pavement engineering.</w:t>
      </w:r>
    </w:p>
    <w:p w14:paraId="60601709" w14:textId="77777777" w:rsidR="00AD7AFD" w:rsidRPr="00AD7AFD" w:rsidRDefault="00AD7AFD" w:rsidP="00AD7AFD">
      <w:pPr>
        <w:numPr>
          <w:ilvl w:val="0"/>
          <w:numId w:val="7"/>
        </w:num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kern w:val="0"/>
          <w:sz w:val="20"/>
          <w:szCs w:val="20"/>
          <w14:ligatures w14:val="none"/>
        </w:rPr>
        <w:t>Current pavement ML is deployment-ready for maintenance forecasting on monitored networks. It is not yet reliable for cross-climate design support without representative regional training data.</w:t>
      </w:r>
    </w:p>
    <w:p w14:paraId="616096A6" w14:textId="77777777" w:rsidR="00AD7AFD" w:rsidRPr="00AD7AFD" w:rsidRDefault="00AD7AFD" w:rsidP="00AD7AFD">
      <w:p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b/>
          <w:bCs/>
          <w:kern w:val="0"/>
          <w:sz w:val="20"/>
          <w:szCs w:val="20"/>
          <w14:ligatures w14:val="none"/>
        </w:rPr>
        <w:t>Two sentences of future direction</w:t>
      </w:r>
      <w:r w:rsidRPr="00AD7AFD">
        <w:rPr>
          <w:rFonts w:ascii="Times New Roman" w:eastAsia="Times New Roman" w:hAnsi="Times New Roman" w:cs="Times New Roman"/>
          <w:kern w:val="0"/>
          <w:sz w:val="20"/>
          <w:szCs w:val="20"/>
          <w14:ligatures w14:val="none"/>
        </w:rPr>
        <w:t xml:space="preserve"> — not a list. ERA5 climate integration and domain-adaptive architectures are the most promising paths toward a transferable design model.</w:t>
      </w:r>
    </w:p>
    <w:p w14:paraId="51804B1A" w14:textId="77777777" w:rsidR="00AD7AFD" w:rsidRPr="00AD7AFD" w:rsidRDefault="00543FD3" w:rsidP="00AD7AFD">
      <w:pPr>
        <w:rPr>
          <w:rFonts w:ascii="Times New Roman" w:eastAsia="Times New Roman" w:hAnsi="Times New Roman" w:cs="Times New Roman"/>
          <w:kern w:val="0"/>
          <w:sz w:val="20"/>
          <w:szCs w:val="20"/>
          <w14:ligatures w14:val="none"/>
        </w:rPr>
      </w:pPr>
      <w:r>
        <w:rPr>
          <w:rFonts w:ascii="Times New Roman" w:eastAsia="Times New Roman" w:hAnsi="Times New Roman" w:cs="Times New Roman"/>
          <w:noProof/>
          <w:kern w:val="0"/>
          <w:sz w:val="20"/>
          <w:szCs w:val="20"/>
        </w:rPr>
        <w:pict w14:anchorId="4A102B92">
          <v:rect id="_x0000_i1025" alt="" style="width:468pt;height:.05pt;mso-width-percent:0;mso-height-percent:0;mso-width-percent:0;mso-height-percent:0" o:hralign="center" o:hrstd="t" o:hr="t" fillcolor="#a0a0a0" stroked="f"/>
        </w:pict>
      </w:r>
    </w:p>
    <w:p w14:paraId="41CDF465" w14:textId="77777777" w:rsidR="00AD7AFD" w:rsidRPr="00AD7AFD" w:rsidRDefault="00AD7AFD" w:rsidP="00AD7AFD">
      <w:pPr>
        <w:spacing w:before="100" w:beforeAutospacing="1" w:after="100" w:afterAutospacing="1"/>
        <w:outlineLvl w:val="1"/>
        <w:rPr>
          <w:rFonts w:ascii="Times New Roman" w:eastAsia="Times New Roman" w:hAnsi="Times New Roman" w:cs="Times New Roman"/>
          <w:b/>
          <w:bCs/>
          <w:kern w:val="0"/>
          <w:sz w:val="20"/>
          <w:szCs w:val="20"/>
          <w14:ligatures w14:val="none"/>
        </w:rPr>
      </w:pPr>
      <w:r w:rsidRPr="00AD7AFD">
        <w:rPr>
          <w:rFonts w:ascii="Times New Roman" w:eastAsia="Times New Roman" w:hAnsi="Times New Roman" w:cs="Times New Roman"/>
          <w:b/>
          <w:bCs/>
          <w:kern w:val="0"/>
          <w:sz w:val="20"/>
          <w:szCs w:val="20"/>
          <w14:ligatures w14:val="none"/>
        </w:rPr>
        <w:t>Why This Works</w:t>
      </w:r>
    </w:p>
    <w:p w14:paraId="15259944" w14:textId="77777777" w:rsidR="00AD7AFD" w:rsidRPr="00AD7AFD" w:rsidRDefault="00AD7AFD" w:rsidP="00AD7AFD">
      <w:p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kern w:val="0"/>
          <w:sz w:val="20"/>
          <w:szCs w:val="20"/>
          <w14:ligatures w14:val="none"/>
        </w:rPr>
        <w:t>It's five substantive sections plus conclusions. It reads as an empirical article, not a review. The limitations are embedded in the argument where they belong. Future work is a closing thought, not a section. The rutting collapse is elevated to a conceptual finding. The persistence benchmark appears where it changes the interpretation. And the whole thing argues one thing from start to finish.</w:t>
      </w:r>
    </w:p>
    <w:p w14:paraId="5E757F9F" w14:textId="77777777" w:rsidR="00AD7AFD" w:rsidRPr="00AD7AFD" w:rsidRDefault="00AD7AFD" w:rsidP="00AD7AFD">
      <w:pPr>
        <w:spacing w:before="100" w:beforeAutospacing="1" w:after="100" w:afterAutospacing="1"/>
        <w:rPr>
          <w:rFonts w:ascii="Times New Roman" w:eastAsia="Times New Roman" w:hAnsi="Times New Roman" w:cs="Times New Roman"/>
          <w:kern w:val="0"/>
          <w:sz w:val="20"/>
          <w:szCs w:val="20"/>
          <w14:ligatures w14:val="none"/>
        </w:rPr>
      </w:pPr>
      <w:r w:rsidRPr="00AD7AFD">
        <w:rPr>
          <w:rFonts w:ascii="Times New Roman" w:eastAsia="Times New Roman" w:hAnsi="Times New Roman" w:cs="Times New Roman"/>
          <w:kern w:val="0"/>
          <w:sz w:val="20"/>
          <w:szCs w:val="20"/>
          <w14:ligatures w14:val="none"/>
        </w:rPr>
        <w:t>The paper this outline produces is honest, focused, and says something the field hasn't clearly said before. That's publishable.</w:t>
      </w:r>
    </w:p>
    <w:p w14:paraId="085319D6" w14:textId="77777777" w:rsidR="00022CA8" w:rsidRPr="00AD7AFD" w:rsidRDefault="00022CA8">
      <w:pPr>
        <w:rPr>
          <w:rFonts w:ascii="Times New Roman" w:hAnsi="Times New Roman" w:cs="Times New Roman"/>
          <w:sz w:val="20"/>
          <w:szCs w:val="20"/>
        </w:rPr>
      </w:pPr>
    </w:p>
    <w:sectPr w:rsidR="00022CA8" w:rsidRPr="00AD7A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7AF1"/>
    <w:multiLevelType w:val="multilevel"/>
    <w:tmpl w:val="79E4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F3870"/>
    <w:multiLevelType w:val="multilevel"/>
    <w:tmpl w:val="BDCCB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450242"/>
    <w:multiLevelType w:val="multilevel"/>
    <w:tmpl w:val="8716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71148"/>
    <w:multiLevelType w:val="multilevel"/>
    <w:tmpl w:val="6070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623D9"/>
    <w:multiLevelType w:val="multilevel"/>
    <w:tmpl w:val="E620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C16B62"/>
    <w:multiLevelType w:val="multilevel"/>
    <w:tmpl w:val="C4CC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DD3D1E"/>
    <w:multiLevelType w:val="multilevel"/>
    <w:tmpl w:val="E072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235587">
    <w:abstractNumId w:val="3"/>
  </w:num>
  <w:num w:numId="2" w16cid:durableId="668407266">
    <w:abstractNumId w:val="2"/>
  </w:num>
  <w:num w:numId="3" w16cid:durableId="2071272388">
    <w:abstractNumId w:val="5"/>
  </w:num>
  <w:num w:numId="4" w16cid:durableId="1460033125">
    <w:abstractNumId w:val="6"/>
  </w:num>
  <w:num w:numId="5" w16cid:durableId="1372073109">
    <w:abstractNumId w:val="4"/>
  </w:num>
  <w:num w:numId="6" w16cid:durableId="1380737964">
    <w:abstractNumId w:val="0"/>
  </w:num>
  <w:num w:numId="7" w16cid:durableId="14270728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AFD"/>
    <w:rsid w:val="00022CA8"/>
    <w:rsid w:val="00133D87"/>
    <w:rsid w:val="00181E9F"/>
    <w:rsid w:val="001B24EB"/>
    <w:rsid w:val="002B7D25"/>
    <w:rsid w:val="00395C13"/>
    <w:rsid w:val="003D4239"/>
    <w:rsid w:val="00543FD3"/>
    <w:rsid w:val="00A179B2"/>
    <w:rsid w:val="00A47691"/>
    <w:rsid w:val="00AD7AFD"/>
    <w:rsid w:val="00DD33A0"/>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954E3"/>
  <w15:chartTrackingRefBased/>
  <w15:docId w15:val="{7DA67640-043F-724C-AABE-71955975D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AD7AF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AD7AF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AD7AF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D7A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A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A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A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A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A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AF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AD7AF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AD7AF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D7A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A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AFD"/>
    <w:rPr>
      <w:rFonts w:eastAsiaTheme="majorEastAsia" w:cstheme="majorBidi"/>
      <w:color w:val="272727" w:themeColor="text1" w:themeTint="D8"/>
    </w:rPr>
  </w:style>
  <w:style w:type="paragraph" w:styleId="Title">
    <w:name w:val="Title"/>
    <w:basedOn w:val="Normal"/>
    <w:next w:val="Normal"/>
    <w:link w:val="TitleChar"/>
    <w:uiPriority w:val="10"/>
    <w:qFormat/>
    <w:rsid w:val="00AD7AFD"/>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D7AF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D7AFD"/>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D7AF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D7A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D7AFD"/>
    <w:rPr>
      <w:rFonts w:cs="Vrinda"/>
      <w:i/>
      <w:iCs/>
      <w:color w:val="404040" w:themeColor="text1" w:themeTint="BF"/>
    </w:rPr>
  </w:style>
  <w:style w:type="paragraph" w:styleId="ListParagraph">
    <w:name w:val="List Paragraph"/>
    <w:basedOn w:val="Normal"/>
    <w:uiPriority w:val="34"/>
    <w:qFormat/>
    <w:rsid w:val="00AD7AFD"/>
    <w:pPr>
      <w:ind w:left="720"/>
      <w:contextualSpacing/>
    </w:pPr>
  </w:style>
  <w:style w:type="character" w:styleId="IntenseEmphasis">
    <w:name w:val="Intense Emphasis"/>
    <w:basedOn w:val="DefaultParagraphFont"/>
    <w:uiPriority w:val="21"/>
    <w:qFormat/>
    <w:rsid w:val="00AD7AFD"/>
    <w:rPr>
      <w:i/>
      <w:iCs/>
      <w:color w:val="0F4761" w:themeColor="accent1" w:themeShade="BF"/>
    </w:rPr>
  </w:style>
  <w:style w:type="paragraph" w:styleId="IntenseQuote">
    <w:name w:val="Intense Quote"/>
    <w:basedOn w:val="Normal"/>
    <w:next w:val="Normal"/>
    <w:link w:val="IntenseQuoteChar"/>
    <w:uiPriority w:val="30"/>
    <w:qFormat/>
    <w:rsid w:val="00AD7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AFD"/>
    <w:rPr>
      <w:rFonts w:cs="Vrinda"/>
      <w:i/>
      <w:iCs/>
      <w:color w:val="0F4761" w:themeColor="accent1" w:themeShade="BF"/>
    </w:rPr>
  </w:style>
  <w:style w:type="character" w:styleId="IntenseReference">
    <w:name w:val="Intense Reference"/>
    <w:basedOn w:val="DefaultParagraphFont"/>
    <w:uiPriority w:val="32"/>
    <w:qFormat/>
    <w:rsid w:val="00AD7AFD"/>
    <w:rPr>
      <w:b/>
      <w:bCs/>
      <w:smallCaps/>
      <w:color w:val="0F4761" w:themeColor="accent1" w:themeShade="BF"/>
      <w:spacing w:val="5"/>
    </w:rPr>
  </w:style>
  <w:style w:type="paragraph" w:styleId="NormalWeb">
    <w:name w:val="Normal (Web)"/>
    <w:basedOn w:val="Normal"/>
    <w:uiPriority w:val="99"/>
    <w:semiHidden/>
    <w:unhideWhenUsed/>
    <w:rsid w:val="00AD7AFD"/>
    <w:pPr>
      <w:spacing w:before="100" w:beforeAutospacing="1" w:after="100" w:afterAutospacing="1"/>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AD7A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1161</Words>
  <Characters>6622</Characters>
  <Application>Microsoft Office Word</Application>
  <DocSecurity>0</DocSecurity>
  <Lines>55</Lines>
  <Paragraphs>15</Paragraphs>
  <ScaleCrop>false</ScaleCrop>
  <Company/>
  <LinksUpToDate>false</LinksUpToDate>
  <CharactersWithSpaces>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mithila joyshree</dc:creator>
  <cp:keywords/>
  <dc:description/>
  <cp:lastModifiedBy>mithila joyshree</cp:lastModifiedBy>
  <cp:revision>2</cp:revision>
  <dcterms:created xsi:type="dcterms:W3CDTF">2026-05-01T03:49:00Z</dcterms:created>
  <dcterms:modified xsi:type="dcterms:W3CDTF">2026-05-01T03:49:00Z</dcterms:modified>
</cp:coreProperties>
</file>